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__________________</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CURRENT REPORT</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PURSUANT TO SECTION 13 OR 15(d) of the</w:t>
      </w:r>
    </w:p>
    <w:p>
      <w:pPr>
        <w:ind w:left="21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540"/>
        <w:spacing w:after="0"/>
        <w:tabs>
          <w:tab w:leader="none" w:pos="498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February 9, 1995</w:t>
      </w:r>
    </w:p>
    <w:p>
      <w:pPr>
        <w:spacing w:after="0" w:line="335"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COMCAST CORPORATION</w:t>
      </w:r>
    </w:p>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237" w:lineRule="auto"/>
        <w:rPr>
          <w:sz w:val="20"/>
          <w:szCs w:val="20"/>
          <w:color w:val="auto"/>
        </w:rPr>
      </w:pPr>
      <w:r>
        <w:rPr>
          <w:rFonts w:ascii="Courier New" w:cs="Courier New" w:eastAsia="Courier New" w:hAnsi="Courier New"/>
          <w:sz w:val="15"/>
          <w:szCs w:val="15"/>
          <w:color w:val="auto"/>
        </w:rPr>
        <w:t>jurisdiction of</w:t>
      </w:r>
    </w:p>
    <w:p>
      <w:pPr>
        <w:spacing w:after="0" w:line="238" w:lineRule="auto"/>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ind w:left="440"/>
        <w:spacing w:after="0" w:line="237" w:lineRule="auto"/>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237" w:lineRule="auto"/>
        <w:rPr>
          <w:sz w:val="20"/>
          <w:szCs w:val="20"/>
          <w:color w:val="auto"/>
        </w:rPr>
      </w:pPr>
      <w:r>
        <w:rPr>
          <w:rFonts w:ascii="Courier New" w:cs="Courier New" w:eastAsia="Courier New" w:hAnsi="Courier New"/>
          <w:sz w:val="15"/>
          <w:szCs w:val="15"/>
          <w:color w:val="auto"/>
        </w:rPr>
        <w:t>identification</w:t>
      </w:r>
    </w:p>
    <w:p>
      <w:pPr>
        <w:ind w:left="440"/>
        <w:spacing w:after="0" w:line="238" w:lineRule="auto"/>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1820" w:space="720"/>
            <w:col w:w="2000" w:space="720"/>
            <w:col w:w="4979"/>
          </w:cols>
          <w:pgMar w:left="220" w:top="561" w:right="1440" w:bottom="1440" w:gutter="0" w:footer="0" w:header="0"/>
          <w:type w:val="continuous"/>
        </w:sectPr>
      </w:pPr>
    </w:p>
    <w:p>
      <w:pPr>
        <w:spacing w:after="0" w:line="303" w:lineRule="exact"/>
        <w:rPr>
          <w:sz w:val="24"/>
          <w:szCs w:val="24"/>
          <w:color w:val="auto"/>
        </w:rPr>
      </w:pPr>
    </w:p>
    <w:p>
      <w:pPr>
        <w:ind w:left="1320"/>
        <w:spacing w:after="0"/>
        <w:tabs>
          <w:tab w:leader="none" w:pos="480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14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(215) 665-1700</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380" w:space="520"/>
            <w:col w:w="5339"/>
          </w:cols>
          <w:pgMar w:left="220" w:top="561"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QVC, Inc.</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As a result of a tender offer which expired on February 9, 1995 and a second-step merger (the "Merger") which closed February 15, 1995, Comcast Corporation (the "Company") and Tele-Communications, Inc. ("TCI") acquired all of the outstanding stock of QVC, Inc. ("QVC") for $46, in cash, per share of common stock (or common stock equivalent) of QVC. The total net cost of acquiring the outstanding stock of QVC not previously owned by the Company and TCI was approximately $1.4 billion. Following the Merger, the Company and TCI own, through their respective wholly-owned subsidiaries, approximately 57.45% and 42.55%, respectively, of QVC. The Company has accounted for the QVC acquisition under the purchase method of accounting.</w:t>
      </w:r>
    </w:p>
    <w:p>
      <w:pPr>
        <w:spacing w:after="0" w:line="17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approximately $296.3 million and $6.6 million, respectively, borrowings of approximately $1.1 billion under a $1.2 billion QVC credit facility (the "QVC Credit Facility") and existing cash and cash equivalents held by QVC. The QVC Credit Facility is among QVC, The Bank of New York Company, Inc., Barclays Bank PLC, Chemical Bank, NationsBank, N.A. (Carolinas) and the Toronto-Dominion Bank, as Managing Agents, The Bank of New York, as Administrative Agent, and several other banks.</w:t>
      </w:r>
    </w:p>
    <w:p>
      <w:pPr>
        <w:spacing w:after="0" w:line="178"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QVC is a nationwide general merchandise retailer, operating as one of the leading televised shopping retailers in the United States.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day-to-day operations of QVC will, except in certain limited circumstances, be managed by the Company, which will have the right to appoint all of the members of the QVC board of directors and a majority of the members of a management committee. Liberty Media Corporation ("Liberty"), a wholly-owned subsidiary of TCI, will have the right to approve certain limited extraordinary transactions or actions by QVC and will have the right to participate in certain management decisions through minority representation on the management committee.</w:t>
      </w:r>
    </w:p>
    <w:p>
      <w:pPr>
        <w:spacing w:after="0" w:line="177"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With certain exceptions, direct or indirect transfers to unaffiliated third parties by the Company or Liberty of any stock in QVC are subject to a right of first refusal (or similar right) in favor of the other. In addition, prior to February 9, 2000, direct or indirect transfers of any interest in QVC are restricted; however, the Company may, among other things, sell an indirect minority interest in its QVC stock and, subject to the right of Liberty to participate on equal terms, sell to an unaffiliated third party all of its stock in QVC. A change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ind w:right="3239"/>
        <w:spacing w:after="0" w:line="235" w:lineRule="auto"/>
        <w:rPr>
          <w:sz w:val="20"/>
          <w:szCs w:val="20"/>
          <w:color w:val="auto"/>
        </w:rPr>
      </w:pPr>
      <w:r>
        <w:rPr>
          <w:rFonts w:ascii="Courier New" w:cs="Courier New" w:eastAsia="Courier New" w:hAnsi="Courier New"/>
          <w:sz w:val="15"/>
          <w:szCs w:val="15"/>
          <w:color w:val="auto"/>
        </w:rPr>
        <w:t>control of either the Company or Liberty will not trigger any right of the other to purchase the QVC stock held by the party who is subject to such change of control.</w:t>
      </w:r>
    </w:p>
    <w:p>
      <w:pPr>
        <w:spacing w:after="0" w:line="174"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With certain exceptions, Liberty may, at any time during the 60-day period following February 9, 2000 (or if not previously exercised, at any time during the 60-day period following each of the four anniversaries thereof), trigger the exercise of certain exit rights. If the exit rights are triggered, the Company first has the right to purchase Liberty's stock in QVC at a price equal to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If the Company elects not to purchase the shares of QVC held by Liberty, then Liberty will have the right to purchase the shares of QVC held by the Company on the same terms on which Liberty's shares of QVC were offered to the Company. If Liberty elects not to purchase the shares of QVC held by the Company, then Liberty and the Company will use their best efforts to sell QVC in a sale in which Liberty, the Company or any of their respective affiliates may be purchasers.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tabs>
          <w:tab w:leader="none" w:pos="13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700" w:hanging="428"/>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0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the Consolidated and Combined Financial Statements of Comcast MHCP Holdings, L.L.C. and the Consolidated Financial Statements of QVC, Inc. are included in this Report and are listed in the Index to Pro Forma Financial Information and Financial Statements included immediately after the Exhibit Index of this Report.</w:t>
      </w:r>
    </w:p>
    <w:p>
      <w:pPr>
        <w:spacing w:after="0" w:line="33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Exhibit No.</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66"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Peat Marwick LLP</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3" w:name="page4"/>
    <w:bookmarkEnd w:id="3"/>
    <w:p>
      <w:pPr>
        <w:ind w:left="3080"/>
        <w:spacing w:after="0"/>
        <w:rPr>
          <w:sz w:val="20"/>
          <w:szCs w:val="20"/>
          <w:color w:val="auto"/>
        </w:rPr>
      </w:pPr>
      <w:r>
        <w:rPr>
          <w:rFonts w:ascii="Courier New" w:cs="Courier New" w:eastAsia="Courier New" w:hAnsi="Courier New"/>
          <w:sz w:val="15"/>
          <w:szCs w:val="15"/>
          <w:color w:val="auto"/>
        </w:rPr>
        <w:t>SIGNATURE</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April 25, 1995</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4020" w:space="720"/>
            <w:col w:w="5499"/>
          </w:cols>
          <w:pgMar w:left="220" w:top="617" w:right="1440" w:bottom="1440" w:gutter="0" w:footer="0" w:header="0"/>
          <w:type w:val="continuous"/>
        </w:sectPr>
      </w:pPr>
    </w:p>
    <w:p>
      <w:pPr>
        <w:spacing w:after="0" w:line="146"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Lawrence S.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S. Smith</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2">
            <w:col w:w="4560" w:space="180"/>
            <w:col w:w="5499"/>
          </w:cols>
          <w:pgMar w:left="220" w:top="6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EXHIBIT INDEX</w:t>
            </w:r>
          </w:p>
        </w:tc>
      </w:tr>
      <w:tr>
        <w:trPr>
          <w:trHeight w:val="168"/>
        </w:trPr>
        <w:tc>
          <w:tcPr>
            <w:tcW w:w="1280" w:type="dxa"/>
            <w:vAlign w:val="bottom"/>
          </w:tcPr>
          <w:p>
            <w:pPr>
              <w:spacing w:after="0"/>
              <w:rPr>
                <w:sz w:val="14"/>
                <w:szCs w:val="14"/>
                <w:color w:val="auto"/>
              </w:rPr>
            </w:pPr>
          </w:p>
        </w:tc>
        <w:tc>
          <w:tcPr>
            <w:tcW w:w="2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2920" w:type="dxa"/>
            <w:vAlign w:val="bottom"/>
          </w:tcPr>
          <w:p>
            <w:pPr>
              <w:ind w:left="1700"/>
              <w:spacing w:after="0"/>
              <w:rPr>
                <w:sz w:val="20"/>
                <w:szCs w:val="20"/>
                <w:color w:val="auto"/>
              </w:rPr>
            </w:pPr>
            <w:r>
              <w:rPr>
                <w:rFonts w:ascii="Courier New" w:cs="Courier New" w:eastAsia="Courier New" w:hAnsi="Courier New"/>
                <w:sz w:val="15"/>
                <w:szCs w:val="15"/>
                <w:color w:val="auto"/>
              </w:rPr>
              <w:t>Exhibit</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23.1</w:t>
            </w:r>
          </w:p>
        </w:tc>
        <w:tc>
          <w:tcPr>
            <w:tcW w:w="2920" w:type="dxa"/>
            <w:vAlign w:val="bottom"/>
          </w:tcPr>
          <w:p>
            <w:pPr>
              <w:ind w:left="120"/>
              <w:spacing w:after="0"/>
              <w:rPr>
                <w:sz w:val="20"/>
                <w:szCs w:val="20"/>
                <w:color w:val="auto"/>
              </w:rPr>
            </w:pPr>
            <w:r>
              <w:rPr>
                <w:rFonts w:ascii="Courier New" w:cs="Courier New" w:eastAsia="Courier New" w:hAnsi="Courier New"/>
                <w:sz w:val="15"/>
                <w:szCs w:val="15"/>
                <w:color w:val="auto"/>
                <w:w w:val="96"/>
              </w:rPr>
              <w:t>Consent of Deloitte &amp; Touche LLP</w:t>
            </w:r>
          </w:p>
        </w:tc>
      </w:tr>
      <w:tr>
        <w:trPr>
          <w:trHeight w:val="336"/>
        </w:trPr>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23.2</w:t>
            </w:r>
          </w:p>
        </w:tc>
        <w:tc>
          <w:tcPr>
            <w:tcW w:w="2920" w:type="dxa"/>
            <w:vAlign w:val="bottom"/>
          </w:tcPr>
          <w:p>
            <w:pPr>
              <w:ind w:left="120"/>
              <w:spacing w:after="0"/>
              <w:rPr>
                <w:sz w:val="20"/>
                <w:szCs w:val="20"/>
                <w:color w:val="auto"/>
              </w:rPr>
            </w:pPr>
            <w:r>
              <w:rPr>
                <w:rFonts w:ascii="Courier New" w:cs="Courier New" w:eastAsia="Courier New" w:hAnsi="Courier New"/>
                <w:sz w:val="15"/>
                <w:szCs w:val="15"/>
                <w:color w:val="auto"/>
                <w:w w:val="96"/>
              </w:rPr>
              <w:t>Consent of KPMG Peat Marwick LLP</w:t>
            </w:r>
          </w:p>
        </w:tc>
      </w:tr>
    </w:tbl>
    <w:p>
      <w:pPr>
        <w:sectPr>
          <w:pgSz w:w="11900" w:h="16838" w:orient="portrait"/>
          <w:cols w:equalWidth="0" w:num="1">
            <w:col w:w="10239"/>
          </w:cols>
          <w:pgMar w:left="220" w:top="617" w:right="1440" w:bottom="1440" w:gutter="0" w:footer="0" w:header="0"/>
        </w:sectPr>
      </w:pPr>
    </w:p>
    <w:bookmarkStart w:id="5" w:name="page6"/>
    <w:bookmarkEnd w:id="5"/>
    <w:p>
      <w:pPr>
        <w:jc w:val="center"/>
        <w:ind w:right="3299"/>
        <w:spacing w:after="0"/>
        <w:rPr>
          <w:sz w:val="20"/>
          <w:szCs w:val="20"/>
          <w:color w:val="auto"/>
        </w:rPr>
      </w:pPr>
      <w:r>
        <w:rPr>
          <w:rFonts w:ascii="Courier New" w:cs="Courier New" w:eastAsia="Courier New" w:hAnsi="Courier New"/>
          <w:sz w:val="15"/>
          <w:szCs w:val="15"/>
          <w:color w:val="auto"/>
        </w:rPr>
        <w:t>COMCAST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INDEX TO PRO FORMA FINANCIAL INFORMATION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AND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 Unaudited Pro Forma Financial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Forma Financial</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11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F- 1</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Forma Condensed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Sheet</w:t>
            </w:r>
          </w:p>
        </w:tc>
        <w:tc>
          <w:tcPr>
            <w:tcW w:w="2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December 31, 1994</w:t>
            </w:r>
          </w:p>
        </w:tc>
        <w:tc>
          <w:tcPr>
            <w:tcW w:w="118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F- 2</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Forma Condensed Consolidated</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Statement of</w:t>
            </w:r>
          </w:p>
        </w:tc>
        <w:tc>
          <w:tcPr>
            <w:tcW w:w="440" w:type="dxa"/>
            <w:vAlign w:val="bottom"/>
          </w:tcPr>
          <w:p>
            <w:pPr>
              <w:spacing w:after="0"/>
              <w:rPr>
                <w:sz w:val="24"/>
                <w:szCs w:val="24"/>
                <w:color w:val="auto"/>
              </w:rPr>
            </w:pPr>
          </w:p>
        </w:tc>
      </w:tr>
      <w:tr>
        <w:trPr>
          <w:trHeight w:val="168"/>
        </w:trPr>
        <w:tc>
          <w:tcPr>
            <w:tcW w:w="3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Operations for the Year ended December 31,</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F- 3</w:t>
            </w:r>
          </w:p>
        </w:tc>
      </w:tr>
      <w:tr>
        <w:trPr>
          <w:trHeight w:val="336"/>
        </w:trPr>
        <w:tc>
          <w:tcPr>
            <w:tcW w:w="4900" w:type="dxa"/>
            <w:vAlign w:val="bottom"/>
            <w:gridSpan w:val="4"/>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440" w:type="dxa"/>
            <w:vAlign w:val="bottom"/>
          </w:tcPr>
          <w:p>
            <w:pPr>
              <w:spacing w:after="0"/>
              <w:rPr>
                <w:sz w:val="24"/>
                <w:szCs w:val="2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F- 4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Holdings, L.L.C. and the Predecessor Corporation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Independent Auditors' Report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F-10</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Auditors' Report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F-11</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and Combined Balance Sheets as of</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1994 and 1993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F-12</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and Combined Statements of Operations for</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Periods from January 1, 1994 to December 21, 1994</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December 22, 1994 to December 31, 1994 and Years</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1993 and 1992</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F-13</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and Combined Statements of Cash Flows</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Periods from January 1, 1994 to December 21,</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 and December 22,  1994 to December 31, 1994 and</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Years ended December 31, 1993 and 1992</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F-14</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Combined Statement of Changes in Net Equity for the</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from January 1, 1994 to December 21, 1994 and</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Years ended December 31, 1993 and 1992 and Consolidated</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Statement of Changes in Members' Equity for the Period</w:t>
            </w:r>
          </w:p>
        </w:tc>
        <w:tc>
          <w:tcPr>
            <w:tcW w:w="44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December 22, 1994 to December 31, 1994</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F-15</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w w:val="98"/>
              </w:rPr>
              <w:t>Notes to Consolidated and Combined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F-16</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QVC, Inc.</w:t>
            </w:r>
          </w:p>
        </w:tc>
        <w:tc>
          <w:tcPr>
            <w:tcW w:w="44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Independent Auditors' Report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F-25</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as of January 31, 1995 and</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F-26</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Operations for the Years</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January 31, 1995, 1994 and 1993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F-27</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January 31, 1995, 1994 and 1993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F-28</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44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Years Ended January 31, 1995, 1994 and 1993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F-29</w:t>
            </w:r>
          </w:p>
        </w:tc>
      </w:tr>
      <w:tr>
        <w:trPr>
          <w:trHeight w:val="33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F-30</w:t>
            </w:r>
          </w:p>
        </w:tc>
      </w:tr>
    </w:tbl>
    <w:p>
      <w:pPr>
        <w:sectPr>
          <w:pgSz w:w="11900" w:h="16838" w:orient="portrait"/>
          <w:cols w:equalWidth="0" w:num="1">
            <w:col w:w="10239"/>
          </w:cols>
          <w:pgMar w:left="220" w:top="617" w:right="1440"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UNAUDITED PRO FORMA</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INFORMATION</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On December 22, 1994, Comcast Corporation (the "Company") acquired the U.S. cable television and alternate access operations of Maclean Hunter Limited ("Maclean Hunter") from Rogers Communications Inc. and all of the outstanding shares of Barden Communications, Inc. (collectively, such acquisitions are referred to herein as the "Maclean Hunter Acquisition") for approximately $1.2 billion (subject to certain adjustments) in cash. In February 1995, the Company and Tele-Communications, Inc. ("TCI") acquired all of the outstanding stock of QVC, Inc. ("QVC") not previously owned by the Company and TCI (the "QVC Acquisition") for approximately $1.4 billion (net) in cash. For a further description of the Maclean Hunter Acquisition, the QVC Acquisition and related transactions, see the notes to unaudited pro forma condensed consolidated financial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following unaudited pro forma condensed consolidated financial statements reflect the pro forma consolidated financial position of the Company, Maclean Hunter and QVC as of December 31, 1994, and their consolidated operations for the year ended December 31, 1994. See the notes to unaudited pro forma condensed consolidated financial statements for a description of the assumptions used in preparing these unaudited pro forma condensed consolidated financial statements.</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unaudited pro forma condensed consolidated balance sheet assumes the QVC Acquisition occurred on December 31, 1994. The unaudited pro forma condensed consolidated statement of operations for the year ended December 31, 1994 assumes the Maclean Hunter Acquisition and the QVC Acquisition occurred on January 1, 1994.</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consolidated financial statements of</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included in the Company's Annual Report on Form 10-K for the year ended December 31, 1994; 2) the consolidated and combined financial statements of Comcast MHCP Holdings, L.L.C. and the Predecessor Corporation included in this Current Report on Form 8-K for the periods from January 1, 1994 to December 21, 1994 and December 22, 1994 to December 31, 1994; and 3) QVC's consolidated financial statements included in this Current Report on Form 8-K for the fiscal year ended January 31, 1995 and QVC's Quarterly Report on Form 10-Q for the fiscal quarter ended October 31, 1994 incorporated by reference in this Current Report on Form 8-K.</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not necessarily indicative of the results which actually would have occurred had the Maclean Hunter Acquisition and the QVC Acquisition occurred on the dates indicated or which may result in the future.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940"/>
        <w:spacing w:after="0"/>
        <w:rPr>
          <w:sz w:val="20"/>
          <w:szCs w:val="20"/>
          <w:color w:val="auto"/>
        </w:rPr>
      </w:pPr>
      <w:r>
        <w:rPr>
          <w:rFonts w:ascii="Courier New" w:cs="Courier New" w:eastAsia="Courier New" w:hAnsi="Courier New"/>
          <w:sz w:val="15"/>
          <w:szCs w:val="15"/>
          <w:color w:val="auto"/>
        </w:rPr>
        <w:t>COMCAST CORPORATION</w:t>
      </w:r>
    </w:p>
    <w:p>
      <w:pPr>
        <w:jc w:val="center"/>
        <w:ind w:right="4020"/>
        <w:spacing w:after="0" w:line="237" w:lineRule="auto"/>
        <w:rPr>
          <w:sz w:val="20"/>
          <w:szCs w:val="20"/>
          <w:color w:val="auto"/>
        </w:rPr>
      </w:pPr>
      <w:r>
        <w:rPr>
          <w:rFonts w:ascii="Courier New" w:cs="Courier New" w:eastAsia="Courier New" w:hAnsi="Courier New"/>
          <w:sz w:val="15"/>
          <w:szCs w:val="15"/>
          <w:color w:val="auto"/>
        </w:rPr>
        <w:t>UNAUDITED PRO FORMA CONDENSED CONSOLIDATED BALANCE SHEET</w:t>
      </w:r>
    </w:p>
    <w:p>
      <w:pPr>
        <w:jc w:val="center"/>
        <w:ind w:right="3940"/>
        <w:spacing w:after="0" w:line="238" w:lineRule="auto"/>
        <w:rPr>
          <w:sz w:val="20"/>
          <w:szCs w:val="20"/>
          <w:color w:val="auto"/>
        </w:rPr>
      </w:pPr>
      <w:r>
        <w:rPr>
          <w:rFonts w:ascii="Courier New" w:cs="Courier New" w:eastAsia="Courier New" w:hAnsi="Courier New"/>
          <w:sz w:val="15"/>
          <w:szCs w:val="15"/>
          <w:color w:val="auto"/>
        </w:rPr>
        <w:t>DECEMBER 31, 1994</w:t>
      </w:r>
    </w:p>
    <w:tbl>
      <w:tblPr>
        <w:tblLayout w:type="fixed"/>
        <w:tblInd w:w="0" w:type="dxa"/>
        <w:tblCellMar>
          <w:top w:w="0" w:type="dxa"/>
          <w:left w:w="0" w:type="dxa"/>
          <w:bottom w:w="0" w:type="dxa"/>
          <w:right w:w="0" w:type="dxa"/>
        </w:tblCellMar>
      </w:tblPr>
      <w:tr>
        <w:trPr>
          <w:trHeight w:val="168"/>
        </w:trPr>
        <w:tc>
          <w:tcPr>
            <w:tcW w:w="5260" w:type="dxa"/>
            <w:vAlign w:val="bottom"/>
            <w:gridSpan w:val="2"/>
          </w:tcPr>
          <w:p>
            <w:pPr>
              <w:ind w:left="246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3"/>
        </w:trPr>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(E)</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QVC</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 Forma</w:t>
            </w:r>
          </w:p>
        </w:tc>
        <w:tc>
          <w:tcPr>
            <w:tcW w:w="13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Historical</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cash equivalents and</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$465,454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$80,790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($79,786)</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(F.1.,10.)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$466,458</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108,245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193,540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(1,149)</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300,636</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18,553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198,012</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216,565</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56,748</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56,748</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16,254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8,238</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24,492</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608,506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537,328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(80,935)</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1,064,899</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797,075</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6,345</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(128,800)</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(F.2.,10.)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674,620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1,257,686</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89,739</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1,347,425</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spacing w:after="0"/>
              <w:rPr>
                <w:sz w:val="24"/>
                <w:szCs w:val="2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20,271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(20,271)</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(F.3.)</w:t>
            </w:r>
          </w:p>
        </w:tc>
        <w:tc>
          <w:tcPr>
            <w:tcW w:w="1320" w:type="dxa"/>
            <w:vAlign w:val="bottom"/>
          </w:tcPr>
          <w:p>
            <w:pPr>
              <w:spacing w:after="0"/>
              <w:rPr>
                <w:sz w:val="24"/>
                <w:szCs w:val="2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4,099,717</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355,674</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983,564</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(F.4.,6.,11.)</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5,438,955</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4"/>
                <w:szCs w:val="24"/>
                <w:color w:val="auto"/>
              </w:rPr>
            </w:pP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$6,762,984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$1,009,357</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$753,558</w:t>
            </w:r>
          </w:p>
        </w:tc>
        <w:tc>
          <w:tcPr>
            <w:tcW w:w="1360" w:type="dxa"/>
            <w:vAlign w:val="bottom"/>
          </w:tcPr>
          <w:p>
            <w:pPr>
              <w:spacing w:after="0"/>
              <w:rPr>
                <w:sz w:val="24"/>
                <w:szCs w:val="2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$8,525,899</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(DEFICIENCY) EQUITY</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$477,725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$395,087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($14,157)</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(F.7.,10.,11.)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$858,655</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182,913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3,158</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186,071</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660,638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398,245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(14,157)</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1,044,726</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4,810,541</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6,599</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1,180,000</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(F.5.)</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5,997,140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1,390,849</w:t>
            </w:r>
          </w:p>
        </w:tc>
        <w:tc>
          <w:tcPr>
            <w:tcW w:w="1440" w:type="dxa"/>
            <w:vAlign w:val="bottom"/>
          </w:tcPr>
          <w:p>
            <w:pPr>
              <w:spacing w:after="0"/>
              <w:rPr>
                <w:sz w:val="24"/>
                <w:szCs w:val="2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34,358</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(F.3.,6.,10.)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1,425,207</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627,745</w:t>
            </w:r>
          </w:p>
        </w:tc>
        <w:tc>
          <w:tcPr>
            <w:tcW w:w="1440" w:type="dxa"/>
            <w:vAlign w:val="bottom"/>
          </w:tcPr>
          <w:p>
            <w:pPr>
              <w:spacing w:after="0"/>
              <w:rPr>
                <w:sz w:val="24"/>
                <w:szCs w:val="2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66,373</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(F.8.,11.)</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694,118</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239,037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239,037</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148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(F.9.)</w:t>
            </w:r>
          </w:p>
        </w:tc>
        <w:tc>
          <w:tcPr>
            <w:tcW w:w="1320" w:type="dxa"/>
            <w:vAlign w:val="bottom"/>
          </w:tcPr>
          <w:p>
            <w:pPr>
              <w:spacing w:after="0"/>
              <w:rPr>
                <w:sz w:val="14"/>
                <w:szCs w:val="1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875,501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451,659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(451,659)</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875,501</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deficit) retained earnings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(1,827,647)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152,193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(60,696)</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(F.9.,10.)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(1,736,150)</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Unrealized gains on marketable securities</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3,862</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3,862</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(17,542)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(17,542)</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(Deficiency) Equity</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(726,789)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604,513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(513,016)</w:t>
            </w:r>
          </w:p>
        </w:tc>
        <w:tc>
          <w:tcPr>
            <w:tcW w:w="13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(635,292)</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$6,762,984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$1,009,357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$753,558</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$8,525,899</w:t>
            </w:r>
          </w:p>
        </w:tc>
      </w:tr>
      <w:tr>
        <w:trPr>
          <w:trHeight w:val="168"/>
        </w:trPr>
        <w:tc>
          <w:tcPr>
            <w:tcW w:w="378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860"/>
          </w:cols>
          <w:pgMar w:left="220" w:top="617" w:right="819" w:bottom="1440" w:gutter="0" w:footer="0" w:header="0"/>
        </w:sectPr>
      </w:pPr>
    </w:p>
    <w:bookmarkStart w:id="8" w:name="page9"/>
    <w:bookmarkEnd w:id="8"/>
    <w:p>
      <w:pPr>
        <w:jc w:val="center"/>
        <w:ind w:right="4380"/>
        <w:spacing w:after="0"/>
        <w:rPr>
          <w:sz w:val="20"/>
          <w:szCs w:val="20"/>
          <w:color w:val="auto"/>
        </w:rPr>
      </w:pPr>
      <w:r>
        <w:rPr>
          <w:rFonts w:ascii="Courier New" w:cs="Courier New" w:eastAsia="Courier New" w:hAnsi="Courier New"/>
          <w:sz w:val="15"/>
          <w:szCs w:val="15"/>
          <w:color w:val="auto"/>
        </w:rPr>
        <w:t>COMCAST CORPORATION</w:t>
      </w:r>
    </w:p>
    <w:p>
      <w:pPr>
        <w:jc w:val="center"/>
        <w:ind w:right="446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jc w:val="center"/>
        <w:ind w:right="4460"/>
        <w:spacing w:after="0" w:line="238" w:lineRule="auto"/>
        <w:rPr>
          <w:sz w:val="20"/>
          <w:szCs w:val="20"/>
          <w:color w:val="auto"/>
        </w:rPr>
      </w:pPr>
      <w:r>
        <w:rPr>
          <w:rFonts w:ascii="Courier New" w:cs="Courier New" w:eastAsia="Courier New" w:hAnsi="Courier New"/>
          <w:sz w:val="15"/>
          <w:szCs w:val="15"/>
          <w:color w:val="auto"/>
        </w:rPr>
        <w:t>YEAR ENDED DECEMBER 31, 1994</w:t>
      </w:r>
    </w:p>
    <w:tbl>
      <w:tblPr>
        <w:tblLayout w:type="fixed"/>
        <w:tblInd w:w="0" w:type="dxa"/>
        <w:tblCellMar>
          <w:top w:w="0" w:type="dxa"/>
          <w:left w:w="0" w:type="dxa"/>
          <w:bottom w:w="0" w:type="dxa"/>
          <w:right w:w="0" w:type="dxa"/>
        </w:tblCellMar>
      </w:tblPr>
      <w:tr>
        <w:trPr>
          <w:trHeight w:val="168"/>
        </w:trPr>
        <w:tc>
          <w:tcPr>
            <w:tcW w:w="5440" w:type="dxa"/>
            <w:vAlign w:val="bottom"/>
            <w:gridSpan w:val="3"/>
          </w:tcPr>
          <w:p>
            <w:pPr>
              <w:ind w:left="1500"/>
              <w:spacing w:after="0" w:line="168" w:lineRule="exact"/>
              <w:rPr>
                <w:sz w:val="20"/>
                <w:szCs w:val="20"/>
                <w:color w:val="auto"/>
              </w:rPr>
            </w:pPr>
            <w:r>
              <w:rPr>
                <w:rFonts w:ascii="Courier New" w:cs="Courier New" w:eastAsia="Courier New" w:hAnsi="Courier New"/>
                <w:sz w:val="15"/>
                <w:szCs w:val="15"/>
                <w:color w:val="auto"/>
                <w:w w:val="96"/>
              </w:rPr>
              <w:t>(AMOUNTS IN THOUSANDS, EXCEPT PER SHARE DATA)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3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(B)</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Maclean</w:t>
            </w:r>
          </w:p>
        </w:tc>
        <w:tc>
          <w:tcPr>
            <w:tcW w:w="740" w:type="dxa"/>
            <w:vAlign w:val="bottom"/>
          </w:tcPr>
          <w:p>
            <w:pPr>
              <w:spacing w:after="0"/>
              <w:rPr>
                <w:sz w:val="24"/>
                <w:szCs w:val="2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The Company</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w:t>
            </w:r>
          </w:p>
        </w:tc>
      </w:tr>
      <w:tr>
        <w:trPr>
          <w:trHeight w:val="168"/>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Maclean</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Hunter</w:t>
            </w:r>
          </w:p>
        </w:tc>
        <w:tc>
          <w:tcPr>
            <w:tcW w:w="7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The Company</w:t>
            </w:r>
          </w:p>
        </w:tc>
        <w:tc>
          <w:tcPr>
            <w:tcW w:w="360" w:type="dxa"/>
            <w:vAlign w:val="bottom"/>
          </w:tcPr>
          <w:p>
            <w:pPr>
              <w:spacing w:after="0"/>
              <w:rPr>
                <w:sz w:val="14"/>
                <w:szCs w:val="14"/>
                <w:color w:val="auto"/>
              </w:rPr>
            </w:pP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Hunter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7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with Maclean</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QVC</w:t>
            </w: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Historical</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74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Hunter</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Historical</w:t>
            </w: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1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$1,375,304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$258,316</w:t>
            </w: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$1,633,620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$1,336,674</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799,048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152,237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947,037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1,138,244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336,462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36,437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131,693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504,592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44,862</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1,135,510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188,674</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127,445</w:t>
            </w:r>
          </w:p>
        </w:tc>
        <w:tc>
          <w:tcPr>
            <w:tcW w:w="740" w:type="dxa"/>
            <w:vAlign w:val="bottom"/>
          </w:tcPr>
          <w:p>
            <w:pPr>
              <w:spacing w:after="0"/>
              <w:rPr>
                <w:sz w:val="24"/>
                <w:szCs w:val="2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1,451,629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1,183,106</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239,794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69,642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(127,445)</w:t>
            </w:r>
          </w:p>
        </w:tc>
        <w:tc>
          <w:tcPr>
            <w:tcW w:w="7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181,991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153,568</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313,477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64,312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385,399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1,394</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(24,606)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(4,497)</w:t>
            </w: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(29,103)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(15,500)</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40,884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40,884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36,562</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(5,402)</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(39,091)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(C.4.)</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(39,456)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34,800</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324,353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8,150</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25,221</w:t>
            </w:r>
          </w:p>
        </w:tc>
        <w:tc>
          <w:tcPr>
            <w:tcW w:w="740" w:type="dxa"/>
            <w:vAlign w:val="bottom"/>
          </w:tcPr>
          <w:p>
            <w:pPr>
              <w:spacing w:after="0"/>
              <w:rPr>
                <w:sz w:val="24"/>
                <w:szCs w:val="2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357,724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57,256</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 (Benefit)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(84,559)</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61,492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(152,666)</w:t>
            </w:r>
          </w:p>
        </w:tc>
        <w:tc>
          <w:tcPr>
            <w:tcW w:w="740" w:type="dxa"/>
            <w:vAlign w:val="bottom"/>
          </w:tcPr>
          <w:p>
            <w:pPr>
              <w:spacing w:after="0"/>
              <w:rPr>
                <w:sz w:val="24"/>
                <w:szCs w:val="2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(175,733)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96,312</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(9,234)</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25,943</w:t>
            </w:r>
          </w:p>
        </w:tc>
        <w:tc>
          <w:tcPr>
            <w:tcW w:w="2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(69,150) (C.5.)</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(52,441)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55,210</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($75,325)</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$35,549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($83,516)</w:t>
            </w:r>
          </w:p>
        </w:tc>
        <w:tc>
          <w:tcPr>
            <w:tcW w:w="740" w:type="dxa"/>
            <w:vAlign w:val="bottom"/>
          </w:tcPr>
          <w:p>
            <w:pPr>
              <w:spacing w:after="0"/>
              <w:rPr>
                <w:sz w:val="24"/>
                <w:szCs w:val="2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($123,292)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$41,102</w:t>
            </w: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($0.32)</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($0.52)</w:t>
            </w: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Common Shares Outstanding During the Period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236,262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236,262</w:t>
            </w: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The Company</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QVC</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Pro Forma</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with Maclean</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Hunter &amp; QVC</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($7,495) (F.12.)</w:t>
            </w:r>
          </w:p>
        </w:tc>
        <w:tc>
          <w:tcPr>
            <w:tcW w:w="21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$2,962,799</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(7,495)</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(F.12.)</w:t>
            </w:r>
          </w:p>
        </w:tc>
        <w:tc>
          <w:tcPr>
            <w:tcW w:w="214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2,077,786</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39,998</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(F.13.)</w:t>
            </w:r>
          </w:p>
        </w:tc>
        <w:tc>
          <w:tcPr>
            <w:tcW w:w="214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589,452</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4"/>
                <w:szCs w:val="24"/>
                <w:color w:val="auto"/>
              </w:rPr>
            </w:pPr>
          </w:p>
        </w:tc>
        <w:tc>
          <w:tcPr>
            <w:tcW w:w="11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6"/>
              </w:rPr>
              <w:t>32,503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2,667,238</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(39,998)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295,561</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97,444</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(F.14.)</w:t>
            </w:r>
          </w:p>
        </w:tc>
        <w:tc>
          <w:tcPr>
            <w:tcW w:w="214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484,237</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3,956</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(F.15.)</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(40,647)</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11,187</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(F.16.)</w:t>
            </w:r>
          </w:p>
        </w:tc>
        <w:tc>
          <w:tcPr>
            <w:tcW w:w="78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2"/>
              </w:rPr>
              <w:t>88,633</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(20,732)</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(F.17.)</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(25,388)</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4"/>
                <w:szCs w:val="24"/>
                <w:color w:val="auto"/>
              </w:rPr>
            </w:pPr>
          </w:p>
        </w:tc>
        <w:tc>
          <w:tcPr>
            <w:tcW w:w="11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6"/>
              </w:rPr>
              <w:t>91,855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506,835</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 (Benefit)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(131,853)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(211,274)</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1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(50,460)</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(F.18.)</w:t>
            </w:r>
          </w:p>
        </w:tc>
        <w:tc>
          <w:tcPr>
            <w:tcW w:w="2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(47,691)</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($81,393)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($163,583)</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($0.69)</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Common Shares Outstanding During the Period</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236,262</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ectPr>
          <w:pgSz w:w="11900" w:h="16838" w:orient="portrait"/>
          <w:cols w:equalWidth="0" w:num="1">
            <w:col w:w="11300"/>
          </w:cols>
          <w:pgMar w:left="220" w:top="617" w:right="379" w:bottom="12"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ectPr>
          <w:pgSz w:w="11900" w:h="16838" w:orient="portrait"/>
          <w:cols w:equalWidth="0" w:num="1">
            <w:col w:w="10239"/>
          </w:cols>
          <w:pgMar w:left="220" w:top="141" w:right="1440" w:bottom="1440" w:gutter="0" w:footer="0" w:header="0"/>
        </w:sectPr>
      </w:pP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141" w:right="1440" w:bottom="1440" w:gutter="0" w:footer="0" w:header="0"/>
          <w:type w:val="continuous"/>
        </w:sectPr>
      </w:pPr>
    </w:p>
    <w:bookmarkStart w:id="10" w:name="page11"/>
    <w:bookmarkEnd w:id="10"/>
    <w:p>
      <w:pPr>
        <w:jc w:val="center"/>
        <w:ind w:right="3319"/>
        <w:spacing w:after="0"/>
        <w:rPr>
          <w:sz w:val="20"/>
          <w:szCs w:val="20"/>
          <w:color w:val="auto"/>
        </w:rPr>
      </w:pPr>
      <w:r>
        <w:rPr>
          <w:rFonts w:ascii="Courier New" w:cs="Courier New" w:eastAsia="Courier New" w:hAnsi="Courier New"/>
          <w:sz w:val="15"/>
          <w:szCs w:val="15"/>
          <w:color w:val="auto"/>
        </w:rPr>
        <w:t>NOTES TO UNAUDITED PRO FORMA CONDENSED CONSOLIDATED</w:t>
      </w:r>
    </w:p>
    <w:p>
      <w:pPr>
        <w:jc w:val="center"/>
        <w:ind w:right="339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38" w:lineRule="auto"/>
        <w:rPr>
          <w:sz w:val="20"/>
          <w:szCs w:val="20"/>
          <w:color w:val="auto"/>
        </w:rPr>
      </w:pPr>
      <w:r>
        <w:rPr>
          <w:rFonts w:ascii="Courier New" w:cs="Courier New" w:eastAsia="Courier New" w:hAnsi="Courier New"/>
          <w:sz w:val="15"/>
          <w:szCs w:val="15"/>
          <w:color w:val="auto"/>
        </w:rPr>
        <w:t>MACLEAN HUNTER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December 22, 1994, Comcast Corporation (the "Company"), through Comcast MHCP Holdings, L.L.C. (the "LLC"), acquired the U.S. cable television and alternate access operations of Maclean Hunter Limited ("Maclean Hunter") from Rogers Communications Inc. ("RCI") and all of the outstanding shares of Barden Communications, Inc. ("BCI," and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and BCI are consolidated with the Company as of December 31, 1994.</w:t>
      </w:r>
    </w:p>
    <w:p>
      <w:pPr>
        <w:spacing w:after="0" w:line="344"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allocation of the purchase price to the assets and liabilities of Maclean Hunter is preliminary pending, among other things,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15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Maclean Hunter, Inc. had historically operated a periodical publishing business and had been the holding company for all of Maclean Hunter Limited's other U.S. operations, which included cable television, business forms and periodical publishing. Prior to the Maclean Hunter Acquisition,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11" w:name="page12"/>
    <w:bookmarkEnd w:id="11"/>
    <w:p>
      <w:pPr>
        <w:ind w:left="430" w:right="3499"/>
        <w:spacing w:after="0" w:line="235" w:lineRule="auto"/>
        <w:rPr>
          <w:sz w:val="20"/>
          <w:szCs w:val="20"/>
          <w:color w:val="auto"/>
        </w:rPr>
      </w:pPr>
      <w:r>
        <w:rPr>
          <w:rFonts w:ascii="Courier New" w:cs="Courier New" w:eastAsia="Courier New" w:hAnsi="Courier New"/>
          <w:sz w:val="15"/>
          <w:szCs w:val="15"/>
          <w:color w:val="auto"/>
        </w:rPr>
        <w:t>the non-cable television and non-alternate access businesses of Maclean Hunter, Inc. were distributed to RCI. Accordingly, when the LLC acquired the shares of Maclean Hunter, Inc., it only purchased the U.S. cable television and alternate access businesses.</w:t>
      </w:r>
    </w:p>
    <w:p>
      <w:pPr>
        <w:spacing w:after="0" w:line="17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historical consolidated and combined statement of operations of Maclean Hunter included in the unaudited pro forma condensed consolidated statement of operations represents the results of operations of the entities the LLC acquired in the Maclean Hunter Acquisition and exclude the results of operations of the non-cable television and non-alternate access operations of Maclean Hunter.</w:t>
      </w:r>
    </w:p>
    <w:p>
      <w:pPr>
        <w:spacing w:after="0" w:line="168" w:lineRule="exact"/>
        <w:rPr>
          <w:sz w:val="20"/>
          <w:szCs w:val="20"/>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to the unaudited pro forma condensed consolidated statement of operations have been made to reflect the Maclean Hunter Acquisition:</w:t>
      </w:r>
    </w:p>
    <w:p>
      <w:pPr>
        <w:spacing w:after="0" w:line="173" w:lineRule="exact"/>
        <w:rPr>
          <w:rFonts w:ascii="Courier New" w:cs="Courier New" w:eastAsia="Courier New" w:hAnsi="Courier New"/>
          <w:sz w:val="15"/>
          <w:szCs w:val="15"/>
          <w:color w:val="auto"/>
        </w:rPr>
      </w:pPr>
    </w:p>
    <w:p>
      <w:pPr>
        <w:ind w:left="870" w:right="3399" w:hanging="433"/>
        <w:spacing w:after="0" w:line="261" w:lineRule="auto"/>
        <w:tabs>
          <w:tab w:leader="none" w:pos="87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Principally represents the elimination of historical management fees paid by Maclean Hunter prior to the Maclean Hunter Acquisition.</w:t>
      </w:r>
    </w:p>
    <w:p>
      <w:pPr>
        <w:spacing w:after="0" w:line="159" w:lineRule="exact"/>
        <w:rPr>
          <w:rFonts w:ascii="Courier New" w:cs="Courier New" w:eastAsia="Courier New" w:hAnsi="Courier New"/>
          <w:sz w:val="14"/>
          <w:szCs w:val="14"/>
          <w:color w:val="auto"/>
        </w:rPr>
      </w:pPr>
    </w:p>
    <w:p>
      <w:pPr>
        <w:ind w:left="870" w:right="3239" w:hanging="433"/>
        <w:spacing w:after="0" w:line="255" w:lineRule="auto"/>
        <w:tabs>
          <w:tab w:leader="none" w:pos="87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additional depreciation and amortization expense resulting from the increased fair market value of the assets acquired in excess of their historical book values and amortization of goodwill recorded under Statement of Financial Accounting Standards No. 109, "Accounting for Income Taxes" ("SFAS 109"), offset, in part, by the elimination of Maclean Hunter's historical goodwill amortization. Depreciation expense is based on property and equipment lives ranging from 2 to 20 years. Amortization expense is based on an average life for deferred charges (principally franchise and license acquisition costs) and goodwill recorded under SFAS 109 of 12 years and 20 years, respectively. Debt issuance costs are amortized over the term of the related debt.</w:t>
      </w:r>
    </w:p>
    <w:p>
      <w:pPr>
        <w:spacing w:after="0" w:line="332" w:lineRule="exact"/>
        <w:rPr>
          <w:rFonts w:ascii="Courier New" w:cs="Courier New" w:eastAsia="Courier New" w:hAnsi="Courier New"/>
          <w:sz w:val="14"/>
          <w:szCs w:val="14"/>
          <w:color w:val="auto"/>
        </w:rPr>
      </w:pPr>
    </w:p>
    <w:p>
      <w:pPr>
        <w:ind w:left="870" w:right="3399" w:hanging="433"/>
        <w:spacing w:after="0" w:line="256" w:lineRule="auto"/>
        <w:tabs>
          <w:tab w:leader="none" w:pos="87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increase in interest expense due to the incurrence of additional long-term indebtedness in connection with the Maclean Hunter Acquisition, at a weighted average interest rate of 7.31%, offset, in part, by the elimination of Maclean Hunter's historical interest expense on balances due to affiliates and long-term debt.</w:t>
      </w:r>
    </w:p>
    <w:p>
      <w:pPr>
        <w:spacing w:after="0" w:line="163" w:lineRule="exact"/>
        <w:rPr>
          <w:rFonts w:ascii="Courier New" w:cs="Courier New" w:eastAsia="Courier New" w:hAnsi="Courier New"/>
          <w:sz w:val="14"/>
          <w:szCs w:val="14"/>
          <w:color w:val="auto"/>
        </w:rPr>
      </w:pPr>
    </w:p>
    <w:p>
      <w:pPr>
        <w:ind w:left="870" w:right="3399" w:hanging="433"/>
        <w:spacing w:after="0" w:line="235" w:lineRule="auto"/>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minority interest resulting from CalPERS' 45% interest in the LLC, net of tax, and the elimination of minority interests acquired in the Maclean Hunter Acquisition.</w:t>
      </w:r>
    </w:p>
    <w:p>
      <w:pPr>
        <w:spacing w:after="0" w:line="167"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adjustments to the tax provision</w:t>
      </w:r>
    </w:p>
    <w:p>
      <w:pPr>
        <w:spacing w:after="0" w:line="16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9"/>
          </w:cols>
          <w:pgMar w:left="230" w:top="624" w:right="1440" w:bottom="1440" w:gutter="0" w:footer="0" w:header="0"/>
        </w:sectPr>
      </w:pPr>
    </w:p>
    <w:bookmarkStart w:id="12" w:name="page13"/>
    <w:bookmarkEnd w:id="12"/>
    <w:p>
      <w:pPr>
        <w:ind w:left="880"/>
        <w:spacing w:after="0"/>
        <w:rPr>
          <w:sz w:val="20"/>
          <w:szCs w:val="20"/>
          <w:color w:val="auto"/>
        </w:rPr>
      </w:pPr>
      <w:r>
        <w:rPr>
          <w:rFonts w:ascii="Courier New" w:cs="Courier New" w:eastAsia="Courier New" w:hAnsi="Courier New"/>
          <w:sz w:val="15"/>
          <w:szCs w:val="15"/>
          <w:color w:val="auto"/>
        </w:rPr>
        <w:t>resulting from the above pro forma adjustments.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As a result of a tender offer which expired on February 9, 1995 and a second-step merger (the "Merger") which closed February 15, 1995, Comcast Corporation (the "Company") and Tele-Communications, Inc. ("TCI") acquired all of the outstanding stock of QVC, Inc. ("QVC") for $46, in cash, per share of common stock (or common stock equivalent) of QVC (the"QVC Acquisition"). The total net cost of acquiring the outstanding stock of QVC not previously owned by the Company and TCI was approximately $1.4 billion. Following the Merger, the Company and TCI own, through their respective wholly-owned subsidiaries, approximately 57.45% and 42.55%, respectively, of QVC. The Company has accounted for the QVC acquisition under the purchase method of accounting.</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approximately $296.3 million and $6.6 million, respectively, borrowings of approximately $1.1 billion under a $1.2 billion QVC credit facility (the "QVC Credit Facility") and existing cash and cash equivalents held by QVC. The QVC Credit Facility is among QVC, The Bank of New York Company, Inc., Barclays Bank PLC, Chemical Bank, NationsBank, N.A. (Carolinas) and the Toronto-Dominion Bank, as Managing Agents, The Bank of New York, as Administrative Agent, and several other banks.</w:t>
      </w:r>
    </w:p>
    <w:p>
      <w:pPr>
        <w:spacing w:after="0" w:line="178"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QVC is a nationwide general merchandise retailer, operating as one of the leading televised shopping retailers in the United States.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day-to-day operations of QVC will, except in certain limited circumstances, be managed by the Company, which will have the right to appoint all of the members of the QVC board of directors and a majority of the members of a management committee. Liberty Media Corporation ("Liberty"), a wholly-owned subsidiary of TCI, will have the right to approve certain limited extraordinary transactions or actions by QVC and will have the right to participate in certain management decisions through minority representation on the management committee.</w:t>
      </w:r>
    </w:p>
    <w:p>
      <w:pPr>
        <w:spacing w:after="0" w:line="177"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With certain exceptions, direct or indirect transfers to unaffiliated third parties by the Company or Liberty of any stock in QVC are subject to a right of first refusal (or similar right) in favor of the other. In addition, prior to February 9, 2000, direct or indirect transfers of any interest in QVC are restricted; however, the Company may, among other things, sell an indirect minority interest in its QVC stock and, subject to the right of Liberty to participate on equal terms, sell to an unaffiliated third party all of its stock in QVC. A change in control of either the Company or Liberty will not trigger any right of the other to purchase the QVC stock held by the party who is subject to such change of control.</w:t>
      </w:r>
    </w:p>
    <w:p>
      <w:pPr>
        <w:spacing w:after="0" w:line="179"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With certain exceptions, Liberty may, at any time during the 60-day period following February 9, 2000 (or if not previously exercised, at any time during the 60-day period following each of the four anniversaries thereof), trigger the exercise of certain exit rights. If the exit rights are triggered, the Company first has the right to purchase Liberty's stock in QVC at a price equal to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If the Company elects not to purchase the shares of QVC held by Liberty, then Liberty will have the right to purchase the shares of QVC held by the Company on the same terms on which Liberty's shares of QVC were offered to the Company. If Liberty elects not to purchase the shares of QVC held by the Company, then Liberty and the Company will use their best efforts to sell QVC in a sale in which Liberty, the Company or any of their respective affiliates may be purchasers.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13" w:name="page14"/>
    <w:bookmarkEnd w:id="13"/>
    <w:p>
      <w:pPr>
        <w:ind w:left="430" w:right="3239"/>
        <w:spacing w:after="0" w:line="236" w:lineRule="auto"/>
        <w:rPr>
          <w:sz w:val="20"/>
          <w:szCs w:val="20"/>
          <w:color w:val="auto"/>
        </w:rPr>
      </w:pPr>
      <w:r>
        <w:rPr>
          <w:rFonts w:ascii="Courier New" w:cs="Courier New" w:eastAsia="Courier New" w:hAnsi="Courier New"/>
          <w:sz w:val="15"/>
          <w:szCs w:val="15"/>
          <w:color w:val="auto"/>
        </w:rPr>
        <w:t>On January 26, 1995, the Company exchanged its interest in Heritage Communications, Inc. ("Heritage") with TCI for Class A common shares of TCI with a fair market value of approximately $290.0 million (the "TCI Shares"). Shortly thereafter, the Company sold certain of the TCI Shares for total proceeds of approximately $188.1 million (collectively, these transactions are referred to as the "Heritage Transactions"). As a result of the Heritage Transactions, the Company recognized a pre-tax gain of $141.0 million in the first quarter of 1995.</w:t>
      </w:r>
    </w:p>
    <w:p>
      <w:pPr>
        <w:spacing w:after="0" w:line="177"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Transactions, along with a borrowing of $80.0 million under a subsidiary's existing credit facility.</w:t>
      </w:r>
    </w:p>
    <w:p>
      <w:pPr>
        <w:spacing w:after="0" w:line="169" w:lineRule="exact"/>
        <w:rPr>
          <w:sz w:val="20"/>
          <w:szCs w:val="20"/>
          <w:color w:val="auto"/>
        </w:rPr>
      </w:pPr>
    </w:p>
    <w:p>
      <w:pPr>
        <w:ind w:left="430" w:hanging="430"/>
        <w:spacing w:after="0"/>
        <w:tabs>
          <w:tab w:leader="none" w:pos="4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QVC's fiscal year ends on January 31. Accordingly, the historical financial position and results of operations of QVC presented in the unaudited pro forma condensed consolidated financial statements are presented two months in arrears. The historical balance sheet of QVC included in the unaudited pro forma condensed consolidated balance sheet is as of October 31, 1994. The unaudited pro forma condensed consolidated statement of operations for the year ended December 31, 1994 includes QVC's historical results of operations for the twelve months ended October 31, 1994.</w:t>
      </w:r>
    </w:p>
    <w:p>
      <w:pPr>
        <w:spacing w:after="0" w:line="17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QVC Acquisition:</w:t>
      </w:r>
    </w:p>
    <w:p>
      <w:pPr>
        <w:spacing w:after="0" w:line="174" w:lineRule="exact"/>
        <w:rPr>
          <w:sz w:val="20"/>
          <w:szCs w:val="20"/>
          <w:color w:val="auto"/>
        </w:rPr>
      </w:pPr>
    </w:p>
    <w:p>
      <w:pPr>
        <w:ind w:left="870" w:right="3239" w:hanging="433"/>
        <w:spacing w:after="0" w:line="236" w:lineRule="auto"/>
        <w:tabs>
          <w:tab w:leader="none" w:pos="8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change in cash, cash equivalents and short-term investments resulting from the net cash requirements for the QVC Acquisition ($1.4 billion), net of the proceeds from QVC's long-term borrowings ($1.1 billion), TCI's cash contribution ($6.6 million), and the borrowing under an existing credit facility of a subsidiary of the Company ($80.0 million).</w:t>
      </w:r>
    </w:p>
    <w:p>
      <w:pPr>
        <w:spacing w:after="0" w:line="174" w:lineRule="exact"/>
        <w:rPr>
          <w:rFonts w:ascii="Courier New" w:cs="Courier New" w:eastAsia="Courier New" w:hAnsi="Courier New"/>
          <w:sz w:val="15"/>
          <w:szCs w:val="15"/>
          <w:color w:val="auto"/>
        </w:rPr>
      </w:pPr>
    </w:p>
    <w:p>
      <w:pPr>
        <w:ind w:left="870" w:right="3239" w:hanging="433"/>
        <w:spacing w:after="0" w:line="234" w:lineRule="auto"/>
        <w:tabs>
          <w:tab w:leader="none" w:pos="8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net investment in QVC's common stock ($81.7 million).</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9"/>
          </w:cols>
          <w:pgMar w:left="230" w:top="792" w:right="1440" w:bottom="1440" w:gutter="0" w:footer="0" w:header="0"/>
        </w:sectPr>
      </w:pPr>
    </w:p>
    <w:bookmarkStart w:id="14" w:name="page15"/>
    <w:bookmarkEnd w:id="14"/>
    <w:p>
      <w:pPr>
        <w:ind w:left="880" w:right="357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of QVC's historical long-term deferred income tax assets to long-term deferred income tax liabilities.</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the QVC purchase price to deferred charges ($955.6 million), principally goodwill and cable television distribution rights. The purchase price allocation is subject to adjustment upon receipt by the Company of an independent appraisal of QVC.</w:t>
      </w:r>
    </w:p>
    <w:p>
      <w:pPr>
        <w:spacing w:after="0" w:line="175"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Incurrence of additional long-term indebtedness under a QVC credit facility ($1.1 billion) and an existing credit facility of a subsidiary of the Company ($80.0 million).</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the difference in the book and tax bases of the QVC assets acquired, under the provisions of SFAS 109 ($32.0 million).</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QVC's current income tax benefit ($40.4 million) resulting from the buyout of employee stock options in connection with the QVC Acquisition.</w:t>
      </w:r>
    </w:p>
    <w:p>
      <w:pPr>
        <w:spacing w:after="0" w:line="173" w:lineRule="exact"/>
        <w:rPr>
          <w:rFonts w:ascii="Courier New" w:cs="Courier New" w:eastAsia="Courier New" w:hAnsi="Courier New"/>
          <w:sz w:val="15"/>
          <w:szCs w:val="15"/>
          <w:color w:val="auto"/>
        </w:rPr>
      </w:pPr>
    </w:p>
    <w:p>
      <w:pPr>
        <w:ind w:left="880" w:right="3499" w:hanging="433"/>
        <w:spacing w:after="0" w:line="261"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minority interest related to TCI's cash and stock contributions (recorded at TCI's historical basis) ($70.9 million).</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QVC's historical equity.</w:t>
      </w:r>
    </w:p>
    <w:p>
      <w:pPr>
        <w:spacing w:after="0" w:line="172"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effects of the Heritage Transactions, which included an increase in cash ($188.1 million), a net decrease in investments, principally in affiliates ($47.1 million), an increase in current income taxes payable ($26.8 million), an increase in deferred income taxes ($22.7 million) and a net decrease in accumulated deficit ($91.5 million).</w:t>
      </w:r>
    </w:p>
    <w:p>
      <w:pPr>
        <w:spacing w:after="0" w:line="174"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certain receivables and liabilities between the Company and QVC.</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following adjustments to the unaudited pro forma condensed consolidated statement of operations have been made to reflect the QVC Acquisition:</w:t>
      </w:r>
    </w:p>
    <w:p>
      <w:pPr>
        <w:spacing w:after="0" w:line="160" w:lineRule="exact"/>
        <w:rPr>
          <w:sz w:val="20"/>
          <w:szCs w:val="20"/>
          <w:color w:val="auto"/>
        </w:rPr>
      </w:pPr>
    </w:p>
    <w:p>
      <w:pPr>
        <w:ind w:left="880" w:right="349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 and Maclean Hunter.</w:t>
      </w:r>
    </w:p>
    <w:p>
      <w:pPr>
        <w:spacing w:after="0" w:line="173" w:lineRule="exact"/>
        <w:rPr>
          <w:rFonts w:ascii="Courier New" w:cs="Courier New" w:eastAsia="Courier New" w:hAnsi="Courier New"/>
          <w:sz w:val="15"/>
          <w:szCs w:val="15"/>
          <w:color w:val="auto"/>
        </w:rPr>
      </w:pPr>
    </w:p>
    <w:p>
      <w:pPr>
        <w:ind w:left="880" w:right="3319" w:hanging="433"/>
        <w:spacing w:after="0" w:line="256"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additional amortization expense resulting from the increased fair market value of the assets acquired in excess of their historical book values and amortization of goodwill. Amortization expense assumes an average life of 30 years for goodwill and 10 years for cable television distribution rights. Debt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24" w:right="1440" w:bottom="1440" w:gutter="0" w:footer="0" w:header="0"/>
        </w:sectPr>
      </w:pPr>
    </w:p>
    <w:bookmarkStart w:id="15" w:name="page16"/>
    <w:bookmarkEnd w:id="15"/>
    <w:p>
      <w:pPr>
        <w:ind w:left="433"/>
        <w:spacing w:after="0"/>
        <w:rPr>
          <w:sz w:val="20"/>
          <w:szCs w:val="20"/>
          <w:color w:val="auto"/>
        </w:rPr>
      </w:pPr>
      <w:r>
        <w:rPr>
          <w:rFonts w:ascii="Courier New" w:cs="Courier New" w:eastAsia="Courier New" w:hAnsi="Courier New"/>
          <w:sz w:val="15"/>
          <w:szCs w:val="15"/>
          <w:color w:val="auto"/>
        </w:rPr>
        <w:t>issuance costs are amortized over the term of the related debt.</w:t>
      </w:r>
    </w:p>
    <w:p>
      <w:pPr>
        <w:spacing w:after="0" w:line="173" w:lineRule="exact"/>
        <w:rPr>
          <w:sz w:val="20"/>
          <w:szCs w:val="20"/>
          <w:color w:val="auto"/>
        </w:rPr>
      </w:pPr>
    </w:p>
    <w:p>
      <w:pPr>
        <w:ind w:left="433" w:right="3239" w:hanging="433"/>
        <w:spacing w:after="0" w:line="235"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8.26%.</w:t>
      </w:r>
    </w:p>
    <w:p>
      <w:pPr>
        <w:spacing w:after="0" w:line="173" w:lineRule="exact"/>
        <w:rPr>
          <w:rFonts w:ascii="Courier New" w:cs="Courier New" w:eastAsia="Courier New" w:hAnsi="Courier New"/>
          <w:sz w:val="15"/>
          <w:szCs w:val="15"/>
          <w:color w:val="auto"/>
        </w:rPr>
      </w:pPr>
    </w:p>
    <w:p>
      <w:pPr>
        <w:ind w:left="433" w:right="3319" w:hanging="433"/>
        <w:spacing w:after="0" w:line="235"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Transactions.</w:t>
      </w:r>
    </w:p>
    <w:p>
      <w:pPr>
        <w:spacing w:after="0" w:line="173" w:lineRule="exact"/>
        <w:rPr>
          <w:rFonts w:ascii="Courier New" w:cs="Courier New" w:eastAsia="Courier New" w:hAnsi="Courier New"/>
          <w:sz w:val="15"/>
          <w:szCs w:val="15"/>
          <w:color w:val="auto"/>
        </w:rPr>
      </w:pPr>
    </w:p>
    <w:p>
      <w:pPr>
        <w:ind w:left="433" w:right="3239" w:hanging="433"/>
        <w:spacing w:after="0" w:line="235"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accounted for its investment in QVC under the equity method of accounting beginning January 1, 1994 and through the date of the QVC Acquisition.</w:t>
      </w:r>
    </w:p>
    <w:p>
      <w:pPr>
        <w:spacing w:after="0" w:line="175" w:lineRule="exact"/>
        <w:rPr>
          <w:rFonts w:ascii="Courier New" w:cs="Courier New" w:eastAsia="Courier New" w:hAnsi="Courier New"/>
          <w:sz w:val="15"/>
          <w:szCs w:val="15"/>
          <w:color w:val="auto"/>
        </w:rPr>
      </w:pPr>
    </w:p>
    <w:p>
      <w:pPr>
        <w:ind w:left="433" w:right="3319" w:hanging="433"/>
        <w:spacing w:after="0" w:line="234"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173" w:lineRule="exact"/>
        <w:rPr>
          <w:rFonts w:ascii="Courier New" w:cs="Courier New" w:eastAsia="Courier New" w:hAnsi="Courier New"/>
          <w:sz w:val="15"/>
          <w:szCs w:val="15"/>
          <w:color w:val="auto"/>
        </w:rPr>
      </w:pPr>
    </w:p>
    <w:p>
      <w:pPr>
        <w:ind w:left="433" w:right="3939" w:hanging="433"/>
        <w:spacing w:after="0" w:line="234" w:lineRule="auto"/>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adjustments to the tax provision resulting from the above pro forma adjustments.</w:t>
      </w:r>
    </w:p>
    <w:p>
      <w:pPr>
        <w:spacing w:after="0" w:line="16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92"/>
          </w:cols>
          <w:pgMar w:left="667"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Members</w:t>
      </w:r>
    </w:p>
    <w:p>
      <w:pPr>
        <w:spacing w:after="0" w:line="237" w:lineRule="auto"/>
        <w:rPr>
          <w:sz w:val="20"/>
          <w:szCs w:val="20"/>
          <w:color w:val="auto"/>
        </w:rPr>
      </w:pPr>
      <w:r>
        <w:rPr>
          <w:rFonts w:ascii="Courier New" w:cs="Courier New" w:eastAsia="Courier New" w:hAnsi="Courier New"/>
          <w:sz w:val="15"/>
          <w:szCs w:val="15"/>
          <w:color w:val="auto"/>
        </w:rPr>
        <w:t>Comcast MHCP Holdings, L.L.C.</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 of Comcast MHCP Holdings, L.L.C. (an indirect majority owned subsidiary of Comcast Corporation) and subsidiaries as of December 31, 1994, and the related consolidated and combined statements of operations and cash flows for the periods from January 1, 1994 to December 21, 1994 and December 22, 1994 to December 31, 1994, the combined statement of changes in net equity for the period from January 1, 1994 to December 21, 1994 and the consolidated statement of changes in members' equity for the period from December 22, 1994 to December 31, 1994.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our opinion, such consolidated and combined financial statements present fairly, in all material respects, the financial position of Comcast MHCP Holdings, L.L.C. and subsidiaries as of December 31, 1994, and the results of their operations and their cash flows for the periods stated above, in conformity with generally accepted accounting principles.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discussed in Notes 2 and 4 to the consolidated and combined financial statements, on December 22, 1994, the Company acquired the U.S. Cable Television Operations of Maclean Hunter, Inc. (the "Predecessor Corporation") and acquired all of the outstanding shares of Barden Communications, Inc., which resulted in the establishment of a new cost basis for the assets and liabilities of the acquired entities.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28, 1995, except for</w:t>
      </w:r>
    </w:p>
    <w:p>
      <w:pPr>
        <w:spacing w:after="0" w:line="238" w:lineRule="auto"/>
        <w:rPr>
          <w:sz w:val="20"/>
          <w:szCs w:val="20"/>
          <w:color w:val="auto"/>
        </w:rPr>
      </w:pPr>
      <w:r>
        <w:rPr>
          <w:rFonts w:ascii="Courier New" w:cs="Courier New" w:eastAsia="Courier New" w:hAnsi="Courier New"/>
          <w:sz w:val="15"/>
          <w:szCs w:val="15"/>
          <w:color w:val="auto"/>
        </w:rPr>
        <w:t>Note 7 as to which the date is</w:t>
      </w:r>
    </w:p>
    <w:p>
      <w:pPr>
        <w:spacing w:after="0" w:line="237" w:lineRule="auto"/>
        <w:rPr>
          <w:sz w:val="20"/>
          <w:szCs w:val="20"/>
          <w:color w:val="auto"/>
        </w:rPr>
      </w:pPr>
      <w:r>
        <w:rPr>
          <w:rFonts w:ascii="Courier New" w:cs="Courier New" w:eastAsia="Courier New" w:hAnsi="Courier New"/>
          <w:sz w:val="15"/>
          <w:szCs w:val="15"/>
          <w:color w:val="auto"/>
        </w:rPr>
        <w:t>April 20, 1995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AUDITORS' REPORT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Maclean Hunter, Inc.</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We have audited the combined balance sheet of the U.S. Cable Television Operations of Maclean Hunter, Inc. (the "Predecessor Corporation") as at December 31, 1993 and the combined statements of operations, changes in net equity and cash flows for each of the years in the two year period ended December 31, 1993.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our opinion, these combined financial statements present fairly, in all material respects, the financial position of the Predecessor Corporation as at December 31, 1993 and the results of its operations and the changes in its financial position for each of the years in the two year period ended December 31, 1993 in accordance with accounting principles generally accepted in the United States.</w:t>
      </w:r>
    </w:p>
    <w:p>
      <w:pPr>
        <w:spacing w:after="0" w:line="337"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Ernst &amp; Young</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5, 1994.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Chartered Accountants</w:t>
      </w:r>
    </w:p>
    <w:p>
      <w:pPr>
        <w:spacing w:after="0" w:line="200" w:lineRule="exact"/>
        <w:rPr>
          <w:sz w:val="20"/>
          <w:szCs w:val="20"/>
          <w:color w:val="auto"/>
        </w:rPr>
      </w:pPr>
    </w:p>
    <w:p>
      <w:pPr>
        <w:sectPr>
          <w:pgSz w:w="11900" w:h="16838" w:orient="portrait"/>
          <w:cols w:equalWidth="0" w:num="2">
            <w:col w:w="4020" w:space="720"/>
            <w:col w:w="5499"/>
          </w:cols>
          <w:pgMar w:left="220" w:top="617" w:right="1440" w:bottom="1440" w:gutter="0" w:footer="0" w:header="0"/>
          <w:type w:val="continuous"/>
        </w:sectPr>
      </w:pPr>
    </w:p>
    <w:p>
      <w:pPr>
        <w:spacing w:after="0" w:line="30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Comments by Auditors for U.S. Readers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on Canada-U.S. Reporting Difference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United States, reporting standards for auditors require the addition of an explanatory paragraph (following the opinion paragraph) when there are changes in accounting principles that have a material effect on the comparability of a company's financial statements, such as the change in method of accounting for income taxes as described in note 4 to the combined financial statements. The above opinion is expressed in accordance with Canadian reporting standards which do not require a reference to such a change in accounting principles in the auditors' report when the change is properly accounted for and adequately disclosed in the financial statements.</w:t>
      </w:r>
    </w:p>
    <w:p>
      <w:pPr>
        <w:spacing w:after="0" w:line="340"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Ernst &amp; Young</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5, 1994.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Chartered Accountants</w:t>
      </w:r>
    </w:p>
    <w:p>
      <w:pPr>
        <w:spacing w:after="0" w:line="200" w:lineRule="exact"/>
        <w:rPr>
          <w:sz w:val="20"/>
          <w:szCs w:val="20"/>
          <w:color w:val="auto"/>
        </w:rPr>
      </w:pPr>
    </w:p>
    <w:p>
      <w:pPr>
        <w:sectPr>
          <w:pgSz w:w="11900" w:h="16838" w:orient="portrait"/>
          <w:cols w:equalWidth="0" w:num="2">
            <w:col w:w="4020" w:space="720"/>
            <w:col w:w="5499"/>
          </w:cols>
          <w:pgMar w:left="220" w:top="617" w:right="1440" w:bottom="1440" w:gutter="0" w:footer="0" w:header="0"/>
          <w:type w:val="continuous"/>
        </w:sectPr>
      </w:pPr>
    </w:p>
    <w:p>
      <w:pPr>
        <w:spacing w:after="0" w:line="1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7"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AND COMBINED BALANCE SHEETS</w:t>
      </w:r>
    </w:p>
    <w:p>
      <w:pPr>
        <w:spacing w:after="0" w:line="237" w:lineRule="auto"/>
        <w:rPr>
          <w:sz w:val="20"/>
          <w:szCs w:val="20"/>
          <w:color w:val="auto"/>
        </w:rPr>
      </w:pPr>
      <w:r>
        <w:rPr>
          <w:rFonts w:ascii="Courier New" w:cs="Courier New" w:eastAsia="Courier New" w:hAnsi="Courier New"/>
          <w:sz w:val="15"/>
          <w:szCs w:val="15"/>
          <w:color w:val="auto"/>
        </w:rPr>
        <w:t>DECEMBER 31, 1994 AND 1993</w:t>
      </w:r>
    </w:p>
    <w:p>
      <w:pPr>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(Predecessor</w:t>
            </w: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Corporation)</w:t>
            </w: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7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1993</w:t>
            </w: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24,230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83,806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10,792</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of $1,806 and $2,012</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10,627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9,921</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charges and other</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3,072</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39,054</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107,591</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Principally in affiliates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167,005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393,156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(207,728)</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166,539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185,428</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38,949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AND GOODWILL, Net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1,649,221</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144,422</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$1,857,110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$ 476,559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52,070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29,849</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and other taxes payable</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36,609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affiliates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15,865</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7,043</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89,782</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58,933</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715,000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46,480</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3,741</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486,821</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42,311</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AFFILIATES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99,306</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MEMBERS'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Members' capital</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555,556</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(1,620)</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Members' Equity</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553,936</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EQUITY - PREDECESSOR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210,749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$1,857,110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$ 476,559</w:t>
            </w:r>
          </w:p>
        </w:tc>
      </w:tr>
      <w:tr>
        <w:trPr>
          <w:trHeight w:val="168"/>
        </w:trPr>
        <w:tc>
          <w:tcPr>
            <w:tcW w:w="45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AND COMBINED STATEMENTS OF OPERATIONS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w:t>
      </w:r>
    </w:p>
    <w:p>
      <w:pPr>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(Predecessor Corporation)</w:t>
            </w: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4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December 22</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1</w:t>
            </w: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to</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w:t>
            </w: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80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December 21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80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$251,200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$258,666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$244,996</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selling, general</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148,253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144,887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138,047</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36,437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29,670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33,959</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8,289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184,690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174,557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172,006</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 INCOME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(1,173)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84,109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72,990</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 EXPENSE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3,084</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Intercompany interest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 net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3,090</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expense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8,261</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3,162</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9,764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17,597</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 INCOME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TAXES (BENEFIT) AND CUMULATIVE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(2,784)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58,360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74,345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55,393</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5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(1,164)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25,943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24,834</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INCOME BEFORE CUMULATIVE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32,417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30,559</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ACCOUNTING</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5,023</w:t>
            </w:r>
          </w:p>
        </w:tc>
        <w:tc>
          <w:tcPr>
            <w:tcW w:w="7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(1,620)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$ 32,417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$ 47,176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$ 30,559</w:t>
            </w:r>
          </w:p>
        </w:tc>
      </w:tr>
      <w:tr>
        <w:trPr>
          <w:trHeight w:val="168"/>
        </w:trPr>
        <w:tc>
          <w:tcPr>
            <w:tcW w:w="28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AND COMBINED STATEMENTS OF CASH FLOWS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w:t>
      </w:r>
    </w:p>
    <w:p>
      <w:pPr>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(Predecessor Corporation)</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25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2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December 22</w:t>
            </w:r>
          </w:p>
        </w:tc>
        <w:tc>
          <w:tcPr>
            <w:tcW w:w="1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January 1</w:t>
            </w: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w:t>
            </w:r>
          </w:p>
        </w:tc>
        <w:tc>
          <w:tcPr>
            <w:tcW w:w="360" w:type="dxa"/>
            <w:vAlign w:val="bottom"/>
          </w:tcPr>
          <w:p>
            <w:pPr>
              <w:spacing w:after="0"/>
              <w:rPr>
                <w:sz w:val="14"/>
                <w:szCs w:val="14"/>
                <w:color w:val="auto"/>
              </w:rPr>
            </w:pP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w:t>
            </w: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21</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 income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(1,620)</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32,417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$ 47,176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$30,559</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Noncash items included 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3,821</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29,670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33,959</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charged by an affiliate</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3,783</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(5,023)</w:t>
            </w: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75,352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78,374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71,463</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accounts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and prepaid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charges and other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accounts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payable and accrued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 income and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taxes payable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35,488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1,755</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109,009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73,201</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715,000</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5,673</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 of long-term</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(53,523)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(9,818)</w:t>
            </w: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contributions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555,556</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 to former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(135,689)</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Distributions to former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 of a subsidiary</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w:t>
            </w:r>
          </w:p>
        </w:tc>
        <w:tc>
          <w:tcPr>
            <w:tcW w:w="10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to non-cable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 net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(802)</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(6,236)</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transactions with</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34,035</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(16,898)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(used in) financing</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1,271,570</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(160,979)</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(5,965)</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1,249,079</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 to property and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28,231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33,857</w:t>
            </w: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2,127</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5,152</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used 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1,254,231</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22,207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33,961</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19,094</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(78,670)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33,275</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5,136</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83,806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56,947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23,672</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Period</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24,230</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$ 83,806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$56,947</w:t>
            </w:r>
          </w:p>
        </w:tc>
      </w:tr>
      <w:tr>
        <w:trPr>
          <w:trHeight w:val="168"/>
        </w:trPr>
        <w:tc>
          <w:tcPr>
            <w:tcW w:w="24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349"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STATEMENT OF CHANGES IN NET EQUITY</w:t>
      </w:r>
    </w:p>
    <w:p>
      <w:pPr>
        <w:spacing w:after="0" w:line="5" w:lineRule="exact"/>
        <w:rPr>
          <w:sz w:val="20"/>
          <w:szCs w:val="20"/>
          <w:color w:val="auto"/>
        </w:rPr>
      </w:pPr>
    </w:p>
    <w:p>
      <w:pPr>
        <w:ind w:right="4639"/>
        <w:spacing w:after="0" w:line="234" w:lineRule="auto"/>
        <w:rPr>
          <w:sz w:val="20"/>
          <w:szCs w:val="20"/>
          <w:color w:val="auto"/>
        </w:rPr>
      </w:pPr>
      <w:r>
        <w:rPr>
          <w:rFonts w:ascii="Courier New" w:cs="Courier New" w:eastAsia="Courier New" w:hAnsi="Courier New"/>
          <w:sz w:val="15"/>
          <w:szCs w:val="15"/>
          <w:color w:val="auto"/>
        </w:rPr>
        <w:t>PERIOD FROM JANUARY 1, 1994 TO DECEMBER 21, 1994 AND YEARS ENDED DECEMBER 31, 1993 AND 1992</w:t>
      </w:r>
    </w:p>
    <w:p>
      <w:pPr>
        <w:spacing w:after="0" w:line="237" w:lineRule="auto"/>
        <w:rPr>
          <w:sz w:val="20"/>
          <w:szCs w:val="20"/>
          <w:color w:val="auto"/>
        </w:rPr>
      </w:pPr>
      <w:r>
        <w:rPr>
          <w:rFonts w:ascii="Courier New" w:cs="Courier New" w:eastAsia="Courier New" w:hAnsi="Courier New"/>
          <w:sz w:val="15"/>
          <w:szCs w:val="15"/>
          <w:color w:val="auto"/>
        </w:rPr>
        <w:t>CONSOLIDATED STATEMENT OF CHANGES IN MEMBERS' EQUITY</w:t>
      </w:r>
    </w:p>
    <w:p>
      <w:pPr>
        <w:spacing w:after="0" w:line="238" w:lineRule="auto"/>
        <w:rPr>
          <w:sz w:val="20"/>
          <w:szCs w:val="20"/>
          <w:color w:val="auto"/>
        </w:rPr>
      </w:pPr>
      <w:r>
        <w:rPr>
          <w:rFonts w:ascii="Courier New" w:cs="Courier New" w:eastAsia="Courier New" w:hAnsi="Courier New"/>
          <w:sz w:val="15"/>
          <w:szCs w:val="15"/>
          <w:color w:val="auto"/>
        </w:rPr>
        <w:t>PERIOD FROM DECEMBER 22, 1994 TO DECEMBER 31,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1</w:t>
            </w: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w:t>
            </w:r>
          </w:p>
        </w:tc>
        <w:tc>
          <w:tcPr>
            <w:tcW w:w="1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21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PREDECESSOR CORPORATION</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EQUITY, BEGINNING OF</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PERIOD</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$ 210,749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$167,284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$142,961</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47,176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30,559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 to former</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shareholder</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(135,689)</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to non-cable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subsidiaries, net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(6,236)</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EQUITY, END OF PERIOD</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$ 106,675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$210,749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$167,284</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4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Members'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Accumulated</w:t>
            </w:r>
          </w:p>
        </w:tc>
        <w:tc>
          <w:tcPr>
            <w:tcW w:w="86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Capital</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420" w:type="dxa"/>
            <w:vAlign w:val="bottom"/>
          </w:tcPr>
          <w:p>
            <w:pPr>
              <w:spacing w:after="0"/>
              <w:rPr>
                <w:sz w:val="14"/>
                <w:szCs w:val="14"/>
                <w:color w:val="auto"/>
              </w:rPr>
            </w:pPr>
          </w:p>
        </w:tc>
        <w:tc>
          <w:tcPr>
            <w:tcW w:w="2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SUCCESSOR CORPORATION</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$ 555,556</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$555,556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$ 555,556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$(1,620)</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$553,936</w:t>
            </w:r>
          </w:p>
        </w:tc>
      </w:tr>
      <w:tr>
        <w:trPr>
          <w:trHeight w:val="168"/>
        </w:trPr>
        <w:tc>
          <w:tcPr>
            <w:tcW w:w="24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w:t>
      </w:r>
    </w:p>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ORGANIZATION</w:t>
      </w:r>
    </w:p>
    <w:p>
      <w:pPr>
        <w:spacing w:after="0" w:line="173" w:lineRule="exact"/>
        <w:rPr>
          <w:sz w:val="20"/>
          <w:szCs w:val="20"/>
          <w:color w:val="auto"/>
        </w:rPr>
      </w:pPr>
    </w:p>
    <w:p>
      <w:pPr>
        <w:ind w:left="280" w:right="3239"/>
        <w:spacing w:after="0" w:line="255" w:lineRule="auto"/>
        <w:rPr>
          <w:sz w:val="20"/>
          <w:szCs w:val="20"/>
          <w:color w:val="auto"/>
        </w:rPr>
      </w:pPr>
      <w:r>
        <w:rPr>
          <w:rFonts w:ascii="Courier New" w:cs="Courier New" w:eastAsia="Courier New" w:hAnsi="Courier New"/>
          <w:sz w:val="14"/>
          <w:szCs w:val="14"/>
          <w:color w:val="auto"/>
        </w:rPr>
        <w:t>Comcast MHCP Holdings, L.L.C. (the "Company" or the "LLC"), a Delaware limited liability company, was formed on December 12, 1994 for the initial purpose of acquiring the U.S. Cable Television Operations of Maclean Hunter, Inc. ("Maclean Hunter" or the "Predecessor Corporation") from Rogers Communications Inc. ("RCI") (see Note 2). The Company is owned 55% by Comcast Cable Communications, Inc. ("Comcast Cable") and 45% by the California Public Employees' Retirement System ("CalPERS") and is managed by Comcast Corporation ("Comcast"). Comcast Cable is a wholly owned subsidiary of Comcast and CalPERS is a governmental unit of the State of California.</w:t>
      </w:r>
    </w:p>
    <w:p>
      <w:pPr>
        <w:spacing w:after="0" w:line="165" w:lineRule="exact"/>
        <w:rPr>
          <w:sz w:val="20"/>
          <w:szCs w:val="20"/>
          <w:color w:val="auto"/>
        </w:rPr>
      </w:pPr>
    </w:p>
    <w:p>
      <w:pPr>
        <w:ind w:left="280" w:right="3319"/>
        <w:spacing w:after="0" w:line="234" w:lineRule="auto"/>
        <w:rPr>
          <w:sz w:val="20"/>
          <w:szCs w:val="20"/>
          <w:color w:val="auto"/>
        </w:rPr>
      </w:pPr>
      <w:r>
        <w:rPr>
          <w:rFonts w:ascii="Courier New" w:cs="Courier New" w:eastAsia="Courier New" w:hAnsi="Courier New"/>
          <w:sz w:val="15"/>
          <w:szCs w:val="15"/>
          <w:color w:val="auto"/>
        </w:rPr>
        <w:t>The Company and its subsidiaries are principally engaged in the development, management and operation of cable communications systems.</w:t>
      </w:r>
    </w:p>
    <w:p>
      <w:pPr>
        <w:spacing w:after="0" w:line="167" w:lineRule="exact"/>
        <w:rPr>
          <w:sz w:val="20"/>
          <w:szCs w:val="20"/>
          <w:color w:val="auto"/>
        </w:rPr>
      </w:pPr>
    </w:p>
    <w:p>
      <w:pPr>
        <w:ind w:left="280" w:hanging="270"/>
        <w:spacing w:after="0"/>
        <w:tabs>
          <w:tab w:leader="none" w:pos="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2"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Between April 7 and June 20, 1994, RCI acquired all of the issued and outstanding common shares of Maclean Hunter Limited. All shares of Maclean Hunter Limited acquired were deposited in trust pursuant to a voting trust agreement between RCI and the Honourable Pierre Juneau, P.C., O.C. The shares remained in trust until various regulatory authorities in both the United States and Canada provided their respective approvals to the acquisition by RCI of control of Maclean Hunter Limited and its subsidiaries. Upon receipt of regulatory approval, the shares were transferred to RCI, at which time RCI caused Maclean Hunter Limited to be dissolved, and its assets and liabilities to be transferred to RCI.</w:t>
      </w:r>
    </w:p>
    <w:p>
      <w:pPr>
        <w:spacing w:after="0" w:line="179" w:lineRule="exact"/>
        <w:rPr>
          <w:rFonts w:ascii="Courier New" w:cs="Courier New" w:eastAsia="Courier New" w:hAnsi="Courier New"/>
          <w:sz w:val="15"/>
          <w:szCs w:val="15"/>
          <w:color w:val="auto"/>
        </w:rPr>
      </w:pPr>
    </w:p>
    <w:p>
      <w:pPr>
        <w:ind w:left="2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22, 1994 (the "Acquisition Date"), the Company acquired Maclean Hunter from RCI and all of the outstanding shares of Barden Communications, Inc. ("BCI," and collectively, such acquisitions are referred to as the "Maclean Hunter Acquisition") for approximately $1.2 billion (subject to certain adjustments) in cash. The Maclean Hunter Acquisition, including certain transaction costs, was financed with cash contributions of approximately $305.6 million and $250.0 million from Comcast Cable and CalPERS, respectively, and borrowings of $715.0 million under an $850.0 million credit facility (see Note 7).</w:t>
      </w:r>
    </w:p>
    <w:p>
      <w:pPr>
        <w:spacing w:after="0" w:line="178" w:lineRule="exact"/>
        <w:rPr>
          <w:rFonts w:ascii="Courier New" w:cs="Courier New" w:eastAsia="Courier New" w:hAnsi="Courier New"/>
          <w:sz w:val="15"/>
          <w:szCs w:val="15"/>
          <w:color w:val="auto"/>
        </w:rPr>
      </w:pPr>
    </w:p>
    <w:p>
      <w:pPr>
        <w:jc w:val="both"/>
        <w:ind w:left="2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terms of the Maclean Hunter Acquisition provide for, among other things, the indemnification of the Company by RCI for certain liabilities, including tax liabilities, relating to Maclean Hunter prior to the Acquisition Date.</w:t>
      </w:r>
    </w:p>
    <w:p>
      <w:pPr>
        <w:spacing w:after="0" w:line="161" w:lineRule="exact"/>
        <w:rPr>
          <w:rFonts w:ascii="Courier New" w:cs="Courier New" w:eastAsia="Courier New" w:hAnsi="Courier New"/>
          <w:sz w:val="15"/>
          <w:szCs w:val="15"/>
          <w:color w:val="auto"/>
        </w:rPr>
      </w:pPr>
    </w:p>
    <w:p>
      <w:pPr>
        <w:ind w:left="2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have reported unaudited revenues of $258.3 million and $258.7 million and unaudited net loss of $48.0 million and $39.7 million for the years ended December 31, 1994 and 1993 had the Maclean Hunter Acquisition occurred at the beginning of 1993. This unaudited pro forma information is based on historical results of operations adjusted for acquisition costs, and in the opinion of management, is not necessarily indicative of what the results would have been had the Company operated the acquired entities since the beginning of 1993.</w:t>
      </w:r>
    </w:p>
    <w:p>
      <w:pPr>
        <w:spacing w:after="0" w:line="177"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1994, the minority shareholders of Cable TV of Jersey City, Inc., a subsidiary of the Predecessor Corporation, who owned 20% of the outstanding common shares, sold their shares to a subsidiary of Maclean Hunter, Inc., for purchase consideration of approximately $14.6 million, which was paid in January 1995.</w:t>
      </w:r>
    </w:p>
    <w:p>
      <w:pPr>
        <w:spacing w:after="0" w:line="173" w:lineRule="exact"/>
        <w:rPr>
          <w:rFonts w:ascii="Courier New" w:cs="Courier New" w:eastAsia="Courier New" w:hAnsi="Courier New"/>
          <w:sz w:val="15"/>
          <w:szCs w:val="15"/>
          <w:color w:val="auto"/>
        </w:rPr>
      </w:pPr>
    </w:p>
    <w:p>
      <w:pPr>
        <w:ind w:left="280" w:right="8039" w:hanging="270"/>
        <w:spacing w:after="0" w:line="509" w:lineRule="auto"/>
        <w:tabs>
          <w:tab w:leader="none" w:pos="2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Basis of Consolidation</w:t>
      </w:r>
    </w:p>
    <w:p>
      <w:pPr>
        <w:ind w:left="280" w:right="3239"/>
        <w:spacing w:after="0" w:line="255" w:lineRule="auto"/>
        <w:rPr>
          <w:sz w:val="20"/>
          <w:szCs w:val="20"/>
          <w:color w:val="auto"/>
        </w:rPr>
      </w:pPr>
      <w:r>
        <w:rPr>
          <w:rFonts w:ascii="Courier New" w:cs="Courier New" w:eastAsia="Courier New" w:hAnsi="Courier New"/>
          <w:sz w:val="14"/>
          <w:szCs w:val="14"/>
          <w:color w:val="auto"/>
        </w:rPr>
        <w:t>The consolidated balance sheet at December 31, 1994 and the consolidated statements of operations, cash flows and changes in members' equity for the period from December 22, 1994 to December 31, 1994 represent the consolidated financial position, results of operations, cash flows and changes in members' equity of the Company and its wholly and majority owned subsidiaries subsequent to the Acquisition Date. All significant intercompany accounts and transactions among the consolidated entities have been eliminated.</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Basis of Combination</w:t>
      </w:r>
    </w:p>
    <w:p>
      <w:pPr>
        <w:spacing w:after="0" w:line="173"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The combined balance sheet as of December 31, 1993 and the combined statements of operations, cash flows and changes in net equity for the period from January 1, 1994 to December 21, 1994 and for the years ended December 31, 1993 and 1992 represent the combined financial position, results of operations, cash flows and changes in net equity of the Predecessor Corporation. All significant intercompany accounts and transactions among the combined entities have been eliminated.</w:t>
      </w:r>
    </w:p>
    <w:p>
      <w:pPr>
        <w:spacing w:after="0" w:line="176" w:lineRule="exact"/>
        <w:rPr>
          <w:sz w:val="20"/>
          <w:szCs w:val="20"/>
          <w:color w:val="auto"/>
        </w:rPr>
      </w:pPr>
    </w:p>
    <w:p>
      <w:pPr>
        <w:ind w:left="280" w:right="3239"/>
        <w:spacing w:after="0" w:line="237" w:lineRule="auto"/>
        <w:rPr>
          <w:sz w:val="20"/>
          <w:szCs w:val="20"/>
          <w:color w:val="auto"/>
        </w:rPr>
      </w:pPr>
      <w:r>
        <w:rPr>
          <w:rFonts w:ascii="Courier New" w:cs="Courier New" w:eastAsia="Courier New" w:hAnsi="Courier New"/>
          <w:sz w:val="15"/>
          <w:szCs w:val="15"/>
          <w:color w:val="auto"/>
        </w:rPr>
        <w:t>Maclean Hunter, Inc., formerly a wholly owned subsidiary of Maclean Hunter Limited, had historically operated a periodical publishing business and had been the holding company for all of Maclean Hunter Limited's other U.S. operations, which included cable television, business forms and periodical publishing. Prior to the Maclean Hunter Acquisition, the non-cable television and non-alternate access businesses of Maclean Hunter, Inc. were distributed to RCI. Accordingly, when the Company acquired the shares of Maclean Hunter, Inc., it only purchased the U.S. cable television and alternate access businesses. The Predecessor Corporation financial statements exclude the results of operations of the non-cable television and non-alternative access operations of Maclean Hunter, Inc. and do not reflect the effects of the Maclean Hunter Acquisition.</w:t>
      </w:r>
    </w:p>
    <w:p>
      <w:pPr>
        <w:spacing w:after="0" w:line="173"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In addition, the Predecessor Corporation financial statements include the accounts of Comcast Cablevision of Detroit (formerly Barden Cablevision, the "Partnership"), which holds the franchise to operate a cable television system in the City of Detroit, Michigan. Prior to the Maclean Hunter Acquisition, Maclean Hunter, Inc., through wholly owned subsidiaries, had a 59% equity interest in the Partnership. Maclean Hunter, Inc. also had a contract to direct the day-to-day management of the Partnership. In connection with the Maclean Hunter Acquisition, the Company acquired the remaining equity and voting interests in the Partnership other than a minority interest of less than 1%.</w:t>
      </w:r>
    </w:p>
    <w:p>
      <w:pPr>
        <w:spacing w:after="0" w:line="179" w:lineRule="exact"/>
        <w:rPr>
          <w:sz w:val="20"/>
          <w:szCs w:val="20"/>
          <w:color w:val="auto"/>
        </w:rPr>
      </w:pPr>
    </w:p>
    <w:p>
      <w:pPr>
        <w:ind w:left="280" w:right="6299" w:hanging="270"/>
        <w:spacing w:after="0" w:line="465" w:lineRule="auto"/>
        <w:tabs>
          <w:tab w:leader="none" w:pos="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Purchase Price Allocation</w:t>
      </w:r>
    </w:p>
    <w:p>
      <w:pPr>
        <w:spacing w:after="0" w:line="14"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Maclean Hunter Acquisition was accounted for under the purchase method of accounting. Under this method, the purchase price was allocated to the fair value of the assets acquired and the liabilities assumed. This allocation is preliminary pending, among other things, the final purchase price adjustment between Comcast and RCI and the receipt of a final appraisal of the assets acquired.</w:t>
      </w:r>
    </w:p>
    <w:p>
      <w:pPr>
        <w:spacing w:after="0" w:line="168"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2" w:lineRule="exact"/>
        <w:rPr>
          <w:rFonts w:ascii="Courier New" w:cs="Courier New" w:eastAsia="Courier New" w:hAnsi="Courier New"/>
          <w:sz w:val="15"/>
          <w:szCs w:val="15"/>
          <w:color w:val="auto"/>
        </w:rPr>
      </w:pPr>
    </w:p>
    <w:p>
      <w:pPr>
        <w:ind w:left="2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investments with a maturity of three months or less when purchased. The carrying amounts of the Company's cash equivalents, classified as trading securities, approximates their fair values as of December 31, 1994 and 1993.</w:t>
      </w:r>
    </w:p>
    <w:p>
      <w:pPr>
        <w:spacing w:after="0" w:line="168"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Principally in Affiliates</w:t>
      </w:r>
    </w:p>
    <w:p>
      <w:pPr>
        <w:spacing w:after="0" w:line="172"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are accounted for on the equity method based on the Company's ability to exercise significant influence over the operating and financial policies of the investee. Equity method investments are recorded at original cost and adjusted periodically to recognize the Company's proportionate share of the investees' income or losses after the date of investment, and additional contributions made and dividends received. Investments in privately held companies are stated at cost adjusted for any known diminution in value.</w:t>
      </w:r>
    </w:p>
    <w:p>
      <w:pPr>
        <w:spacing w:after="0" w:line="170"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280" w:right="3239"/>
        <w:spacing w:after="0" w:line="255" w:lineRule="auto"/>
        <w:rPr>
          <w:sz w:val="20"/>
          <w:szCs w:val="20"/>
          <w:color w:val="auto"/>
        </w:rPr>
      </w:pPr>
      <w:r>
        <w:rPr>
          <w:rFonts w:ascii="Courier New" w:cs="Courier New" w:eastAsia="Courier New" w:hAnsi="Courier New"/>
          <w:sz w:val="14"/>
          <w:szCs w:val="14"/>
          <w:color w:val="auto"/>
        </w:rPr>
        <w:t>On the Acquisition Date, property and equipment were adjusted based on a preliminary appraisal of the assets acquired. Property and equipment prior to the Acquisition Date are stated at historical cost. Such assets include land, buildings, facilities for the transmission of cable television signals such as head-ends, system plant, subscriber installations and converters and other equipment. In addition, on the Acquisition Date, the estimated useful lives of property and equipment have been adjusted to reflect such lives as stated in a preliminary appraisal of the Company's assets. The effect of this change in estimate was not significant to the Company's operations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 the year ended December 31, 1994. Depreciation is provided on a straight-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line basis over estimated useful lives as</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follows:</w:t>
            </w:r>
          </w:p>
        </w:tc>
      </w:tr>
      <w:tr>
        <w:trPr>
          <w:trHeight w:val="673"/>
        </w:trPr>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(Predecessor</w:t>
            </w:r>
          </w:p>
        </w:tc>
      </w:tr>
      <w:tr>
        <w:trPr>
          <w:trHeight w:val="168"/>
        </w:trPr>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168"/>
        </w:trPr>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22,</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January 1,</w:t>
            </w:r>
          </w:p>
        </w:tc>
      </w:tr>
      <w:tr>
        <w:trPr>
          <w:trHeight w:val="168"/>
        </w:trPr>
        <w:tc>
          <w:tcPr>
            <w:tcW w:w="19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19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21,</w:t>
            </w:r>
          </w:p>
        </w:tc>
      </w:tr>
      <w:tr>
        <w:trPr>
          <w:trHeight w:val="168"/>
        </w:trPr>
        <w:tc>
          <w:tcPr>
            <w:tcW w:w="1940" w:type="dxa"/>
            <w:vAlign w:val="bottom"/>
          </w:tcPr>
          <w:p>
            <w:pPr>
              <w:spacing w:after="0"/>
              <w:rPr>
                <w:sz w:val="14"/>
                <w:szCs w:val="14"/>
                <w:color w:val="auto"/>
              </w:rPr>
            </w:pP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facilities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equipment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41"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During fiscal 1993, the Predecessor Corporation completed a comprehensive review of depreciation rates taking account of historical experience and of accepted industry practice. As a result of this review, the Predecessor Corporation revised, on a prospective basis, the remaining period over which certain of its assets would be depreciated in order to better reflect the Predecessor Corporation's estimate of the remaining useful lives of the assets.</w:t>
      </w:r>
    </w:p>
    <w:p>
      <w:pPr>
        <w:spacing w:after="0" w:line="176"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Through December 21, 1994, the Predecessor Corporation depreciated all of its head-ends, system plant and subscriber installations over fifteen years, compared to the seven- and ten-year periods that were previously used for such assets by certain subsidiaries. This change was effective July 1, 1993. In addition, through December 21, 1994, converters and decoders were depreciated over periods of six to eight years compared to five years previously. This change was effective January 1, 1993. The effect of these changes has been to reduce 1993 depreciation expense by $4.9 million and to increase 1993 net income by $2.6 million. The reduction in 1994 depreciation expense was $3.3 million and the increase in net income was $1.9 million through December 21, 1994.</w:t>
      </w: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Deferred Charges</w:t>
      </w:r>
    </w:p>
    <w:p>
      <w:pPr>
        <w:spacing w:after="0" w:line="173" w:lineRule="exact"/>
        <w:rPr>
          <w:sz w:val="20"/>
          <w:szCs w:val="20"/>
          <w:color w:val="auto"/>
        </w:rPr>
      </w:pPr>
    </w:p>
    <w:p>
      <w:pPr>
        <w:ind w:left="280" w:right="3239"/>
        <w:spacing w:after="0" w:line="237" w:lineRule="auto"/>
        <w:rPr>
          <w:sz w:val="20"/>
          <w:szCs w:val="20"/>
          <w:color w:val="auto"/>
        </w:rPr>
      </w:pPr>
      <w:r>
        <w:rPr>
          <w:rFonts w:ascii="Courier New" w:cs="Courier New" w:eastAsia="Courier New" w:hAnsi="Courier New"/>
          <w:sz w:val="15"/>
          <w:szCs w:val="15"/>
          <w:color w:val="auto"/>
        </w:rPr>
        <w:t>Deferred charges as of December 31, 1994 consist principally of franchise and license acquisition costs, the costs of acquired businesses in excess of amounts allocated to specific assets, based on their fair market values, and, as a result of the differences in the book and tax bases of the assets acquired, goodwill recorded under the provisions of Statement of Financial Accounting Standards ("SFAS") No. 109, "Accounting for Income Taxes." Franchise and license acquisition costs and goodwill are being amortized on a straight-line basis over periods of 12 and 20 years, respectively. Accumulated amortization as of December 31, 1994 was $3.4 million. The Company periodically evaluates the recoverability of its deferred charges using objective methodologies. Such methodologies may include evaluations based on the cash flows generated by the underlying assets or other determinants of fair value.</w:t>
      </w:r>
    </w:p>
    <w:p>
      <w:pPr>
        <w:spacing w:after="0" w:line="173"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Deferred charges of the Predecessor Corporation consisted principally of franchise acquisition and organization costs of $4.5 million, which were being amortized on a straight-line basis over periods up to fifteen years, and goodwill of $140.0 million, which was being amortized on a straight-line basis over periods not exceeding 40 years. Accumulated amortization as of December 31, 1993 was $21.5 million.</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Fair Values</w:t>
      </w:r>
    </w:p>
    <w:p>
      <w:pPr>
        <w:spacing w:after="0" w:line="173" w:lineRule="exact"/>
        <w:rPr>
          <w:sz w:val="20"/>
          <w:szCs w:val="20"/>
          <w:color w:val="auto"/>
        </w:rPr>
      </w:pPr>
    </w:p>
    <w:p>
      <w:pPr>
        <w:ind w:left="280" w:right="3319"/>
        <w:spacing w:after="0" w:line="255" w:lineRule="auto"/>
        <w:rPr>
          <w:sz w:val="20"/>
          <w:szCs w:val="20"/>
          <w:color w:val="auto"/>
        </w:rPr>
      </w:pPr>
      <w:r>
        <w:rPr>
          <w:rFonts w:ascii="Courier New" w:cs="Courier New" w:eastAsia="Courier New" w:hAnsi="Courier New"/>
          <w:sz w:val="14"/>
          <w:szCs w:val="14"/>
          <w:color w:val="auto"/>
        </w:rPr>
        <w:t>The estimated fair value amounts associated with financial instruments discussed in these notes to consolidated and combined financial statements have been determined by the Company and the Predecessor Corporation using available market information and appropriate methodologies. However, considerable judgment is required in interpreting market data to develop the estimates of fair value. The estimates presented herein are not necessarily indicative of the amounts that the Company or the Predecessor Corporation could realize in a current market exchange. The use of different market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assumptions and/or estimation methodologies may have a material effect on the estimated fair value amounts. Such fair value estimates are based on pertinent information available to management as of December 31, 1994 and 1993 and have not been comprehensively revalued for purposes of these consolidated and combined financial statements since such dates. Current estimates of fair value may differ significantly from the amounts discussed herein.</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left="280" w:right="3239"/>
        <w:spacing w:after="0" w:line="235" w:lineRule="auto"/>
        <w:rPr>
          <w:sz w:val="20"/>
          <w:szCs w:val="20"/>
          <w:color w:val="auto"/>
        </w:rPr>
      </w:pPr>
      <w:r>
        <w:rPr>
          <w:rFonts w:ascii="Courier New" w:cs="Courier New" w:eastAsia="Courier New" w:hAnsi="Courier New"/>
          <w:sz w:val="15"/>
          <w:szCs w:val="15"/>
          <w:color w:val="auto"/>
        </w:rPr>
        <w:t>Effective January 1, 1994, the Predecessor Corporation adopted the provisions of SFAS No. 115, "Accounting for Certain Investments in Debt and Equity Securities," which did not have a significant effect on its financial position or results of operations in 1994.</w:t>
      </w:r>
    </w:p>
    <w:p>
      <w:pPr>
        <w:spacing w:after="0" w:line="175"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Income taxes are provided using the asset and liability method prescribed by SFAS No. 109 which the Predecessor Corporation adopted January 1, 1993. Income taxes provided in years prior to 1993 using the deferral method prescribed by Accounting Principles Board Opinion No. 11, "Accounting for Income Taxes," have not been restated. The cumulative effect of adopting SFAS No. 109 as of January 1, 1993 was to increase net income by approximately $5.0 million.</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left="280" w:right="3839"/>
        <w:spacing w:after="0" w:line="234" w:lineRule="auto"/>
        <w:rPr>
          <w:sz w:val="20"/>
          <w:szCs w:val="20"/>
          <w:color w:val="auto"/>
        </w:rPr>
      </w:pPr>
      <w:r>
        <w:rPr>
          <w:rFonts w:ascii="Courier New" w:cs="Courier New" w:eastAsia="Courier New" w:hAnsi="Courier New"/>
          <w:sz w:val="15"/>
          <w:szCs w:val="15"/>
          <w:color w:val="auto"/>
        </w:rPr>
        <w:t>Certain reclassifications have been made to the 1993 and 1992 combined financial statements to conform to those used in 1994.</w:t>
      </w:r>
    </w:p>
    <w:p>
      <w:pPr>
        <w:spacing w:after="0" w:line="167" w:lineRule="exact"/>
        <w:rPr>
          <w:sz w:val="20"/>
          <w:szCs w:val="20"/>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ind w:left="2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on long-term debt of $1.1 million during the period from December 22, 1994 to December 31, 1994.</w:t>
      </w:r>
    </w:p>
    <w:p>
      <w:pPr>
        <w:spacing w:after="0" w:line="173" w:lineRule="exact"/>
        <w:rPr>
          <w:rFonts w:ascii="Courier New" w:cs="Courier New" w:eastAsia="Courier New" w:hAnsi="Courier New"/>
          <w:sz w:val="15"/>
          <w:szCs w:val="15"/>
          <w:color w:val="auto"/>
        </w:rPr>
      </w:pPr>
    </w:p>
    <w:p>
      <w:pPr>
        <w:ind w:left="2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Predecessor Corporation made cash payments for interest on long-term debt of $3.0 million, $2.8 million and $3.4 million during the period from January 1, 1994 to December 21, 1994 and the years ended December 31, 1993 and 1992, respectively.</w:t>
      </w:r>
    </w:p>
    <w:p>
      <w:pPr>
        <w:spacing w:after="0" w:line="175" w:lineRule="exact"/>
        <w:rPr>
          <w:rFonts w:ascii="Courier New" w:cs="Courier New" w:eastAsia="Courier New" w:hAnsi="Courier New"/>
          <w:sz w:val="15"/>
          <w:szCs w:val="15"/>
          <w:color w:val="auto"/>
        </w:rPr>
      </w:pPr>
    </w:p>
    <w:p>
      <w:pPr>
        <w:ind w:left="2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Predecessor Corporation made cash payments for interest on balances due to affiliates of $4.6 million, $6.4 million and $8.1 million during the period from January 1, 1994 to December 21, 1994 and the years ended December 31, 1993 and 1992, respectively.</w:t>
      </w:r>
    </w:p>
    <w:p>
      <w:pPr>
        <w:spacing w:after="0" w:line="175" w:lineRule="exact"/>
        <w:rPr>
          <w:rFonts w:ascii="Courier New" w:cs="Courier New" w:eastAsia="Courier New" w:hAnsi="Courier New"/>
          <w:sz w:val="15"/>
          <w:szCs w:val="15"/>
          <w:color w:val="auto"/>
        </w:rPr>
      </w:pPr>
    </w:p>
    <w:p>
      <w:pPr>
        <w:ind w:left="28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Predecessor Corporation made cash payments for income taxes of $33.3 million, $27.7 million and $22.7 million during the period from January 1, 1994 to December 21, 1994 and the years ended December 31, 1993 and 1992, respectively.</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2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December 22, 1994, management fees are charged pursuant to a management agreement between Comcast MH Holdings, Inc. ("MH Holdings"), an indirect wholly owned subsidiary of the Company, and Comcast (the "Management Agreement"). Under the terms of the Management Agreement, Comcast supervises the management and operation of the Company's subsidiaries for compensation equal to 4.5% of such subsidiaries' gross revenues, with the payment of one-third of such fees being deferred until CalPERS no longer has an interest in the Company. Management fees of $320,000 were charged during the period from December 22, 1994 to December 31, 1994 and are included in operating, selling, general and administrative expenses. The total amount deferred under this arrangement, which has been recorded as a subordinated long-term liability due to affiliate, was $107,000 as of December 31, 1994.</w:t>
      </w:r>
    </w:p>
    <w:p>
      <w:pPr>
        <w:spacing w:after="0" w:line="164" w:lineRule="exact"/>
        <w:rPr>
          <w:rFonts w:ascii="Courier New" w:cs="Courier New" w:eastAsia="Courier New" w:hAnsi="Courier New"/>
          <w:sz w:val="15"/>
          <w:szCs w:val="15"/>
          <w:color w:val="auto"/>
        </w:rPr>
      </w:pPr>
    </w:p>
    <w:p>
      <w:pPr>
        <w:ind w:left="2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Agreement also provides for the reimbursement and sharing of certain of Comcast's actual costs directly relating to the operations of MH Holdings. Expenses under this arrangement were not significant for the period from December 22, 1994 to December 31, 1994.</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right="3239"/>
        <w:spacing w:after="0" w:line="255" w:lineRule="auto"/>
        <w:rPr>
          <w:sz w:val="20"/>
          <w:szCs w:val="20"/>
          <w:color w:val="auto"/>
        </w:rPr>
      </w:pPr>
      <w:r>
        <w:rPr>
          <w:rFonts w:ascii="Courier New" w:cs="Courier New" w:eastAsia="Courier New" w:hAnsi="Courier New"/>
          <w:sz w:val="14"/>
          <w:szCs w:val="14"/>
          <w:color w:val="auto"/>
        </w:rPr>
        <w:t>Effective December 22, 1994, subsidiaries of the Company are charged by Comcast for certain operating expenses under a separate agreement between MH Holdings and Comcast (the "Cost Sharing Agreement"). These expenses are charged to subsidiaries of the Company by Comcast on a basis that does not exceed what would be charged if such subsidiaries purchased directly from the supplier. The Cost Sharing Agreement requires deferral of payment of a portion of these expenses with the deferred portion being treated as a subordinated long-term liability due to affiliate which will not be payable until CalPERS no longer has an interest in the Company. The total amounts expensed and deferred under this arrangement were not significant in 1994.</w:t>
      </w:r>
    </w:p>
    <w:p>
      <w:pPr>
        <w:spacing w:after="0" w:line="165" w:lineRule="exact"/>
        <w:rPr>
          <w:sz w:val="20"/>
          <w:szCs w:val="20"/>
          <w:color w:val="auto"/>
        </w:rPr>
      </w:pPr>
    </w:p>
    <w:p>
      <w:pPr>
        <w:ind w:left="280" w:right="3499"/>
        <w:spacing w:after="0" w:line="254" w:lineRule="auto"/>
        <w:rPr>
          <w:sz w:val="20"/>
          <w:szCs w:val="20"/>
          <w:color w:val="auto"/>
        </w:rPr>
      </w:pPr>
      <w:r>
        <w:rPr>
          <w:rFonts w:ascii="Courier New" w:cs="Courier New" w:eastAsia="Courier New" w:hAnsi="Courier New"/>
          <w:sz w:val="14"/>
          <w:szCs w:val="14"/>
          <w:color w:val="auto"/>
        </w:rPr>
        <w:t>Prior to the Maclean Hunter Acquisition, the Predecessor Corporation had several loans due to or from various direct or indirect subsidiaries of Maclean Hunter Limited. These loans were repaid prior to or in connection with the Maclean Hunter Acquisition. Interest rates on these loans ranged from the London Interbank Offered Rate ("LIBOR") plus 0.375% to LIBOR plus</w:t>
      </w:r>
    </w:p>
    <w:p>
      <w:pPr>
        <w:spacing w:after="0" w:line="2" w:lineRule="exact"/>
        <w:rPr>
          <w:sz w:val="20"/>
          <w:szCs w:val="20"/>
          <w:color w:val="auto"/>
        </w:rPr>
      </w:pPr>
    </w:p>
    <w:p>
      <w:pPr>
        <w:ind w:left="280" w:right="3239"/>
        <w:spacing w:after="0" w:line="256" w:lineRule="auto"/>
        <w:rPr>
          <w:sz w:val="20"/>
          <w:szCs w:val="20"/>
          <w:color w:val="auto"/>
        </w:rPr>
      </w:pPr>
      <w:r>
        <w:rPr>
          <w:rFonts w:ascii="Courier New" w:cs="Courier New" w:eastAsia="Courier New" w:hAnsi="Courier New"/>
          <w:sz w:val="14"/>
          <w:szCs w:val="14"/>
          <w:color w:val="auto"/>
        </w:rPr>
        <w:t>1.75%. Interest expense on these loans for the period from January 1, 1994 to December 21, 1994 was $4.1 million, net of interest income on loans receivable of $515,000. Interest expense on these loans for the years ended December 31, 1993 and 1992 was $5.0 million and $3.1 million, respectively, net of interest income of $1.8 million and $5.0 million, respectively.</w:t>
      </w:r>
    </w:p>
    <w:p>
      <w:pPr>
        <w:spacing w:after="0" w:line="163"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Prior to the Maclean Hunter Acquisition, Maclean Hunter Limited provided the Predecessor Corporation with a variety of management services. Maclean Hunter Limited charged the Predecessor Corporation for its cost of providing these services which amounted to $1.4 million during the period from January 1, 1994 to December 21, 1994 and $1.5 million during each of the years ended December 31, 1993 and 1992. During the period from January 1, 1994 to December 21, 1994, additional management fees of $3.2 million were charged to the Predecessor Corporation. These charges and fees are included in operating, selling, general and administrative expenses.</w:t>
      </w:r>
    </w:p>
    <w:p>
      <w:pPr>
        <w:spacing w:after="0" w:line="178" w:lineRule="exact"/>
        <w:rPr>
          <w:sz w:val="20"/>
          <w:szCs w:val="20"/>
          <w:color w:val="auto"/>
        </w:rPr>
      </w:pPr>
    </w:p>
    <w:p>
      <w:pPr>
        <w:ind w:left="280" w:right="3399"/>
        <w:spacing w:after="0" w:line="258" w:lineRule="auto"/>
        <w:rPr>
          <w:sz w:val="20"/>
          <w:szCs w:val="20"/>
          <w:color w:val="auto"/>
        </w:rPr>
      </w:pPr>
      <w:r>
        <w:rPr>
          <w:rFonts w:ascii="Courier New" w:cs="Courier New" w:eastAsia="Courier New" w:hAnsi="Courier New"/>
          <w:sz w:val="14"/>
          <w:szCs w:val="14"/>
          <w:color w:val="auto"/>
        </w:rPr>
        <w:t>In July 1994, the Partnership made a distribution of $5.0 million to BCI, which had a 40% equity interest and voting control in the Partnership. This distribution was funded by an advance from Maclean Hunter, Inc.</w:t>
      </w:r>
    </w:p>
    <w:p>
      <w:pPr>
        <w:spacing w:after="0" w:line="161" w:lineRule="exact"/>
        <w:rPr>
          <w:sz w:val="20"/>
          <w:szCs w:val="20"/>
          <w:color w:val="auto"/>
        </w:rPr>
      </w:pPr>
    </w:p>
    <w:p>
      <w:pPr>
        <w:ind w:left="280" w:right="3239"/>
        <w:spacing w:after="0" w:line="235" w:lineRule="auto"/>
        <w:rPr>
          <w:sz w:val="20"/>
          <w:szCs w:val="20"/>
          <w:color w:val="auto"/>
        </w:rPr>
      </w:pPr>
      <w:r>
        <w:rPr>
          <w:rFonts w:ascii="Courier New" w:cs="Courier New" w:eastAsia="Courier New" w:hAnsi="Courier New"/>
          <w:sz w:val="15"/>
          <w:szCs w:val="15"/>
          <w:color w:val="auto"/>
        </w:rPr>
        <w:t>The Predecessor Corporation realized a foreign exchange loss of $8.8 million in 1992 on a sterling advance to an affiliate, which was repaid in 1992. This loss is included in investment (income) expense in the Predecessor Corporation's 1992 Combined Statement of Operations.</w:t>
      </w:r>
    </w:p>
    <w:p>
      <w:pPr>
        <w:spacing w:after="0" w:line="169" w:lineRule="exact"/>
        <w:rPr>
          <w:sz w:val="20"/>
          <w:szCs w:val="20"/>
          <w:color w:val="auto"/>
        </w:rPr>
      </w:pPr>
    </w:p>
    <w:p>
      <w:pPr>
        <w:ind w:left="280" w:hanging="270"/>
        <w:spacing w:after="0"/>
        <w:tabs>
          <w:tab w:leader="none" w:pos="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2" w:lineRule="exact"/>
        <w:rPr>
          <w:rFonts w:ascii="Courier New" w:cs="Courier New" w:eastAsia="Courier New" w:hAnsi="Courier New"/>
          <w:sz w:val="15"/>
          <w:szCs w:val="15"/>
          <w:color w:val="auto"/>
        </w:rPr>
      </w:pPr>
    </w:p>
    <w:p>
      <w:pPr>
        <w:ind w:left="28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the Maclean Hunter Acquisition, MH Holdings entered into an $850 million Reducing Revolving Credit Facility (the "Credit Facility"). Initial borrowings under the Credit Facility to finance a portion of the Maclean Hunter Acquisition were $715 million. In January 1995, MH Holdings borrowed an additional $20 million under the Credit Facility.</w:t>
      </w:r>
    </w:p>
    <w:p>
      <w:pPr>
        <w:spacing w:after="0" w:line="163"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on borrowings under the Credit Facility is based on the Prime Rate or LIBOR, plus a percentage which varies as the ratio of total indebtedness to annualized operating cash flow (as defined) varies. As of December 31, 1994, the weighted average interest rate on borrowings under the Credit Facility was 7.38%.</w:t>
      </w:r>
    </w:p>
    <w:p>
      <w:pPr>
        <w:spacing w:after="0" w:line="173" w:lineRule="exact"/>
        <w:rPr>
          <w:rFonts w:ascii="Courier New" w:cs="Courier New" w:eastAsia="Courier New" w:hAnsi="Courier New"/>
          <w:sz w:val="15"/>
          <w:szCs w:val="15"/>
          <w:color w:val="auto"/>
        </w:rPr>
      </w:pPr>
    </w:p>
    <w:p>
      <w:pPr>
        <w:ind w:left="28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Available borrowings under the Credit Facility reduce in quarterly installments beginning in 1998 through its final maturity in 2003. Of the long-term debt outstanding as of December 31, 1994, $86 million matures in 1999, with the balance maturing in installments through 2003.</w:t>
      </w:r>
    </w:p>
    <w:p>
      <w:pPr>
        <w:spacing w:after="0" w:line="164" w:lineRule="exact"/>
        <w:rPr>
          <w:rFonts w:ascii="Courier New" w:cs="Courier New" w:eastAsia="Courier New" w:hAnsi="Courier New"/>
          <w:sz w:val="15"/>
          <w:szCs w:val="15"/>
          <w:color w:val="auto"/>
        </w:rPr>
      </w:pPr>
    </w:p>
    <w:p>
      <w:pPr>
        <w:ind w:left="28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of MH Holdings and its two direct subsidiaries has been pledged as collateral for borrowings under the Credit Facility.</w:t>
      </w:r>
    </w:p>
    <w:p>
      <w:pPr>
        <w:spacing w:after="0" w:line="173" w:lineRule="exact"/>
        <w:rPr>
          <w:sz w:val="20"/>
          <w:szCs w:val="20"/>
          <w:color w:val="auto"/>
        </w:rPr>
      </w:pPr>
    </w:p>
    <w:p>
      <w:pPr>
        <w:jc w:val="both"/>
        <w:ind w:left="280" w:right="3239"/>
        <w:spacing w:after="0" w:line="236" w:lineRule="auto"/>
        <w:rPr>
          <w:sz w:val="20"/>
          <w:szCs w:val="20"/>
          <w:color w:val="auto"/>
        </w:rPr>
      </w:pPr>
      <w:r>
        <w:rPr>
          <w:rFonts w:ascii="Courier New" w:cs="Courier New" w:eastAsia="Courier New" w:hAnsi="Courier New"/>
          <w:sz w:val="15"/>
          <w:szCs w:val="15"/>
          <w:color w:val="auto"/>
        </w:rPr>
        <w:t>The Credit Facility contains restrictive covenants which, among other things, limit MH Holdings' ability to enter into arrangements for the acquisition or disposition of assets, investments, mergers and the incurrence of additional indebtedness. The restrictive covenants also require that certain ratios and cash flow</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right="3319"/>
        <w:spacing w:after="0" w:line="234" w:lineRule="auto"/>
        <w:rPr>
          <w:sz w:val="20"/>
          <w:szCs w:val="20"/>
          <w:color w:val="auto"/>
        </w:rPr>
      </w:pPr>
      <w:r>
        <w:rPr>
          <w:rFonts w:ascii="Courier New" w:cs="Courier New" w:eastAsia="Courier New" w:hAnsi="Courier New"/>
          <w:sz w:val="15"/>
          <w:szCs w:val="15"/>
          <w:color w:val="auto"/>
        </w:rPr>
        <w:t>levels be maintained and limit dividend payments, payment of management fees and advances of funds to affiliated entities.</w:t>
      </w:r>
    </w:p>
    <w:p>
      <w:pPr>
        <w:spacing w:after="0" w:line="173"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Prior to the Maclean Hunter Acquisition, the Predecessor Corporation's long-term debt consisted of the Partnership's borrowings under a loan agreement with a bank (the "Loan Agreement"). Borrowings under the Loan Agreement bore interest, at the Partnership's option, at either the Prime Rate or LIBOR plus 1%. Borrowings under the Loan Agreement were repaid prior to the Maclean Hunter Acquisition.</w:t>
      </w:r>
    </w:p>
    <w:p>
      <w:pPr>
        <w:spacing w:after="0" w:line="175"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In 1995, the Company entered into interest rate swap and cap agreements to limit the Company's exposure to loss from adverse fluctuations in interest rates. As of April 20, 1995, $300 million of the Company's variable rate debt was protected by these products. Such agreements mature on various dates through 1997 and the related differentials to be paid or received are recognized as a component of interest expense over the terms of the agreements. As of April 20, 1995, the weighted average interest rate of the products in effect was 7.98%.</w:t>
      </w:r>
    </w:p>
    <w:p>
      <w:pPr>
        <w:spacing w:after="0" w:line="177"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The credit risks associated with the Company's derivative financial instruments are controlled through the evaluation and continual monitoring of the creditworthiness of the counterparties. Although the Company may be exposed to losses in the event of nonperformance by the counterparties, the Company does not expect such losses, if any, to be significant.</w:t>
      </w:r>
    </w:p>
    <w:p>
      <w:pPr>
        <w:spacing w:after="0" w:line="167" w:lineRule="exact"/>
        <w:rPr>
          <w:sz w:val="20"/>
          <w:szCs w:val="20"/>
          <w:color w:val="auto"/>
        </w:rPr>
      </w:pPr>
    </w:p>
    <w:p>
      <w:pPr>
        <w:ind w:left="280" w:hanging="270"/>
        <w:spacing w:after="0"/>
        <w:tabs>
          <w:tab w:leader="none" w:pos="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EQUITY</w:t>
      </w:r>
    </w:p>
    <w:p>
      <w:pPr>
        <w:spacing w:after="0" w:line="172"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owned by Comcast Cable and CalPERS (the "Members"). Comcast Cable is entitled to 55 votes and CalPERS to 45 votes on any Company matters, with a simple majority controlling the actions of the Company, except in certain limited circumstances which require the unanimous approval of the Members.</w:t>
      </w:r>
    </w:p>
    <w:p>
      <w:pPr>
        <w:spacing w:after="0" w:line="173"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December 18, 2001, CalPERS may elect to liquidate its interest in the Company at a price based upon the fair value of CalPERS' interest in the Company, adjusted, under certain circumstances, for certain performance criteria relating to the fair value of the Company or to Comcast's common stock. Except in certain limited circumstances, Comcast, at its option, may satisfy this liquidity arrangement by purchasing CalPERS' interest for cash, through the issuance of Comcast's common stock (subject to certain limitations) or by selling the Company.</w:t>
      </w:r>
    </w:p>
    <w:p>
      <w:pPr>
        <w:spacing w:after="0" w:line="170"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2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LLC is treated as a partnership for income tax purposes. As such, any taxable income or loss directly attributable to the LLC, excluding any income or loss from its subsidiaries, flows through to the Members based on their respective ownership percentages. The subsidiaries of the LLC may not consolidate with the LLC for income tax purposes; however, beginning on the Acquisition Date, its subsidiaries join in filing a consolidated federal income tax return. Comcast Communications Properties, Inc. ("CCP"), a wholly owned subsidiary of the LLC, acts as the common parent of such consolidated group (the "Consolidated Group").</w:t>
      </w:r>
    </w:p>
    <w:p>
      <w:pPr>
        <w:spacing w:after="0" w:line="178" w:lineRule="exact"/>
        <w:rPr>
          <w:rFonts w:ascii="Courier New" w:cs="Courier New" w:eastAsia="Courier New" w:hAnsi="Courier New"/>
          <w:sz w:val="15"/>
          <w:szCs w:val="15"/>
          <w:color w:val="auto"/>
        </w:rPr>
      </w:pPr>
    </w:p>
    <w:p>
      <w:pPr>
        <w:ind w:left="2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Group and the Predecessor Corporation (after January 1, 1993) account for income taxes under SFAS No. 109, which generally provides that deferred tax assets and liabilities be recognized for temporary differences between the financial reporting basis and tax basis of a company's assets and liabilities and expected benefits of utilizing net operating loss carryforwards. The impact on deferred income taxes of changes in tax rates and laws, if any, applied to the years during which temporary differences are expected to be settled are reflected in the financial statements in the period of enactment.</w:t>
      </w:r>
    </w:p>
    <w:p>
      <w:pPr>
        <w:spacing w:after="0" w:line="178" w:lineRule="exact"/>
        <w:rPr>
          <w:sz w:val="20"/>
          <w:szCs w:val="20"/>
          <w:color w:val="auto"/>
        </w:rPr>
      </w:pPr>
    </w:p>
    <w:p>
      <w:pPr>
        <w:ind w:left="280" w:right="3239"/>
        <w:spacing w:after="0" w:line="235" w:lineRule="auto"/>
        <w:rPr>
          <w:sz w:val="20"/>
          <w:szCs w:val="20"/>
          <w:color w:val="auto"/>
        </w:rPr>
      </w:pPr>
      <w:r>
        <w:rPr>
          <w:rFonts w:ascii="Courier New" w:cs="Courier New" w:eastAsia="Courier New" w:hAnsi="Courier New"/>
          <w:sz w:val="15"/>
          <w:szCs w:val="15"/>
          <w:color w:val="auto"/>
        </w:rPr>
        <w:t>The Company's and the Predecessor Corporation's deferred income tax liability as of December 31, 1994 and 1993 principally results from the tax effects of differences between the book and tax basis of property and equipment and deferred charges (excluding goodwill).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As a result of the Maclean Hunter Acquisition, the Consolidated Group recorded a deferred income tax liability of approximately $488.0 million for temporary differences between the financial reporting basis and the income tax reporting basis of the assets of Maclean Hunter and BCI as of the Acquisition Date. Deferred charges were increased by the same amount as prescribed by SFAS No. 109.</w:t>
      </w:r>
    </w:p>
    <w:p>
      <w:pPr>
        <w:spacing w:after="0" w:line="175"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Historically, Maclean Hunter, Inc. filed a consolidated United States federal income tax return. Accordingly, federal income taxes have been recorded in the combined financial statements as though the Predecessor Corporation filed a combined federal income tax return, which excluded any taxable income or loss from any non-cable television and non-alternate access operations of Maclean Hunter, Inc.</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 tax expense (benefit) consists of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6"/>
              </w:rPr>
              <w:t>(Predecessor Corporation)</w:t>
            </w:r>
          </w:p>
        </w:tc>
      </w:tr>
      <w:tr>
        <w:trPr>
          <w:trHeight w:val="168"/>
        </w:trPr>
        <w:tc>
          <w:tcPr>
            <w:tcW w:w="1140" w:type="dxa"/>
            <w:vAlign w:val="bottom"/>
          </w:tcPr>
          <w:p>
            <w:pPr>
              <w:spacing w:after="0"/>
              <w:rPr>
                <w:sz w:val="14"/>
                <w:szCs w:val="14"/>
                <w:color w:val="auto"/>
              </w:rPr>
            </w:pP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December 22,</w:t>
            </w:r>
          </w:p>
        </w:tc>
        <w:tc>
          <w:tcPr>
            <w:tcW w:w="2360" w:type="dxa"/>
            <w:vAlign w:val="bottom"/>
            <w:gridSpan w:val="2"/>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January 1,</w:t>
            </w:r>
          </w:p>
        </w:tc>
        <w:tc>
          <w:tcPr>
            <w:tcW w:w="1140" w:type="dxa"/>
            <w:vAlign w:val="bottom"/>
          </w:tcPr>
          <w:p>
            <w:pPr>
              <w:spacing w:after="0"/>
              <w:rPr>
                <w:sz w:val="14"/>
                <w:szCs w:val="14"/>
                <w:color w:val="auto"/>
              </w:rPr>
            </w:pPr>
          </w:p>
        </w:tc>
      </w:tr>
      <w:tr>
        <w:trPr>
          <w:trHeight w:val="168"/>
        </w:trPr>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1994 to</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1994 to</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December 21,   Year ended December 31,</w:t>
            </w:r>
          </w:p>
        </w:tc>
      </w:tr>
      <w:tr>
        <w:trPr>
          <w:trHeight w:val="168"/>
        </w:trPr>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1994</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spacing w:after="0"/>
              <w:rPr>
                <w:sz w:val="14"/>
                <w:szCs w:val="14"/>
                <w:color w:val="auto"/>
              </w:rPr>
            </w:pPr>
          </w:p>
        </w:tc>
      </w:tr>
    </w:tbl>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4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$19,642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$24,828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$16,218</w:t>
            </w:r>
          </w:p>
        </w:tc>
      </w:tr>
      <w:tr>
        <w:trPr>
          <w:trHeight w:val="168"/>
        </w:trPr>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4,833</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24,482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30,664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21,051</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Deferred expense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3,113</w:t>
            </w:r>
          </w:p>
        </w:tc>
      </w:tr>
      <w:tr>
        <w:trPr>
          <w:trHeight w:val="168"/>
        </w:trPr>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3,783</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$25,943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$32,192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$24,834</w:t>
            </w:r>
          </w:p>
        </w:tc>
      </w:tr>
      <w:tr>
        <w:trPr>
          <w:trHeight w:val="168"/>
        </w:trPr>
        <w:tc>
          <w:tcPr>
            <w:tcW w:w="170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right="3319"/>
        <w:spacing w:after="0" w:line="235" w:lineRule="auto"/>
        <w:rPr>
          <w:sz w:val="20"/>
          <w:szCs w:val="20"/>
          <w:color w:val="auto"/>
        </w:rPr>
      </w:pPr>
      <w:r>
        <w:rPr>
          <w:rFonts w:ascii="Courier New" w:cs="Courier New" w:eastAsia="Courier New" w:hAnsi="Courier New"/>
          <w:sz w:val="15"/>
          <w:szCs w:val="15"/>
          <w:color w:val="auto"/>
        </w:rPr>
        <w:t>The effective income tax expense (benefit) of the Company and the Predecessor Corporation differs from the statutory amount because of the effects of the following items: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(Predecessor Corporation)</w:t>
            </w:r>
          </w:p>
        </w:tc>
      </w:tr>
      <w:tr>
        <w:trPr>
          <w:trHeight w:val="168"/>
        </w:trPr>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8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December 22,</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 to</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 to</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3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6"/>
              </w:rPr>
              <w:t>December 21, Year ended December 31,</w:t>
            </w:r>
          </w:p>
        </w:tc>
      </w:tr>
      <w:tr>
        <w:trPr>
          <w:trHeight w:val="168"/>
        </w:trPr>
        <w:tc>
          <w:tcPr>
            <w:tcW w:w="188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1994</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188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spacing w:after="0"/>
              <w:rPr>
                <w:sz w:val="14"/>
                <w:szCs w:val="14"/>
                <w:color w:val="auto"/>
              </w:rPr>
            </w:pP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Federal tax at</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statutory rate</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$20,426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$27,779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$19,909</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net of</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federal effect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3,632</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taxable to Members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88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$25,943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$24,834</w:t>
            </w:r>
          </w:p>
        </w:tc>
      </w:tr>
      <w:tr>
        <w:trPr>
          <w:trHeight w:val="168"/>
        </w:trPr>
        <w:tc>
          <w:tcPr>
            <w:tcW w:w="188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8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(Continued)</w:t>
      </w:r>
    </w:p>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 PENSION AND OTHER RETIREMENT PLANS</w:t>
      </w:r>
    </w:p>
    <w:p>
      <w:pPr>
        <w:spacing w:after="0" w:line="173" w:lineRule="exact"/>
        <w:rPr>
          <w:sz w:val="20"/>
          <w:szCs w:val="20"/>
          <w:color w:val="auto"/>
        </w:rPr>
      </w:pPr>
    </w:p>
    <w:p>
      <w:pPr>
        <w:ind w:left="280" w:right="3399"/>
        <w:spacing w:after="0" w:line="235" w:lineRule="auto"/>
        <w:rPr>
          <w:sz w:val="20"/>
          <w:szCs w:val="20"/>
          <w:color w:val="auto"/>
        </w:rPr>
      </w:pPr>
      <w:r>
        <w:rPr>
          <w:rFonts w:ascii="Courier New" w:cs="Courier New" w:eastAsia="Courier New" w:hAnsi="Courier New"/>
          <w:sz w:val="15"/>
          <w:szCs w:val="15"/>
          <w:color w:val="auto"/>
        </w:rPr>
        <w:t>The Company has various defined benefit, defined contribution and other retirement plans, which include 401(k) savings and profit sharing plans, covering substantially all employees. The market value of the assets of the Company's defined benefit plans as of December 31, 1994 and 1993 was</w:t>
      </w:r>
    </w:p>
    <w:p>
      <w:pPr>
        <w:spacing w:after="0" w:line="7" w:lineRule="exact"/>
        <w:rPr>
          <w:sz w:val="20"/>
          <w:szCs w:val="20"/>
          <w:color w:val="auto"/>
        </w:rPr>
      </w:pPr>
    </w:p>
    <w:p>
      <w:pPr>
        <w:ind w:left="280" w:right="3239"/>
        <w:spacing w:after="0" w:line="236" w:lineRule="auto"/>
        <w:rPr>
          <w:sz w:val="20"/>
          <w:szCs w:val="20"/>
          <w:color w:val="auto"/>
        </w:rPr>
      </w:pPr>
      <w:r>
        <w:rPr>
          <w:rFonts w:ascii="Courier New" w:cs="Courier New" w:eastAsia="Courier New" w:hAnsi="Courier New"/>
          <w:sz w:val="15"/>
          <w:szCs w:val="15"/>
          <w:color w:val="auto"/>
        </w:rPr>
        <w:t>$3.9 million, and $3.7 million, respectively, and the estimated accrued benefits related to such plans as of December 31, 1994 and 1993 were $5.0 million and $5.7 million, respectively. The Company's expense associated with its defined contribution and other retirement plans was not significant in 1994, 1993 and 1992.</w:t>
      </w:r>
    </w:p>
    <w:p>
      <w:pPr>
        <w:spacing w:after="0" w:line="174" w:lineRule="exact"/>
        <w:rPr>
          <w:sz w:val="20"/>
          <w:szCs w:val="20"/>
          <w:color w:val="auto"/>
        </w:rPr>
      </w:pPr>
    </w:p>
    <w:p>
      <w:pPr>
        <w:ind w:left="280" w:right="3939"/>
        <w:spacing w:after="0" w:line="234" w:lineRule="auto"/>
        <w:rPr>
          <w:sz w:val="20"/>
          <w:szCs w:val="20"/>
          <w:color w:val="auto"/>
        </w:rPr>
      </w:pPr>
      <w:r>
        <w:rPr>
          <w:rFonts w:ascii="Courier New" w:cs="Courier New" w:eastAsia="Courier New" w:hAnsi="Courier New"/>
          <w:sz w:val="15"/>
          <w:szCs w:val="15"/>
          <w:color w:val="auto"/>
        </w:rPr>
        <w:t>The Company does not offer any other postretirement or postemployment benefits.</w:t>
      </w:r>
    </w:p>
    <w:p>
      <w:pPr>
        <w:spacing w:after="0" w:line="173" w:lineRule="exact"/>
        <w:rPr>
          <w:sz w:val="20"/>
          <w:szCs w:val="20"/>
          <w:color w:val="auto"/>
        </w:rPr>
      </w:pPr>
    </w:p>
    <w:p>
      <w:pPr>
        <w:ind w:left="280" w:right="7339" w:hanging="270"/>
        <w:spacing w:after="0" w:line="465"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left="280" w:right="3839"/>
        <w:spacing w:after="0" w:line="234" w:lineRule="auto"/>
        <w:rPr>
          <w:sz w:val="20"/>
          <w:szCs w:val="20"/>
          <w:color w:val="auto"/>
        </w:rPr>
      </w:pPr>
      <w:r>
        <w:rPr>
          <w:rFonts w:ascii="Courier New" w:cs="Courier New" w:eastAsia="Courier New" w:hAnsi="Courier New"/>
          <w:sz w:val="15"/>
          <w:szCs w:val="15"/>
          <w:color w:val="auto"/>
        </w:rPr>
        <w:t>Minimum annual rental commitments for office space and equipment under noncancellable operating leases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(Dollars</w:t>
            </w:r>
          </w:p>
        </w:tc>
      </w:tr>
      <w:tr>
        <w:trPr>
          <w:trHeight w:val="168"/>
        </w:trPr>
        <w:tc>
          <w:tcPr>
            <w:tcW w:w="122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122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529</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1,520</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left="280" w:right="3319"/>
        <w:spacing w:after="0" w:line="235" w:lineRule="auto"/>
        <w:rPr>
          <w:sz w:val="20"/>
          <w:szCs w:val="20"/>
          <w:color w:val="auto"/>
        </w:rPr>
      </w:pPr>
      <w:r>
        <w:rPr>
          <w:rFonts w:ascii="Courier New" w:cs="Courier New" w:eastAsia="Courier New" w:hAnsi="Courier New"/>
          <w:sz w:val="15"/>
          <w:szCs w:val="15"/>
          <w:color w:val="auto"/>
        </w:rPr>
        <w:t>The Company is subject to claims and legal proceedings which arise in the ordinary course of its business. In the opinion of management, the amount of ultimate liability with respect to these actions will not materially affect the financial position or results of operations of the Company.</w:t>
      </w:r>
    </w:p>
    <w:p>
      <w:pPr>
        <w:spacing w:after="0" w:line="175" w:lineRule="exact"/>
        <w:rPr>
          <w:sz w:val="20"/>
          <w:szCs w:val="20"/>
          <w:color w:val="auto"/>
        </w:rPr>
      </w:pPr>
    </w:p>
    <w:p>
      <w:pPr>
        <w:ind w:left="280" w:right="3239"/>
        <w:spacing w:after="0" w:line="237" w:lineRule="auto"/>
        <w:rPr>
          <w:sz w:val="20"/>
          <w:szCs w:val="20"/>
          <w:color w:val="auto"/>
        </w:rPr>
      </w:pPr>
      <w:r>
        <w:rPr>
          <w:rFonts w:ascii="Courier New" w:cs="Courier New" w:eastAsia="Courier New" w:hAnsi="Courier New"/>
          <w:sz w:val="15"/>
          <w:szCs w:val="15"/>
          <w:color w:val="auto"/>
        </w:rPr>
        <w:t>On April 1, 1993, the Federal Communications Commission ("FCC") adopted regulations in accordance with the Cable Television Consumer Protection and Competition Act of 1992 ("1992 Cable Act") governing rates that may be charged to subscribers for basic service and certain nonbasic cable programming services (collectively, the "Regulated Services"). The FCC's rate regulations became effective September 1, 1993. The FCC adopted a benchmark methodology as the principal method of regulating rates for Regulated Services. Cable operators were also permitted to justify rates using a reasonable cost-of-service methodology. As of September 1, 1993, cable operators whose then current rates were above FCC benchmark levels were required, absent a successful cost-of-service showing, to reduce such rates to the benchmark level or by up to 10% of those rates in effect on September 30, 1992, whichever reduction was less, adjusted for equipment costs, inflation and programming modifications occurring subsequent to September 30, 1992.</w:t>
      </w:r>
    </w:p>
    <w:p>
      <w:pPr>
        <w:spacing w:after="0" w:line="174" w:lineRule="exact"/>
        <w:rPr>
          <w:sz w:val="20"/>
          <w:szCs w:val="20"/>
          <w:color w:val="auto"/>
        </w:rPr>
      </w:pPr>
    </w:p>
    <w:p>
      <w:pPr>
        <w:ind w:left="280" w:right="3239"/>
        <w:spacing w:after="0" w:line="237" w:lineRule="auto"/>
        <w:rPr>
          <w:sz w:val="20"/>
          <w:szCs w:val="20"/>
          <w:color w:val="auto"/>
        </w:rPr>
      </w:pPr>
      <w:r>
        <w:rPr>
          <w:rFonts w:ascii="Courier New" w:cs="Courier New" w:eastAsia="Courier New" w:hAnsi="Courier New"/>
          <w:sz w:val="15"/>
          <w:szCs w:val="15"/>
          <w:color w:val="auto"/>
        </w:rPr>
        <w:t>On February 22, 1994, the FCC adopted interim cost-of-service regulations establishing, among other things, an industry-wide 11.25% after tax rate of return on an operator's allowable rate base and a rebuttable presumption that acquisition costs above original historic book value of tangible assets should be excluded from the allowable rate base. Effective May 15, 1994, the FCC modified its existing benchmark methodology to require, absent a successful cost-of-service showing, reductions of up to 17% of the rates for Regulated Services in effect on September 30, 1992, adjusted for inflation, programming modifications, equipment costs, and increases in certain operating costs. The FCC's modified benchmark regulations were designed to cause an additional 7% reduction in the rates for Regulated Services on top of any rate reductions implemented under the FCC's initial benchmark regulations.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COMCAST MHCP HOLDINGS, L.L.C.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237" w:lineRule="auto"/>
        <w:rPr>
          <w:sz w:val="20"/>
          <w:szCs w:val="20"/>
          <w:color w:val="auto"/>
        </w:rPr>
      </w:pPr>
      <w:r>
        <w:rPr>
          <w:rFonts w:ascii="Courier New" w:cs="Courier New" w:eastAsia="Courier New" w:hAnsi="Courier New"/>
          <w:sz w:val="15"/>
          <w:szCs w:val="15"/>
          <w:color w:val="auto"/>
        </w:rPr>
        <w:t>PERIODS FROM JANUARY 1, 1994 TO DECEMBER 21, 1994 AND</w:t>
      </w:r>
    </w:p>
    <w:p>
      <w:pPr>
        <w:ind w:left="180"/>
        <w:spacing w:after="0" w:line="238" w:lineRule="auto"/>
        <w:rPr>
          <w:sz w:val="20"/>
          <w:szCs w:val="20"/>
          <w:color w:val="auto"/>
        </w:rPr>
      </w:pPr>
      <w:r>
        <w:rPr>
          <w:rFonts w:ascii="Courier New" w:cs="Courier New" w:eastAsia="Courier New" w:hAnsi="Courier New"/>
          <w:sz w:val="15"/>
          <w:szCs w:val="15"/>
          <w:color w:val="auto"/>
        </w:rPr>
        <w:t>DECEMBER 22, 1994 TO DECEMBER 31, 1994 AND YEARS ENDED</w:t>
      </w:r>
    </w:p>
    <w:p>
      <w:pPr>
        <w:ind w:left="180"/>
        <w:spacing w:after="0" w:line="237" w:lineRule="auto"/>
        <w:rPr>
          <w:sz w:val="20"/>
          <w:szCs w:val="20"/>
          <w:color w:val="auto"/>
        </w:rPr>
      </w:pPr>
      <w:r>
        <w:rPr>
          <w:rFonts w:ascii="Courier New" w:cs="Courier New" w:eastAsia="Courier New" w:hAnsi="Courier New"/>
          <w:sz w:val="15"/>
          <w:szCs w:val="15"/>
          <w:color w:val="auto"/>
        </w:rPr>
        <w:t>DECEMBER 31, 1993 AND 1992 (Concluded)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280" w:right="3239"/>
        <w:spacing w:after="0" w:line="255" w:lineRule="auto"/>
        <w:rPr>
          <w:sz w:val="20"/>
          <w:szCs w:val="20"/>
          <w:color w:val="auto"/>
        </w:rPr>
      </w:pPr>
      <w:r>
        <w:rPr>
          <w:rFonts w:ascii="Courier New" w:cs="Courier New" w:eastAsia="Courier New" w:hAnsi="Courier New"/>
          <w:sz w:val="14"/>
          <w:szCs w:val="14"/>
          <w:color w:val="auto"/>
        </w:rPr>
        <w:t>In July 1994, the Company reduced rates for Regulated Services in those cable systems regulated under the benchmark standards to comply with the modified benchmarks and regulations. In addition, the Company is currently seeking to justify the Partnership's existing rates on the basis of cost-of-service showings. Although management believes that the Partnership's rates are supportable in a cost-of-service showing, no assurance can be given that the Partnership will be successful. If the Partnership is not successful in such efforts, and there is no legislative, administrative or judicial relief, the FCC regulations may adversely affect the Company's results of operations.</w:t>
      </w:r>
    </w:p>
    <w:p>
      <w:pPr>
        <w:spacing w:after="0" w:line="159"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ABOUT FAIR VALUE OF FINANCIAL INSTRUMENTS</w:t>
      </w:r>
    </w:p>
    <w:p>
      <w:pPr>
        <w:spacing w:after="0" w:line="173" w:lineRule="exact"/>
        <w:rPr>
          <w:sz w:val="20"/>
          <w:szCs w:val="20"/>
          <w:color w:val="auto"/>
        </w:rPr>
      </w:pPr>
    </w:p>
    <w:p>
      <w:pPr>
        <w:ind w:left="280" w:right="3239"/>
        <w:spacing w:after="0" w:line="235" w:lineRule="auto"/>
        <w:rPr>
          <w:sz w:val="20"/>
          <w:szCs w:val="20"/>
          <w:color w:val="auto"/>
        </w:rPr>
      </w:pPr>
      <w:r>
        <w:rPr>
          <w:rFonts w:ascii="Courier New" w:cs="Courier New" w:eastAsia="Courier New" w:hAnsi="Courier New"/>
          <w:sz w:val="15"/>
          <w:szCs w:val="15"/>
          <w:color w:val="auto"/>
        </w:rPr>
        <w:t>The following information regarding the estimated fair value of the Company's financial instruments is made in accordance with the provisions of SFAS No. 107, "Disclosures About Fair Value of Financial Instruments." See Note 4 for a description of methodologies used for such disclosures.</w:t>
      </w:r>
    </w:p>
    <w:p>
      <w:pPr>
        <w:spacing w:after="0" w:line="175" w:lineRule="exact"/>
        <w:rPr>
          <w:sz w:val="20"/>
          <w:szCs w:val="20"/>
          <w:color w:val="auto"/>
        </w:rPr>
      </w:pPr>
    </w:p>
    <w:p>
      <w:pPr>
        <w:jc w:val="both"/>
        <w:ind w:left="280" w:right="3399"/>
        <w:spacing w:after="0" w:line="235" w:lineRule="auto"/>
        <w:rPr>
          <w:sz w:val="20"/>
          <w:szCs w:val="20"/>
          <w:color w:val="auto"/>
        </w:rPr>
      </w:pPr>
      <w:r>
        <w:rPr>
          <w:rFonts w:ascii="Courier New" w:cs="Courier New" w:eastAsia="Courier New" w:hAnsi="Courier New"/>
          <w:sz w:val="15"/>
          <w:szCs w:val="15"/>
          <w:color w:val="auto"/>
        </w:rPr>
        <w:t>The carring amounts of the Company's cash equivalents, accounts receivable, accounts payable and other current assets and liabilities approximate their fair values as of December 31, 1994 and 1993.</w:t>
      </w:r>
    </w:p>
    <w:p>
      <w:pPr>
        <w:spacing w:after="0" w:line="174" w:lineRule="exact"/>
        <w:rPr>
          <w:sz w:val="20"/>
          <w:szCs w:val="20"/>
          <w:color w:val="auto"/>
        </w:rPr>
      </w:pPr>
    </w:p>
    <w:p>
      <w:pPr>
        <w:ind w:left="280" w:right="3239"/>
        <w:spacing w:after="0" w:line="256" w:lineRule="auto"/>
        <w:rPr>
          <w:sz w:val="20"/>
          <w:szCs w:val="20"/>
          <w:color w:val="auto"/>
        </w:rPr>
      </w:pPr>
      <w:r>
        <w:rPr>
          <w:rFonts w:ascii="Courier New" w:cs="Courier New" w:eastAsia="Courier New" w:hAnsi="Courier New"/>
          <w:sz w:val="14"/>
          <w:szCs w:val="14"/>
          <w:color w:val="auto"/>
        </w:rPr>
        <w:t>The difference between the carrying value and estimated fair value of the Company's long-term debt was not significant as of December 31, 1994 and 1993. Interest rates that are currently available to the Company for issuance of the debt with similar terms and remaining maturities are used to estimate fair value for debt issues for which quoted market prices are not available.</w:t>
      </w:r>
    </w:p>
    <w:p>
      <w:pPr>
        <w:spacing w:after="0" w:line="163" w:lineRule="exact"/>
        <w:rPr>
          <w:sz w:val="20"/>
          <w:szCs w:val="20"/>
          <w:color w:val="auto"/>
        </w:rPr>
      </w:pPr>
    </w:p>
    <w:p>
      <w:pPr>
        <w:jc w:val="both"/>
        <w:ind w:left="280" w:right="3399"/>
        <w:spacing w:after="0" w:line="235" w:lineRule="auto"/>
        <w:rPr>
          <w:sz w:val="20"/>
          <w:szCs w:val="20"/>
          <w:color w:val="auto"/>
        </w:rPr>
      </w:pPr>
      <w:r>
        <w:rPr>
          <w:rFonts w:ascii="Courier New" w:cs="Courier New" w:eastAsia="Courier New" w:hAnsi="Courier New"/>
          <w:sz w:val="15"/>
          <w:szCs w:val="15"/>
          <w:color w:val="auto"/>
        </w:rPr>
        <w:t>A reasonable estimate of the fair values of balances due to/from affiliates is not practicable to obtain because of their related party nature and the lack of market information.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balance sheets of QVC, Inc. and subsidiaries as of January 31, 1995 and 1994, and the related consolidated statements of operations, shareholders' equity and cash flows for each of the years in the three-year period ended January 31, 1995.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January 31, 1995 and 1994, and the results of their operations and their cash flows for each of the years in the three-year period ended January 31, 1995, in conformity with generally accepted accounting principles.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discussed in Notes 1 and 14 to the consolidated financial statements, the Company changed its method of accounting for income taxes in 1993 to adopt the provisions of the Financial Accounting Standards Board's Statement of Financial Accounting Standards No. 109, Accounting for Income Taxes.</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March 3,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QVC, INC.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6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120,818</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15,873</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doubtful accounts of $70,135 in 1995 and</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$52,759 in 1994 (Note 3)</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217,036</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183,162</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159,817</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148,208</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 (Note 14)</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53,560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59,749</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8,355</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5,536</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559,586</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412,528</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less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depreciation of $41,979 in 1995</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$38,522 in 1994 (Note 4)</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92,567</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80,579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television distribution rights, net (Note 5)</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105,705</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99,579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net (Note 6)</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39,657</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33,664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acquired net assets, less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amortization of $53,330 in 1995</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$43,551 in 1994</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242,031</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251,810</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$1,039,546</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878,160</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 (Note 8)</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3,173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3,114</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payable-trade</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92,445</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81,594</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 (Note 7)</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301,823</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225,989</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397,441</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310,697</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 (Note 8)</w:t>
            </w:r>
          </w:p>
        </w:tc>
        <w:tc>
          <w:tcPr>
            <w:tcW w:w="500" w:type="dxa"/>
            <w:vAlign w:val="bottom"/>
          </w:tcPr>
          <w:p>
            <w:pPr>
              <w:spacing w:after="0"/>
              <w:rPr>
                <w:sz w:val="24"/>
                <w:szCs w:val="24"/>
                <w:color w:val="auto"/>
              </w:rPr>
            </w:pPr>
          </w:p>
        </w:tc>
        <w:tc>
          <w:tcPr>
            <w:tcW w:w="10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6,443</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7,044</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403,884</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317,741</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9, 14 and 15)</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Shareholders' equity (Notes 10 and 11):</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 par value $.10</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par value $.01</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454,209</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446,027</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180,526</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113,937</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 adjustments</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467</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50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635,662</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560,419</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$1,039,546</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878,160</w:t>
            </w:r>
          </w:p>
        </w:tc>
      </w:tr>
      <w:tr>
        <w:trPr>
          <w:trHeight w:val="168"/>
        </w:trPr>
        <w:tc>
          <w:tcPr>
            <w:tcW w:w="468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QVC, INC. AND SUBSIDIARIES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34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1992</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$1,390,106</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$1,222,104</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$1,070,587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848,536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723,175</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621,840</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541,570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498,929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448,747</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Variable costs</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179,509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171,242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160,420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156,372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132,743</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123,604</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16,682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17,105</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28,864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26,019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29,420</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382,921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346,686</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330,549</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158,649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152,243</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118,198</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of Paramount tender offer (Note 17)</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(34,800)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 from joint ventures (Note 6)</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(34,643)</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(11,432)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(18,364)</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18,742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10,865</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8,834</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(17,300)</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(36,957)</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(9,530)</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extraordinary</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 a change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141,349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115,286</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108,668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(Note 14)</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(74,760)</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(59,975)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(52,080)</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66,589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55,311</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56,588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 loss on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extinguishment of debt, net of</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(Note 6)</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 (Note 14)</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66,589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55,092</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 (Note 12):</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 net of tax benefit</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for income taxes</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 net of tax benefit</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for income taxes</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equivalent shares used in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computing income per share: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Primary</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48,477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50,062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43,890</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Fully diluted</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48,885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50,205</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45,386</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QVC, INC.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Fiscal Year</w:t>
            </w:r>
          </w:p>
        </w:tc>
        <w:tc>
          <w:tcPr>
            <w:tcW w:w="100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37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$ 66,589</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$ 59,301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$ 55,092</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for non-cash items included in</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deferred taxes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3,366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20,275</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 change in accounting</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income taxes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extinguishment of debt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2,720</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Losses from joint ventures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34,643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11,432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18,176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16,682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17,105</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28,864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26,019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29,420</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 of executive stock award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4,869</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incurred but not paid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Losses on sales of fixed assets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other non-current assets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(7,985)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5,303</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Effects of changes in working capital items (Note 16)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44,572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(36,239)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(33,557)</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181,024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73,303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101,413</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(24,588)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(21,137)</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and advances to joint ventures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(31,788)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(22,626)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sales of property, plant and equipment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other non-current assets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(21,450)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(83,724)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(47,561)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(21,598)</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under Senior term loan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(135,297)</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payments under capitalized lease,</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mortgages and other debt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(5,300)</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Borrowings under revolving credit facilities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against revolving credit facilities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exercise of stock options and other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16,687</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exercise of warrants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6,185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11,570</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7,645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(14,148)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(112,340)</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104,945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(32,525)</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15,873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4,279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36,804</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$120,818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$ 15,873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4,279</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QVC, INC.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316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Retained</w:t>
            </w:r>
          </w:p>
        </w:tc>
        <w:tc>
          <w:tcPr>
            <w:tcW w:w="10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w w:val="98"/>
              </w:rPr>
              <w:t>Foreign Currency</w:t>
            </w:r>
          </w:p>
        </w:tc>
        <w:tc>
          <w:tcPr>
            <w:tcW w:w="480" w:type="dxa"/>
            <w:vAlign w:val="bottom"/>
          </w:tcPr>
          <w:p>
            <w:pPr>
              <w:spacing w:after="0"/>
              <w:rPr>
                <w:sz w:val="14"/>
                <w:szCs w:val="14"/>
                <w:color w:val="auto"/>
              </w:rPr>
            </w:pPr>
          </w:p>
        </w:tc>
      </w:tr>
      <w:tr>
        <w:trPr>
          <w:trHeight w:val="168"/>
        </w:trPr>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Convertible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w:t>
            </w:r>
          </w:p>
        </w:tc>
        <w:tc>
          <w:tcPr>
            <w:tcW w:w="14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Earnings</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w:t>
            </w:r>
          </w:p>
        </w:tc>
        <w:tc>
          <w:tcPr>
            <w:tcW w:w="1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Translation</w:t>
            </w:r>
          </w:p>
        </w:tc>
        <w:tc>
          <w:tcPr>
            <w:tcW w:w="48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(Deficit)</w:t>
            </w:r>
          </w:p>
        </w:tc>
        <w:tc>
          <w:tcPr>
            <w:tcW w:w="1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w:t>
            </w:r>
          </w:p>
        </w:tc>
        <w:tc>
          <w:tcPr>
            <w:tcW w:w="1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Adjustments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January 31, 1992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$325,948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$325,786</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for year</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55,092</w:t>
            </w:r>
          </w:p>
        </w:tc>
        <w:tc>
          <w:tcPr>
            <w:tcW w:w="22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55,092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 resulting</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capital stock transactions,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 and net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loss carryforward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22,312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exercise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16,708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16,690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11,570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 of executive stock award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exchanged for Common Stock,</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unamortized debt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placement fees of $1,260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28,723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28,740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issued in warrant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exchange offer (Note 11)</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91,394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(91,462)</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shares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Treasury Stock</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91,566</w:t>
            </w:r>
          </w:p>
        </w:tc>
        <w:tc>
          <w:tcPr>
            <w:tcW w:w="5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January 31,</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409,970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54,636</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456,056</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income for year</w:t>
            </w:r>
          </w:p>
        </w:tc>
        <w:tc>
          <w:tcPr>
            <w:tcW w:w="158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59,301</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59,301</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benefit resulting from</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of a change in</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for income taxes</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27,053</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27,053</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benefit resulting from</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1,655</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1,655</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Proceeds from exercise of employee</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1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1,168</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1,169</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Proceeds from exercise of warrants</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6,181</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Conversion of shares</w:t>
            </w:r>
          </w:p>
        </w:tc>
        <w:tc>
          <w:tcPr>
            <w:tcW w:w="15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January 31, 1994</w:t>
            </w:r>
          </w:p>
        </w:tc>
        <w:tc>
          <w:tcPr>
            <w:tcW w:w="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399</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446,027</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113,937</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560,419</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 for year</w:t>
            </w:r>
          </w:p>
        </w:tc>
        <w:tc>
          <w:tcPr>
            <w:tcW w:w="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66,589</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66,589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employee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5,085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warrants</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3,097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shares</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adjustments</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580" w:val="left"/>
          <w:tab w:leader="none" w:pos="4720" w:val="left"/>
          <w:tab w:leader="none" w:pos="5840" w:val="left"/>
          <w:tab w:leader="none" w:pos="7080" w:val="left"/>
          <w:tab w:leader="none" w:pos="8120" w:val="left"/>
          <w:tab w:leader="none" w:pos="8740" w:val="left"/>
          <w:tab w:leader="none" w:pos="9520" w:val="left"/>
          <w:tab w:leader="none" w:pos="9780" w:val="left"/>
          <w:tab w:leader="none" w:pos="10480" w:val="left"/>
        </w:tabs>
        <w:rPr>
          <w:sz w:val="20"/>
          <w:szCs w:val="20"/>
          <w:color w:val="auto"/>
        </w:rPr>
      </w:pPr>
      <w:r>
        <w:rPr>
          <w:rFonts w:ascii="Courier New" w:cs="Courier New" w:eastAsia="Courier New" w:hAnsi="Courier New"/>
          <w:sz w:val="15"/>
          <w:szCs w:val="15"/>
          <w:color w:val="auto"/>
        </w:rPr>
        <w:t>Balance January 31, 1995</w:t>
      </w:r>
      <w:r>
        <w:rPr>
          <w:sz w:val="20"/>
          <w:szCs w:val="20"/>
          <w:color w:val="auto"/>
        </w:rPr>
        <w:tab/>
      </w:r>
      <w:r>
        <w:rPr>
          <w:rFonts w:ascii="Courier New" w:cs="Courier New" w:eastAsia="Courier New" w:hAnsi="Courier New"/>
          <w:sz w:val="15"/>
          <w:szCs w:val="15"/>
          <w:color w:val="auto"/>
        </w:rPr>
        <w:t>$ 50</w:t>
      </w:r>
      <w:r>
        <w:rPr>
          <w:sz w:val="20"/>
          <w:szCs w:val="20"/>
          <w:color w:val="auto"/>
        </w:rPr>
        <w:tab/>
      </w: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$454,209</w:t>
      </w:r>
      <w:r>
        <w:rPr>
          <w:sz w:val="20"/>
          <w:szCs w:val="20"/>
          <w:color w:val="auto"/>
        </w:rPr>
        <w:tab/>
      </w:r>
      <w:r>
        <w:rPr>
          <w:rFonts w:ascii="Courier New" w:cs="Courier New" w:eastAsia="Courier New" w:hAnsi="Courier New"/>
          <w:sz w:val="15"/>
          <w:szCs w:val="15"/>
          <w:color w:val="auto"/>
        </w:rPr>
        <w:t>$180,526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467</w:t>
      </w:r>
      <w:r>
        <w:rPr>
          <w:sz w:val="20"/>
          <w:szCs w:val="20"/>
          <w:color w:val="auto"/>
        </w:rPr>
        <w:tab/>
      </w:r>
      <w:r>
        <w:rPr>
          <w:rFonts w:ascii="Courier New" w:cs="Courier New" w:eastAsia="Courier New" w:hAnsi="Courier New"/>
          <w:sz w:val="14"/>
          <w:szCs w:val="14"/>
          <w:color w:val="auto"/>
        </w:rPr>
        <w:t>$635,662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482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1380"/>
          </w:cols>
          <w:pgMar w:left="220" w:top="617" w:right="299" w:bottom="1440" w:gutter="0" w:footer="0" w:header="0"/>
        </w:sectPr>
      </w:pPr>
    </w:p>
    <w:bookmarkStart w:id="36" w:name="page37"/>
    <w:bookmarkEnd w:id="36"/>
    <w:p>
      <w:pPr>
        <w:jc w:val="center"/>
        <w:ind w:right="3219"/>
        <w:spacing w:after="0"/>
        <w:rPr>
          <w:sz w:val="20"/>
          <w:szCs w:val="20"/>
          <w:color w:val="auto"/>
        </w:rPr>
      </w:pPr>
      <w:r>
        <w:rPr>
          <w:rFonts w:ascii="Courier New" w:cs="Courier New" w:eastAsia="Courier New" w:hAnsi="Courier New"/>
          <w:sz w:val="15"/>
          <w:szCs w:val="15"/>
          <w:color w:val="auto"/>
        </w:rPr>
        <w:t>QVC,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the QVC, Inc. and all subsidiaries ("QVC" or the "Company"). Investments in the Company's joint ventures (50% or less owned) are accounted for under the equity method. All significant intercompany accounts and transactions are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Company's fiscal year ends on January 31. Fiscal years are designated in the financial statements and notes by the calendar year in which the fiscal year commences.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All highly-liquid debt instruments purchased with a maturity of three months or less are classified as cash equivalents. The carrying amounts reported in the balance sheet for cash and cash equivalents approximate those assets'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average cost method which approximates the first-in, first-out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costs of property, plant and equipment are capitalized and depreciated over their estimated useful lives using the straight-line method. When assets are sold or retired, the cost and accumulated depreciation are removed from the accounts and any gain or loss is included in income. The costs of maintenance and repairs are charged to expense as incurred.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acquired net assets.</w:t>
      </w:r>
    </w:p>
    <w:p>
      <w:pPr>
        <w:spacing w:after="0" w:line="173"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The excess of cost over acquired net assets is amortized over thirty years using the straight-line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Assets and liabilities of foreign operations are translated at current exchange rates, and related translation adjustments are reported as a component of shareholders' equity. Statement of Operations accounts are translated at the average rates for the period. Exchange gains and losses resulting from foreign currency transactions are included in losses from joint ventures.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and returns.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Revenue is recognized at time of shipment to customers. The Company's policy is to allow customers to return merchandise for full credit up to thirty days after date of shipment. An allowance for returned merchandise is provided as a percentage of sales based on historical experience. The return provision was approximately 21, 21, and 19 percent of sales in fiscal 1994, 1993 and</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1992, respectively.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of start-up costs.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Company capitalizes all direct incremental costs incurred prior to operations for new broadcast ventures. These costs are amortized over a period of eighteen months starting at the commencement of broadcast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Effective February 1, 1993, the Company adopted Statement of Financial Accounting Standards No. 109, Accounting for Income Taxes ("SFAS 109"). The cumulative effect of the change in the method of accounting for income taxes was included in the first quarter of 1993 Consolidated Statements of Operations and Shareholders' Equity. Prior years' financial statements were not restated. Under the asset and liability method of SFAS 109,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statutory tax rates expected to apply to taxable income in the years in which those temporary differences are expected to be recovered or settled.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previously used the asset and liability method under SFAS 96. Under the asset and liability method of SFAS 96, deferred tax assets and liabilities were recognized for all events that had been recognized in the financial statements. Under SFAS 96, the future tax consequences of recovering assets or settling liabilities at their financial statement carrying amounts were considered in calculating deferred taxes. Generally, SFAS 96 prohibited consideration of any other future events in calculating deferred taxes.</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Note 2 - ACQUISITION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August 1994, Comcast Corporation ("Comcast"), Liberty Media Corporation ("Liberty"), a wholly-owned subsidiary of Tele-Communications, Inc., QVC Programming Holdings, Inc. ("Holdings"), a jointly-owned entity of Comcast and Liberty, and the Company entered into a merger Agreement (the "Merger Agreement"), providing for the acquisition of QVC, Inc. by Holdings. Holdings commenced a tender offer to purchase all the outstanding shares of Common and Preferred stock of QVC, Inc. for $46 and $460 per share, respectively, which was completed on February 9, 1995 (the "Offer").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cost of the acquisition of the QVC stock not previously owned by Comcast, Liberty or their affiliates was approximately $1.6 billion. Comcast and Liberty funded $274 million of the cost of the acquisition, the proceeds from the exercise of stock options and warrants funded $242 million of the acquisition, with the balance provided through $1.1 billion of debt financing which, after the Merger, is the obligation of QVC. On February 15, 1995, Holdings was merged into QVC. Following the Merger, Comcast and Liberty own approximately 57% and 43%, respectively, of QVC and QVC will be controlled by Comcast.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 of the QVC stock not previously owned by Comcast or Liberty was accounted for using the purchase method. The purchase price will be allocated to net assets on the basis of appraisals and estimated fair values. The excess of such aggregate purchase price over the fair market values of net assets acquired will be classified in the balance sheet as 'Excess of cost over acquired assets' and amortized over thirty years using the straight-line method.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pro-forma unaudited results of operations for the year ended January 31, 1995, assuming the purchase of QVC had been consummated as of the beginning of fiscal 1994, is presented below. Adjustments have been made for interest expense attributable to financing the acquisition, amortization of amounts assigned to cable television distribution rights, and amortization of excess purchase price (Stated in millions):</w:t>
      </w:r>
    </w:p>
    <w:p>
      <w:pPr>
        <w:spacing w:after="0" w:line="200" w:lineRule="exact"/>
        <w:rPr>
          <w:sz w:val="20"/>
          <w:szCs w:val="20"/>
          <w:color w:val="auto"/>
        </w:rPr>
      </w:pPr>
    </w:p>
    <w:p>
      <w:pPr>
        <w:spacing w:after="0" w:line="30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34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9"/>
              </w:rPr>
              <w:t>1994</w:t>
            </w:r>
          </w:p>
        </w:tc>
      </w:tr>
      <w:tr>
        <w:trPr>
          <w:trHeight w:val="168"/>
        </w:trPr>
        <w:tc>
          <w:tcPr>
            <w:tcW w:w="1720" w:type="dxa"/>
            <w:vAlign w:val="bottom"/>
          </w:tcPr>
          <w:p>
            <w:pPr>
              <w:spacing w:after="0"/>
              <w:rPr>
                <w:sz w:val="14"/>
                <w:szCs w:val="14"/>
                <w:color w:val="auto"/>
              </w:rPr>
            </w:pPr>
          </w:p>
        </w:tc>
        <w:tc>
          <w:tcPr>
            <w:tcW w:w="13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34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6"/>
              </w:rPr>
              <w:t>$1,390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pro-forma financial information presented above is not necessarily indicative of either the results of operations that would have occurred had the acquisition taken place at the beginning of the period presented or of future results of operations.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Note 3 - ACCOUNTS RECEIVABLE</w:t>
      </w:r>
    </w:p>
    <w:p>
      <w:pPr>
        <w:spacing w:after="0" w:line="173"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The Company has an agreement with an unrelated third party which provides for the sale and servicing of accounts receivable originating from the Company's revolving credit card. The Company sold accounts receivable at face value of $480.5 million, $418.2 million and $392.7 million</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under this agreement in fiscal 1994, 1993 and 1992, respectively. The Company remains 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 The Company is required to pay certain finance and servicing fees which are offset by finance charges on customer account balances. The net amount of this finance charge income is included as interest income and is comprised of the following (in millions):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c>
          <w:tcPr>
            <w:tcW w:w="4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Finance charges on customer</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 balances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Funding fees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Service fees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finance income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$ 5.6</w:t>
            </w:r>
          </w:p>
        </w:tc>
      </w:tr>
      <w:tr>
        <w:trPr>
          <w:trHeight w:val="168"/>
        </w:trPr>
        <w:tc>
          <w:tcPr>
            <w:tcW w:w="27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uncollected balances of accounts receivable sold under this program are $232.5 million and $201.2 million at January 31, 1995 and 1994, respectively, of which $232.5 million and $170.1 million represent deposits under the agreement and which are included in accounts receivable. The total reserve balances maintained for the repurchase of uncollectible accounts are $62.9 million and $55.7 million at January 31, 1995 and 1994, respectively. Approximately $8.6 million of the reserve balances was included in accrued liabilities at January 31, 1994; the remaining balances are included with allowance for doubtful accounts.</w:t>
      </w:r>
    </w:p>
    <w:p>
      <w:pPr>
        <w:spacing w:after="0" w:line="178"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Receivables sold under this agreement are considered financial instruments with off-balance sheet risk as defined in Statement of Financial Accounting Standards No. 105.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Note 4 - PROPERTY, PLANT AND EQUIPMENT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January 31,</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328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Courier New" w:cs="Courier New" w:eastAsia="Courier New" w:hAnsi="Courier New"/>
                <w:sz w:val="10"/>
                <w:szCs w:val="10"/>
                <w:color w:val="auto"/>
                <w:w w:val="74"/>
              </w:rPr>
              <w:t>----------------------</w:t>
            </w:r>
          </w:p>
        </w:tc>
        <w:tc>
          <w:tcPr>
            <w:tcW w:w="110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Useful</w:t>
            </w:r>
          </w:p>
        </w:tc>
      </w:tr>
      <w:tr>
        <w:trPr>
          <w:trHeight w:val="168"/>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Life</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7,818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3,977</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58,511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50,627</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20-30 years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other equipment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34,722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33,866</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3-8 years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equipment</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10,685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8,942</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5-7 years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equipment and software</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21,745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20,005</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 years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1,684</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134,546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119,101</w:t>
            </w:r>
          </w:p>
        </w:tc>
        <w:tc>
          <w:tcPr>
            <w:tcW w:w="104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accumulated depreciation</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(41,979)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(38,522)</w:t>
            </w:r>
          </w:p>
        </w:tc>
        <w:tc>
          <w:tcPr>
            <w:tcW w:w="10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92,567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$ 80,579</w:t>
            </w:r>
          </w:p>
        </w:tc>
        <w:tc>
          <w:tcPr>
            <w:tcW w:w="10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bl>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October 1994, the Company purchased a 600,000 square foot office and warehouse facility in West Chester, Pennsylvania. The cost to date for the purchase of the land, building and improvements to the facility has been $12.1 million. It is anticipated that some of the operations located in other facilities will be transferred to this building.</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July 1993, the Company completed construction of a 50,000 square foot telecommunications center in Chesapeake, Virginia for a total cost of approximately $6.9 million. This telecommunications center replaced a facility that had been leased.</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617" w:right="1440" w:bottom="1440" w:gutter="0" w:footer="0" w:header="0"/>
        </w:sectPr>
      </w:pPr>
    </w:p>
    <w:bookmarkStart w:id="41" w:name="page42"/>
    <w:bookmarkEnd w:id="41"/>
    <w:p>
      <w:pPr>
        <w:spacing w:after="0"/>
        <w:tabs>
          <w:tab w:leader="none" w:pos="860" w:val="left"/>
        </w:tabs>
        <w:rPr>
          <w:sz w:val="20"/>
          <w:szCs w:val="20"/>
          <w:color w:val="auto"/>
        </w:rPr>
      </w:pPr>
      <w:r>
        <w:rPr>
          <w:rFonts w:ascii="Courier New" w:cs="Courier New" w:eastAsia="Courier New" w:hAnsi="Courier New"/>
          <w:sz w:val="15"/>
          <w:szCs w:val="15"/>
          <w:color w:val="auto"/>
        </w:rPr>
        <w:t>Note 5 -</w:t>
      </w:r>
      <w:r>
        <w:rPr>
          <w:sz w:val="20"/>
          <w:szCs w:val="20"/>
          <w:color w:val="auto"/>
        </w:rPr>
        <w:tab/>
      </w:r>
      <w:r>
        <w:rPr>
          <w:rFonts w:ascii="Courier New" w:cs="Courier New" w:eastAsia="Courier New" w:hAnsi="Courier New"/>
          <w:sz w:val="14"/>
          <w:szCs w:val="14"/>
          <w:color w:val="auto"/>
        </w:rPr>
        <w:t>CABLE TELEVISION DISTRIBUTION RIGHTS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television distribution rights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January 31,</w:t>
            </w:r>
          </w:p>
        </w:tc>
      </w:tr>
      <w:tr>
        <w:trPr>
          <w:trHeight w:val="168"/>
        </w:trPr>
        <w:tc>
          <w:tcPr>
            <w:tcW w:w="3900" w:type="dxa"/>
            <w:vAlign w:val="bottom"/>
          </w:tcPr>
          <w:p>
            <w:pPr>
              <w:spacing w:after="0"/>
              <w:rPr>
                <w:sz w:val="14"/>
                <w:szCs w:val="14"/>
                <w:color w:val="auto"/>
              </w:rPr>
            </w:pPr>
          </w:p>
        </w:tc>
        <w:tc>
          <w:tcPr>
            <w:tcW w:w="2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Cable television distribution rights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$158,677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$162,142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accumulated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(52,972)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(62,563)</w:t>
            </w:r>
          </w:p>
        </w:tc>
      </w:tr>
      <w:tr>
        <w:trPr>
          <w:trHeight w:val="168"/>
        </w:trPr>
        <w:tc>
          <w:tcPr>
            <w:tcW w:w="39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cable television distribution rights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$105,705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$ 99,579</w:t>
            </w:r>
          </w:p>
        </w:tc>
      </w:tr>
      <w:tr>
        <w:trPr>
          <w:trHeight w:val="168"/>
        </w:trPr>
        <w:tc>
          <w:tcPr>
            <w:tcW w:w="39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amounts assigned to cable television distribution rights arose principally from excess fair values assigned, as determined by independent appraisals, to Convertible Preferred Stock issued to cable system operators in exchange for distribution agreements. During 1994, distribution agreements with cable systems, with a fair value assigned of $24.5 million expired and the costs and accumulated amortization were removed from the accounts.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addition, in 1994, the Company entered into affiliation agreements with various cable system operators for carriage of the Company's new shopping service, Q2. The cable system operators received compensation from the Company which was dependent upon the number of additional subscribers. During 1994, the Company paid $21.1 million in connection with these new affiliation agreements.</w:t>
      </w:r>
    </w:p>
    <w:p>
      <w:pPr>
        <w:spacing w:after="0" w:line="16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Cable television distribution rights are amortized by the straight-line method over the lives of the individual agreements. The remaining weighted average life for all cable television distribution rights is approximately 9 years at January 31, 1995.</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Note 6 - OTHER ASSETS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1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January 31,</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Deferred taxes (Note 14)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$17,265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and advances to</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joint ventures, net of</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losses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Start-up costs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11,444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Satellite transponder rights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1,235</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44,126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34,152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Less-accumulated amortization</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other assets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$39,657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$33,664</w:t>
            </w:r>
          </w:p>
        </w:tc>
      </w:tr>
      <w:tr>
        <w:trPr>
          <w:trHeight w:val="168"/>
        </w:trPr>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During fiscal 1993, the Company established electronic retailing program service in England ("QVC - The Shopping Channel") and Mexico ("CVC"), through joint venture agreements with British Sky Broadcasting Limited and Grupo Televisa, S.A. de C.V., respectively. The joint venture in England began broadcasting on October 1, 1993 and the joint venture in Mexico began broadcasting on November 15, 1993. The joint venture agreement in England requires, among other things, that the Company provide all funding to the joint venture until it is profitable. The Company will then recover all prior funding before any profits are shared. Accordingly, the Company has included 100% of the loss on operations of this venture in the Consolidated Statements of Operations. The operating results of the joint venture in Mexico are shared equally by the partners.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440" w:gutter="0" w:footer="0" w:header="0"/>
        </w:sectPr>
      </w:pPr>
    </w:p>
    <w:bookmarkStart w:id="43" w:name="page44"/>
    <w:bookmarkEnd w:id="43"/>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Summarized financial information for "QVC - The Shopping Channel" and "CVC" on a 100% basis as of and for the periods ended January 31, 1995 and 1994 follows (unaudited -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7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QVC - The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Shopping Channel</w:t>
            </w:r>
          </w:p>
        </w:tc>
        <w:tc>
          <w:tcPr>
            <w:tcW w:w="74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CVC</w:t>
            </w:r>
          </w:p>
        </w:tc>
      </w:tr>
      <w:tr>
        <w:trPr>
          <w:trHeight w:val="168"/>
        </w:trPr>
        <w:tc>
          <w:tcPr>
            <w:tcW w:w="30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January</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January</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r>
      <w:tr>
        <w:trPr>
          <w:trHeight w:val="168"/>
        </w:trPr>
        <w:tc>
          <w:tcPr>
            <w:tcW w:w="3080" w:type="dxa"/>
            <w:vAlign w:val="bottom"/>
          </w:tcPr>
          <w:p>
            <w:pPr>
              <w:spacing w:after="0"/>
              <w:rPr>
                <w:sz w:val="14"/>
                <w:szCs w:val="14"/>
                <w:color w:val="auto"/>
              </w:rPr>
            </w:pP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0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$13,258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$ 5,608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$ 8,122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$ 9,690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Property, plant and equipment, net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start-up costs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1,651</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50,849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13,765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9,193</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29,134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Company had a joint venture with Tribune Entertainment Company and</w:t>
      </w:r>
    </w:p>
    <w:p>
      <w:pPr>
        <w:spacing w:after="0" w:line="237" w:lineRule="auto"/>
        <w:rPr>
          <w:sz w:val="20"/>
          <w:szCs w:val="20"/>
          <w:color w:val="auto"/>
        </w:rPr>
      </w:pPr>
      <w:r>
        <w:rPr>
          <w:rFonts w:ascii="Courier New" w:cs="Courier New" w:eastAsia="Courier New" w:hAnsi="Courier New"/>
          <w:sz w:val="15"/>
          <w:szCs w:val="15"/>
          <w:color w:val="auto"/>
        </w:rPr>
        <w:t>Regal Communications to produce and distribute "Can We Shop" with Joan</w:t>
      </w:r>
    </w:p>
    <w:p>
      <w:pPr>
        <w:spacing w:after="0"/>
        <w:tabs>
          <w:tab w:leader="none" w:pos="1480" w:val="left"/>
        </w:tabs>
        <w:rPr>
          <w:sz w:val="20"/>
          <w:szCs w:val="20"/>
          <w:color w:val="auto"/>
        </w:rPr>
      </w:pPr>
      <w:r>
        <w:rPr>
          <w:rFonts w:ascii="Courier New" w:cs="Courier New" w:eastAsia="Courier New" w:hAnsi="Courier New"/>
          <w:sz w:val="15"/>
          <w:szCs w:val="15"/>
          <w:color w:val="auto"/>
        </w:rPr>
        <w:t>Rivers ("QRT").</w:t>
      </w:r>
      <w:r>
        <w:rPr>
          <w:sz w:val="20"/>
          <w:szCs w:val="20"/>
          <w:color w:val="auto"/>
        </w:rPr>
        <w:tab/>
      </w:r>
      <w:r>
        <w:rPr>
          <w:rFonts w:ascii="Courier New" w:cs="Courier New" w:eastAsia="Courier New" w:hAnsi="Courier New"/>
          <w:sz w:val="14"/>
          <w:szCs w:val="14"/>
          <w:color w:val="auto"/>
        </w:rPr>
        <w:t>"Can We Shop" first aired on January 17, 1994 and was a one-</w:t>
      </w:r>
    </w:p>
    <w:p>
      <w:pPr>
        <w:spacing w:after="0" w:line="237" w:lineRule="auto"/>
        <w:rPr>
          <w:sz w:val="20"/>
          <w:szCs w:val="20"/>
          <w:color w:val="auto"/>
        </w:rPr>
      </w:pPr>
      <w:r>
        <w:rPr>
          <w:rFonts w:ascii="Courier New" w:cs="Courier New" w:eastAsia="Courier New" w:hAnsi="Courier New"/>
          <w:sz w:val="15"/>
          <w:szCs w:val="15"/>
          <w:color w:val="auto"/>
        </w:rPr>
        <w:t>hour Monday through Friday television show through which merchandise was</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sold.</w:t>
        <w:tab/>
        <w:t>The last show was broadcast in July 1994.</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Company acquired a one third interest in Friday Holdings, L.P. for the purpose of establishing or acquiring businesses in the communications field as well as developing information products. This partnership is currently being liquidated.</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Company's share of the losses from joint ventures in 1994 and 1993 was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QVC - The Shopping Channel</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(8,942)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CVC</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QRT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Friday Holdings</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joint ventures</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$(34,643)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$(11,432)</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The Company capitalized the costs relating to the start-up of Q2, a new televised shopping/programming service, which fully launched on August 1, 1994 in the United States. The capitalized start-up costs are being amortized over eighteen months. Total amortization for 1994 was $3,815,000.</w:t>
      </w:r>
    </w:p>
    <w:p>
      <w:pPr>
        <w:spacing w:after="0" w:line="164"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Debt placement fees on the Senior term loan arising out of the CVN acquisition were amortized over the expected life of the debt using the effective interest rate method. On March 5, 1993, the Company retired the Senior term loan. Debt placement fees associated with the Senior term loan were fully amortized, and the cost and accumulated amortization were removed from the accounts. During fiscal 1992, the Company prepaid $86.3 million of the Senior term loan. As a result, the amortization of debt placement fees of $2.7 million was accelerated and reported as an extraordinary loss of $1.5 million, net of $1.2 million income tax benefit.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62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Note 7 - ACCRUED LIABILITIES</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Accrued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January 31,</w:t>
            </w:r>
          </w:p>
        </w:tc>
      </w:tr>
      <w:tr>
        <w:trPr>
          <w:trHeight w:val="168"/>
        </w:trPr>
        <w:tc>
          <w:tcPr>
            <w:tcW w:w="3820" w:type="dxa"/>
            <w:vAlign w:val="bottom"/>
          </w:tcPr>
          <w:p>
            <w:pPr>
              <w:spacing w:after="0"/>
              <w:rPr>
                <w:sz w:val="14"/>
                <w:szCs w:val="14"/>
                <w:color w:val="auto"/>
              </w:rPr>
            </w:pP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taxes (Note 14)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$155,557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$ 80,879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 for uncollectible accounts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revolving credit program (Note 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Non-inventory accounts payable</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compensation and benefits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21,698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22,280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taxes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sales returns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23,588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17,787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54,683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55,147</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$301,823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$225,989</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ind w:left="2800"/>
              <w:spacing w:after="0"/>
              <w:rPr>
                <w:sz w:val="20"/>
                <w:szCs w:val="20"/>
                <w:color w:val="auto"/>
              </w:rPr>
            </w:pPr>
            <w:r>
              <w:rPr>
                <w:rFonts w:ascii="Courier New" w:cs="Courier New" w:eastAsia="Courier New" w:hAnsi="Courier New"/>
                <w:sz w:val="15"/>
                <w:szCs w:val="15"/>
                <w:color w:val="auto"/>
              </w:rPr>
              <w:t>F-38</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Note 8 - LONG-TERM DEBT</w:t>
      </w:r>
    </w:p>
    <w:p>
      <w:pPr>
        <w:spacing w:after="0" w:line="173" w:lineRule="exact"/>
        <w:rPr>
          <w:sz w:val="20"/>
          <w:szCs w:val="20"/>
          <w:color w:val="auto"/>
        </w:rPr>
      </w:pPr>
    </w:p>
    <w:p>
      <w:pPr>
        <w:ind w:right="4719" w:firstLine="437"/>
        <w:spacing w:after="0" w:line="234" w:lineRule="auto"/>
        <w:rPr>
          <w:sz w:val="20"/>
          <w:szCs w:val="20"/>
          <w:color w:val="auto"/>
        </w:rPr>
      </w:pPr>
      <w:r>
        <w:rPr>
          <w:rFonts w:ascii="Courier New" w:cs="Courier New" w:eastAsia="Courier New" w:hAnsi="Courier New"/>
          <w:sz w:val="15"/>
          <w:szCs w:val="15"/>
          <w:color w:val="auto"/>
        </w:rPr>
        <w:t>Aggregate amounts of outstanding long-term debt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January 31,</w:t>
            </w:r>
          </w:p>
        </w:tc>
      </w:tr>
      <w:tr>
        <w:trPr>
          <w:trHeight w:val="168"/>
        </w:trPr>
        <w:tc>
          <w:tcPr>
            <w:tcW w:w="3680" w:type="dxa"/>
            <w:vAlign w:val="bottom"/>
          </w:tcPr>
          <w:p>
            <w:pPr>
              <w:spacing w:after="0"/>
              <w:rPr>
                <w:sz w:val="14"/>
                <w:szCs w:val="14"/>
                <w:color w:val="auto"/>
              </w:rPr>
            </w:pPr>
          </w:p>
        </w:tc>
        <w:tc>
          <w:tcPr>
            <w:tcW w:w="2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6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10.4% Mortgage notes payable in monthly</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until 1998</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$ 10,158</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Less - current portion</w:t>
            </w:r>
          </w:p>
        </w:tc>
        <w:tc>
          <w:tcPr>
            <w:tcW w:w="4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(3,173)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(3,114)</w:t>
            </w:r>
          </w:p>
        </w:tc>
      </w:tr>
      <w:tr>
        <w:trPr>
          <w:trHeight w:val="168"/>
        </w:trPr>
        <w:tc>
          <w:tcPr>
            <w:tcW w:w="36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7,044</w:t>
            </w:r>
          </w:p>
        </w:tc>
      </w:tr>
      <w:tr>
        <w:trPr>
          <w:trHeight w:val="168"/>
        </w:trPr>
        <w:tc>
          <w:tcPr>
            <w:tcW w:w="36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39" w:firstLine="437"/>
        <w:spacing w:after="0" w:line="255" w:lineRule="auto"/>
        <w:rPr>
          <w:sz w:val="20"/>
          <w:szCs w:val="20"/>
          <w:color w:val="auto"/>
        </w:rPr>
      </w:pPr>
      <w:r>
        <w:rPr>
          <w:rFonts w:ascii="Courier New" w:cs="Courier New" w:eastAsia="Courier New" w:hAnsi="Courier New"/>
          <w:sz w:val="14"/>
          <w:szCs w:val="14"/>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.10% is payable on the unused portion of the revolving credit facility. The credit agreement requires the Company to maintain certain ratios for total liabilities to shareholders' equity and for coverage of fixed charges. Outstanding letters of credit totaled approximately $7.5 million at January 31, 1995.</w:t>
      </w:r>
    </w:p>
    <w:p>
      <w:pPr>
        <w:spacing w:after="0" w:line="165"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Maturities of the 10.4% Mortgage notes payable for the four years subsequent to January 31, 1995 are $3,173,000 in 1995; $666,000 in 1996; $739,000 in 1997 and $5,038,000 in 1998.</w:t>
      </w:r>
    </w:p>
    <w:p>
      <w:pPr>
        <w:spacing w:after="0" w:line="174"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In February 1995, the Company entered into a $1.2 billion credit loan facility in connection with the acquisition of the Company (as described in Note 2 - Acquisition of the Company). Of the $1.2 billion credit loan facility, $1.1 billion was borrowed to finance a portion of the total purchase price and $.1 billion remains available for future borrowings. Interest on the amounts borrowed is payable quarterly at the bank's prime rate or other interest rate options.</w:t>
      </w:r>
    </w:p>
    <w:p>
      <w:pPr>
        <w:spacing w:after="0" w:line="176" w:lineRule="exact"/>
        <w:rPr>
          <w:sz w:val="20"/>
          <w:szCs w:val="20"/>
          <w:color w:val="auto"/>
        </w:rPr>
      </w:pPr>
    </w:p>
    <w:p>
      <w:pPr>
        <w:ind w:right="4019" w:firstLine="437"/>
        <w:spacing w:after="0" w:line="256" w:lineRule="auto"/>
        <w:rPr>
          <w:sz w:val="20"/>
          <w:szCs w:val="20"/>
          <w:color w:val="auto"/>
        </w:rPr>
      </w:pPr>
      <w:r>
        <w:rPr>
          <w:rFonts w:ascii="Courier New" w:cs="Courier New" w:eastAsia="Courier New" w:hAnsi="Courier New"/>
          <w:sz w:val="14"/>
          <w:szCs w:val="14"/>
          <w:color w:val="auto"/>
        </w:rPr>
        <w:t>The $1.2 billion credit loan facility is payable in quarterly installments with the remaining principal balance due in January, 2004. Maturities of the $1.2 billion credit loan facility for the five years subsequent to January 31, 1995 are no amounts due in 1995 or 1996; $36,000,000 in 1997; $77,250,000 in 1998 and $102,250,000 in 1999.</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617" w:right="1440" w:bottom="1440" w:gutter="0" w:footer="0" w:header="0"/>
        </w:sectPr>
      </w:pPr>
    </w:p>
    <w:bookmarkStart w:id="46" w:name="page47"/>
    <w:bookmarkEnd w:id="46"/>
    <w:p>
      <w:pPr>
        <w:spacing w:after="0"/>
        <w:tabs>
          <w:tab w:leader="none" w:pos="860" w:val="left"/>
        </w:tabs>
        <w:rPr>
          <w:sz w:val="20"/>
          <w:szCs w:val="20"/>
          <w:color w:val="auto"/>
        </w:rPr>
      </w:pPr>
      <w:r>
        <w:rPr>
          <w:rFonts w:ascii="Courier New" w:cs="Courier New" w:eastAsia="Courier New" w:hAnsi="Courier New"/>
          <w:sz w:val="15"/>
          <w:szCs w:val="15"/>
          <w:color w:val="auto"/>
        </w:rPr>
        <w:t>Note 9 -</w:t>
      </w:r>
      <w:r>
        <w:rPr>
          <w:sz w:val="20"/>
          <w:szCs w:val="20"/>
          <w:color w:val="auto"/>
        </w:rPr>
        <w:tab/>
      </w:r>
      <w:r>
        <w:rPr>
          <w:rFonts w:ascii="Courier New" w:cs="Courier New" w:eastAsia="Courier New" w:hAnsi="Courier New"/>
          <w:sz w:val="14"/>
          <w:szCs w:val="14"/>
          <w:color w:val="auto"/>
        </w:rPr>
        <w:t>LEASES AND TRANSPONDER SERVICE AGREEMENTS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Future minimum payments under all non-cancellable operating leases and transponder service agreements with initial terms of one year or more at January 31, 1995 consist of the following (in thousands):</w:t>
      </w:r>
    </w:p>
    <w:p>
      <w:pPr>
        <w:spacing w:after="0" w:line="200" w:lineRule="exact"/>
        <w:rPr>
          <w:sz w:val="20"/>
          <w:szCs w:val="20"/>
          <w:color w:val="auto"/>
        </w:rPr>
      </w:pPr>
    </w:p>
    <w:p>
      <w:pPr>
        <w:spacing w:after="0" w:line="30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Fiscal Year</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$10,115</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6,642</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5,515</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5,335</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4,735</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29,279</w:t>
            </w:r>
          </w:p>
        </w:tc>
      </w:tr>
      <w:tr>
        <w:trPr>
          <w:trHeight w:val="168"/>
        </w:trPr>
        <w:tc>
          <w:tcPr>
            <w:tcW w:w="15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$61,621</w:t>
            </w:r>
          </w:p>
        </w:tc>
      </w:tr>
      <w:tr>
        <w:trPr>
          <w:trHeight w:val="168"/>
        </w:trPr>
        <w:tc>
          <w:tcPr>
            <w:tcW w:w="15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 for operating leases, principally for data processing equipment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and for transponder service agreements amounted to $13,543,000,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$11,280,000 and $12,895,000 in fiscal years 1994, 1993, and 1992, respectively.</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transmits the QVC Service on a protected, non-preemptible transponder on the C-4 Satellite at a monthly cost that averages $224,000 over the term of the agreement which expires in 2004.</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transmits The Q2 Service on a protected, non-preemptible transponder on the C-3 Satellite at a cost of $205,000 per month over the term of the agreement which expires in 2004.</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Note 10 - CAPITAL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175,000,000 shares of Common Stock authorized. There were 41,034,127 shares outstanding at January 31, 1995 and 39,895,447 shares outstanding at January 31, 1994. The reasons for the increase in the number of shares of Common Stock outstanding were the conversion of Convertible Preferred Stock (634,990), the exercise of warrants (310,000) and the exercise of employee stock options (194,000).</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summarizes the convertible preferred shares at January 31, 1995 and 1994 (shares and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6"/>
              </w:rPr>
              <w:t>Shares Authorized</w:t>
            </w: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Shares Outstanding</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Par Value</w:t>
            </w:r>
          </w:p>
        </w:tc>
      </w:tr>
      <w:tr>
        <w:trPr>
          <w:trHeight w:val="168"/>
        </w:trPr>
        <w:tc>
          <w:tcPr>
            <w:tcW w:w="840" w:type="dxa"/>
            <w:vAlign w:val="bottom"/>
          </w:tcPr>
          <w:p>
            <w:pPr>
              <w:spacing w:after="0"/>
              <w:rPr>
                <w:sz w:val="14"/>
                <w:szCs w:val="14"/>
                <w:color w:val="auto"/>
              </w:rPr>
            </w:pP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1995 and 1994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840" w:type="dxa"/>
            <w:vAlign w:val="bottom"/>
          </w:tcPr>
          <w:p>
            <w:pPr>
              <w:spacing w:after="0"/>
              <w:rPr>
                <w:sz w:val="14"/>
                <w:szCs w:val="14"/>
                <w:color w:val="auto"/>
              </w:rPr>
            </w:pP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C</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531</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300</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$ 56</w:t>
            </w:r>
          </w:p>
        </w:tc>
      </w:tr>
      <w:tr>
        <w:trPr>
          <w:trHeight w:val="168"/>
        </w:trPr>
        <w:tc>
          <w:tcPr>
            <w:tcW w:w="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shares of Convertible Preferred Stock were issued to cable system operators in connection with their signing or extending cable television distribution agreements in prior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Convertibility.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Each share of Series B, Series C and Series D Convertible Preferred Stock is convertible into ten shares of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holders of the Common Stock are empowered to elect two directors of the Company as a class. The holders of each class of stock are entitled to cast one vote per share for the election of the remaining directors of the Company.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the dissolution and liquidation of the Company, the assets remaining after the payment of all debts and liabilities of the Company shall be distributed first to the holders of the Series B Convertible Preferred Stock at $10.00 per share. To the extent available, the holders of Series C Convertible Preferred Stock will then receive $10.00 per share followed by Series D Convertible Preferred Stock holders at $15.00 per share. The balance, if any, will be paid to the holders of the Common Stock share-for-share.</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 11 - STOCK OPTIONS, WARRANTS AND AWARDS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summarizes shares of Common Stock reserved for issuance for outstanding stock options and warrants: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Average</w:t>
            </w:r>
          </w:p>
        </w:tc>
        <w:tc>
          <w:tcPr>
            <w:tcW w:w="1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 Price</w:t>
            </w:r>
          </w:p>
        </w:tc>
        <w:tc>
          <w:tcPr>
            <w:tcW w:w="1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3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January 31,</w:t>
            </w:r>
          </w:p>
        </w:tc>
        <w:tc>
          <w:tcPr>
            <w:tcW w:w="14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at January 31,</w:t>
            </w:r>
          </w:p>
        </w:tc>
        <w:tc>
          <w:tcPr>
            <w:tcW w:w="1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Expiration</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Qualified stock options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1,744,700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1,751,800</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$31.69</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$30.56</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w w:val="96"/>
              </w:rPr>
              <w:t>11/1996-06/2004</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Non-qualified stock options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6,203,975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6,275,500</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32.83</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w w:val="96"/>
              </w:rPr>
              <w:t>12/1997-04/2004</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Warrants issued in connection with</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subordinate debt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1,600,000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17.49</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17.49</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10/1995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Warrants issued with Common Stock</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lieu of cash interest expense</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13.35</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04/1996-10/1996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Warrants issued in connection with</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1987 debt financing</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310,000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04/1994</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reserved shares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9,648,675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10,037,300</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Incentive Stock Option Plans ("ISO Plans"), under which options may be granted to key managerial employees to purchase up to 10,300,000 shares of Common Stock. The ISO Plans are administered by the Executive Compensation Committee appointed by the Company's Board of Directors. The Committee has the authority to determine optionees, the number of shares to be covered by each option and certain other terms and conditions of the grant. The ISO Plans require that the exercise price of options be equal to or greater than the fair market value of the stock at the time of grant, and the term of any option cannot exceed ten years. Options issued under the 1990 Non-Qualified Stock Option Plan and the 1993 Qualified Stock Option Plan vest ratably over four years, commencing one year from the date of the grant of the option, and qualified and non-qualified options under all other ISO Plans, except where noted below, vest ratably over three years, commencing on the date of grant.</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obtaining a portion of the proposed financing for the cash tender offer for Paramount Communications Inc. (Note 17), the Company granted BellSouth Corporation, Advance Publications, Inc. and Cox Enterprises, Inc. options to purchase an aggregate of 14.3 million shares of Common Stock at $60.00 per share. The options were granted at the termination of the QVC/Paramount tender offer on February 15, 1994 and were exercisable until the later of August 15, 1994, or ten business days after stockholders of the Company vote with respect to such grant of options. These options were not exercised and expired in August 1994.</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9, 1992, the Company and two of its principal shareholders (Comcast Corporation and Liberty Media Corporation) announced an agreement pursuant to which Mr. Barry Diller would become Chairman of the Board and Chief Executive Officer. In connection with this agreement, the Company granted Mr. Diller 160,000 shares of Common Stock. The value of the shares on the date of grant ($4.9 million) was charged to general and administrative expense in fiscal 1992. Also in connection with this agreement, the Company granted to Mr. Diller stock options covering 6,000,000 shares of Common Stock. All of the options have a five-year term. One-half of these options ("base options") has an exercise price of $30.43; the other one-half ("scaled options") have an exercise price equal to $30.43 per share increased by 13 percent per</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617" w:right="1440" w:bottom="1440" w:gutter="0" w:footer="0" w:header="0"/>
        </w:sectPr>
      </w:pPr>
    </w:p>
    <w:bookmarkStart w:id="49" w:name="page50"/>
    <w:bookmarkEnd w:id="49"/>
    <w:p>
      <w:pPr>
        <w:ind w:right="3239"/>
        <w:spacing w:after="0" w:line="236" w:lineRule="auto"/>
        <w:rPr>
          <w:sz w:val="20"/>
          <w:szCs w:val="20"/>
          <w:color w:val="auto"/>
        </w:rPr>
      </w:pPr>
      <w:r>
        <w:rPr>
          <w:rFonts w:ascii="Courier New" w:cs="Courier New" w:eastAsia="Courier New" w:hAnsi="Courier New"/>
          <w:sz w:val="15"/>
          <w:szCs w:val="15"/>
          <w:color w:val="auto"/>
        </w:rPr>
        <w:t>annum until December 9, 1994 and thereafter by 15 percent per annum compounded annually. The exercise price on any unexercised scaled options increases annually. One-half of the base options and one-half of the scaled options became exercisable December 9, 1993 and the balance became exercisable December 9, 1994.</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August 1991, the Company granted to Mr. Joseph M. Segel, then Chairman and Chief Executive Officer, non-qualified stock options covering 600,000 shares of Common Stock at an exercise price of $15.90 per share. One-half of these options vested on the first anniversary of the date of grant, and the balance was to vest on the second anniversary of the date of grant. On December 9, 1992, the Board of Directors and the Executive Compensation Committee approved the acceleration of the vesting of the second half of these options to December 1992, in order to allow Mr. Segel to realize their value in 1992. The Board and the Executive Compensation Committee also accelerated an additional 50,000 options under ISO Plans for Mr. Segel that were scheduled to vest in 1993 and 1994.</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9, 1992, the Board agreed to enter into a consulting and severance arrangement with Mr. Segel whereby he would serve as a consultant to the Company for a period of ten years after his retirement in January 1993 at an annual salary of $240,000 and, as incentive to Mr. Segel to accept employment as a consultant, granted to Mr. Segel, pursuant to the 1992 Qualified Incentive Stock Option Plan, 100,000 options to purchase shares of Common Stock, exercisable at $30.43 per share. These options vest ratably over a period of five years. The present value of the ten-year consulting and severance arrangement with Mr. Segel of $2.2 million was expensed in fiscal 1992.</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also approved entering into three-year (five-year in the case of Michael C. Boyd, former President of the Company) employment agreements for nine senior Company executives, pursuant to which, among other things, the executives would be entitled to compensation at their current salaries and eligible for bonus and incentive compensation programs as may be maintained from time to time during the term of the agreement. As incentive to enter into the employment agreements, the Board granted to these executives, pursuant to the 1992 Stock Option Plan, an aggregate 1,450,000 options to purchase Common Stock exercisable at $30.43 per share. Options granted under the 1992 Stock Option Plan vest ratably over three years (five years in the case of Mr. Boyd). In February 1994, Mr. Boyd retired from the Company and entered into a consulting agreement. Accordingly, the present value of his employment agreement of $1.3 million was expensed in fiscal 1993.</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February prior to the acquisition of the Company by Comcast and Liberty, exercisable stock options to purchase an aggregate of 6,089,807 shares were exercised by the holders thereof, resulting in net proceeds to the Company of $213,056,000. In addition, Comcast exercised 1,700,000 warrants in February 1995, resulting in net proceeds to the Company of $29,319,000. Concurrent with the acquisition, the Company repurchased at the difference between the $46 tender offer price and the option exercise price, an aggregate of 1,839,868 option shares resulting in a compensation charge of $31,472,000 that will be reflected in February 1995 operations. The remainder of the 19,000 option shares that were exercisable at prices in excess of the $46 tender offer price were canceled by the Company.</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624" w:right="1440" w:bottom="1440" w:gutter="0" w:footer="0" w:header="0"/>
        </w:sectPr>
      </w:pPr>
    </w:p>
    <w:bookmarkStart w:id="50" w:name="page51"/>
    <w:bookmarkEnd w:id="50"/>
    <w:p>
      <w:pPr>
        <w:ind w:right="3839" w:firstLine="350"/>
        <w:spacing w:after="0" w:line="234" w:lineRule="auto"/>
        <w:rPr>
          <w:sz w:val="20"/>
          <w:szCs w:val="20"/>
          <w:color w:val="auto"/>
        </w:rPr>
      </w:pPr>
      <w:r>
        <w:rPr>
          <w:rFonts w:ascii="Courier New" w:cs="Courier New" w:eastAsia="Courier New" w:hAnsi="Courier New"/>
          <w:sz w:val="15"/>
          <w:szCs w:val="15"/>
          <w:color w:val="auto"/>
        </w:rPr>
        <w:t>A summary of changes in outstanding options under the ISO Plans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Qualified Option Shares</w:t>
            </w:r>
          </w:p>
        </w:tc>
        <w:tc>
          <w:tcPr>
            <w:tcW w:w="2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Non-qualified Option 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Price Range</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Balance at January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502,787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470,787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1,200,500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202,500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$17.25</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1,582,000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351,167</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38.86</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Became exercisable</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29,500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796,375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(365,575)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(365,575)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(919,900)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(919,900)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Balance at January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1,717,462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484,129</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6,279,600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75,475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38.86</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1,250</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39.88</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70.75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(26,750)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Became exercisable</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370,416</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3,095,250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34.39</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(66,087)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(66,087)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(27,350)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Balance at January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1,751,800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784,133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6,275,500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3,140,375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70.75</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44.75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(52,125)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(17,541)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Became exercisable</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477,472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3,100,041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70.75</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(169,600)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(169,600)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30.43</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1,744,700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1,089,505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6,203,975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6,198,475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$60.75</w:t>
            </w:r>
          </w:p>
        </w:tc>
      </w:tr>
      <w:tr>
        <w:trPr>
          <w:trHeight w:val="168"/>
        </w:trPr>
        <w:tc>
          <w:tcPr>
            <w:tcW w:w="16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1992, the Company offered to exchange warrants into shares of Common Stock equivalent in value to the difference between the warrant exercise price and the market price ($37.75) at the time of the offer. Warrants that would have been exercisable for 7,061,005 shares were extinguished in this offer and the Company issued 4,367,690 net shares of Common Stock. The warrant holders were able to effect the exchange several ways. The net effect on the number of shares of Common Stock outstanding after the exchange was the same. A total of 3,893,962 warrants were exercised by delivering to the Company 1,424,403 previously issued shares of Common Stock valued at the market price ($37.75). A total of 2,492,017 warrants were exercised for $37,692,000, the proceeds of which were used to purchase from the warrant holders 998,457 shares of Common Stock at market. A total of 675,026 warrants were exchanged for 404,572 shares of Common Stock with an aggregate value equal to the difference between the market price and the exercise price. Warrant holders of an aggregate 2,418,908 shares declined the offer. Since this warrant exchange was treated as a non-cash financing transaction, it is not reflected on the Consolidated Statements of Cash Flows.</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Note 12 - INCOME PER SHARE</w:t>
      </w:r>
    </w:p>
    <w:p>
      <w:pPr>
        <w:spacing w:after="0" w:line="173" w:lineRule="exact"/>
        <w:rPr>
          <w:sz w:val="20"/>
          <w:szCs w:val="20"/>
          <w:color w:val="auto"/>
        </w:rPr>
      </w:pPr>
    </w:p>
    <w:p>
      <w:pPr>
        <w:ind w:right="3940" w:firstLine="437"/>
        <w:spacing w:after="0" w:line="235" w:lineRule="auto"/>
        <w:rPr>
          <w:sz w:val="20"/>
          <w:szCs w:val="20"/>
          <w:color w:val="auto"/>
        </w:rPr>
      </w:pPr>
      <w:r>
        <w:rPr>
          <w:rFonts w:ascii="Courier New" w:cs="Courier New" w:eastAsia="Courier New" w:hAnsi="Courier New"/>
          <w:sz w:val="15"/>
          <w:szCs w:val="15"/>
          <w:color w:val="auto"/>
        </w:rPr>
        <w:t>The Company computes income per share using the modified treasury stock method. The following table presents the information needed to compute net income per share for fiscal years 1994, 1993 and 1992 (in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1047"/>
              <w:spacing w:after="0"/>
              <w:rPr>
                <w:sz w:val="20"/>
                <w:szCs w:val="20"/>
                <w:color w:val="auto"/>
              </w:rPr>
            </w:pPr>
            <w:r>
              <w:rPr>
                <w:rFonts w:ascii="Courier New" w:cs="Courier New" w:eastAsia="Courier New" w:hAnsi="Courier New"/>
                <w:sz w:val="15"/>
                <w:szCs w:val="15"/>
                <w:color w:val="auto"/>
                <w:w w:val="94"/>
              </w:rPr>
              <w:t>1994</w:t>
            </w:r>
          </w:p>
        </w:tc>
        <w:tc>
          <w:tcPr>
            <w:tcW w:w="920" w:type="dxa"/>
            <w:vAlign w:val="bottom"/>
          </w:tcPr>
          <w:p>
            <w:pPr>
              <w:spacing w:after="0"/>
              <w:rPr>
                <w:sz w:val="14"/>
                <w:szCs w:val="14"/>
                <w:color w:val="auto"/>
              </w:rPr>
            </w:pPr>
          </w:p>
        </w:tc>
        <w:tc>
          <w:tcPr>
            <w:tcW w:w="14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1992</w:t>
            </w:r>
          </w:p>
        </w:tc>
        <w:tc>
          <w:tcPr>
            <w:tcW w:w="7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Primary</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Fully Diluted</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Primary</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Fully Diluted</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Primary</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Fully Diluted</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$66,589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$66,589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$55,311</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$55,311</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$56,588</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$56,588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Imputed income from interest</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savings, net of tax, on assumed</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retirement of debt with remaining</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assumed exercise of</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 and options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1,452</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1,239</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Adjusted income before extraordinary item</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a change in</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66,589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66,589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55,311</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55,311</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58,040</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57,827</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Extraordinary item - loss on extinguishment</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debt, net of tax benefit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(1,496)</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(1,496)</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3,990</w:t>
            </w:r>
          </w:p>
        </w:tc>
        <w:tc>
          <w:tcPr>
            <w:tcW w:w="3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$66,589</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$66,589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$59,301</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$59,301</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$56,544</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$56,331</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40,466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40,466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37,845</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37,845</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27,885</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27,885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Common equivalent shares assuming</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conversion of Series B, C and D</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7,387</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7,387</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10,340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10,340</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Add - Common equivalent shares assuming</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conversion of subordinated note at</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fiscal year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1,280</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Add - Common shares assumed to be outstanding</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exercise of warrants and options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9,749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9,718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10,184</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10,180</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12,812</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10,517</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Less - Assumed purchase of Common Stock</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proceeds of exercise of warrants</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options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(7,050)</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(5,207)</w:t>
            </w:r>
          </w:p>
        </w:tc>
        <w:tc>
          <w:tcPr>
            <w:tcW w:w="3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(7,147)</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(4,636)</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48,477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48,885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50,062</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50,205</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43,890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45,386</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 change in</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$ 1.36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$ 1.10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 net of tax benefit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Cumulative effect of a change in accounting</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income taxes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$ 1.36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$ 1.18</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4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ind w:left="3240"/>
              <w:spacing w:after="0"/>
              <w:rPr>
                <w:sz w:val="20"/>
                <w:szCs w:val="20"/>
                <w:color w:val="auto"/>
              </w:rPr>
            </w:pPr>
            <w:r>
              <w:rPr>
                <w:rFonts w:ascii="Courier New" w:cs="Courier New" w:eastAsia="Courier New" w:hAnsi="Courier New"/>
                <w:sz w:val="15"/>
                <w:szCs w:val="15"/>
                <w:color w:val="auto"/>
              </w:rPr>
              <w:t>F-45</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Note 13 - RETIREMENT AND SAVINGS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 defined contribution Employee Retirement Plan which covers substantially all of the Company's employees after completion of one year of service. The Company's contribution under the Plan is equal to 3.0% of eligible employees' salaries. The costs of this Plan charged to expenses were $2,572,000 $2,202,000 and $2,177,000 in fiscal years 1994, 1993 and 1992, respectively.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the Company sponsors a 401(k) Savings Plan which permits</w:t>
      </w:r>
    </w:p>
    <w:p>
      <w:pPr>
        <w:spacing w:after="0" w:line="237" w:lineRule="auto"/>
        <w:rPr>
          <w:sz w:val="20"/>
          <w:szCs w:val="20"/>
          <w:color w:val="auto"/>
        </w:rPr>
      </w:pPr>
      <w:r>
        <w:rPr>
          <w:rFonts w:ascii="Courier New" w:cs="Courier New" w:eastAsia="Courier New" w:hAnsi="Courier New"/>
          <w:sz w:val="15"/>
          <w:szCs w:val="15"/>
          <w:color w:val="auto"/>
        </w:rPr>
        <w:t>employees to make contributions to the Savings Plan on a pre-tax salary</w:t>
      </w:r>
    </w:p>
    <w:p>
      <w:pPr>
        <w:spacing w:after="0"/>
        <w:tabs>
          <w:tab w:leader="none" w:pos="5500" w:val="left"/>
        </w:tabs>
        <w:rPr>
          <w:sz w:val="20"/>
          <w:szCs w:val="20"/>
          <w:color w:val="auto"/>
        </w:rPr>
      </w:pPr>
      <w:r>
        <w:rPr>
          <w:rFonts w:ascii="Courier New" w:cs="Courier New" w:eastAsia="Courier New" w:hAnsi="Courier New"/>
          <w:sz w:val="15"/>
          <w:szCs w:val="15"/>
          <w:color w:val="auto"/>
        </w:rPr>
        <w:t>reduction basis in accordance with the Internal Revenue Code.</w:t>
      </w:r>
      <w:r>
        <w:rPr>
          <w:sz w:val="20"/>
          <w:szCs w:val="20"/>
          <w:color w:val="auto"/>
        </w:rPr>
        <w:tab/>
      </w:r>
      <w:r>
        <w:rPr>
          <w:rFonts w:ascii="Courier New" w:cs="Courier New" w:eastAsia="Courier New" w:hAnsi="Courier New"/>
          <w:sz w:val="14"/>
          <w:szCs w:val="14"/>
          <w:color w:val="auto"/>
        </w:rPr>
        <w:t>Substantially</w:t>
      </w:r>
    </w:p>
    <w:p>
      <w:pPr>
        <w:spacing w:after="0" w:line="237" w:lineRule="auto"/>
        <w:rPr>
          <w:sz w:val="20"/>
          <w:szCs w:val="20"/>
          <w:color w:val="auto"/>
        </w:rPr>
      </w:pPr>
      <w:r>
        <w:rPr>
          <w:rFonts w:ascii="Courier New" w:cs="Courier New" w:eastAsia="Courier New" w:hAnsi="Courier New"/>
          <w:sz w:val="15"/>
          <w:szCs w:val="15"/>
          <w:color w:val="auto"/>
        </w:rPr>
        <w:t>all full-time employees are eligible to participate after completion of one</w:t>
      </w:r>
    </w:p>
    <w:p>
      <w:pPr>
        <w:spacing w:after="0"/>
        <w:tabs>
          <w:tab w:leader="none" w:pos="1560" w:val="left"/>
        </w:tabs>
        <w:rPr>
          <w:sz w:val="20"/>
          <w:szCs w:val="20"/>
          <w:color w:val="auto"/>
        </w:rPr>
      </w:pPr>
      <w:r>
        <w:rPr>
          <w:rFonts w:ascii="Courier New" w:cs="Courier New" w:eastAsia="Courier New" w:hAnsi="Courier New"/>
          <w:sz w:val="15"/>
          <w:szCs w:val="15"/>
          <w:color w:val="auto"/>
        </w:rPr>
        <w:t>year of service.</w:t>
      </w:r>
      <w:r>
        <w:rPr>
          <w:sz w:val="20"/>
          <w:szCs w:val="20"/>
          <w:color w:val="auto"/>
        </w:rPr>
        <w:tab/>
      </w:r>
      <w:r>
        <w:rPr>
          <w:rFonts w:ascii="Courier New" w:cs="Courier New" w:eastAsia="Courier New" w:hAnsi="Courier New"/>
          <w:sz w:val="14"/>
          <w:szCs w:val="14"/>
          <w:color w:val="auto"/>
        </w:rPr>
        <w:t>The Company matches a portion of the voluntary employee</w:t>
      </w:r>
    </w:p>
    <w:p>
      <w:pPr>
        <w:spacing w:after="0" w:line="237" w:lineRule="auto"/>
        <w:tabs>
          <w:tab w:leader="none" w:pos="1380" w:val="left"/>
        </w:tabs>
        <w:rPr>
          <w:sz w:val="20"/>
          <w:szCs w:val="20"/>
          <w:color w:val="auto"/>
        </w:rPr>
      </w:pPr>
      <w:r>
        <w:rPr>
          <w:rFonts w:ascii="Courier New" w:cs="Courier New" w:eastAsia="Courier New" w:hAnsi="Courier New"/>
          <w:sz w:val="15"/>
          <w:szCs w:val="15"/>
          <w:color w:val="auto"/>
        </w:rPr>
        <w:t>contributions.</w:t>
        <w:tab/>
        <w:t>The costs of this Savings Plan charged to expenses were</w:t>
      </w:r>
    </w:p>
    <w:p>
      <w:pPr>
        <w:spacing w:after="0" w:line="238" w:lineRule="auto"/>
        <w:rPr>
          <w:sz w:val="20"/>
          <w:szCs w:val="20"/>
          <w:color w:val="auto"/>
        </w:rPr>
      </w:pPr>
      <w:r>
        <w:rPr>
          <w:rFonts w:ascii="Courier New" w:cs="Courier New" w:eastAsia="Courier New" w:hAnsi="Courier New"/>
          <w:sz w:val="15"/>
          <w:szCs w:val="15"/>
          <w:color w:val="auto"/>
        </w:rPr>
        <w:t>$2,213,000, $2,053,000 and $1,501,000 in fiscal years 1994, 1993, and 1992,</w:t>
      </w:r>
    </w:p>
    <w:p>
      <w:pPr>
        <w:spacing w:after="0" w:line="237" w:lineRule="auto"/>
        <w:rPr>
          <w:sz w:val="20"/>
          <w:szCs w:val="20"/>
          <w:color w:val="auto"/>
        </w:rPr>
      </w:pPr>
      <w:r>
        <w:rPr>
          <w:rFonts w:ascii="Courier New" w:cs="Courier New" w:eastAsia="Courier New" w:hAnsi="Courier New"/>
          <w:sz w:val="15"/>
          <w:szCs w:val="15"/>
          <w:color w:val="auto"/>
        </w:rPr>
        <w:t>respectively.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Note 14 - 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February 1, 1993, the Company changed its method of accounting for income taxes as required by SFAS 109. The cumulative effect of this change in accounting was to increase the net income of the first quarter of fiscal 1993 by approximately $4.0 million, which is reported separately in the Consolidated Statements of Operations. Prior year's financial statements were not restated to reflect the provisions of SFAS 109.</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Fiscal Year</w:t>
            </w:r>
          </w:p>
        </w:tc>
        <w:tc>
          <w:tcPr>
            <w:tcW w:w="900" w:type="dxa"/>
            <w:vAlign w:val="bottom"/>
          </w:tcPr>
          <w:p>
            <w:pPr>
              <w:spacing w:after="0"/>
              <w:rPr>
                <w:sz w:val="14"/>
                <w:szCs w:val="14"/>
                <w:color w:val="auto"/>
              </w:rPr>
            </w:pPr>
          </w:p>
        </w:tc>
      </w:tr>
      <w:tr>
        <w:trPr>
          <w:trHeight w:val="168"/>
        </w:trPr>
        <w:tc>
          <w:tcPr>
            <w:tcW w:w="2140" w:type="dxa"/>
            <w:vAlign w:val="bottom"/>
          </w:tcPr>
          <w:p>
            <w:pPr>
              <w:spacing w:after="0"/>
              <w:rPr>
                <w:sz w:val="14"/>
                <w:szCs w:val="14"/>
                <w:color w:val="auto"/>
              </w:rPr>
            </w:pPr>
          </w:p>
        </w:tc>
        <w:tc>
          <w:tcPr>
            <w:tcW w:w="39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$ 55,252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$ 66,366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$ 49,770</w:t>
            </w: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16,762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21,710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19,810</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72,014</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88,076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69,580</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(23,159)</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w:t>
            </w: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(4,942)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(28,101)</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$ 74,760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$ 59,975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$ 52,080</w:t>
            </w:r>
          </w:p>
        </w:tc>
      </w:tr>
      <w:tr>
        <w:trPr>
          <w:trHeight w:val="168"/>
        </w:trPr>
        <w:tc>
          <w:tcPr>
            <w:tcW w:w="214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Total income tax expense differs from the amounts computed by applying the U.S. federal income tax rate of 35.0% for fiscal 1994 and 1993 and 34.0% for fiscal 1992 to income before income taxes, extraordinary item and cumulative effect of a change in accounting principle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Fiscal Year</w:t>
            </w:r>
          </w:p>
        </w:tc>
        <w:tc>
          <w:tcPr>
            <w:tcW w:w="6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1994</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1993</w:t>
            </w:r>
          </w:p>
        </w:tc>
        <w:tc>
          <w:tcPr>
            <w:tcW w:w="6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Provision at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statutory rate</w:t>
            </w:r>
          </w:p>
        </w:tc>
        <w:tc>
          <w:tcPr>
            <w:tcW w:w="1280" w:type="dxa"/>
            <w:vAlign w:val="bottom"/>
          </w:tcPr>
          <w:p>
            <w:pPr>
              <w:ind w:left="620"/>
              <w:spacing w:after="0"/>
              <w:rPr>
                <w:sz w:val="20"/>
                <w:szCs w:val="20"/>
                <w:color w:val="auto"/>
              </w:rPr>
            </w:pPr>
            <w:r>
              <w:rPr>
                <w:rFonts w:ascii="Courier New" w:cs="Courier New" w:eastAsia="Courier New" w:hAnsi="Courier New"/>
                <w:sz w:val="15"/>
                <w:szCs w:val="15"/>
                <w:color w:val="auto"/>
              </w:rPr>
              <w:t>35.0%</w:t>
            </w:r>
          </w:p>
        </w:tc>
        <w:tc>
          <w:tcPr>
            <w:tcW w:w="1400" w:type="dxa"/>
            <w:vAlign w:val="bottom"/>
          </w:tcPr>
          <w:p>
            <w:pPr>
              <w:ind w:left="560"/>
              <w:spacing w:after="0"/>
              <w:rPr>
                <w:sz w:val="20"/>
                <w:szCs w:val="20"/>
                <w:color w:val="auto"/>
              </w:rPr>
            </w:pPr>
            <w:r>
              <w:rPr>
                <w:rFonts w:ascii="Courier New" w:cs="Courier New" w:eastAsia="Courier New" w:hAnsi="Courier New"/>
                <w:sz w:val="15"/>
                <w:szCs w:val="15"/>
                <w:color w:val="auto"/>
              </w:rPr>
              <w:t>35.0%</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34.0%</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State income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taxes, net of</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2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federal tax benefit</w:t>
            </w:r>
          </w:p>
        </w:tc>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15.0</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14.5</w:t>
            </w:r>
          </w:p>
        </w:tc>
        <w:tc>
          <w:tcPr>
            <w:tcW w:w="6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12.0</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Amortization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of intangibles not</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deductible</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tax purposes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w:t>
            </w:r>
          </w:p>
        </w:tc>
        <w:tc>
          <w:tcPr>
            <w:tcW w:w="14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3.0</w:t>
            </w:r>
          </w:p>
        </w:tc>
        <w:tc>
          <w:tcPr>
            <w:tcW w:w="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3.2</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8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ind w:left="640"/>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(1.3)</w:t>
            </w: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Total income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tax expense</w:t>
            </w:r>
          </w:p>
        </w:tc>
        <w:tc>
          <w:tcPr>
            <w:tcW w:w="1280" w:type="dxa"/>
            <w:vAlign w:val="bottom"/>
          </w:tcPr>
          <w:p>
            <w:pPr>
              <w:ind w:left="620"/>
              <w:spacing w:after="0"/>
              <w:rPr>
                <w:sz w:val="20"/>
                <w:szCs w:val="20"/>
                <w:color w:val="auto"/>
              </w:rPr>
            </w:pPr>
            <w:r>
              <w:rPr>
                <w:rFonts w:ascii="Courier New" w:cs="Courier New" w:eastAsia="Courier New" w:hAnsi="Courier New"/>
                <w:sz w:val="15"/>
                <w:szCs w:val="15"/>
                <w:color w:val="auto"/>
              </w:rPr>
              <w:t>52.9%</w:t>
            </w:r>
          </w:p>
        </w:tc>
        <w:tc>
          <w:tcPr>
            <w:tcW w:w="1400" w:type="dxa"/>
            <w:vAlign w:val="bottom"/>
          </w:tcPr>
          <w:p>
            <w:pPr>
              <w:ind w:left="560"/>
              <w:spacing w:after="0"/>
              <w:rPr>
                <w:sz w:val="20"/>
                <w:szCs w:val="20"/>
                <w:color w:val="auto"/>
              </w:rPr>
            </w:pPr>
            <w:r>
              <w:rPr>
                <w:rFonts w:ascii="Courier New" w:cs="Courier New" w:eastAsia="Courier New" w:hAnsi="Courier New"/>
                <w:sz w:val="15"/>
                <w:szCs w:val="15"/>
                <w:color w:val="auto"/>
              </w:rPr>
              <w:t>52.0%</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47.9%</w:t>
            </w: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F-47</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4" w:name="page55"/>
    <w:bookmarkEnd w:id="54"/>
    <w:p>
      <w:pPr>
        <w:ind w:right="3319" w:firstLine="437"/>
        <w:spacing w:after="0" w:line="235" w:lineRule="auto"/>
        <w:rPr>
          <w:sz w:val="20"/>
          <w:szCs w:val="20"/>
          <w:color w:val="auto"/>
        </w:rPr>
      </w:pPr>
      <w:r>
        <w:rPr>
          <w:rFonts w:ascii="Courier New" w:cs="Courier New" w:eastAsia="Courier New" w:hAnsi="Courier New"/>
          <w:sz w:val="15"/>
          <w:szCs w:val="15"/>
          <w:color w:val="auto"/>
        </w:rPr>
        <w:t>Deferred income taxes reflect the net effects of temporary differences between the value of assets and liabilities and their tax bases and the benefit of existing net operating loss carryforwards. Significant components of the net deferred tax assets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January 31,</w:t>
            </w:r>
          </w:p>
        </w:tc>
        <w:tc>
          <w:tcPr>
            <w:tcW w:w="8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6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principally</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due to the allowance for doubtful</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and related reserves for</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uncollectible accounts under the</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Company's revolving credit program</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$29,528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$25,715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$15,985</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Inventories, principally due to</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obsolescence reserves and</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costs of inventories</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tax purposes pursuant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the Tax Reform Act of 1986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7,497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6,801</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Allowance for sales returns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10,119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7,625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3,857</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Executive stock award</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1,655</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Costs associated with the terminated</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tender offer for Paramount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14,964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associated with cable television</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distribution rights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26,160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26,619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2,813</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12,602</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7,061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36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Total gross deferred tax assets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87,449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89,481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30,748</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Less:  Valuation allowance</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(12,467)</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(12,467)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Less - amounts not recognized due</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 SFAS 96 limitations on carrybacks</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future net deductible amounts</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carryforwards of alternative</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minimum tax credits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(12,948)</w:t>
            </w:r>
          </w:p>
        </w:tc>
      </w:tr>
      <w:tr>
        <w:trPr>
          <w:trHeight w:val="168"/>
        </w:trPr>
        <w:tc>
          <w:tcPr>
            <w:tcW w:w="36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Net deferred tax asset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$74,982</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$77,014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$17,800</w:t>
            </w:r>
          </w:p>
        </w:tc>
      </w:tr>
      <w:tr>
        <w:trPr>
          <w:trHeight w:val="168"/>
        </w:trPr>
        <w:tc>
          <w:tcPr>
            <w:tcW w:w="36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Of the total net additional deferred tax asset recorded at the time of the adoption of SFAS 109, approximately $27.0 million was credited to additional paid-in capital, and approximately $6.5 million was credited to the excess of cost over acquired net assets. The net increase in the deferred tax asset during fiscal 1993 differs from the deferred benefit component of that year's tax provision primarily due to the recognition of a portion of the net operating loss carryforwards.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624" w:right="1440" w:bottom="1440" w:gutter="0" w:footer="0" w:header="0"/>
        </w:sectPr>
      </w:pPr>
    </w:p>
    <w:bookmarkStart w:id="55" w:name="page56"/>
    <w:bookmarkEnd w:id="55"/>
    <w:p>
      <w:pPr>
        <w:ind w:right="3319" w:firstLine="437"/>
        <w:spacing w:after="0" w:line="235" w:lineRule="auto"/>
        <w:rPr>
          <w:sz w:val="20"/>
          <w:szCs w:val="20"/>
          <w:color w:val="auto"/>
        </w:rPr>
      </w:pPr>
      <w:r>
        <w:rPr>
          <w:rFonts w:ascii="Courier New" w:cs="Courier New" w:eastAsia="Courier New" w:hAnsi="Courier New"/>
          <w:sz w:val="15"/>
          <w:szCs w:val="15"/>
          <w:color w:val="auto"/>
        </w:rPr>
        <w:t>The increase in the deferred tax asset for fiscal 1992 differs from the deferred benefit component of that year's tax provision because portions of the deferred tax provision recorded were allocated to additional paid-in capital or the excess of cost over acquired net assets.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Deferred tax assets relating to certain operating losses were not recorded in fiscal 1994, 1993 and 1992 for state income tax purposes since these losses are principally allocable to states that do not allow utilization of the losses.</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valuation allowance for deferred tax assets as of February 1, 1993 was $12.2 million. The net change in the valuation allowance for fiscal 1993 was an increase of $255,000. There was no change in this valuation allowance in fiscal 1994. Approximately $6.0 million of the valuation allowance will result in a credit to additional paid-in capital when it becomes more likely than not that certain deductions associated with cable television distribution rights will be realizable.</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summarizes the nature of certain tax benefits realized that reduced taxes payable but were not credited to the tax provision for fiscal year 1994, 1993 and 1992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Excess of cost over</w:t>
            </w:r>
          </w:p>
        </w:tc>
      </w:tr>
      <w:tr>
        <w:trPr>
          <w:trHeight w:val="168"/>
        </w:trPr>
        <w:tc>
          <w:tcPr>
            <w:tcW w:w="2420" w:type="dxa"/>
            <w:vAlign w:val="bottom"/>
          </w:tcPr>
          <w:p>
            <w:pPr>
              <w:spacing w:after="0"/>
              <w:rPr>
                <w:sz w:val="14"/>
                <w:szCs w:val="14"/>
                <w:color w:val="auto"/>
              </w:rPr>
            </w:pPr>
          </w:p>
        </w:tc>
        <w:tc>
          <w:tcPr>
            <w:tcW w:w="276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210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rPr>
              <w:t>acquired net assets</w:t>
            </w:r>
          </w:p>
        </w:tc>
      </w:tr>
      <w:tr>
        <w:trPr>
          <w:trHeight w:val="168"/>
        </w:trPr>
        <w:tc>
          <w:tcPr>
            <w:tcW w:w="2420" w:type="dxa"/>
            <w:vAlign w:val="bottom"/>
          </w:tcPr>
          <w:p>
            <w:pPr>
              <w:spacing w:after="0"/>
              <w:rPr>
                <w:sz w:val="14"/>
                <w:szCs w:val="14"/>
                <w:color w:val="auto"/>
              </w:rPr>
            </w:pPr>
          </w:p>
        </w:tc>
        <w:tc>
          <w:tcPr>
            <w:tcW w:w="276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10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Source of Tax Benefit</w:t>
            </w:r>
          </w:p>
        </w:tc>
        <w:tc>
          <w:tcPr>
            <w:tcW w:w="22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1994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3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1994</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Exercise of employee</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$12,366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operating loss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carryforward and other</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arising from</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transactions</w:t>
            </w:r>
          </w:p>
        </w:tc>
        <w:tc>
          <w:tcPr>
            <w:tcW w:w="220" w:type="dxa"/>
            <w:vAlign w:val="bottom"/>
          </w:tcPr>
          <w:p>
            <w:pPr>
              <w:spacing w:after="0"/>
              <w:rPr>
                <w:sz w:val="14"/>
                <w:szCs w:val="14"/>
                <w:color w:val="auto"/>
              </w:rPr>
            </w:pP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6,967</w:t>
            </w:r>
          </w:p>
        </w:tc>
        <w:tc>
          <w:tcPr>
            <w:tcW w:w="3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Realization of tax</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associated with</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temporary differences in</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CVN acquisition</w:t>
            </w:r>
          </w:p>
        </w:tc>
        <w:tc>
          <w:tcPr>
            <w:tcW w:w="220" w:type="dxa"/>
            <w:vAlign w:val="bottom"/>
          </w:tcPr>
          <w:p>
            <w:pPr>
              <w:spacing w:after="0"/>
              <w:rPr>
                <w:sz w:val="14"/>
                <w:szCs w:val="14"/>
                <w:color w:val="auto"/>
              </w:rPr>
            </w:pP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6,510</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5,086</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Alternative minimum tax</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carryforward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generated from equity</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deductions</w:t>
            </w:r>
          </w:p>
        </w:tc>
        <w:tc>
          <w:tcPr>
            <w:tcW w:w="220" w:type="dxa"/>
            <w:vAlign w:val="bottom"/>
          </w:tcPr>
          <w:p>
            <w:pPr>
              <w:spacing w:after="0"/>
              <w:rPr>
                <w:sz w:val="14"/>
                <w:szCs w:val="14"/>
                <w:color w:val="auto"/>
              </w:rPr>
            </w:pP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2,979</w:t>
            </w:r>
          </w:p>
        </w:tc>
        <w:tc>
          <w:tcPr>
            <w:tcW w:w="3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8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$6,510</w:t>
            </w:r>
          </w:p>
        </w:tc>
        <w:tc>
          <w:tcPr>
            <w:tcW w:w="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$5,086</w:t>
            </w:r>
          </w:p>
        </w:tc>
      </w:tr>
      <w:tr>
        <w:trPr>
          <w:trHeight w:val="168"/>
        </w:trPr>
        <w:tc>
          <w:tcPr>
            <w:tcW w:w="2420" w:type="dxa"/>
            <w:vAlign w:val="bottom"/>
          </w:tcPr>
          <w:p>
            <w:pPr>
              <w:spacing w:after="0"/>
              <w:rPr>
                <w:sz w:val="14"/>
                <w:szCs w:val="14"/>
                <w:color w:val="auto"/>
              </w:rPr>
            </w:pPr>
          </w:p>
        </w:tc>
        <w:tc>
          <w:tcPr>
            <w:tcW w:w="8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addition, in 1994 and 1993 a reduction in taxes payable of $.7 million and $6.6 million, respectively, resulting from the utilization of net operating loss carryforwards and other equity items reduced the deferred tax assets and had no impact on the tax provision.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of January 31, 1995, all net operating loss carryforwards have been utilized. There are no other credits or loss carryforwards available as of the end of fiscal 1994.</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April 1994, the Company received notice that the Internal Revenue Service ("IRS") has completed its examinations of the Company's federal income tax returns through fiscal 1991. As a result of the examination, the IRS has proposed adjustments that relate primarily to the amortization of cable television distribution rights, that would result in a potential tax liability for those years in excess of $56.0 million. The Company intends to vigorously contest these proposed</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39"/>
          </w:cols>
          <w:pgMar w:left="220" w:top="624" w:right="1440" w:bottom="1440" w:gutter="0" w:footer="0" w:header="0"/>
        </w:sectPr>
      </w:pPr>
    </w:p>
    <w:bookmarkStart w:id="56" w:name="page57"/>
    <w:bookmarkEnd w:id="56"/>
    <w:p>
      <w:pPr>
        <w:ind w:right="3319"/>
        <w:spacing w:after="0" w:line="235" w:lineRule="auto"/>
        <w:rPr>
          <w:sz w:val="20"/>
          <w:szCs w:val="20"/>
          <w:color w:val="auto"/>
        </w:rPr>
      </w:pPr>
      <w:r>
        <w:rPr>
          <w:rFonts w:ascii="Courier New" w:cs="Courier New" w:eastAsia="Courier New" w:hAnsi="Courier New"/>
          <w:sz w:val="15"/>
          <w:szCs w:val="15"/>
          <w:color w:val="auto"/>
        </w:rPr>
        <w:t>adjustments. While it is not possible at this time to predict the outcome of these actions, it is the opinion of management, after reviewing the matter with outside counsel, that this matter will be resolved without having a material financial impact on the Company.</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624"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Note 15 - LITIGATION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was named as a defendant in certain actions filed in state and federal courts in Delaware (the "Delaware Courts") arising out of Liberty Media Corporation's ("Liberty") prior acquisitions of shares of Home Shopping Network, Inc. ("HSN") and the Company's July 1993 letter proposal to HSN to combine HSN and the Company in a stock-for-stock transaction (the "HSN Actions"). On August 19, 1994, the parties in the HSN Actions entered into a stipulation in connection with the contemplated settlement of such actions (the "Delaware Settlement"), which was then filed with the Delaware Courts and subsequently revised. Pursuant to the Delaware Settlement, the following classes would be certified for settlement purposes: (i) all record or beneficial owners of HSN common stock (the "HSN Shares") from and including December 4, 1992 through and including November 5, 1993; (ii) all sellers of HSN Shares in the Liberty tender offer; and (iii) all sellers of HSN Shares from and including March 30, 1993 through and including July 12, 1993.</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Members of the subclasses described in items (ii) and (iii) would have the right to opt out of the Delaware Settlement pursuant to procedures set forth in the revised stipulation. The Delaware Settlement contemplated that Liberty would create a settlement fund of $13.2 million (plus interest from December 31, 1993) and that the net proceeds of the settlement fund would be distributed to the eligible members of the subclasses described in items (ii) and (iii) above who did not opt out of the settlement in accordance with a plan of distribution to be approved by the Delaware Courts. QVC was not required to pay any portion of the settlement fund. On January 24, 1995, the Delaware Courts each entered an Order and Final Judgment, approving the proposed Delaware Settlement and dismissing the HSN Actions with prejudice.</w:t>
      </w:r>
    </w:p>
    <w:p>
      <w:pPr>
        <w:spacing w:after="0" w:line="165"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 October 1993, the Company brought an action in Delaware Chancery Court against Viacom Inc. ("Viacom"), Paramount Communications Inc. ("Paramount") and certain Paramount directors for breach of fiduciary duty in failing to give fair treatment to the Company's merger proposal while granting undue advantages to Viacom's merger proposal. In November 1993, the court granted the Company's motion for a preliminary injunction against certain anti-takeover mechanisms being used to preclude the Paramount shareholders from accepting the Company's cash tender offer for Paramount shares. This injunction was affirmed by the Delaware Supreme Court in December 1993.</w:t>
      </w:r>
    </w:p>
    <w:p>
      <w:pPr>
        <w:spacing w:after="0" w:line="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Viacom subsequently filed a motion to dismiss the Company's complaint. Paramount's time to respond to the complaint has been extended to June 6, 1995.</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July 1994, after the announcement that Comcast Corporation ("Comcast") and Liberty would make a joint offer to purchase all of the outstanding shares of stock of the Company, eight putative class action lawsuits (the "Consolidated Action") were filed by certain shareholders of the Company in Delaware Chancery Court on behalf of a purported class consisting of all public shareholders of the Company. The defendants in the Consolidated Action include the Company and directors of the Company. Plaintiffs alleged, among other things, that the defendants breached their fiduciary duties when considering the Comcast offer in that they failed to take all possible steps to seek out and encourage the best offer for the Company. Plaintiffs sought, among other things, an injunction ordering the defendants to auction the Company and an award of unspecified compensatory damages to the members of the plaintiff class. In early August 1994, Comcast and Liberty were joined as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39"/>
          </w:cols>
          <w:pgMar w:left="220" w:top="617" w:right="1440" w:bottom="1440" w:gutter="0" w:footer="0" w:header="0"/>
        </w:sectPr>
      </w:pPr>
    </w:p>
    <w:bookmarkStart w:id="58" w:name="page59"/>
    <w:bookmarkEnd w:id="58"/>
    <w:p>
      <w:pPr>
        <w:ind w:right="3399"/>
        <w:spacing w:after="0" w:line="254" w:lineRule="auto"/>
        <w:rPr>
          <w:sz w:val="20"/>
          <w:szCs w:val="20"/>
          <w:color w:val="auto"/>
        </w:rPr>
      </w:pPr>
      <w:r>
        <w:rPr>
          <w:rFonts w:ascii="Courier New" w:cs="Courier New" w:eastAsia="Courier New" w:hAnsi="Courier New"/>
          <w:sz w:val="14"/>
          <w:szCs w:val="14"/>
          <w:color w:val="auto"/>
        </w:rPr>
        <w:t>defendants in the Consolidated Action. On or about August 5, 1994, the parties reached an agreement in principle providing for the settlement and dismissal with prejudice of the Consolidated Action. The agreement in principle provides, among other things, that an affiliate of Comcast and Liberty would commence a tender offer to purchase all of the outstanding shares of QVC Common Stock for $46 per share in cash, to be followed by a merger in which the remaining holders of QVC Common Stock would receive cash of $46 per share. The agreement in principle also provides that all defendants deny that any of them have committed or threatened to commit any violations of law or breaches of duty; that plaintiffs' counsel will apply to the court for an award of fees (to be paid by the Company in the event that the offer and merger are consummated) in an amount to be agreed among plaintiffs and defendants; and that the terms of the settlement are subject to court approval in all respects. In the event of court approval, all claims against defendants (and certain others) that were or could have been asserted in the settled Consolidated Action will be dismissed with prejudice and released, and shareholders of the Company who may have had such claims at any time from June 29, 1994 through the effective date of the merger, will be barred from asserting them in the future. Prior to the time that court approval for the settlement described above is sought, shareholders</w:t>
      </w:r>
    </w:p>
    <w:p>
      <w:pPr>
        <w:spacing w:after="0" w:line="17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of the Company who are members of the class on behalf of whom the action is brought will receive written notice of the terms of the settlement and the claims to be settled, released, dismissed and barred.</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624"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Note 16 - SUPPLEMENTAL INFORMATION ON CONSOLIDATED STATEMENTS OF CASH FLOWS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 analysis of changes in working capital items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c>
          <w:tcPr>
            <w:tcW w:w="8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(Increase) in accounts receivable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$(33,874)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$(86,154)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$(29,029)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(29,496)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deferred taxes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(24,389)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prepaid expenses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accounts payable - trade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29,972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11,312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accrued liabilities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75,834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75,648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5,074</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$ 44,572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$(36,239)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$(33,557)</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paid</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1,130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1,369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$ 20,512</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paid</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w:t>
            </w:r>
          </w:p>
        </w:tc>
        <w:tc>
          <w:tcPr>
            <w:tcW w:w="1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31,841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37,944</w:t>
            </w:r>
          </w:p>
        </w:tc>
      </w:tr>
    </w:tbl>
    <w:p>
      <w:pPr>
        <w:spacing w:after="0" w:line="341"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In fiscal years 1994 and 1993, the Company did not enter into any non-cash financing transactions. In fiscal year 1992, the following non-cash financing transactions were entered into by the Company (dollars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rPr>
              <w:t>of 1,704,546 shares of Common</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in prepayment of Convertible</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subordinated note, net of $1,260</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debt issuance costs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$28,740</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Exercise of 3,893,962 warrants through</w:t>
            </w:r>
          </w:p>
        </w:tc>
        <w:tc>
          <w:tcPr>
            <w:tcW w:w="134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deliverance of 1,424,403 shares of</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Stock at market value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53,771</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Exercise of 2,492,017 warrants for $37,692</w:t>
            </w:r>
          </w:p>
        </w:tc>
        <w:tc>
          <w:tcPr>
            <w:tcW w:w="134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with simultaneous repurchase of 998,457 shares</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Common Stock at market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37,692</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404,572 shares of Common Stock</w:t>
            </w:r>
          </w:p>
        </w:tc>
        <w:tc>
          <w:tcPr>
            <w:tcW w:w="134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 exchange for 675,026 warrants, representing</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the aggregate difference between the market price</w:t>
            </w:r>
          </w:p>
        </w:tc>
        <w:tc>
          <w:tcPr>
            <w:tcW w:w="134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the exercise price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15,273</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 through deliverance</w:t>
            </w:r>
          </w:p>
        </w:tc>
        <w:tc>
          <w:tcPr>
            <w:tcW w:w="134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800 shares of Common Stock at market value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505"/>
        </w:trPr>
        <w:tc>
          <w:tcPr>
            <w:tcW w:w="760" w:type="dxa"/>
            <w:vAlign w:val="bottom"/>
          </w:tcPr>
          <w:p>
            <w:pPr>
              <w:spacing w:after="0"/>
              <w:rPr>
                <w:sz w:val="24"/>
                <w:szCs w:val="24"/>
                <w:color w:val="auto"/>
              </w:rPr>
            </w:pPr>
          </w:p>
        </w:tc>
        <w:tc>
          <w:tcPr>
            <w:tcW w:w="4460" w:type="dxa"/>
            <w:vAlign w:val="bottom"/>
          </w:tcPr>
          <w:p>
            <w:pPr>
              <w:ind w:left="2580"/>
              <w:spacing w:after="0"/>
              <w:rPr>
                <w:sz w:val="20"/>
                <w:szCs w:val="20"/>
                <w:color w:val="auto"/>
              </w:rPr>
            </w:pPr>
            <w:r>
              <w:rPr>
                <w:rFonts w:ascii="Courier New" w:cs="Courier New" w:eastAsia="Courier New" w:hAnsi="Courier New"/>
                <w:sz w:val="15"/>
                <w:szCs w:val="15"/>
                <w:color w:val="auto"/>
              </w:rPr>
              <w:t>F-53</w:t>
            </w:r>
          </w:p>
        </w:tc>
        <w:tc>
          <w:tcPr>
            <w:tcW w:w="13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NOTE 17 - PARAMOUNT TENDER OFFER</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On October 27, 1993, the Company made an $80.00 cash tender offer for 50.1 percent of the outstanding common shares of Paramount. This tender offer was amended several times during the bidding process against Viacom for Paramount. On February 1, 1994, the Company amended its cash tender offer to $104 per share. The Company offered approximately $6.4 billion in cash for 61.7 million Paramount common shares. The proposed cash tender offer would have been funded through a $3.25 billion bank loan commitment and proposed capital contributions to the Company of $1.5 billion from BellSouth Corporation and $0.5 billion each from Advance Publications, Cox Enterprises and Comcast Corporation. On February 15, 1994, Paramount notified the Company that Viacom received the minimum condition in its tender offer and had delivered to Paramount a completion certificate pursuant to the bidding procedures. Accordingly, the Company terminated its tender offer for 50.1 percent of the common stock of Paramount. The costs incurred on the tender offer, comprised principally of bank fees and legal and advisory fees, totaled $34.8 million which were expensed in the fourth quarter of fiscal 1993. The $3.25 billion bank loan commitment expired on February 15, 1994 upon the termination of the tender offer.</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39"/>
          </w:cols>
          <w:pgMar w:left="220" w:top="617" w:right="1440" w:bottom="1440" w:gutter="0" w:footer="0" w:header="0"/>
        </w:sectPr>
      </w:pPr>
    </w:p>
    <w:bookmarkStart w:id="61" w:name="page62"/>
    <w:bookmarkEnd w:id="61"/>
    <w:p>
      <w:pPr>
        <w:jc w:val="right"/>
        <w:ind w:right="5599"/>
        <w:spacing w:after="0"/>
        <w:rPr>
          <w:sz w:val="20"/>
          <w:szCs w:val="20"/>
          <w:color w:val="auto"/>
        </w:rPr>
      </w:pPr>
      <w:r>
        <w:rPr>
          <w:rFonts w:ascii="Courier New" w:cs="Courier New" w:eastAsia="Courier New" w:hAnsi="Courier New"/>
          <w:sz w:val="14"/>
          <w:szCs w:val="14"/>
          <w:color w:val="auto"/>
        </w:rPr>
        <w:t>Note 18 - QUARTERLY FINANCIAL INFORMATION (UNAUDITED)</w:t>
      </w:r>
    </w:p>
    <w:p>
      <w:pPr>
        <w:spacing w:after="0" w:line="3"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5"/>
          <w:szCs w:val="15"/>
          <w:color w:val="auto"/>
        </w:rPr>
        <w:t>(in thousands, except as to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First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Second</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Net revenue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$296,441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$303,277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$364,467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$425,921</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115,629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118,962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141,302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165,677</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26,383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25,513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56,907</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provision</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(14,320)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(13,785)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(28,575)</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28,332</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 (3):</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673"/>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First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Second</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Net revenue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$273,232</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$262,438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$313,945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$372,489</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113,773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107,938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128,902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148,316</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income taxes and</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34,546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26,137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11,871</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provision</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(16,925)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cumulative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effect of a change in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13,327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2,846</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 change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21,611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13,327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2,846</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 (3):</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of a change in accounting principle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bl>
    <w:p>
      <w:pPr>
        <w:spacing w:after="0" w:line="341" w:lineRule="exact"/>
        <w:rPr>
          <w:sz w:val="20"/>
          <w:szCs w:val="20"/>
          <w:color w:val="auto"/>
        </w:rPr>
      </w:pPr>
    </w:p>
    <w:p>
      <w:pPr>
        <w:ind w:left="360" w:right="3679" w:hanging="350"/>
        <w:spacing w:after="0" w:line="234"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amount includes a charge of $34.8 million related to the Paramount tender offer (Note 17).</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cumulative effect of adopting SFAS 109.</w:t>
      </w:r>
    </w:p>
    <w:p>
      <w:pPr>
        <w:spacing w:after="0" w:line="172"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diluted earnings per share are not presented since they do not differ significantly from primary earnings per share.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624" w:right="1440" w:bottom="1440" w:gutter="0" w:footer="0" w:header="0"/>
        </w:sectPr>
      </w:pPr>
    </w:p>
    <w:bookmarkStart w:id="62" w:name="page63"/>
    <w:bookmarkEnd w:id="62"/>
    <w:p>
      <w:pPr>
        <w:ind w:left="5960"/>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February 28, 1995 relating to the financial statements of Comcast MHCP Holdings, L.L.C. (an indirect majority owned subsidiary of Comcast Corporation) appearing in Form 8-K of Comcast Corporation and its subsidiaries filed on or about April 24, 1995.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98"/>
              </w:rPr>
              <w:t>Registration Statement Number</w:t>
            </w:r>
          </w:p>
        </w:tc>
      </w:tr>
      <w:tr>
        <w:trPr>
          <w:trHeight w:val="168"/>
        </w:trPr>
        <w:tc>
          <w:tcPr>
            <w:tcW w:w="460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Comcast Corporation Retirement Investment Plan</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33-41440</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2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33-56903</w:t>
            </w:r>
          </w:p>
        </w:tc>
      </w:tr>
      <w:tr>
        <w:trPr>
          <w:trHeight w:val="6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 value; Depository Shares representing Preferred</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 Class A Common Stock, $1.00 par value; Class</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 Special Common Stock, $1.00 par value and Warrants</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2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Subordinated Debentures</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58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 value; Depository Shares representing Preferred</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Class A Common Stock, $1.00 par value;</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Special Common Stock, $1.00 par value and</w:t>
            </w:r>
          </w:p>
        </w:tc>
        <w:tc>
          <w:tcPr>
            <w:tcW w:w="258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Warrants</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33-50785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24, 1995</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39"/>
          </w:cols>
          <w:pgMar w:left="220" w:top="471" w:right="1440" w:bottom="1440" w:gutter="0" w:footer="0" w:header="0"/>
        </w:sectPr>
      </w:pPr>
    </w:p>
    <w:bookmarkStart w:id="63" w:name="page64"/>
    <w:bookmarkEnd w:id="63"/>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the use of our report dated March 3, 1995, with respect to the consolidated balance sheets of QVC, Inc. and subsidiaries as of January 31, 1995 and 1994, and the related consolidated statements of operations, shareholders' equity, and cash flows for each of the years in the three-year period ended January 31, 1995, incorporated by reference in the registration statements (Nos. 33-41440, 33-54365, 33-25105, and 33-56903) on Form S-8 and (Nos. 33-40386, 33-46988, 33-57410 and 33-50785) on Form S-3 of Comcast Corporation which report is included in the Current Report on Form 8-K of Comcast Corporation filed on or about April 24, 1995. Our report thereon refers to a change in accounting for income taxes in the year ended January 31, 1994.</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 KPMG Peat Marwick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April 24, 1995</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upperLetter"/>
      <w:start w:val="1"/>
    </w:lvl>
  </w:abstractNum>
  <w:abstractNum w:abstractNumId="2">
    <w:nsid w:val="1F16E9E8"/>
    <w:multiLevelType w:val="hybridMultilevel"/>
    <w:lvl w:ilvl="0">
      <w:lvlJc w:val="left"/>
      <w:lvlText w:val="%1."/>
      <w:numFmt w:val="upperLetter"/>
      <w:start w:val="3"/>
    </w:lvl>
    <w:lvl w:ilvl="1">
      <w:lvlJc w:val="left"/>
      <w:lvlText w:val="%2."/>
      <w:numFmt w:val="decimal"/>
      <w:start w:val="1"/>
    </w:lvl>
  </w:abstractNum>
  <w:abstractNum w:abstractNumId="3">
    <w:nsid w:val="1190CDE7"/>
    <w:multiLevelType w:val="hybridMultilevel"/>
    <w:lvl w:ilvl="0">
      <w:lvlJc w:val="left"/>
      <w:lvlText w:val="%1."/>
      <w:numFmt w:val="upperLetter"/>
      <w:start w:val="4"/>
    </w:lvl>
  </w:abstractNum>
  <w:abstractNum w:abstractNumId="4">
    <w:nsid w:val="66EF438D"/>
    <w:multiLevelType w:val="hybridMultilevel"/>
    <w:lvl w:ilvl="0">
      <w:lvlJc w:val="left"/>
      <w:lvlText w:val="%1."/>
      <w:numFmt w:val="upperLetter"/>
      <w:start w:val="5"/>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12"/>
    </w:lvl>
  </w:abstractNum>
  <w:abstractNum w:abstractNumId="8">
    <w:nsid w:val="DED7263"/>
    <w:multiLevelType w:val="hybridMultilevel"/>
    <w:lvl w:ilvl="0">
      <w:lvlJc w:val="left"/>
      <w:lvlText w:val="%1."/>
      <w:numFmt w:val="decimal"/>
      <w:start w:val="14"/>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decimal"/>
      <w:start w:val="8"/>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2019-12-12T05:34:27Z</dcterms:created>
  <dcterms:modified xsi:type="dcterms:W3CDTF">2019-12-12T05:34:27Z</dcterms:modified>
</cp:coreProperties>
</file>