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56"/>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ind w:left="34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(Mark One)</w:t>
      </w:r>
    </w:p>
    <w:p>
      <w:pPr>
        <w:spacing w:after="0" w:line="5" w:lineRule="exact"/>
        <w:rPr>
          <w:sz w:val="24"/>
          <w:szCs w:val="24"/>
          <w:color w:val="auto"/>
        </w:rPr>
      </w:pPr>
    </w:p>
    <w:p>
      <w:pPr>
        <w:ind w:left="463" w:right="2659" w:hanging="463"/>
        <w:spacing w:after="0" w:line="237" w:lineRule="auto"/>
        <w:tabs>
          <w:tab w:leader="none" w:pos="4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370" w:lineRule="exact"/>
        <w:rPr>
          <w:sz w:val="24"/>
          <w:szCs w:val="24"/>
          <w:color w:val="auto"/>
        </w:rPr>
      </w:pPr>
    </w:p>
    <w:p>
      <w:pPr>
        <w:ind w:left="463" w:right="2839" w:hanging="463"/>
        <w:spacing w:after="0" w:line="267" w:lineRule="auto"/>
        <w:tabs>
          <w:tab w:leader="none" w:pos="17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for the Transition Period from ________ to ________.</w:t>
      </w:r>
    </w:p>
    <w:p>
      <w:pPr>
        <w:spacing w:after="0" w:line="164" w:lineRule="exact"/>
        <w:rPr>
          <w:sz w:val="24"/>
          <w:szCs w:val="24"/>
          <w:color w:val="auto"/>
        </w:rPr>
      </w:pPr>
    </w:p>
    <w:p>
      <w:pPr>
        <w:ind w:left="2463"/>
        <w:spacing w:after="0"/>
        <w:rPr>
          <w:sz w:val="20"/>
          <w:szCs w:val="20"/>
          <w:color w:val="auto"/>
        </w:rPr>
      </w:pPr>
      <w:r>
        <w:rPr>
          <w:rFonts w:ascii="Courier New" w:cs="Courier New" w:eastAsia="Courier New" w:hAnsi="Courier New"/>
          <w:sz w:val="16"/>
          <w:szCs w:val="16"/>
          <w:color w:val="auto"/>
        </w:rPr>
        <w:t>Commission File Number 0-6983</w:t>
      </w:r>
    </w:p>
    <w:p>
      <w:pPr>
        <w:spacing w:after="0" w:line="183" w:lineRule="exact"/>
        <w:rPr>
          <w:sz w:val="24"/>
          <w:szCs w:val="24"/>
          <w:color w:val="auto"/>
        </w:rPr>
      </w:pPr>
    </w:p>
    <w:p>
      <w:pPr>
        <w:ind w:left="2843"/>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4"/>
          <w:szCs w:val="24"/>
          <w:color w:val="auto"/>
        </w:rPr>
      </w:pPr>
    </w:p>
    <w:p>
      <w:pPr>
        <w:ind w:left="2643"/>
        <w:spacing w:after="0"/>
        <w:rPr>
          <w:sz w:val="20"/>
          <w:szCs w:val="20"/>
          <w:color w:val="auto"/>
        </w:rPr>
      </w:pPr>
      <w:r>
        <w:rPr>
          <w:rFonts w:ascii="Courier New" w:cs="Courier New" w:eastAsia="Courier New" w:hAnsi="Courier New"/>
          <w:sz w:val="16"/>
          <w:szCs w:val="16"/>
          <w:color w:val="auto"/>
        </w:rPr>
        <w:t>[GRAPHIC OMITTED - LOGO]</w:t>
      </w:r>
    </w:p>
    <w:p>
      <w:pPr>
        <w:spacing w:after="0" w:line="183" w:lineRule="exact"/>
        <w:rPr>
          <w:sz w:val="24"/>
          <w:szCs w:val="24"/>
          <w:color w:val="auto"/>
        </w:rPr>
      </w:pPr>
    </w:p>
    <w:p>
      <w:pPr>
        <w:ind w:left="1223"/>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2"/>
          </w:cols>
          <w:pgMar w:left="237" w:top="235" w:right="1440" w:bottom="0" w:gutter="0" w:footer="0" w:header="0"/>
        </w:sectPr>
      </w:pPr>
    </w:p>
    <w:p>
      <w:pPr>
        <w:spacing w:after="0" w:line="183" w:lineRule="exact"/>
        <w:rPr>
          <w:sz w:val="24"/>
          <w:szCs w:val="24"/>
          <w:color w:val="auto"/>
        </w:rPr>
      </w:pPr>
    </w:p>
    <w:p>
      <w:pPr>
        <w:ind w:left="1223"/>
        <w:spacing w:after="0"/>
        <w:rPr>
          <w:sz w:val="20"/>
          <w:szCs w:val="20"/>
          <w:color w:val="auto"/>
        </w:rPr>
      </w:pPr>
      <w:r>
        <w:rPr>
          <w:rFonts w:ascii="Courier New" w:cs="Courier New" w:eastAsia="Courier New" w:hAnsi="Courier New"/>
          <w:sz w:val="16"/>
          <w:szCs w:val="16"/>
          <w:color w:val="auto"/>
        </w:rPr>
        <w:t>PENNSYLVANIA</w:t>
      </w:r>
    </w:p>
    <w:p>
      <w:pPr>
        <w:spacing w:after="0" w:line="5" w:lineRule="exact"/>
        <w:rPr>
          <w:sz w:val="24"/>
          <w:szCs w:val="24"/>
          <w:color w:val="auto"/>
        </w:rPr>
      </w:pPr>
    </w:p>
    <w:p>
      <w:pPr>
        <w:ind w:left="283"/>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283"/>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23-1709202</w:t>
      </w:r>
    </w:p>
    <w:p>
      <w:pPr>
        <w:spacing w:after="0" w:line="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90" w:lineRule="exact"/>
        <w:rPr>
          <w:sz w:val="24"/>
          <w:szCs w:val="24"/>
          <w:color w:val="auto"/>
        </w:rPr>
      </w:pPr>
    </w:p>
    <w:p>
      <w:pPr>
        <w:sectPr>
          <w:pgSz w:w="11900" w:h="16838" w:orient="portrait"/>
          <w:cols w:equalWidth="0" w:num="2">
            <w:col w:w="4383" w:space="720"/>
            <w:col w:w="5119"/>
          </w:cols>
          <w:pgMar w:left="237" w:top="235" w:right="1440" w:bottom="0" w:gutter="0" w:footer="0" w:header="0"/>
          <w:type w:val="continuous"/>
        </w:sectPr>
      </w:pPr>
    </w:p>
    <w:p>
      <w:pPr>
        <w:jc w:val="center"/>
        <w:ind w:right="2556"/>
        <w:spacing w:after="0"/>
        <w:rPr>
          <w:sz w:val="20"/>
          <w:szCs w:val="20"/>
          <w:color w:val="auto"/>
        </w:rPr>
      </w:pPr>
      <w:r>
        <w:rPr>
          <w:rFonts w:ascii="Courier New" w:cs="Courier New" w:eastAsia="Courier New" w:hAnsi="Courier New"/>
          <w:sz w:val="16"/>
          <w:szCs w:val="16"/>
          <w:color w:val="auto"/>
        </w:rPr>
        <w:t>1500 Market Street, Philadelphia, PA 19102-2148</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(Zip Code)</w:t>
      </w:r>
    </w:p>
    <w:p>
      <w:pPr>
        <w:spacing w:after="0" w:line="183" w:lineRule="exact"/>
        <w:rPr>
          <w:sz w:val="24"/>
          <w:szCs w:val="24"/>
          <w:color w:val="auto"/>
        </w:rPr>
      </w:pPr>
    </w:p>
    <w:p>
      <w:pPr>
        <w:ind w:left="3"/>
        <w:spacing w:after="0"/>
        <w:tabs>
          <w:tab w:leader="none" w:pos="4983"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(215) 665-1700</w:t>
      </w:r>
    </w:p>
    <w:p>
      <w:pPr>
        <w:spacing w:after="0" w:line="183" w:lineRule="exact"/>
        <w:rPr>
          <w:sz w:val="24"/>
          <w:szCs w:val="24"/>
          <w:color w:val="auto"/>
        </w:rPr>
      </w:pPr>
    </w:p>
    <w:p>
      <w:pPr>
        <w:ind w:left="2743"/>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both"/>
        <w:ind w:left="3" w:right="2659"/>
        <w:spacing w:after="0" w:line="23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222"/>
          </w:cols>
          <w:pgMar w:left="237" w:top="235" w:right="1440" w:bottom="0" w:gutter="0" w:footer="0" w:header="0"/>
          <w:type w:val="continuous"/>
        </w:sectPr>
      </w:pPr>
    </w:p>
    <w:p>
      <w:pPr>
        <w:spacing w:after="0" w:line="185" w:lineRule="exact"/>
        <w:rPr>
          <w:sz w:val="24"/>
          <w:szCs w:val="24"/>
          <w:color w:val="auto"/>
        </w:rPr>
      </w:pPr>
    </w:p>
    <w:p>
      <w:pPr>
        <w:ind w:left="843"/>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__X__</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 ____</w:t>
      </w:r>
    </w:p>
    <w:p>
      <w:pPr>
        <w:spacing w:after="0" w:line="193" w:lineRule="exact"/>
        <w:rPr>
          <w:sz w:val="24"/>
          <w:szCs w:val="24"/>
          <w:color w:val="auto"/>
        </w:rPr>
      </w:pPr>
    </w:p>
    <w:p>
      <w:pPr>
        <w:sectPr>
          <w:pgSz w:w="11900" w:h="16838" w:orient="portrait"/>
          <w:cols w:equalWidth="0" w:num="3">
            <w:col w:w="1143" w:space="180"/>
            <w:col w:w="3640" w:space="720"/>
            <w:col w:w="4539"/>
          </w:cols>
          <w:pgMar w:left="237" w:top="235" w:right="1440" w:bottom="0" w:gutter="0" w:footer="0" w:header="0"/>
          <w:type w:val="continuous"/>
        </w:sectPr>
      </w:pPr>
    </w:p>
    <w:p>
      <w:pPr>
        <w:ind w:left="2743"/>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2"/>
          </w:cols>
          <w:pgMar w:left="237" w:top="235" w:right="1440" w:bottom="0" w:gutter="0" w:footer="0" w:header="0"/>
          <w:type w:val="continuous"/>
        </w:sectPr>
      </w:pPr>
    </w:p>
    <w:p>
      <w:pPr>
        <w:spacing w:after="0" w:line="194" w:lineRule="exact"/>
        <w:rPr>
          <w:sz w:val="24"/>
          <w:szCs w:val="24"/>
          <w:color w:val="auto"/>
        </w:rPr>
      </w:pPr>
    </w:p>
    <w:p>
      <w:pPr>
        <w:jc w:val="both"/>
        <w:ind w:left="3" w:right="2659"/>
        <w:spacing w:after="0" w:line="238" w:lineRule="auto"/>
        <w:rPr>
          <w:sz w:val="20"/>
          <w:szCs w:val="20"/>
          <w:color w:val="auto"/>
        </w:rPr>
      </w:pPr>
      <w:r>
        <w:rPr>
          <w:rFonts w:ascii="Courier New" w:cs="Courier New" w:eastAsia="Courier New" w:hAnsi="Courier New"/>
          <w:sz w:val="16"/>
          <w:szCs w:val="16"/>
          <w:color w:val="auto"/>
        </w:rPr>
        <w:t>As of March 31, 1996, there were 192,662,145 shares of Class A Special Common Stock, 35,114,511 shares of Class A Common Stock and 8,786,250 shares of Class B Common Stock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ind w:left="2083"/>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4"/>
          <w:szCs w:val="24"/>
          <w:color w:val="auto"/>
        </w:rPr>
      </w:pPr>
    </w:p>
    <w:p>
      <w:pPr>
        <w:ind w:left="34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4"/>
          <w:szCs w:val="24"/>
          <w:color w:val="auto"/>
        </w:rPr>
      </w:pPr>
    </w:p>
    <w:p>
      <w:pPr>
        <w:ind w:left="2463"/>
        <w:spacing w:after="0"/>
        <w:rPr>
          <w:sz w:val="20"/>
          <w:szCs w:val="20"/>
          <w:color w:val="auto"/>
        </w:rPr>
      </w:pPr>
      <w:r>
        <w:rPr>
          <w:rFonts w:ascii="Courier New" w:cs="Courier New" w:eastAsia="Courier New" w:hAnsi="Courier New"/>
          <w:sz w:val="16"/>
          <w:szCs w:val="16"/>
          <w:color w:val="auto"/>
        </w:rPr>
        <w:t>QUARTER ENDED MARCH 31, 1996</w:t>
      </w:r>
    </w:p>
    <w:p>
      <w:pPr>
        <w:spacing w:after="0" w:line="183" w:lineRule="exact"/>
        <w:rPr>
          <w:sz w:val="24"/>
          <w:szCs w:val="24"/>
          <w:color w:val="auto"/>
        </w:rPr>
      </w:pPr>
    </w:p>
    <w:p>
      <w:pPr>
        <w:ind w:left="3023"/>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7103"/>
        <w:spacing w:after="0"/>
        <w:rPr>
          <w:sz w:val="20"/>
          <w:szCs w:val="20"/>
          <w:color w:val="auto"/>
        </w:rPr>
      </w:pPr>
      <w:r>
        <w:rPr>
          <w:rFonts w:ascii="Courier New" w:cs="Courier New" w:eastAsia="Courier New" w:hAnsi="Courier New"/>
          <w:sz w:val="16"/>
          <w:szCs w:val="16"/>
          <w:color w:val="auto"/>
        </w:rPr>
        <w:t>Page</w:t>
      </w:r>
    </w:p>
    <w:p>
      <w:pPr>
        <w:spacing w:after="0" w:line="1" w:lineRule="exact"/>
        <w:rPr>
          <w:sz w:val="24"/>
          <w:szCs w:val="24"/>
          <w:color w:val="auto"/>
        </w:rPr>
      </w:pPr>
    </w:p>
    <w:p>
      <w:pPr>
        <w:jc w:val="right"/>
        <w:ind w:right="2659"/>
        <w:spacing w:after="0"/>
        <w:rPr>
          <w:sz w:val="20"/>
          <w:szCs w:val="20"/>
          <w:color w:val="auto"/>
        </w:rPr>
      </w:pPr>
      <w:r>
        <w:rPr>
          <w:rFonts w:ascii="Courier New" w:cs="Courier New" w:eastAsia="Courier New" w:hAnsi="Courier New"/>
          <w:sz w:val="16"/>
          <w:szCs w:val="16"/>
          <w:color w:val="auto"/>
        </w:rPr>
        <w:t>Number</w:t>
      </w:r>
    </w:p>
    <w:p>
      <w:pPr>
        <w:spacing w:after="0" w:line="183" w:lineRule="exact"/>
        <w:rPr>
          <w:sz w:val="24"/>
          <w:szCs w:val="24"/>
          <w:color w:val="auto"/>
        </w:rPr>
      </w:pPr>
    </w:p>
    <w:p>
      <w:pPr>
        <w:ind w:left="3"/>
        <w:spacing w:after="0"/>
        <w:tabs>
          <w:tab w:leader="none" w:pos="923"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5"/>
          <w:szCs w:val="15"/>
          <w:color w:val="auto"/>
        </w:rPr>
        <w:t>FINANCIAL INFORMATION</w:t>
      </w:r>
    </w:p>
    <w:p>
      <w:pPr>
        <w:spacing w:after="0" w:line="183" w:lineRule="exact"/>
        <w:rPr>
          <w:sz w:val="24"/>
          <w:szCs w:val="24"/>
          <w:color w:val="auto"/>
        </w:rPr>
      </w:pPr>
    </w:p>
    <w:p>
      <w:pPr>
        <w:ind w:left="943"/>
        <w:spacing w:after="0"/>
        <w:tabs>
          <w:tab w:leader="none" w:pos="186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83"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Condensed Consolidated Balance</w:t>
      </w:r>
    </w:p>
    <w:p>
      <w:pPr>
        <w:spacing w:after="0" w:line="1"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Sheet as of March 31, 1996 and December 31,</w:t>
      </w:r>
    </w:p>
    <w:p>
      <w:pPr>
        <w:spacing w:after="0" w:line="1" w:lineRule="exact"/>
        <w:rPr>
          <w:sz w:val="24"/>
          <w:szCs w:val="24"/>
          <w:color w:val="auto"/>
        </w:rPr>
      </w:pPr>
    </w:p>
    <w:p>
      <w:pPr>
        <w:ind w:left="1883"/>
        <w:spacing w:after="0"/>
        <w:tabs>
          <w:tab w:leader="dot" w:pos="7263" w:val="left"/>
        </w:tabs>
        <w:rPr>
          <w:sz w:val="20"/>
          <w:szCs w:val="20"/>
          <w:color w:val="auto"/>
        </w:rPr>
      </w:pPr>
      <w:r>
        <w:rPr>
          <w:rFonts w:ascii="Courier New" w:cs="Courier New" w:eastAsia="Courier New" w:hAnsi="Courier New"/>
          <w:sz w:val="16"/>
          <w:szCs w:val="16"/>
          <w:color w:val="auto"/>
        </w:rPr>
        <w:t>1995 (Unaudited)</w:t>
      </w:r>
      <w:r>
        <w:rPr>
          <w:sz w:val="20"/>
          <w:szCs w:val="20"/>
          <w:color w:val="auto"/>
        </w:rPr>
        <w:tab/>
      </w:r>
      <w:r>
        <w:rPr>
          <w:rFonts w:ascii="Courier New" w:cs="Courier New" w:eastAsia="Courier New" w:hAnsi="Courier New"/>
          <w:sz w:val="16"/>
          <w:szCs w:val="16"/>
          <w:color w:val="auto"/>
        </w:rPr>
        <w:t>2</w:t>
      </w:r>
    </w:p>
    <w:p>
      <w:pPr>
        <w:spacing w:after="0" w:line="183"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Condensed Consolidated Statement of</w:t>
      </w:r>
    </w:p>
    <w:p>
      <w:pPr>
        <w:spacing w:after="0" w:line="1"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Operations and Accumulated Deficit for</w:t>
      </w:r>
    </w:p>
    <w:p>
      <w:pPr>
        <w:spacing w:after="0" w:line="1"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the Three Months Ended March 31,</w:t>
      </w:r>
    </w:p>
    <w:p>
      <w:pPr>
        <w:spacing w:after="0" w:line="1" w:lineRule="exact"/>
        <w:rPr>
          <w:sz w:val="24"/>
          <w:szCs w:val="24"/>
          <w:color w:val="auto"/>
        </w:rPr>
      </w:pPr>
    </w:p>
    <w:p>
      <w:pPr>
        <w:ind w:left="1883"/>
        <w:spacing w:after="0"/>
        <w:tabs>
          <w:tab w:leader="dot" w:pos="7263" w:val="left"/>
        </w:tabs>
        <w:rPr>
          <w:sz w:val="20"/>
          <w:szCs w:val="20"/>
          <w:color w:val="auto"/>
        </w:rPr>
      </w:pPr>
      <w:r>
        <w:rPr>
          <w:rFonts w:ascii="Courier New" w:cs="Courier New" w:eastAsia="Courier New" w:hAnsi="Courier New"/>
          <w:sz w:val="16"/>
          <w:szCs w:val="16"/>
          <w:color w:val="auto"/>
        </w:rPr>
        <w:t>1996 and 1995 (Unaudited)</w:t>
      </w:r>
      <w:r>
        <w:rPr>
          <w:sz w:val="20"/>
          <w:szCs w:val="20"/>
          <w:color w:val="auto"/>
        </w:rPr>
        <w:tab/>
      </w:r>
      <w:r>
        <w:rPr>
          <w:rFonts w:ascii="Courier New" w:cs="Courier New" w:eastAsia="Courier New" w:hAnsi="Courier New"/>
          <w:sz w:val="16"/>
          <w:szCs w:val="16"/>
          <w:color w:val="auto"/>
        </w:rPr>
        <w:t>3</w:t>
      </w:r>
    </w:p>
    <w:p>
      <w:pPr>
        <w:spacing w:after="0" w:line="183"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Condensed Consolidated Statement of Cash</w:t>
      </w:r>
    </w:p>
    <w:p>
      <w:pPr>
        <w:spacing w:after="0" w:line="1"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Flows for the Three Months Ended March 31, 1996</w:t>
      </w:r>
    </w:p>
    <w:p>
      <w:pPr>
        <w:spacing w:after="0" w:line="1" w:lineRule="exact"/>
        <w:rPr>
          <w:sz w:val="24"/>
          <w:szCs w:val="24"/>
          <w:color w:val="auto"/>
        </w:rPr>
      </w:pPr>
    </w:p>
    <w:p>
      <w:pPr>
        <w:ind w:left="1883"/>
        <w:spacing w:after="0"/>
        <w:tabs>
          <w:tab w:leader="dot" w:pos="7263" w:val="left"/>
        </w:tabs>
        <w:rPr>
          <w:sz w:val="20"/>
          <w:szCs w:val="20"/>
          <w:color w:val="auto"/>
        </w:rPr>
      </w:pPr>
      <w:r>
        <w:rPr>
          <w:rFonts w:ascii="Courier New" w:cs="Courier New" w:eastAsia="Courier New" w:hAnsi="Courier New"/>
          <w:sz w:val="16"/>
          <w:szCs w:val="16"/>
          <w:color w:val="auto"/>
        </w:rPr>
        <w:t>and 1995 (Unaudited)</w:t>
      </w:r>
      <w:r>
        <w:rPr>
          <w:sz w:val="20"/>
          <w:szCs w:val="20"/>
          <w:color w:val="auto"/>
        </w:rPr>
        <w:tab/>
      </w:r>
      <w:r>
        <w:rPr>
          <w:rFonts w:ascii="Courier New" w:cs="Courier New" w:eastAsia="Courier New" w:hAnsi="Courier New"/>
          <w:sz w:val="16"/>
          <w:szCs w:val="16"/>
          <w:color w:val="auto"/>
        </w:rPr>
        <w:t>4</w:t>
      </w:r>
    </w:p>
    <w:p>
      <w:pPr>
        <w:spacing w:after="0" w:line="183"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Notes to Condensed Consolidated</w:t>
      </w:r>
    </w:p>
    <w:p>
      <w:pPr>
        <w:spacing w:after="0" w:line="1" w:lineRule="exact"/>
        <w:rPr>
          <w:sz w:val="24"/>
          <w:szCs w:val="24"/>
          <w:color w:val="auto"/>
        </w:rPr>
      </w:pPr>
    </w:p>
    <w:p>
      <w:pPr>
        <w:ind w:left="1883"/>
        <w:spacing w:after="0"/>
        <w:tabs>
          <w:tab w:leader="dot" w:pos="6783" w:val="left"/>
        </w:tabs>
        <w:rPr>
          <w:sz w:val="20"/>
          <w:szCs w:val="20"/>
          <w:color w:val="auto"/>
        </w:rPr>
      </w:pPr>
      <w:r>
        <w:rPr>
          <w:rFonts w:ascii="Courier New" w:cs="Courier New" w:eastAsia="Courier New" w:hAnsi="Courier New"/>
          <w:sz w:val="16"/>
          <w:szCs w:val="16"/>
          <w:color w:val="auto"/>
        </w:rPr>
        <w:t>Financial Statements (Unaudited)</w:t>
      </w:r>
      <w:r>
        <w:rPr>
          <w:sz w:val="20"/>
          <w:szCs w:val="20"/>
          <w:color w:val="auto"/>
        </w:rPr>
        <w:tab/>
      </w:r>
      <w:r>
        <w:rPr>
          <w:rFonts w:ascii="Courier New" w:cs="Courier New" w:eastAsia="Courier New" w:hAnsi="Courier New"/>
          <w:sz w:val="16"/>
          <w:szCs w:val="16"/>
          <w:color w:val="auto"/>
        </w:rPr>
        <w:t>5 - 10</w:t>
      </w:r>
    </w:p>
    <w:p>
      <w:pPr>
        <w:spacing w:after="0" w:line="183" w:lineRule="exact"/>
        <w:rPr>
          <w:sz w:val="24"/>
          <w:szCs w:val="24"/>
          <w:color w:val="auto"/>
        </w:rPr>
      </w:pPr>
    </w:p>
    <w:p>
      <w:pPr>
        <w:ind w:left="943"/>
        <w:spacing w:after="0"/>
        <w:tabs>
          <w:tab w:leader="none" w:pos="186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w:t>
      </w:r>
    </w:p>
    <w:p>
      <w:pPr>
        <w:spacing w:after="0" w:line="1"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of Financial Condition and Results of</w:t>
      </w:r>
    </w:p>
    <w:p>
      <w:pPr>
        <w:spacing w:after="0" w:line="1" w:lineRule="exact"/>
        <w:rPr>
          <w:sz w:val="24"/>
          <w:szCs w:val="24"/>
          <w:color w:val="auto"/>
        </w:rPr>
      </w:pPr>
    </w:p>
    <w:p>
      <w:pPr>
        <w:ind w:left="1883"/>
        <w:spacing w:after="0"/>
        <w:tabs>
          <w:tab w:leader="dot" w:pos="6703" w:val="left"/>
        </w:tabs>
        <w:rPr>
          <w:sz w:val="20"/>
          <w:szCs w:val="20"/>
          <w:color w:val="auto"/>
        </w:rPr>
      </w:pPr>
      <w:r>
        <w:rPr>
          <w:rFonts w:ascii="Courier New" w:cs="Courier New" w:eastAsia="Courier New" w:hAnsi="Courier New"/>
          <w:sz w:val="16"/>
          <w:szCs w:val="16"/>
          <w:color w:val="auto"/>
        </w:rPr>
        <w:t>Operations</w:t>
      </w:r>
      <w:r>
        <w:rPr>
          <w:sz w:val="20"/>
          <w:szCs w:val="20"/>
          <w:color w:val="auto"/>
        </w:rPr>
        <w:tab/>
      </w:r>
      <w:r>
        <w:rPr>
          <w:rFonts w:ascii="Courier New" w:cs="Courier New" w:eastAsia="Courier New" w:hAnsi="Courier New"/>
          <w:sz w:val="15"/>
          <w:szCs w:val="15"/>
          <w:color w:val="auto"/>
        </w:rPr>
        <w:t>11 - 18</w:t>
      </w:r>
    </w:p>
    <w:p>
      <w:pPr>
        <w:spacing w:after="0" w:line="183" w:lineRule="exact"/>
        <w:rPr>
          <w:sz w:val="24"/>
          <w:szCs w:val="24"/>
          <w:color w:val="auto"/>
        </w:rPr>
      </w:pPr>
    </w:p>
    <w:p>
      <w:pPr>
        <w:ind w:left="3"/>
        <w:spacing w:after="0"/>
        <w:tabs>
          <w:tab w:leader="none" w:pos="923"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83" w:lineRule="exact"/>
        <w:rPr>
          <w:sz w:val="24"/>
          <w:szCs w:val="24"/>
          <w:color w:val="auto"/>
        </w:rPr>
      </w:pPr>
    </w:p>
    <w:p>
      <w:pPr>
        <w:ind w:left="943"/>
        <w:spacing w:after="0"/>
        <w:tabs>
          <w:tab w:leader="none" w:pos="1863" w:val="left"/>
          <w:tab w:leader="dot" w:pos="7163" w:val="left"/>
        </w:tabs>
        <w:rPr>
          <w:sz w:val="20"/>
          <w:szCs w:val="20"/>
          <w:color w:val="auto"/>
        </w:rPr>
      </w:pPr>
      <w:r>
        <w:rPr>
          <w:rFonts w:ascii="Courier New" w:cs="Courier New" w:eastAsia="Courier New" w:hAnsi="Courier New"/>
          <w:sz w:val="16"/>
          <w:szCs w:val="16"/>
          <w:color w:val="auto"/>
        </w:rPr>
        <w:t>Item 1.</w:t>
        <w:tab/>
        <w:t>Legal Proceedings</w:t>
      </w:r>
      <w:r>
        <w:rPr>
          <w:sz w:val="20"/>
          <w:szCs w:val="20"/>
          <w:color w:val="auto"/>
        </w:rPr>
        <w:tab/>
      </w:r>
      <w:r>
        <w:rPr>
          <w:rFonts w:ascii="Courier New" w:cs="Courier New" w:eastAsia="Courier New" w:hAnsi="Courier New"/>
          <w:sz w:val="16"/>
          <w:szCs w:val="16"/>
          <w:color w:val="auto"/>
        </w:rPr>
        <w:t>19</w:t>
      </w:r>
    </w:p>
    <w:p>
      <w:pPr>
        <w:sectPr>
          <w:pgSz w:w="11900" w:h="16838" w:orient="portrait"/>
          <w:cols w:equalWidth="0" w:num="1">
            <w:col w:w="10222"/>
          </w:cols>
          <w:pgMar w:left="237" w:top="235" w:right="1440" w:bottom="0" w:gutter="0" w:footer="0" w:header="0"/>
          <w:type w:val="continuous"/>
        </w:sectPr>
      </w:pPr>
    </w:p>
    <w:bookmarkStart w:id="1" w:name="page2"/>
    <w:bookmarkEnd w:id="1"/>
    <w:tbl>
      <w:tblPr>
        <w:tblLayout w:type="fixed"/>
        <w:tblInd w:w="940" w:type="dxa"/>
        <w:tblCellMar>
          <w:top w:w="0" w:type="dxa"/>
          <w:left w:w="0" w:type="dxa"/>
          <w:bottom w:w="0" w:type="dxa"/>
          <w:right w:w="0" w:type="dxa"/>
        </w:tblCellMar>
      </w:tblPr>
      <w:tr>
        <w:trPr>
          <w:trHeight w:val="181"/>
        </w:trPr>
        <w:tc>
          <w:tcPr>
            <w:tcW w:w="80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5440" w:type="dxa"/>
            <w:vAlign w:val="bottom"/>
          </w:tcPr>
          <w:p>
            <w:pPr>
              <w:jc w:val="right"/>
              <w:spacing w:after="0"/>
              <w:rPr>
                <w:sz w:val="20"/>
                <w:szCs w:val="20"/>
                <w:color w:val="auto"/>
              </w:rPr>
            </w:pPr>
            <w:r>
              <w:rPr>
                <w:rFonts w:ascii="Courier New" w:cs="Courier New" w:eastAsia="Courier New" w:hAnsi="Courier New"/>
                <w:sz w:val="16"/>
                <w:szCs w:val="16"/>
                <w:color w:val="auto"/>
              </w:rPr>
              <w:t>Exhibits and Reports on Form 8-K .......................</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w w:val="93"/>
              </w:rPr>
              <w:t>19</w:t>
            </w:r>
          </w:p>
        </w:tc>
      </w:tr>
      <w:tr>
        <w:trPr>
          <w:trHeight w:val="364"/>
        </w:trPr>
        <w:tc>
          <w:tcPr>
            <w:tcW w:w="800" w:type="dxa"/>
            <w:vAlign w:val="bottom"/>
          </w:tcPr>
          <w:p>
            <w:pPr>
              <w:spacing w:after="0"/>
              <w:rPr>
                <w:sz w:val="24"/>
                <w:szCs w:val="24"/>
                <w:color w:val="auto"/>
              </w:rPr>
            </w:pPr>
          </w:p>
        </w:tc>
        <w:tc>
          <w:tcPr>
            <w:tcW w:w="5440" w:type="dxa"/>
            <w:vAlign w:val="bottom"/>
          </w:tcPr>
          <w:p>
            <w:pPr>
              <w:jc w:val="right"/>
              <w:ind w:right="162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4"/>
                <w:szCs w:val="24"/>
                <w:color w:val="auto"/>
              </w:rPr>
            </w:pPr>
          </w:p>
        </w:tc>
      </w:tr>
    </w:tbl>
    <w:p>
      <w:pPr>
        <w:spacing w:after="0" w:line="18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Private Securities Litigation Reform Act of 1995 provides a "safe harbor" for forward-looking statements. Certain information included in this Quarterly Report is forward-looking, such as information relating to future capital commitments and the effects of competition. Such forward-looking information involves important risks and uncertainties that could significantly affect expected results in the future from those expressed in any forward-looking statements made by, or on behalf of, the Company. These risks and uncertainties include, but are not limited to, uncertainties relating to economic conditions, acquisitions and divestitures, government and regulatory policies, the pricing and availability of equipment, materials, inventories and programming, technological developments and changes in the competitive environment in which the Company operates.</w:t>
      </w:r>
    </w:p>
    <w:p>
      <w:pPr>
        <w:sectPr>
          <w:pgSz w:w="11900" w:h="16838" w:orient="portrait"/>
          <w:cols w:equalWidth="0" w:num="1">
            <w:col w:w="10219"/>
          </w:cols>
          <w:pgMar w:left="240" w:top="138" w:right="1440" w:bottom="1440" w:gutter="0" w:footer="0" w:header="0"/>
        </w:sectPr>
      </w:pPr>
    </w:p>
    <w:bookmarkStart w:id="2" w:name="page3"/>
    <w:bookmarkEnd w:id="2"/>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jc w:val="center"/>
              <w:ind w:right="861"/>
              <w:spacing w:after="0"/>
              <w:rPr>
                <w:sz w:val="20"/>
                <w:szCs w:val="20"/>
                <w:color w:val="auto"/>
              </w:rPr>
            </w:pPr>
            <w:r>
              <w:rPr>
                <w:rFonts w:ascii="Courier New" w:cs="Courier New" w:eastAsia="Courier New" w:hAnsi="Courier New"/>
                <w:sz w:val="16"/>
                <w:szCs w:val="16"/>
                <w:color w:val="auto"/>
                <w:w w:val="98"/>
              </w:rPr>
              <w:t>COMCAST CORPORATION AND SUBSIDIARIES</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jc w:val="right"/>
              <w:ind w:right="2841"/>
              <w:spacing w:after="0"/>
              <w:rPr>
                <w:sz w:val="20"/>
                <w:szCs w:val="20"/>
                <w:color w:val="auto"/>
              </w:rPr>
            </w:pPr>
            <w:r>
              <w:rPr>
                <w:rFonts w:ascii="Courier New" w:cs="Courier New" w:eastAsia="Courier New" w:hAnsi="Courier New"/>
                <w:sz w:val="16"/>
                <w:szCs w:val="16"/>
                <w:color w:val="auto"/>
              </w:rPr>
              <w:t>FORM 10-Q</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jc w:val="center"/>
              <w:ind w:right="861"/>
              <w:spacing w:after="0"/>
              <w:rPr>
                <w:sz w:val="20"/>
                <w:szCs w:val="20"/>
                <w:color w:val="auto"/>
              </w:rPr>
            </w:pPr>
            <w:r>
              <w:rPr>
                <w:rFonts w:ascii="Courier New" w:cs="Courier New" w:eastAsia="Courier New" w:hAnsi="Courier New"/>
                <w:sz w:val="16"/>
                <w:szCs w:val="16"/>
                <w:color w:val="auto"/>
                <w:w w:val="98"/>
              </w:rPr>
              <w:t>QUARTER ENDED MARCH 31, 1996</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PART I.</w:t>
            </w:r>
          </w:p>
        </w:tc>
        <w:tc>
          <w:tcPr>
            <w:tcW w:w="65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FINANCIAL INFORMATION</w:t>
            </w: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w w:val="95"/>
              </w:rPr>
              <w:t>ITEM 1.</w:t>
            </w:r>
          </w:p>
        </w:tc>
        <w:tc>
          <w:tcPr>
            <w:tcW w:w="65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FINANCIAL STATEMENTS</w:t>
            </w: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64"/>
        </w:trPr>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60" w:type="dxa"/>
            <w:vAlign w:val="bottom"/>
          </w:tcPr>
          <w:p>
            <w:pPr>
              <w:jc w:val="center"/>
              <w:ind w:right="861"/>
              <w:spacing w:after="0"/>
              <w:rPr>
                <w:sz w:val="20"/>
                <w:szCs w:val="20"/>
                <w:color w:val="auto"/>
              </w:rPr>
            </w:pPr>
            <w:r>
              <w:rPr>
                <w:rFonts w:ascii="Courier New" w:cs="Courier New" w:eastAsia="Courier New" w:hAnsi="Courier New"/>
                <w:sz w:val="16"/>
                <w:szCs w:val="16"/>
                <w:color w:val="auto"/>
                <w:w w:val="98"/>
              </w:rPr>
              <w:t>CONDENSED CONSOLIDATED BALANCE SHEET</w:t>
            </w: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jc w:val="right"/>
              <w:ind w:right="2761"/>
              <w:spacing w:after="0"/>
              <w:rPr>
                <w:sz w:val="20"/>
                <w:szCs w:val="20"/>
                <w:color w:val="auto"/>
              </w:rPr>
            </w:pPr>
            <w:r>
              <w:rPr>
                <w:rFonts w:ascii="Courier New" w:cs="Courier New" w:eastAsia="Courier New" w:hAnsi="Courier New"/>
                <w:sz w:val="16"/>
                <w:szCs w:val="16"/>
                <w:color w:val="auto"/>
              </w:rPr>
              <w:t>(Unaudited)</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728"/>
        </w:trPr>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398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rPr>
              <w:t>(Dollars in thousands)</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March 31,</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4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1996</w:t>
            </w:r>
          </w:p>
        </w:tc>
        <w:tc>
          <w:tcPr>
            <w:tcW w:w="1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364"/>
        </w:trPr>
        <w:tc>
          <w:tcPr>
            <w:tcW w:w="6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6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2"/>
        </w:trPr>
        <w:tc>
          <w:tcPr>
            <w:tcW w:w="1320" w:type="dxa"/>
            <w:vAlign w:val="bottom"/>
            <w:gridSpan w:val="2"/>
          </w:tcPr>
          <w:p>
            <w:pPr>
              <w:spacing w:after="0"/>
              <w:rPr>
                <w:sz w:val="20"/>
                <w:szCs w:val="20"/>
                <w:color w:val="auto"/>
              </w:rPr>
            </w:pPr>
            <w:r>
              <w:rPr>
                <w:rFonts w:ascii="Courier New" w:cs="Courier New" w:eastAsia="Courier New" w:hAnsi="Courier New"/>
                <w:sz w:val="16"/>
                <w:szCs w:val="16"/>
                <w:color w:val="auto"/>
                <w:w w:val="96"/>
              </w:rPr>
              <w:t>CURRENT ASSETS</w:t>
            </w:r>
          </w:p>
        </w:tc>
        <w:tc>
          <w:tcPr>
            <w:tcW w:w="5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$510,150</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$539,061</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Short-term investments, at cost which approximates fair value</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199,575</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370,982</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Accounts receivable, less allowance for doubtful accounts</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7180" w:type="dxa"/>
            <w:vAlign w:val="bottom"/>
            <w:gridSpan w:val="3"/>
          </w:tcPr>
          <w:p>
            <w:pPr>
              <w:ind w:left="460"/>
              <w:spacing w:after="0"/>
              <w:rPr>
                <w:sz w:val="20"/>
                <w:szCs w:val="20"/>
                <w:color w:val="auto"/>
              </w:rPr>
            </w:pPr>
            <w:r>
              <w:rPr>
                <w:rFonts w:ascii="Courier New" w:cs="Courier New" w:eastAsia="Courier New" w:hAnsi="Courier New"/>
                <w:sz w:val="16"/>
                <w:szCs w:val="16"/>
                <w:color w:val="auto"/>
              </w:rPr>
              <w:t>of $86,133 and $81,273...............................................</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367,789</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390,698</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Inventories, net.......................................................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240,753</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243,447</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Prepaid charges and other..............................................</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45,771</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49,671</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Deferred income taxes..................................................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62,287</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59,799</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60" w:type="dxa"/>
            <w:vAlign w:val="bottom"/>
          </w:tcPr>
          <w:p>
            <w:pPr>
              <w:spacing w:after="0"/>
              <w:rPr>
                <w:sz w:val="24"/>
                <w:szCs w:val="24"/>
                <w:color w:val="auto"/>
              </w:rPr>
            </w:pPr>
          </w:p>
        </w:tc>
        <w:tc>
          <w:tcPr>
            <w:tcW w:w="6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8"/>
              </w:rPr>
              <w:t>Total current assets...............................................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1,426,325</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1,653,658</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INVESTMENTS, principally in affiliates....................................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1,008,441</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906,383</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PROPERTY AND EQUIPMENT....................................................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2,839,028</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2,575,633</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Accumulated depreciation...............................................</w:t>
            </w:r>
          </w:p>
        </w:tc>
        <w:tc>
          <w:tcPr>
            <w:tcW w:w="20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(982,195)</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(932,031)</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Property and equipment, net............................................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1,856,833</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1,643,602</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46"/>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DEFERRED CHARGES..........................................................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6,629,040</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6,552,437</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Accumulated amortization...............................................</w:t>
            </w:r>
          </w:p>
        </w:tc>
        <w:tc>
          <w:tcPr>
            <w:tcW w:w="20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(1,262,709)</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(1,175,772)</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Deferred charges, net..................................................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5,366,331</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5,376,665</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$9,657,930</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$9,580,308</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LIABILITIES AND STOCKHOLDERS' DEFICIENCY</w:t>
            </w: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2"/>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CURRENT LIABILITIES</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Accounts payable and accrued expenses..................................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$853,972</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$963,991</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Accrued interest.......................................................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89,417</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72,675</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Current portion of long-term debt......................................</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66,183</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85,403</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60" w:type="dxa"/>
            <w:vAlign w:val="bottom"/>
          </w:tcPr>
          <w:p>
            <w:pPr>
              <w:spacing w:after="0"/>
              <w:rPr>
                <w:sz w:val="24"/>
                <w:szCs w:val="24"/>
                <w:color w:val="auto"/>
              </w:rPr>
            </w:pPr>
          </w:p>
        </w:tc>
        <w:tc>
          <w:tcPr>
            <w:tcW w:w="65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w w:val="98"/>
              </w:rPr>
              <w:t>Total current liabilities..........................................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1,009,572</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1,122,069</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7,101,045</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6,943,766</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DEFERRED INCOME TAXES.....................................................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1,519,247</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1,517,995</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MINORITY INTEREST AND OTHER...............................................</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850,011</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772,004</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COMMON EQUITY PUT OPTIONS.................................................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69,625</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52,125</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80" w:type="dxa"/>
            <w:vAlign w:val="bottom"/>
            <w:gridSpan w:val="3"/>
          </w:tcPr>
          <w:p>
            <w:pPr>
              <w:spacing w:after="0"/>
              <w:rPr>
                <w:sz w:val="20"/>
                <w:szCs w:val="20"/>
                <w:color w:val="auto"/>
              </w:rPr>
            </w:pPr>
            <w:r>
              <w:rPr>
                <w:rFonts w:ascii="Courier New" w:cs="Courier New" w:eastAsia="Courier New" w:hAnsi="Courier New"/>
                <w:sz w:val="16"/>
                <w:szCs w:val="16"/>
                <w:color w:val="auto"/>
              </w:rPr>
              <w:t>STOCKHOLDERS' DEFICIENCY</w:t>
            </w:r>
          </w:p>
        </w:tc>
        <w:tc>
          <w:tcPr>
            <w:tcW w:w="20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Class A special common stock, $1 par value - authorized, 500,000,000</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13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shares;</w:t>
            </w:r>
          </w:p>
        </w:tc>
        <w:tc>
          <w:tcPr>
            <w:tcW w:w="5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issued, 192,662,145 and 192,844,814.........................</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192,662</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192,845</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Class A common stock, $1 par value - authorized, 200,000,000</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13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shares;</w:t>
            </w:r>
          </w:p>
        </w:tc>
        <w:tc>
          <w:tcPr>
            <w:tcW w:w="5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issued, 35,114,511 and 37,706,517...........................</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35,115</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37,707</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Class B common stock, $1 par value - authorized, 50,000,000</w:t>
            </w:r>
          </w:p>
        </w:tc>
        <w:tc>
          <w:tcPr>
            <w:tcW w:w="204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13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shares;</w:t>
            </w:r>
          </w:p>
        </w:tc>
        <w:tc>
          <w:tcPr>
            <w:tcW w:w="586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8"/>
              </w:rPr>
              <w:t>issued, 8,786,250...........................................</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8,786</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8,786</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Additional capital.....................................................</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828,570</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843,113</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Accumulated deficit....................................................</w:t>
            </w:r>
          </w:p>
        </w:tc>
        <w:tc>
          <w:tcPr>
            <w:tcW w:w="20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(1,997,138)</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(1,914,292)</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Unrealized gains on marketable securities..............................</w:t>
            </w: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60,841</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22,210</w:t>
            </w:r>
          </w:p>
        </w:tc>
      </w:tr>
      <w:tr>
        <w:trPr>
          <w:trHeight w:val="182"/>
        </w:trPr>
        <w:tc>
          <w:tcPr>
            <w:tcW w:w="718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Cumulative translation adjustments.....................................</w:t>
            </w:r>
          </w:p>
        </w:tc>
        <w:tc>
          <w:tcPr>
            <w:tcW w:w="204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(20,406)</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(18,020)</w:t>
            </w:r>
          </w:p>
        </w:tc>
      </w:tr>
      <w:tr>
        <w:trPr>
          <w:trHeight w:val="182"/>
        </w:trPr>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4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ectPr>
          <w:pgSz w:w="11900" w:h="16864" w:orient="portrait"/>
          <w:cols w:equalWidth="0" w:num="1">
            <w:col w:w="11160"/>
          </w:cols>
          <w:pgMar w:left="240" w:top="659" w:right="499" w:bottom="0" w:gutter="0" w:footer="0" w:header="0"/>
        </w:sectPr>
      </w:pPr>
    </w:p>
    <w:bookmarkStart w:id="3" w:name="page4"/>
    <w:bookmarkEnd w:id="3"/>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81"/>
        </w:trPr>
        <w:tc>
          <w:tcPr>
            <w:tcW w:w="6520" w:type="dxa"/>
            <w:vAlign w:val="bottom"/>
          </w:tcPr>
          <w:p>
            <w:pPr>
              <w:spacing w:after="0"/>
              <w:rPr>
                <w:sz w:val="20"/>
                <w:szCs w:val="20"/>
                <w:color w:val="auto"/>
              </w:rPr>
            </w:pPr>
            <w:r>
              <w:rPr>
                <w:rFonts w:ascii="Courier New" w:cs="Courier New" w:eastAsia="Courier New" w:hAnsi="Courier New"/>
                <w:sz w:val="16"/>
                <w:szCs w:val="16"/>
                <w:color w:val="auto"/>
              </w:rPr>
              <w:t>Total stockholders' deficiency.....................................</w:t>
            </w:r>
          </w:p>
        </w:tc>
        <w:tc>
          <w:tcPr>
            <w:tcW w:w="208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(891,570)</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(827,651)</w:t>
            </w:r>
          </w:p>
        </w:tc>
      </w:tr>
      <w:tr>
        <w:trPr>
          <w:trHeight w:val="182"/>
        </w:trPr>
        <w:tc>
          <w:tcPr>
            <w:tcW w:w="652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6520" w:type="dxa"/>
            <w:vAlign w:val="bottom"/>
          </w:tcPr>
          <w:p>
            <w:pPr>
              <w:spacing w:after="0"/>
              <w:rPr>
                <w:sz w:val="24"/>
                <w:szCs w:val="24"/>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$9,657,930</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$9,580,308</w:t>
            </w:r>
          </w:p>
        </w:tc>
      </w:tr>
      <w:tr>
        <w:trPr>
          <w:trHeight w:val="182"/>
        </w:trPr>
        <w:tc>
          <w:tcPr>
            <w:tcW w:w="6520" w:type="dxa"/>
            <w:vAlign w:val="bottom"/>
          </w:tcPr>
          <w:p>
            <w:pPr>
              <w:spacing w:after="0"/>
              <w:rPr>
                <w:sz w:val="15"/>
                <w:szCs w:val="15"/>
                <w:color w:val="auto"/>
              </w:rPr>
            </w:pPr>
          </w:p>
        </w:tc>
        <w:tc>
          <w:tcPr>
            <w:tcW w:w="20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160"/>
          </w:cols>
          <w:pgMar w:left="240" w:top="320" w:right="499" w:bottom="1440" w:gutter="0" w:footer="0" w:header="0"/>
        </w:sectPr>
      </w:pPr>
    </w:p>
    <w:bookmarkStart w:id="4" w:name="page5"/>
    <w:bookmarkEnd w:id="4"/>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1996</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CONDENSED CONSOLIDATED STATEMENT OF OPERATIONS AND ACCUMULATED DEFICIT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040" w:type="dxa"/>
            <w:vAlign w:val="bottom"/>
          </w:tcPr>
          <w:p>
            <w:pPr>
              <w:jc w:val="right"/>
              <w:ind w:right="2621"/>
              <w:spacing w:after="0"/>
              <w:rPr>
                <w:sz w:val="20"/>
                <w:szCs w:val="20"/>
                <w:color w:val="auto"/>
              </w:rPr>
            </w:pPr>
            <w:r>
              <w:rPr>
                <w:rFonts w:ascii="Courier New" w:cs="Courier New" w:eastAsia="Courier New" w:hAnsi="Courier New"/>
                <w:sz w:val="16"/>
                <w:szCs w:val="16"/>
                <w:color w:val="auto"/>
              </w:rPr>
              <w:t>(Unaudited)</w:t>
            </w:r>
          </w:p>
        </w:tc>
        <w:tc>
          <w:tcPr>
            <w:tcW w:w="218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728"/>
        </w:trPr>
        <w:tc>
          <w:tcPr>
            <w:tcW w:w="7040" w:type="dxa"/>
            <w:vAlign w:val="bottom"/>
          </w:tcPr>
          <w:p>
            <w:pPr>
              <w:spacing w:after="0"/>
              <w:rPr>
                <w:sz w:val="24"/>
                <w:szCs w:val="24"/>
                <w:color w:val="auto"/>
              </w:rPr>
            </w:pPr>
          </w:p>
        </w:tc>
        <w:tc>
          <w:tcPr>
            <w:tcW w:w="43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(Amounts in thousands, except per share data)</w:t>
            </w:r>
          </w:p>
        </w:tc>
      </w:tr>
      <w:tr>
        <w:trPr>
          <w:trHeight w:val="182"/>
        </w:trPr>
        <w:tc>
          <w:tcPr>
            <w:tcW w:w="7040" w:type="dxa"/>
            <w:vAlign w:val="bottom"/>
          </w:tcPr>
          <w:p>
            <w:pPr>
              <w:spacing w:after="0"/>
              <w:rPr>
                <w:sz w:val="15"/>
                <w:szCs w:val="15"/>
                <w:color w:val="auto"/>
              </w:rPr>
            </w:pPr>
          </w:p>
        </w:tc>
        <w:tc>
          <w:tcPr>
            <w:tcW w:w="430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Three Months Ended March 31,</w:t>
            </w:r>
          </w:p>
        </w:tc>
      </w:tr>
      <w:tr>
        <w:trPr>
          <w:trHeight w:val="182"/>
        </w:trPr>
        <w:tc>
          <w:tcPr>
            <w:tcW w:w="7040" w:type="dxa"/>
            <w:vAlign w:val="bottom"/>
          </w:tcPr>
          <w:p>
            <w:pPr>
              <w:spacing w:after="0"/>
              <w:rPr>
                <w:sz w:val="15"/>
                <w:szCs w:val="15"/>
                <w:color w:val="auto"/>
              </w:rPr>
            </w:pPr>
          </w:p>
        </w:tc>
        <w:tc>
          <w:tcPr>
            <w:tcW w:w="218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1996</w:t>
            </w:r>
          </w:p>
        </w:tc>
        <w:tc>
          <w:tcPr>
            <w:tcW w:w="21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1995</w:t>
            </w:r>
          </w:p>
        </w:tc>
      </w:tr>
      <w:tr>
        <w:trPr>
          <w:trHeight w:val="364"/>
        </w:trPr>
        <w:tc>
          <w:tcPr>
            <w:tcW w:w="70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1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82"/>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rPr>
              <w:t>Service income.........................................................</w:t>
            </w: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$500,666</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$436,587</w:t>
            </w:r>
          </w:p>
        </w:tc>
      </w:tr>
      <w:tr>
        <w:trPr>
          <w:trHeight w:val="182"/>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rPr>
              <w:t>Net sales from electronic retailing....................................</w:t>
            </w: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450,078</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227,019</w:t>
            </w:r>
          </w:p>
        </w:tc>
      </w:tr>
      <w:tr>
        <w:trPr>
          <w:trHeight w:val="182"/>
        </w:trPr>
        <w:tc>
          <w:tcPr>
            <w:tcW w:w="7040" w:type="dxa"/>
            <w:vAlign w:val="bottom"/>
          </w:tcPr>
          <w:p>
            <w:pPr>
              <w:spacing w:after="0"/>
              <w:rPr>
                <w:sz w:val="15"/>
                <w:szCs w:val="15"/>
                <w:color w:val="auto"/>
              </w:rPr>
            </w:pP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7040" w:type="dxa"/>
            <w:vAlign w:val="bottom"/>
          </w:tcPr>
          <w:p>
            <w:pPr>
              <w:spacing w:after="0"/>
              <w:rPr>
                <w:sz w:val="24"/>
                <w:szCs w:val="24"/>
                <w:color w:val="auto"/>
              </w:rPr>
            </w:pP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950,744</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663,606</w:t>
            </w:r>
          </w:p>
        </w:tc>
      </w:tr>
      <w:tr>
        <w:trPr>
          <w:trHeight w:val="182"/>
        </w:trPr>
        <w:tc>
          <w:tcPr>
            <w:tcW w:w="7040" w:type="dxa"/>
            <w:vAlign w:val="bottom"/>
          </w:tcPr>
          <w:p>
            <w:pPr>
              <w:spacing w:after="0"/>
              <w:rPr>
                <w:sz w:val="15"/>
                <w:szCs w:val="15"/>
                <w:color w:val="auto"/>
              </w:rPr>
            </w:pP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70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1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82"/>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rPr>
              <w:t>Operating..............................................................</w:t>
            </w: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229,763</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171,467</w:t>
            </w:r>
          </w:p>
        </w:tc>
      </w:tr>
      <w:tr>
        <w:trPr>
          <w:trHeight w:val="182"/>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270,146</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138,074</w:t>
            </w:r>
          </w:p>
        </w:tc>
      </w:tr>
      <w:tr>
        <w:trPr>
          <w:trHeight w:val="182"/>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rPr>
              <w:t>Selling, general and administrative....................................</w:t>
            </w: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180,712</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134,459</w:t>
            </w:r>
          </w:p>
        </w:tc>
      </w:tr>
      <w:tr>
        <w:trPr>
          <w:trHeight w:val="182"/>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156,873</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243,477</w:t>
            </w:r>
          </w:p>
        </w:tc>
      </w:tr>
      <w:tr>
        <w:trPr>
          <w:trHeight w:val="182"/>
        </w:trPr>
        <w:tc>
          <w:tcPr>
            <w:tcW w:w="7040" w:type="dxa"/>
            <w:vAlign w:val="bottom"/>
          </w:tcPr>
          <w:p>
            <w:pPr>
              <w:spacing w:after="0"/>
              <w:rPr>
                <w:sz w:val="15"/>
                <w:szCs w:val="15"/>
                <w:color w:val="auto"/>
              </w:rPr>
            </w:pP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7040" w:type="dxa"/>
            <w:vAlign w:val="bottom"/>
          </w:tcPr>
          <w:p>
            <w:pPr>
              <w:spacing w:after="0"/>
              <w:rPr>
                <w:sz w:val="24"/>
                <w:szCs w:val="24"/>
                <w:color w:val="auto"/>
              </w:rPr>
            </w:pP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837,494</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687,477</w:t>
            </w:r>
          </w:p>
        </w:tc>
      </w:tr>
      <w:tr>
        <w:trPr>
          <w:trHeight w:val="182"/>
        </w:trPr>
        <w:tc>
          <w:tcPr>
            <w:tcW w:w="7040" w:type="dxa"/>
            <w:vAlign w:val="bottom"/>
          </w:tcPr>
          <w:p>
            <w:pPr>
              <w:spacing w:after="0"/>
              <w:rPr>
                <w:sz w:val="15"/>
                <w:szCs w:val="15"/>
                <w:color w:val="auto"/>
              </w:rPr>
            </w:pP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w w:val="98"/>
              </w:rPr>
              <w:t>OPERATING INCOME (LOSS)...................................................</w:t>
            </w: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113,250</w:t>
            </w:r>
          </w:p>
        </w:tc>
        <w:tc>
          <w:tcPr>
            <w:tcW w:w="2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(23,871)</w:t>
            </w:r>
          </w:p>
        </w:tc>
      </w:tr>
      <w:tr>
        <w:trPr>
          <w:trHeight w:val="364"/>
        </w:trPr>
        <w:tc>
          <w:tcPr>
            <w:tcW w:w="7040" w:type="dxa"/>
            <w:vAlign w:val="bottom"/>
          </w:tcPr>
          <w:p>
            <w:pPr>
              <w:spacing w:after="0"/>
              <w:rPr>
                <w:sz w:val="20"/>
                <w:szCs w:val="20"/>
                <w:color w:val="auto"/>
              </w:rPr>
            </w:pPr>
            <w:r>
              <w:rPr>
                <w:rFonts w:ascii="Courier New" w:cs="Courier New" w:eastAsia="Courier New" w:hAnsi="Courier New"/>
                <w:sz w:val="16"/>
                <w:szCs w:val="16"/>
                <w:color w:val="auto"/>
              </w:rPr>
              <w:t>INVESTMENT (INCOME) EXPENSE</w:t>
            </w:r>
          </w:p>
        </w:tc>
        <w:tc>
          <w:tcPr>
            <w:tcW w:w="21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82"/>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rPr>
              <w:t>Interest expense.......................................................</w:t>
            </w: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134,814</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117,587</w:t>
            </w:r>
          </w:p>
        </w:tc>
      </w:tr>
      <w:tr>
        <w:trPr>
          <w:trHeight w:val="182"/>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rPr>
              <w:t>Investment income......................................................</w:t>
            </w:r>
          </w:p>
        </w:tc>
        <w:tc>
          <w:tcPr>
            <w:tcW w:w="21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(18,645)</w:t>
            </w:r>
          </w:p>
        </w:tc>
        <w:tc>
          <w:tcPr>
            <w:tcW w:w="2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(152,824)</w:t>
            </w:r>
          </w:p>
        </w:tc>
      </w:tr>
      <w:tr>
        <w:trPr>
          <w:trHeight w:val="182"/>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rPr>
              <w:t>Equity in net losses of affiliates.....................................</w:t>
            </w: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34,502</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16,417</w:t>
            </w:r>
          </w:p>
        </w:tc>
      </w:tr>
      <w:tr>
        <w:trPr>
          <w:trHeight w:val="182"/>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rPr>
              <w:t>Other..................................................................</w:t>
            </w: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11,389</w:t>
            </w:r>
          </w:p>
        </w:tc>
        <w:tc>
          <w:tcPr>
            <w:tcW w:w="2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(290)</w:t>
            </w:r>
          </w:p>
        </w:tc>
      </w:tr>
      <w:tr>
        <w:trPr>
          <w:trHeight w:val="182"/>
        </w:trPr>
        <w:tc>
          <w:tcPr>
            <w:tcW w:w="7040" w:type="dxa"/>
            <w:vAlign w:val="bottom"/>
          </w:tcPr>
          <w:p>
            <w:pPr>
              <w:spacing w:after="0"/>
              <w:rPr>
                <w:sz w:val="15"/>
                <w:szCs w:val="15"/>
                <w:color w:val="auto"/>
              </w:rPr>
            </w:pP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7040" w:type="dxa"/>
            <w:vAlign w:val="bottom"/>
          </w:tcPr>
          <w:p>
            <w:pPr>
              <w:spacing w:after="0"/>
              <w:rPr>
                <w:sz w:val="24"/>
                <w:szCs w:val="24"/>
                <w:color w:val="auto"/>
              </w:rPr>
            </w:pP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162,060</w:t>
            </w:r>
          </w:p>
        </w:tc>
        <w:tc>
          <w:tcPr>
            <w:tcW w:w="2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(19,110)</w:t>
            </w:r>
          </w:p>
        </w:tc>
      </w:tr>
      <w:tr>
        <w:trPr>
          <w:trHeight w:val="182"/>
        </w:trPr>
        <w:tc>
          <w:tcPr>
            <w:tcW w:w="7040" w:type="dxa"/>
            <w:vAlign w:val="bottom"/>
          </w:tcPr>
          <w:p>
            <w:pPr>
              <w:spacing w:after="0"/>
              <w:rPr>
                <w:sz w:val="15"/>
                <w:szCs w:val="15"/>
                <w:color w:val="auto"/>
              </w:rPr>
            </w:pP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7040" w:type="dxa"/>
            <w:vAlign w:val="bottom"/>
          </w:tcPr>
          <w:p>
            <w:pPr>
              <w:spacing w:after="0"/>
              <w:rPr>
                <w:sz w:val="20"/>
                <w:szCs w:val="20"/>
                <w:color w:val="auto"/>
              </w:rPr>
            </w:pPr>
            <w:r>
              <w:rPr>
                <w:rFonts w:ascii="Courier New" w:cs="Courier New" w:eastAsia="Courier New" w:hAnsi="Courier New"/>
                <w:sz w:val="16"/>
                <w:szCs w:val="16"/>
                <w:color w:val="auto"/>
              </w:rPr>
              <w:t>LOSS BEFORE INCOME TAX EXPENSE AND MINORITY INTEREST</w:t>
            </w:r>
          </w:p>
        </w:tc>
        <w:tc>
          <w:tcPr>
            <w:tcW w:w="21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(48,810)</w:t>
            </w:r>
          </w:p>
        </w:tc>
        <w:tc>
          <w:tcPr>
            <w:tcW w:w="2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(4,761)</w:t>
            </w:r>
          </w:p>
        </w:tc>
      </w:tr>
      <w:tr>
        <w:trPr>
          <w:trHeight w:val="364"/>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w w:val="98"/>
              </w:rPr>
              <w:t>INCOME TAX EXPENSE........................................................</w:t>
            </w: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864</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3,935</w:t>
            </w:r>
          </w:p>
        </w:tc>
      </w:tr>
      <w:tr>
        <w:trPr>
          <w:trHeight w:val="182"/>
        </w:trPr>
        <w:tc>
          <w:tcPr>
            <w:tcW w:w="7040" w:type="dxa"/>
            <w:vAlign w:val="bottom"/>
          </w:tcPr>
          <w:p>
            <w:pPr>
              <w:spacing w:after="0"/>
              <w:rPr>
                <w:sz w:val="15"/>
                <w:szCs w:val="15"/>
                <w:color w:val="auto"/>
              </w:rPr>
            </w:pP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w w:val="98"/>
              </w:rPr>
              <w:t>LOSS BEFORE MINORITY INTEREST.............................................</w:t>
            </w:r>
          </w:p>
        </w:tc>
        <w:tc>
          <w:tcPr>
            <w:tcW w:w="21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(49,674)</w:t>
            </w:r>
          </w:p>
        </w:tc>
        <w:tc>
          <w:tcPr>
            <w:tcW w:w="2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(8,696)</w:t>
            </w:r>
          </w:p>
        </w:tc>
      </w:tr>
      <w:tr>
        <w:trPr>
          <w:trHeight w:val="364"/>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w w:val="98"/>
              </w:rPr>
              <w:t>MINORITY INTEREST.........................................................</w:t>
            </w:r>
          </w:p>
        </w:tc>
        <w:tc>
          <w:tcPr>
            <w:tcW w:w="21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(15,070)</w:t>
            </w:r>
          </w:p>
        </w:tc>
        <w:tc>
          <w:tcPr>
            <w:tcW w:w="2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(8,068)</w:t>
            </w:r>
          </w:p>
        </w:tc>
      </w:tr>
      <w:tr>
        <w:trPr>
          <w:trHeight w:val="182"/>
        </w:trPr>
        <w:tc>
          <w:tcPr>
            <w:tcW w:w="7040" w:type="dxa"/>
            <w:vAlign w:val="bottom"/>
          </w:tcPr>
          <w:p>
            <w:pPr>
              <w:spacing w:after="0"/>
              <w:rPr>
                <w:sz w:val="15"/>
                <w:szCs w:val="15"/>
                <w:color w:val="auto"/>
              </w:rPr>
            </w:pP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704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21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(34,604)</w:t>
            </w:r>
          </w:p>
        </w:tc>
        <w:tc>
          <w:tcPr>
            <w:tcW w:w="2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(628)</w:t>
            </w:r>
          </w:p>
        </w:tc>
      </w:tr>
      <w:tr>
        <w:trPr>
          <w:trHeight w:val="364"/>
        </w:trPr>
        <w:tc>
          <w:tcPr>
            <w:tcW w:w="704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21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82"/>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rPr>
              <w:t>Beginning of period ...................................................</w:t>
            </w:r>
          </w:p>
        </w:tc>
        <w:tc>
          <w:tcPr>
            <w:tcW w:w="21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(1,914,292)</w:t>
            </w:r>
          </w:p>
        </w:tc>
        <w:tc>
          <w:tcPr>
            <w:tcW w:w="2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(1,827,647)</w:t>
            </w:r>
          </w:p>
        </w:tc>
      </w:tr>
      <w:tr>
        <w:trPr>
          <w:trHeight w:val="182"/>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rPr>
              <w:t>Dividends declared - $.0233 per share..................................</w:t>
            </w:r>
          </w:p>
        </w:tc>
        <w:tc>
          <w:tcPr>
            <w:tcW w:w="21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(5,580)</w:t>
            </w:r>
          </w:p>
        </w:tc>
        <w:tc>
          <w:tcPr>
            <w:tcW w:w="2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(5,583)</w:t>
            </w:r>
          </w:p>
        </w:tc>
      </w:tr>
      <w:tr>
        <w:trPr>
          <w:trHeight w:val="182"/>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rPr>
              <w:t>Retirement of common stock.............................................</w:t>
            </w:r>
          </w:p>
        </w:tc>
        <w:tc>
          <w:tcPr>
            <w:tcW w:w="21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(42,662)</w:t>
            </w:r>
          </w:p>
        </w:tc>
        <w:tc>
          <w:tcPr>
            <w:tcW w:w="2120" w:type="dxa"/>
            <w:vAlign w:val="bottom"/>
          </w:tcPr>
          <w:p>
            <w:pPr>
              <w:spacing w:after="0"/>
              <w:rPr>
                <w:sz w:val="15"/>
                <w:szCs w:val="15"/>
                <w:color w:val="auto"/>
              </w:rPr>
            </w:pPr>
          </w:p>
        </w:tc>
      </w:tr>
      <w:tr>
        <w:trPr>
          <w:trHeight w:val="182"/>
        </w:trPr>
        <w:tc>
          <w:tcPr>
            <w:tcW w:w="7040" w:type="dxa"/>
            <w:vAlign w:val="bottom"/>
          </w:tcPr>
          <w:p>
            <w:pPr>
              <w:spacing w:after="0"/>
              <w:rPr>
                <w:sz w:val="15"/>
                <w:szCs w:val="15"/>
                <w:color w:val="auto"/>
              </w:rPr>
            </w:pP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rPr>
              <w:t>End of period..........................................................</w:t>
            </w:r>
          </w:p>
        </w:tc>
        <w:tc>
          <w:tcPr>
            <w:tcW w:w="21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($1,997,138)</w:t>
            </w:r>
          </w:p>
        </w:tc>
        <w:tc>
          <w:tcPr>
            <w:tcW w:w="21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($1,833,858)</w:t>
            </w:r>
          </w:p>
        </w:tc>
      </w:tr>
      <w:tr>
        <w:trPr>
          <w:trHeight w:val="182"/>
        </w:trPr>
        <w:tc>
          <w:tcPr>
            <w:tcW w:w="7040" w:type="dxa"/>
            <w:vAlign w:val="bottom"/>
          </w:tcPr>
          <w:p>
            <w:pPr>
              <w:spacing w:after="0"/>
              <w:rPr>
                <w:sz w:val="15"/>
                <w:szCs w:val="15"/>
                <w:color w:val="auto"/>
              </w:rPr>
            </w:pP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w w:val="98"/>
              </w:rPr>
              <w:t>NET LOSS PER SHARE........................................................</w:t>
            </w:r>
          </w:p>
        </w:tc>
        <w:tc>
          <w:tcPr>
            <w:tcW w:w="21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($.14)</w:t>
            </w:r>
          </w:p>
        </w:tc>
        <w:tc>
          <w:tcPr>
            <w:tcW w:w="2120" w:type="dxa"/>
            <w:vAlign w:val="bottom"/>
          </w:tcPr>
          <w:p>
            <w:pPr>
              <w:spacing w:after="0"/>
              <w:rPr>
                <w:sz w:val="24"/>
                <w:szCs w:val="24"/>
                <w:color w:val="auto"/>
              </w:rPr>
            </w:pPr>
          </w:p>
        </w:tc>
      </w:tr>
      <w:tr>
        <w:trPr>
          <w:trHeight w:val="182"/>
        </w:trPr>
        <w:tc>
          <w:tcPr>
            <w:tcW w:w="7040" w:type="dxa"/>
            <w:vAlign w:val="bottom"/>
          </w:tcPr>
          <w:p>
            <w:pPr>
              <w:spacing w:after="0"/>
              <w:rPr>
                <w:sz w:val="15"/>
                <w:szCs w:val="15"/>
                <w:color w:val="auto"/>
              </w:rPr>
            </w:pP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7040" w:type="dxa"/>
            <w:vAlign w:val="bottom"/>
          </w:tcPr>
          <w:p>
            <w:pPr>
              <w:spacing w:after="0"/>
              <w:rPr>
                <w:sz w:val="20"/>
                <w:szCs w:val="20"/>
                <w:color w:val="auto"/>
              </w:rPr>
            </w:pPr>
            <w:r>
              <w:rPr>
                <w:rFonts w:ascii="Courier New" w:cs="Courier New" w:eastAsia="Courier New" w:hAnsi="Courier New"/>
                <w:sz w:val="16"/>
                <w:szCs w:val="16"/>
                <w:color w:val="auto"/>
              </w:rPr>
              <w:t>WEIGHTED AVERAGE NUMBER OF COMMON</w:t>
            </w:r>
          </w:p>
        </w:tc>
        <w:tc>
          <w:tcPr>
            <w:tcW w:w="21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82"/>
        </w:trPr>
        <w:tc>
          <w:tcPr>
            <w:tcW w:w="7040" w:type="dxa"/>
            <w:vAlign w:val="bottom"/>
          </w:tcPr>
          <w:p>
            <w:pPr>
              <w:jc w:val="right"/>
              <w:spacing w:after="0"/>
              <w:rPr>
                <w:sz w:val="20"/>
                <w:szCs w:val="20"/>
                <w:color w:val="auto"/>
              </w:rPr>
            </w:pPr>
            <w:r>
              <w:rPr>
                <w:rFonts w:ascii="Courier New" w:cs="Courier New" w:eastAsia="Courier New" w:hAnsi="Courier New"/>
                <w:sz w:val="16"/>
                <w:szCs w:val="16"/>
                <w:color w:val="auto"/>
              </w:rPr>
              <w:t>SHARES OUTSTANDING DURING THE PERIOD..................................</w:t>
            </w: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239,421</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239,408</w:t>
            </w:r>
          </w:p>
        </w:tc>
      </w:tr>
      <w:tr>
        <w:trPr>
          <w:trHeight w:val="182"/>
        </w:trPr>
        <w:tc>
          <w:tcPr>
            <w:tcW w:w="7040" w:type="dxa"/>
            <w:vAlign w:val="bottom"/>
          </w:tcPr>
          <w:p>
            <w:pPr>
              <w:spacing w:after="0"/>
              <w:rPr>
                <w:sz w:val="15"/>
                <w:szCs w:val="15"/>
                <w:color w:val="auto"/>
              </w:rPr>
            </w:pPr>
          </w:p>
        </w:tc>
        <w:tc>
          <w:tcPr>
            <w:tcW w:w="21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2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340"/>
          </w:cols>
          <w:pgMar w:left="240" w:top="477" w:right="319" w:bottom="1440" w:gutter="0" w:footer="0" w:header="0"/>
        </w:sectPr>
      </w:pPr>
    </w:p>
    <w:bookmarkStart w:id="5" w:name="page6"/>
    <w:bookmarkEnd w:id="5"/>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1996</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CONDENSED CONSOLIDATED STATEMENT OF CASH FLOWS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140" w:type="dxa"/>
            <w:vAlign w:val="bottom"/>
          </w:tcPr>
          <w:p>
            <w:pPr>
              <w:jc w:val="right"/>
              <w:ind w:right="2721"/>
              <w:spacing w:after="0"/>
              <w:rPr>
                <w:sz w:val="20"/>
                <w:szCs w:val="20"/>
                <w:color w:val="auto"/>
              </w:rPr>
            </w:pPr>
            <w:r>
              <w:rPr>
                <w:rFonts w:ascii="Courier New" w:cs="Courier New" w:eastAsia="Courier New" w:hAnsi="Courier New"/>
                <w:sz w:val="16"/>
                <w:szCs w:val="16"/>
                <w:color w:val="auto"/>
              </w:rPr>
              <w:t>(Unaudited)</w:t>
            </w:r>
          </w:p>
        </w:tc>
        <w:tc>
          <w:tcPr>
            <w:tcW w:w="20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546"/>
        </w:trPr>
        <w:tc>
          <w:tcPr>
            <w:tcW w:w="7140" w:type="dxa"/>
            <w:vAlign w:val="bottom"/>
          </w:tcPr>
          <w:p>
            <w:pPr>
              <w:spacing w:after="0"/>
              <w:rPr>
                <w:sz w:val="24"/>
                <w:szCs w:val="24"/>
                <w:color w:val="auto"/>
              </w:rPr>
            </w:pPr>
          </w:p>
        </w:tc>
        <w:tc>
          <w:tcPr>
            <w:tcW w:w="4020" w:type="dxa"/>
            <w:vAlign w:val="bottom"/>
            <w:gridSpan w:val="2"/>
          </w:tcPr>
          <w:p>
            <w:pPr>
              <w:jc w:val="right"/>
              <w:ind w:right="861"/>
              <w:spacing w:after="0"/>
              <w:rPr>
                <w:sz w:val="20"/>
                <w:szCs w:val="20"/>
                <w:color w:val="auto"/>
              </w:rPr>
            </w:pPr>
            <w:r>
              <w:rPr>
                <w:rFonts w:ascii="Courier New" w:cs="Courier New" w:eastAsia="Courier New" w:hAnsi="Courier New"/>
                <w:sz w:val="16"/>
                <w:szCs w:val="16"/>
                <w:color w:val="auto"/>
              </w:rPr>
              <w:t>(Dollars in thousands)</w:t>
            </w:r>
          </w:p>
        </w:tc>
      </w:tr>
      <w:tr>
        <w:trPr>
          <w:trHeight w:val="182"/>
        </w:trPr>
        <w:tc>
          <w:tcPr>
            <w:tcW w:w="7140" w:type="dxa"/>
            <w:vAlign w:val="bottom"/>
          </w:tcPr>
          <w:p>
            <w:pPr>
              <w:spacing w:after="0"/>
              <w:rPr>
                <w:sz w:val="15"/>
                <w:szCs w:val="15"/>
                <w:color w:val="auto"/>
              </w:rPr>
            </w:pPr>
          </w:p>
        </w:tc>
        <w:tc>
          <w:tcPr>
            <w:tcW w:w="40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Three Months Ended March 31,</w:t>
            </w:r>
          </w:p>
        </w:tc>
      </w:tr>
      <w:tr>
        <w:trPr>
          <w:trHeight w:val="182"/>
        </w:trPr>
        <w:tc>
          <w:tcPr>
            <w:tcW w:w="7140" w:type="dxa"/>
            <w:vAlign w:val="bottom"/>
          </w:tcPr>
          <w:p>
            <w:pPr>
              <w:spacing w:after="0"/>
              <w:rPr>
                <w:sz w:val="15"/>
                <w:szCs w:val="15"/>
                <w:color w:val="auto"/>
              </w:rPr>
            </w:pPr>
          </w:p>
        </w:tc>
        <w:tc>
          <w:tcPr>
            <w:tcW w:w="2080" w:type="dxa"/>
            <w:vAlign w:val="bottom"/>
          </w:tcPr>
          <w:p>
            <w:pPr>
              <w:jc w:val="right"/>
              <w:ind w:right="1001"/>
              <w:spacing w:after="0"/>
              <w:rPr>
                <w:sz w:val="20"/>
                <w:szCs w:val="20"/>
                <w:color w:val="auto"/>
              </w:rPr>
            </w:pPr>
            <w:r>
              <w:rPr>
                <w:rFonts w:ascii="Courier New" w:cs="Courier New" w:eastAsia="Courier New" w:hAnsi="Courier New"/>
                <w:sz w:val="16"/>
                <w:szCs w:val="16"/>
                <w:color w:val="auto"/>
              </w:rPr>
              <w:t>1996</w:t>
            </w:r>
          </w:p>
        </w:tc>
        <w:tc>
          <w:tcPr>
            <w:tcW w:w="1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1995</w:t>
            </w:r>
          </w:p>
        </w:tc>
      </w:tr>
      <w:tr>
        <w:trPr>
          <w:trHeight w:val="364"/>
        </w:trPr>
        <w:tc>
          <w:tcPr>
            <w:tcW w:w="714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loss...............................................................</w:t>
            </w:r>
          </w:p>
        </w:tc>
        <w:tc>
          <w:tcPr>
            <w:tcW w:w="20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($34,604)</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($628)</w:t>
            </w:r>
          </w:p>
        </w:tc>
      </w:tr>
      <w:tr>
        <w:trPr>
          <w:trHeight w:val="182"/>
        </w:trPr>
        <w:tc>
          <w:tcPr>
            <w:tcW w:w="7140" w:type="dxa"/>
            <w:vAlign w:val="bottom"/>
          </w:tcPr>
          <w:p>
            <w:pPr>
              <w:jc w:val="right"/>
              <w:ind w:right="1681"/>
              <w:spacing w:after="0"/>
              <w:rPr>
                <w:sz w:val="20"/>
                <w:szCs w:val="20"/>
                <w:color w:val="auto"/>
              </w:rPr>
            </w:pPr>
            <w:r>
              <w:rPr>
                <w:rFonts w:ascii="Courier New" w:cs="Courier New" w:eastAsia="Courier New" w:hAnsi="Courier New"/>
                <w:sz w:val="16"/>
                <w:szCs w:val="16"/>
                <w:color w:val="auto"/>
              </w:rPr>
              <w:t>Adjustments to reconcile net loss to net cash provided</w:t>
            </w:r>
          </w:p>
        </w:tc>
        <w:tc>
          <w:tcPr>
            <w:tcW w:w="20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7140" w:type="dxa"/>
            <w:vAlign w:val="bottom"/>
          </w:tcPr>
          <w:p>
            <w:pPr>
              <w:jc w:val="right"/>
              <w:ind w:right="4421"/>
              <w:spacing w:after="0"/>
              <w:rPr>
                <w:sz w:val="20"/>
                <w:szCs w:val="20"/>
                <w:color w:val="auto"/>
              </w:rPr>
            </w:pPr>
            <w:r>
              <w:rPr>
                <w:rFonts w:ascii="Courier New" w:cs="Courier New" w:eastAsia="Courier New" w:hAnsi="Courier New"/>
                <w:sz w:val="16"/>
                <w:szCs w:val="16"/>
                <w:color w:val="auto"/>
              </w:rPr>
              <w:t>by operating activities:</w:t>
            </w:r>
          </w:p>
        </w:tc>
        <w:tc>
          <w:tcPr>
            <w:tcW w:w="208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Depreciation and amortization........................................</w:t>
            </w: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156,873</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243,477</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Non-cash interest expense, net.......................................</w:t>
            </w: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16,053</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13,487</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Equity in net losses of affiliates...................................</w:t>
            </w: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34,502</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16,417</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Gain on sale of long-term investments................................</w:t>
            </w:r>
          </w:p>
        </w:tc>
        <w:tc>
          <w:tcPr>
            <w:tcW w:w="208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(140,968)</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Minority interest....................................................</w:t>
            </w:r>
          </w:p>
        </w:tc>
        <w:tc>
          <w:tcPr>
            <w:tcW w:w="20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(15,070)</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(8,068)</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Deferred income taxes and other......................................</w:t>
            </w:r>
          </w:p>
        </w:tc>
        <w:tc>
          <w:tcPr>
            <w:tcW w:w="20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(9,097)</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4,857</w:t>
            </w:r>
          </w:p>
        </w:tc>
      </w:tr>
      <w:tr>
        <w:trPr>
          <w:trHeight w:val="182"/>
        </w:trPr>
        <w:tc>
          <w:tcPr>
            <w:tcW w:w="7140" w:type="dxa"/>
            <w:vAlign w:val="bottom"/>
          </w:tcPr>
          <w:p>
            <w:pPr>
              <w:spacing w:after="0"/>
              <w:rPr>
                <w:sz w:val="15"/>
                <w:szCs w:val="15"/>
                <w:color w:val="auto"/>
              </w:rPr>
            </w:pP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7140" w:type="dxa"/>
            <w:vAlign w:val="bottom"/>
          </w:tcPr>
          <w:p>
            <w:pPr>
              <w:spacing w:after="0"/>
              <w:rPr>
                <w:sz w:val="15"/>
                <w:szCs w:val="15"/>
                <w:color w:val="auto"/>
              </w:rPr>
            </w:pP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148,657</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128,574</w:t>
            </w:r>
          </w:p>
        </w:tc>
      </w:tr>
      <w:tr>
        <w:trPr>
          <w:trHeight w:val="364"/>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Decrease in accounts receivable, net.................................</w:t>
            </w: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23,595</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39,983</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Decrease (increase) in inventories, net..............................</w:t>
            </w: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2,694</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(15,295)</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Decrease (increase) in prepaid charges and other.....................</w:t>
            </w: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6,685</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(3,630)</w:t>
            </w:r>
          </w:p>
        </w:tc>
      </w:tr>
      <w:tr>
        <w:trPr>
          <w:trHeight w:val="182"/>
        </w:trPr>
        <w:tc>
          <w:tcPr>
            <w:tcW w:w="7140" w:type="dxa"/>
            <w:vAlign w:val="bottom"/>
          </w:tcPr>
          <w:p>
            <w:pPr>
              <w:jc w:val="right"/>
              <w:ind w:right="1961"/>
              <w:spacing w:after="0"/>
              <w:rPr>
                <w:sz w:val="20"/>
                <w:szCs w:val="20"/>
                <w:color w:val="auto"/>
              </w:rPr>
            </w:pPr>
            <w:r>
              <w:rPr>
                <w:rFonts w:ascii="Courier New" w:cs="Courier New" w:eastAsia="Courier New" w:hAnsi="Courier New"/>
                <w:sz w:val="16"/>
                <w:szCs w:val="16"/>
                <w:color w:val="auto"/>
              </w:rPr>
              <w:t>Decrease in accounts payable and accrued expenses</w:t>
            </w:r>
          </w:p>
        </w:tc>
        <w:tc>
          <w:tcPr>
            <w:tcW w:w="20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(70,262)</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(86,137)</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Increase in accrued interest.........................................</w:t>
            </w: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16,742</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9,344</w:t>
            </w:r>
          </w:p>
        </w:tc>
      </w:tr>
      <w:tr>
        <w:trPr>
          <w:trHeight w:val="182"/>
        </w:trPr>
        <w:tc>
          <w:tcPr>
            <w:tcW w:w="7140" w:type="dxa"/>
            <w:vAlign w:val="bottom"/>
          </w:tcPr>
          <w:p>
            <w:pPr>
              <w:spacing w:after="0"/>
              <w:rPr>
                <w:sz w:val="15"/>
                <w:szCs w:val="15"/>
                <w:color w:val="auto"/>
              </w:rPr>
            </w:pP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128,111</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72,839</w:t>
            </w:r>
          </w:p>
        </w:tc>
      </w:tr>
      <w:tr>
        <w:trPr>
          <w:trHeight w:val="182"/>
        </w:trPr>
        <w:tc>
          <w:tcPr>
            <w:tcW w:w="7140" w:type="dxa"/>
            <w:vAlign w:val="bottom"/>
          </w:tcPr>
          <w:p>
            <w:pPr>
              <w:spacing w:after="0"/>
              <w:rPr>
                <w:sz w:val="15"/>
                <w:szCs w:val="15"/>
                <w:color w:val="auto"/>
              </w:rPr>
            </w:pP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4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Proceeds from borrowings...............................................</w:t>
            </w: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191,175</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1,319,621</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Retirement and repayment of debt.......................................</w:t>
            </w:r>
          </w:p>
        </w:tc>
        <w:tc>
          <w:tcPr>
            <w:tcW w:w="20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(167,429)</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(43,854)</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(Repurchases) issuances of common stock, net...........................</w:t>
            </w:r>
          </w:p>
        </w:tc>
        <w:tc>
          <w:tcPr>
            <w:tcW w:w="20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(38,226)</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626</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Equity contribution to a subsidiary....................................</w:t>
            </w:r>
          </w:p>
        </w:tc>
        <w:tc>
          <w:tcPr>
            <w:tcW w:w="2080" w:type="dxa"/>
            <w:vAlign w:val="bottom"/>
          </w:tcPr>
          <w:p>
            <w:pPr>
              <w:spacing w:after="0"/>
              <w:rPr>
                <w:sz w:val="15"/>
                <w:szCs w:val="15"/>
                <w:color w:val="auto"/>
              </w:rPr>
            </w:pP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6,556</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Dividends..............................................................</w:t>
            </w:r>
          </w:p>
        </w:tc>
        <w:tc>
          <w:tcPr>
            <w:tcW w:w="20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(5,580)</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(5,583)</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w:t>
            </w:r>
          </w:p>
        </w:tc>
        <w:tc>
          <w:tcPr>
            <w:tcW w:w="20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(8,848)</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2,072</w:t>
            </w:r>
          </w:p>
        </w:tc>
      </w:tr>
      <w:tr>
        <w:trPr>
          <w:trHeight w:val="182"/>
        </w:trPr>
        <w:tc>
          <w:tcPr>
            <w:tcW w:w="7140" w:type="dxa"/>
            <w:vAlign w:val="bottom"/>
          </w:tcPr>
          <w:p>
            <w:pPr>
              <w:spacing w:after="0"/>
              <w:rPr>
                <w:sz w:val="15"/>
                <w:szCs w:val="15"/>
                <w:color w:val="auto"/>
              </w:rPr>
            </w:pP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40" w:type="dxa"/>
            <w:vAlign w:val="bottom"/>
          </w:tcPr>
          <w:p>
            <w:pPr>
              <w:jc w:val="right"/>
              <w:ind w:right="1381"/>
              <w:spacing w:after="0"/>
              <w:rPr>
                <w:sz w:val="20"/>
                <w:szCs w:val="20"/>
                <w:color w:val="auto"/>
              </w:rPr>
            </w:pPr>
            <w:r>
              <w:rPr>
                <w:rFonts w:ascii="Courier New" w:cs="Courier New" w:eastAsia="Courier New" w:hAnsi="Courier New"/>
                <w:sz w:val="16"/>
                <w:szCs w:val="16"/>
                <w:color w:val="auto"/>
              </w:rPr>
              <w:t>Net cash (used in) provided by financing activities</w:t>
            </w:r>
          </w:p>
        </w:tc>
        <w:tc>
          <w:tcPr>
            <w:tcW w:w="20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(28,908)</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1,279,438</w:t>
            </w:r>
          </w:p>
        </w:tc>
      </w:tr>
      <w:tr>
        <w:trPr>
          <w:trHeight w:val="182"/>
        </w:trPr>
        <w:tc>
          <w:tcPr>
            <w:tcW w:w="7140" w:type="dxa"/>
            <w:vAlign w:val="bottom"/>
          </w:tcPr>
          <w:p>
            <w:pPr>
              <w:spacing w:after="0"/>
              <w:rPr>
                <w:sz w:val="15"/>
                <w:szCs w:val="15"/>
                <w:color w:val="auto"/>
              </w:rPr>
            </w:pP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4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Acquisitions, net of cash acquired.....................................</w:t>
            </w:r>
          </w:p>
        </w:tc>
        <w:tc>
          <w:tcPr>
            <w:tcW w:w="20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(16,250)</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(1,310,767)</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Proceeds from sales of short-term investments, net.....................</w:t>
            </w: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171,407</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104,779</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Investments, principally in affiliates.................................</w:t>
            </w:r>
          </w:p>
        </w:tc>
        <w:tc>
          <w:tcPr>
            <w:tcW w:w="20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(153,706)</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(137,273)</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Proceeds from sale of long-term investments............................</w:t>
            </w: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2,396</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188,096</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Additions to property and equipment....................................</w:t>
            </w:r>
          </w:p>
        </w:tc>
        <w:tc>
          <w:tcPr>
            <w:tcW w:w="20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(111,401)</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(109,618)</w:t>
            </w:r>
          </w:p>
        </w:tc>
      </w:tr>
      <w:tr>
        <w:trPr>
          <w:trHeight w:val="182"/>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Other..................................................................</w:t>
            </w:r>
          </w:p>
        </w:tc>
        <w:tc>
          <w:tcPr>
            <w:tcW w:w="20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(20,560)</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(6,933)</w:t>
            </w:r>
          </w:p>
        </w:tc>
      </w:tr>
      <w:tr>
        <w:trPr>
          <w:trHeight w:val="182"/>
        </w:trPr>
        <w:tc>
          <w:tcPr>
            <w:tcW w:w="7140" w:type="dxa"/>
            <w:vAlign w:val="bottom"/>
          </w:tcPr>
          <w:p>
            <w:pPr>
              <w:spacing w:after="0"/>
              <w:rPr>
                <w:sz w:val="15"/>
                <w:szCs w:val="15"/>
                <w:color w:val="auto"/>
              </w:rPr>
            </w:pP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Net cash used in investing activities............................</w:t>
            </w:r>
          </w:p>
        </w:tc>
        <w:tc>
          <w:tcPr>
            <w:tcW w:w="20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(128,114)</w:t>
            </w:r>
          </w:p>
        </w:tc>
        <w:tc>
          <w:tcPr>
            <w:tcW w:w="1940" w:type="dxa"/>
            <w:vAlign w:val="bottom"/>
          </w:tcPr>
          <w:p>
            <w:pPr>
              <w:jc w:val="right"/>
              <w:spacing w:after="0"/>
              <w:rPr>
                <w:sz w:val="20"/>
                <w:szCs w:val="20"/>
                <w:color w:val="auto"/>
              </w:rPr>
            </w:pPr>
            <w:r>
              <w:rPr>
                <w:rFonts w:ascii="Courier New" w:cs="Courier New" w:eastAsia="Courier New" w:hAnsi="Courier New"/>
                <w:sz w:val="16"/>
                <w:szCs w:val="16"/>
                <w:color w:val="auto"/>
              </w:rPr>
              <w:t>(1,271,716)</w:t>
            </w:r>
          </w:p>
        </w:tc>
      </w:tr>
      <w:tr>
        <w:trPr>
          <w:trHeight w:val="182"/>
        </w:trPr>
        <w:tc>
          <w:tcPr>
            <w:tcW w:w="7140" w:type="dxa"/>
            <w:vAlign w:val="bottom"/>
          </w:tcPr>
          <w:p>
            <w:pPr>
              <w:spacing w:after="0"/>
              <w:rPr>
                <w:sz w:val="15"/>
                <w:szCs w:val="15"/>
                <w:color w:val="auto"/>
              </w:rPr>
            </w:pP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46"/>
        </w:trPr>
        <w:tc>
          <w:tcPr>
            <w:tcW w:w="7140" w:type="dxa"/>
            <w:vAlign w:val="bottom"/>
          </w:tcPr>
          <w:p>
            <w:pPr>
              <w:spacing w:after="0"/>
              <w:rPr>
                <w:sz w:val="20"/>
                <w:szCs w:val="20"/>
                <w:color w:val="auto"/>
              </w:rPr>
            </w:pPr>
            <w:r>
              <w:rPr>
                <w:rFonts w:ascii="Courier New" w:cs="Courier New" w:eastAsia="Courier New" w:hAnsi="Courier New"/>
                <w:sz w:val="16"/>
                <w:szCs w:val="16"/>
                <w:color w:val="auto"/>
              </w:rPr>
              <w:t>(DECREASE) INCREASE IN CASH AND CASH EQUIVALENTS.........................</w:t>
            </w:r>
          </w:p>
        </w:tc>
        <w:tc>
          <w:tcPr>
            <w:tcW w:w="208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(28,911)</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80,561</w:t>
            </w:r>
          </w:p>
        </w:tc>
      </w:tr>
      <w:tr>
        <w:trPr>
          <w:trHeight w:val="364"/>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CASH AND CASH EQUIVALENTS, beginning of period............................</w:t>
            </w: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539,061</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335,320</w:t>
            </w:r>
          </w:p>
        </w:tc>
      </w:tr>
      <w:tr>
        <w:trPr>
          <w:trHeight w:val="182"/>
        </w:trPr>
        <w:tc>
          <w:tcPr>
            <w:tcW w:w="7140" w:type="dxa"/>
            <w:vAlign w:val="bottom"/>
          </w:tcPr>
          <w:p>
            <w:pPr>
              <w:spacing w:after="0"/>
              <w:rPr>
                <w:sz w:val="15"/>
                <w:szCs w:val="15"/>
                <w:color w:val="auto"/>
              </w:rPr>
            </w:pP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546"/>
        </w:trPr>
        <w:tc>
          <w:tcPr>
            <w:tcW w:w="714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CASH AND CASH EQUIVALENTS, end of period..................................</w:t>
            </w: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$510,150</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$415,881</w:t>
            </w:r>
          </w:p>
        </w:tc>
      </w:tr>
      <w:tr>
        <w:trPr>
          <w:trHeight w:val="182"/>
        </w:trPr>
        <w:tc>
          <w:tcPr>
            <w:tcW w:w="7140" w:type="dxa"/>
            <w:vAlign w:val="bottom"/>
          </w:tcPr>
          <w:p>
            <w:pPr>
              <w:spacing w:after="0"/>
              <w:rPr>
                <w:sz w:val="15"/>
                <w:szCs w:val="15"/>
                <w:color w:val="auto"/>
              </w:rPr>
            </w:pPr>
          </w:p>
        </w:tc>
        <w:tc>
          <w:tcPr>
            <w:tcW w:w="20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160"/>
          </w:cols>
          <w:pgMar w:left="240" w:top="477" w:right="499" w:bottom="1440" w:gutter="0" w:footer="0" w:header="0"/>
        </w:sectPr>
      </w:pPr>
    </w:p>
    <w:bookmarkStart w:id="6" w:name="page7"/>
    <w:bookmarkEnd w:id="6"/>
    <w:p>
      <w:pPr>
        <w:ind w:left="2083"/>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QUARTER ENDED MARCH 31, 1996</w:t>
      </w:r>
    </w:p>
    <w:p>
      <w:pPr>
        <w:spacing w:after="0" w:line="1" w:lineRule="exact"/>
        <w:rPr>
          <w:sz w:val="20"/>
          <w:szCs w:val="20"/>
          <w:color w:val="auto"/>
        </w:rPr>
      </w:pPr>
    </w:p>
    <w:p>
      <w:pPr>
        <w:ind w:left="1323"/>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1"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463" w:hanging="463"/>
        <w:spacing w:after="0"/>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CONDENSED CONSOLIDATED FINANCIAL STATEMENTS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4"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condensed consolidated balance sheet as of December 31, 1995 has been condensed from the audited balance sheet as of that date. The condensed consolidated balance sheet as of March 31, 1996 and the condensed consolidated statements of operations and accumulated deficit and of cash flows for the three months ended March 31, 1996 and 1995 have been prepared by Comcast Corporation (the "Company") and have not been audited by the Company's independent auditors. In the opinion of management, all adjustments (which include only normal recurring adjustments and the first quarter 1995 adjustment described in Note 3) necessary to present fairly the financial position, results of operations and cash flows as of March 31, 1996 and for all periods presented have been made.</w:t>
      </w:r>
    </w:p>
    <w:p>
      <w:pPr>
        <w:spacing w:after="0" w:line="188" w:lineRule="exact"/>
        <w:rPr>
          <w:rFonts w:ascii="Courier New" w:cs="Courier New" w:eastAsia="Courier New" w:hAnsi="Courier New"/>
          <w:sz w:val="16"/>
          <w:szCs w:val="16"/>
          <w:color w:val="auto"/>
        </w:rPr>
      </w:pPr>
    </w:p>
    <w:p>
      <w:pPr>
        <w:jc w:val="both"/>
        <w:ind w:left="463" w:right="2659"/>
        <w:spacing w:after="0" w:line="258"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Certain information and note disclosures normally included in the Company's annual financial statements prepared in accordance with generally accepted accounting principles have been condensed or omitted. These condensed consolidated financial statements should be read in conjunction with the financial statements and notes thereto included in the Company's December 31, 1995 Annual Report on Form 10-K filed with the Securities and Exchange Commission. The results of operations for the period ended March 31, 1996 are not necessarily indicative of operating results for the full year.</w:t>
      </w:r>
    </w:p>
    <w:p>
      <w:pPr>
        <w:spacing w:after="0" w:line="171"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SIGNIFICANT ACCOUNTING POLICIES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New Accounting Pronouncement</w:t>
      </w:r>
    </w:p>
    <w:p>
      <w:pPr>
        <w:spacing w:after="0" w:line="4"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1, 1996, the Company adopted Statement of Financial Accounting Standards ("SFAS") No. 123, "Accounting for Stock-Based Compensation." The Company has elected to continue to measure such compensation expense using the method prescribed by Accounting Principles Board Opinion No. 25, "Accounting for Stock Issued to Employees," as permitted by SFAS No. 123. Accordingly, there was no impact of the adoption of SFAS No. 123 on the Company's financial position or results of operations.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Net Loss Per Share</w:t>
      </w:r>
    </w:p>
    <w:p>
      <w:pPr>
        <w:spacing w:after="0" w:line="4" w:lineRule="exact"/>
        <w:rPr>
          <w:rFonts w:ascii="Courier New" w:cs="Courier New" w:eastAsia="Courier New" w:hAnsi="Courier New"/>
          <w:sz w:val="16"/>
          <w:szCs w:val="16"/>
          <w:color w:val="auto"/>
        </w:rPr>
      </w:pPr>
    </w:p>
    <w:p>
      <w:pPr>
        <w:jc w:val="both"/>
        <w:ind w:left="463" w:right="265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Net loss per share is based on the weighted average number of common shares outstanding during the period. For the three months ended March 31, 1996 and 1995, all of the common stock equivalents have an antidilutive effect on the loss per share and, therefore, have not been used in determining the total weighted average number of common shares outstanding.</w:t>
      </w:r>
    </w:p>
    <w:p>
      <w:pPr>
        <w:spacing w:after="0" w:line="170"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Reclassifications</w:t>
      </w:r>
    </w:p>
    <w:p>
      <w:pPr>
        <w:spacing w:after="0" w:line="4" w:lineRule="exact"/>
        <w:rPr>
          <w:rFonts w:ascii="Courier New" w:cs="Courier New" w:eastAsia="Courier New" w:hAnsi="Courier New"/>
          <w:sz w:val="16"/>
          <w:szCs w:val="16"/>
          <w:color w:val="auto"/>
        </w:rPr>
      </w:pPr>
    </w:p>
    <w:p>
      <w:pPr>
        <w:jc w:val="both"/>
        <w:ind w:left="463"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reclassifications have been made to the prior year condensed consolidated financial statements to conform to those classifications used in 1996.</w:t>
      </w:r>
    </w:p>
    <w:p>
      <w:pPr>
        <w:spacing w:after="0" w:line="184"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ACQUISITIONS AND OTHER SIGNIFICANT EVENTS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Regional Sports Venture</w:t>
      </w:r>
    </w:p>
    <w:p>
      <w:pPr>
        <w:spacing w:after="0" w:line="4" w:lineRule="exact"/>
        <w:rPr>
          <w:rFonts w:ascii="Courier New" w:cs="Courier New" w:eastAsia="Courier New" w:hAnsi="Courier New"/>
          <w:sz w:val="16"/>
          <w:szCs w:val="16"/>
          <w:color w:val="auto"/>
        </w:rPr>
      </w:pPr>
    </w:p>
    <w:p>
      <w:pPr>
        <w:jc w:val="both"/>
        <w:ind w:left="463" w:right="2659"/>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March 1996, the Company entered into definitive agreements through which it will ultimately acquire (the "Sports Venture Acquisition") a 66% interest in the Philadelphia Flyers Limited Partnership, a Pennsylvania limited partnership ("PFLP"), the assets of which, upon consummation of the acquisition, will consist of (i) the National Basketball Association ("NBA") franchise to own and operate the Philadelphia 76ers basketball team and related assets (the "Sixers"), (ii) the National Hockey League ("NHL") franchise to own and operate the Philadelphia Flyers hockey team and related assets, which PFLP currently owns (the "Flyers"), and (iii) two adjacent arenas, leasehold interests in and development rights related to the land underlying the arenas and other adjacent parcels of land located in Philadelphia, Pennsylvania (collectively, the "Arenas"). The remaining 34% of PFLP will be owned by a group (the "Minority Group") represented by Mr. Edward Snider ("Snider"), the current majority owner of PFLP and the Arenas. A company owned by Snider will manage PFLP after consummation of the Sports Venture Acquisition.</w:t>
      </w:r>
    </w:p>
    <w:p>
      <w:pPr>
        <w:spacing w:after="0" w:line="188"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2"/>
          </w:cols>
          <w:pgMar w:left="237" w:top="477" w:right="1440" w:bottom="1440" w:gutter="0" w:footer="0" w:header="0"/>
        </w:sectPr>
      </w:pPr>
    </w:p>
    <w:bookmarkStart w:id="7" w:name="page8"/>
    <w:bookmarkEnd w:id="7"/>
    <w:p>
      <w:pPr>
        <w:ind w:left="162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QUARTER ENDED MARCH 31, 1996</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(Unaudited)</w:t>
      </w:r>
    </w:p>
    <w:p>
      <w:pPr>
        <w:spacing w:after="0" w:line="368"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In April 1996, the Company completed the first step of the Sports Venture Acquisition by purchasing the Sixers from Mr. Harold Katz for $125.0 million in cash plus assumed net liabilities of approximately $11.0 million through a partnership controlled by the Company. To complete the Sports Venture Acquisition, the Company will contribute its interest in the Sixers and exchange $15.0 million in cash plus approximately 5.2 million shares of the Company's Class A Special Common Stock (the "Class A Special Common Stock") or their equivalent for a 66% interest in PFLP. At the same time, Snider will cause all of the Minority Group's interests in the Arenas to be contributed to PFLP for a 34% interest in PFLP. In connection with the Sports Venture Acquisition, PFLP will assume the outstanding liabilities relating to the Sixers and the Arenas, including a mortgage obligation of approximately $155.0 million. The closing of the Sports Venture Acquisition is expected to occur during the second or third quarter of 1996 and is subject to certain approvals, including approvals of the NBA and NHL, and other conditions. The Company anticipates that it will account for its interest in PFLP under the equity method.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Sprint Spectrum</w:t>
      </w:r>
    </w:p>
    <w:p>
      <w:pPr>
        <w:spacing w:after="0" w:line="5"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Effective as of January 1996, the Company, Tele-Communications, Inc. ("TCI"), Cox Communications, Inc. and Sprint Corporation (collectively, the "Parents"), and certain subsidiaries of the Parents, entered into a series of agreements relating to their previously announced joint venture (March 1995) to engage in the communications business. Under an Amended and Restated Agreement of Limited Partnership of MajorCo, L.P. (known as "Sprint Spectrum"), the business of Sprint Spectrum will be the provision of wireless telecommunications services and will not include the previously authorized business of providing local wireline communications services to residences and businesses. A partnership owned entirely by subsidiaries of the Company owns 15% of Sprint Spectrum. The Company accounts for its investment in Sprint Spectrum under the equity method (see Note 4).</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Scripps Cable</w:t>
      </w:r>
    </w:p>
    <w:p>
      <w:pPr>
        <w:spacing w:after="0" w:line="5"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In October 1995, the Company announced its agreement to acquire the cable television operations ("Scripps Cable") of The E.W. Scripps Company in exchange for shares of the Company's Class A Special Common Stock worth $1.575 billion, subject to certain closing adjustments (the "Scripps Transaction"). Scripps Cable passes approximately 1.2 million homes and serves approximately 800,000 subscribers, with over 60% of its subscribers located in Sacramento, California and Chattanooga and Knoxville, Tennessee. The acquisition is expected to close in the third quarter of 1996, subject to shareholder and regulatory approval and certain other conditions.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Repurchase Program</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Concurrent with the announcement of the Scripps Transaction, the Company announced that its Board of Directors authorized a market repurchase program (the "Repurchase Program") pursuant to which the Company may purchase, at such times and on such terms as it deems appropriate, up to $500.0 million of its outstanding common stock, subject to certain restrictions and market conditions. Pursuant to the Repurchase Program, the Company has repurchased shares of its common stock for aggregate consideration of $80.4 million through April 30, 1996, including $56.7 million during the three months ended March 31, 1996.</w:t>
      </w:r>
    </w:p>
    <w:p>
      <w:pPr>
        <w:spacing w:after="0" w:line="188"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In addition, the Company has sold put options on 4.0 million shares of its Class A Special Common Stock through April 30, 1996, including put options on 1.0 million of such shares sold during the three months ended March 31, 1996. The put options give the holder the right to require the Company to repurchase such shares at specified prices on specific dates. In May 1996, the Company extended the original May through July 1996 maturities of the put options to October through December 1996 and received $1.1 million in connection with the extensions. Initial proceeds of $3.5 million from the sale of these put options were credited to additional capital. The amount the Company would be obligated to pay to repurchase such shares if all outstanding put options were exercised, totaling $69.6 million, has been reclassified to a temporary equity account in the Company's condensed consolidated balance sheet as of March 31, 1996.</w:t>
      </w:r>
    </w:p>
    <w:p>
      <w:pPr>
        <w:spacing w:after="0" w:line="359"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759"/>
          </w:cols>
          <w:pgMar w:left="700" w:top="477" w:right="1440" w:bottom="1440" w:gutter="0" w:footer="0" w:header="0"/>
        </w:sectPr>
      </w:pPr>
    </w:p>
    <w:bookmarkStart w:id="8" w:name="page9"/>
    <w:bookmarkEnd w:id="8"/>
    <w:p>
      <w:pPr>
        <w:ind w:left="162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QUARTER ENDED MARCH 31, 1996</w:t>
      </w:r>
    </w:p>
    <w:p>
      <w:pPr>
        <w:spacing w:after="0" w:line="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0" w:type="dxa"/>
            <w:vAlign w:val="bottom"/>
          </w:tcPr>
          <w:p>
            <w:pPr>
              <w:spacing w:after="0"/>
              <w:rPr>
                <w:sz w:val="20"/>
                <w:szCs w:val="20"/>
                <w:color w:val="auto"/>
              </w:rPr>
            </w:pPr>
            <w:r>
              <w:rPr>
                <w:rFonts w:ascii="Courier New" w:cs="Courier New" w:eastAsia="Courier New" w:hAnsi="Courier New"/>
                <w:sz w:val="16"/>
                <w:szCs w:val="16"/>
                <w:color w:val="auto"/>
              </w:rPr>
              <w:t>QVC</w:t>
            </w: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2"/>
        </w:trPr>
        <w:tc>
          <w:tcPr>
            <w:tcW w:w="7100" w:type="dxa"/>
            <w:vAlign w:val="bottom"/>
            <w:gridSpan w:val="11"/>
          </w:tcPr>
          <w:p>
            <w:pPr>
              <w:spacing w:after="0"/>
              <w:rPr>
                <w:sz w:val="20"/>
                <w:szCs w:val="20"/>
                <w:color w:val="auto"/>
              </w:rPr>
            </w:pPr>
            <w:r>
              <w:rPr>
                <w:rFonts w:ascii="Courier New" w:cs="Courier New" w:eastAsia="Courier New" w:hAnsi="Courier New"/>
                <w:sz w:val="16"/>
                <w:szCs w:val="16"/>
                <w:color w:val="auto"/>
                <w:w w:val="98"/>
              </w:rPr>
              <w:t>In February 1995, the Company and TCI acquired all of the outstanding stock</w:t>
            </w:r>
          </w:p>
        </w:tc>
      </w:tr>
      <w:tr>
        <w:trPr>
          <w:trHeight w:val="182"/>
        </w:trPr>
        <w:tc>
          <w:tcPr>
            <w:tcW w:w="1100" w:type="dxa"/>
            <w:vAlign w:val="bottom"/>
          </w:tcPr>
          <w:p>
            <w:pPr>
              <w:spacing w:after="0"/>
              <w:rPr>
                <w:sz w:val="20"/>
                <w:szCs w:val="20"/>
                <w:color w:val="auto"/>
              </w:rPr>
            </w:pPr>
            <w:r>
              <w:rPr>
                <w:rFonts w:ascii="Courier New" w:cs="Courier New" w:eastAsia="Courier New" w:hAnsi="Courier New"/>
                <w:sz w:val="16"/>
                <w:szCs w:val="16"/>
                <w:color w:val="auto"/>
              </w:rPr>
              <w:t>of QVC Inc.</w:t>
            </w:r>
          </w:p>
        </w:tc>
        <w:tc>
          <w:tcPr>
            <w:tcW w:w="420" w:type="dxa"/>
            <w:vAlign w:val="bottom"/>
          </w:tcPr>
          <w:p>
            <w:pPr>
              <w:ind w:left="140"/>
              <w:spacing w:after="0"/>
              <w:rPr>
                <w:sz w:val="20"/>
                <w:szCs w:val="20"/>
                <w:color w:val="auto"/>
              </w:rPr>
            </w:pPr>
            <w:r>
              <w:rPr>
                <w:rFonts w:ascii="Courier New" w:cs="Courier New" w:eastAsia="Courier New" w:hAnsi="Courier New"/>
                <w:sz w:val="16"/>
                <w:szCs w:val="16"/>
                <w:color w:val="auto"/>
                <w:w w:val="90"/>
              </w:rPr>
              <w:t>and</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w w:val="90"/>
              </w:rPr>
              <w:t>its</w:t>
            </w:r>
          </w:p>
        </w:tc>
        <w:tc>
          <w:tcPr>
            <w:tcW w:w="13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subsidiaries</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w w:val="95"/>
              </w:rPr>
              <w:t>("QVC")</w:t>
            </w:r>
          </w:p>
        </w:tc>
        <w:tc>
          <w:tcPr>
            <w:tcW w:w="460" w:type="dxa"/>
            <w:vAlign w:val="bottom"/>
          </w:tcPr>
          <w:p>
            <w:pPr>
              <w:ind w:left="180"/>
              <w:spacing w:after="0"/>
              <w:rPr>
                <w:sz w:val="20"/>
                <w:szCs w:val="20"/>
                <w:color w:val="auto"/>
              </w:rPr>
            </w:pPr>
            <w:r>
              <w:rPr>
                <w:rFonts w:ascii="Courier New" w:cs="Courier New" w:eastAsia="Courier New" w:hAnsi="Courier New"/>
                <w:sz w:val="16"/>
                <w:szCs w:val="16"/>
                <w:color w:val="auto"/>
                <w:w w:val="90"/>
              </w:rPr>
              <w:t>not</w:t>
            </w:r>
          </w:p>
        </w:tc>
        <w:tc>
          <w:tcPr>
            <w:tcW w:w="12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previously</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owned by them</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rPr>
              <w:t>(approximately</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0"/>
              </w:rPr>
              <w:t>65%</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of such</w:t>
            </w:r>
          </w:p>
        </w:tc>
        <w:tc>
          <w:tcPr>
            <w:tcW w:w="188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shares on a fully</w:t>
            </w:r>
          </w:p>
        </w:tc>
        <w:tc>
          <w:tcPr>
            <w:tcW w:w="86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1000" w:type="dxa"/>
            <w:vAlign w:val="bottom"/>
            <w:gridSpan w:val="2"/>
          </w:tcPr>
          <w:p>
            <w:pPr>
              <w:spacing w:after="0"/>
              <w:rPr>
                <w:sz w:val="20"/>
                <w:szCs w:val="20"/>
                <w:color w:val="auto"/>
              </w:rPr>
            </w:pPr>
            <w:r>
              <w:rPr>
                <w:rFonts w:ascii="Courier New" w:cs="Courier New" w:eastAsia="Courier New" w:hAnsi="Courier New"/>
                <w:sz w:val="16"/>
                <w:szCs w:val="16"/>
                <w:color w:val="auto"/>
              </w:rPr>
              <w:t>basis) for</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$46, in</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cash,  per share</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(the "QVC</w:t>
            </w:r>
          </w:p>
        </w:tc>
        <w:tc>
          <w:tcPr>
            <w:tcW w:w="14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6"/>
              </w:rPr>
              <w:t>Acquisition"),</w:t>
            </w:r>
          </w:p>
        </w:tc>
        <w:tc>
          <w:tcPr>
            <w:tcW w:w="13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representing</w:t>
            </w:r>
          </w:p>
        </w:tc>
        <w:tc>
          <w:tcPr>
            <w:tcW w:w="10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 total</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cost of</w:t>
            </w:r>
          </w:p>
        </w:tc>
      </w:tr>
      <w:tr>
        <w:trPr>
          <w:trHeight w:val="182"/>
        </w:trPr>
        <w:tc>
          <w:tcPr>
            <w:tcW w:w="2660" w:type="dxa"/>
            <w:vAlign w:val="bottom"/>
            <w:gridSpan w:val="4"/>
          </w:tcPr>
          <w:p>
            <w:pPr>
              <w:spacing w:after="0"/>
              <w:rPr>
                <w:sz w:val="20"/>
                <w:szCs w:val="20"/>
                <w:color w:val="auto"/>
              </w:rPr>
            </w:pPr>
            <w:r>
              <w:rPr>
                <w:rFonts w:ascii="Courier New" w:cs="Courier New" w:eastAsia="Courier New" w:hAnsi="Courier New"/>
                <w:sz w:val="16"/>
                <w:szCs w:val="16"/>
                <w:color w:val="auto"/>
              </w:rPr>
              <w:t>approximately $1.4 billion.</w:t>
            </w:r>
          </w:p>
        </w:tc>
        <w:tc>
          <w:tcPr>
            <w:tcW w:w="1880" w:type="dxa"/>
            <w:vAlign w:val="bottom"/>
            <w:gridSpan w:val="3"/>
          </w:tcPr>
          <w:p>
            <w:pPr>
              <w:spacing w:after="0"/>
              <w:rPr>
                <w:sz w:val="20"/>
                <w:szCs w:val="20"/>
                <w:color w:val="auto"/>
              </w:rPr>
            </w:pPr>
            <w:r>
              <w:rPr>
                <w:rFonts w:ascii="Courier New" w:cs="Courier New" w:eastAsia="Courier New" w:hAnsi="Courier New"/>
                <w:sz w:val="16"/>
                <w:szCs w:val="16"/>
                <w:color w:val="auto"/>
                <w:w w:val="96"/>
              </w:rPr>
              <w:t>The QVC Acquisition,</w:t>
            </w:r>
          </w:p>
        </w:tc>
        <w:tc>
          <w:tcPr>
            <w:tcW w:w="25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including the exercise of</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certain warrants</w:t>
            </w:r>
          </w:p>
        </w:tc>
        <w:tc>
          <w:tcPr>
            <w:tcW w:w="11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6"/>
              </w:rPr>
              <w:t>held by the</w:t>
            </w:r>
          </w:p>
        </w:tc>
        <w:tc>
          <w:tcPr>
            <w:tcW w:w="3160" w:type="dxa"/>
            <w:vAlign w:val="bottom"/>
            <w:gridSpan w:val="5"/>
          </w:tcPr>
          <w:p>
            <w:pPr>
              <w:ind w:left="100"/>
              <w:spacing w:after="0"/>
              <w:rPr>
                <w:sz w:val="20"/>
                <w:szCs w:val="20"/>
                <w:color w:val="auto"/>
              </w:rPr>
            </w:pPr>
            <w:r>
              <w:rPr>
                <w:rFonts w:ascii="Courier New" w:cs="Courier New" w:eastAsia="Courier New" w:hAnsi="Courier New"/>
                <w:sz w:val="16"/>
                <w:szCs w:val="16"/>
                <w:color w:val="auto"/>
                <w:w w:val="98"/>
              </w:rPr>
              <w:t>Company,  was financed with cash</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contributions</w:t>
            </w:r>
          </w:p>
        </w:tc>
      </w:tr>
      <w:tr>
        <w:trPr>
          <w:trHeight w:val="182"/>
        </w:trPr>
        <w:tc>
          <w:tcPr>
            <w:tcW w:w="1520" w:type="dxa"/>
            <w:vAlign w:val="bottom"/>
            <w:gridSpan w:val="2"/>
          </w:tcPr>
          <w:p>
            <w:pPr>
              <w:spacing w:after="0"/>
              <w:rPr>
                <w:sz w:val="20"/>
                <w:szCs w:val="20"/>
                <w:color w:val="auto"/>
              </w:rPr>
            </w:pPr>
            <w:r>
              <w:rPr>
                <w:rFonts w:ascii="Courier New" w:cs="Courier New" w:eastAsia="Courier New" w:hAnsi="Courier New"/>
                <w:sz w:val="16"/>
                <w:szCs w:val="16"/>
                <w:color w:val="auto"/>
                <w:w w:val="97"/>
              </w:rPr>
              <w:t>from the Company</w:t>
            </w:r>
          </w:p>
        </w:tc>
        <w:tc>
          <w:tcPr>
            <w:tcW w:w="11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and TCI of</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$296.3</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million</w:t>
            </w:r>
          </w:p>
        </w:tc>
        <w:tc>
          <w:tcPr>
            <w:tcW w:w="1740" w:type="dxa"/>
            <w:vAlign w:val="bottom"/>
            <w:gridSpan w:val="3"/>
          </w:tcPr>
          <w:p>
            <w:pPr>
              <w:spacing w:after="0"/>
              <w:rPr>
                <w:sz w:val="20"/>
                <w:szCs w:val="20"/>
                <w:color w:val="auto"/>
              </w:rPr>
            </w:pPr>
            <w:r>
              <w:rPr>
                <w:rFonts w:ascii="Courier New" w:cs="Courier New" w:eastAsia="Courier New" w:hAnsi="Courier New"/>
                <w:sz w:val="16"/>
                <w:szCs w:val="16"/>
                <w:color w:val="auto"/>
              </w:rPr>
              <w:t>and $6.6 million,</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respectively,</w:t>
            </w:r>
          </w:p>
        </w:tc>
      </w:tr>
      <w:tr>
        <w:trPr>
          <w:trHeight w:val="182"/>
        </w:trPr>
        <w:tc>
          <w:tcPr>
            <w:tcW w:w="1100" w:type="dxa"/>
            <w:vAlign w:val="bottom"/>
          </w:tcPr>
          <w:p>
            <w:pPr>
              <w:spacing w:after="0"/>
              <w:rPr>
                <w:sz w:val="20"/>
                <w:szCs w:val="20"/>
                <w:color w:val="auto"/>
              </w:rPr>
            </w:pPr>
            <w:r>
              <w:rPr>
                <w:rFonts w:ascii="Courier New" w:cs="Courier New" w:eastAsia="Courier New" w:hAnsi="Courier New"/>
                <w:sz w:val="16"/>
                <w:szCs w:val="16"/>
                <w:color w:val="auto"/>
              </w:rPr>
              <w:t>borrowings</w:t>
            </w:r>
          </w:p>
        </w:tc>
        <w:tc>
          <w:tcPr>
            <w:tcW w:w="8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of $1.1</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billion</w:t>
            </w:r>
          </w:p>
        </w:tc>
        <w:tc>
          <w:tcPr>
            <w:tcW w:w="14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under a $1.2</w:t>
            </w:r>
          </w:p>
        </w:tc>
        <w:tc>
          <w:tcPr>
            <w:tcW w:w="1740" w:type="dxa"/>
            <w:vAlign w:val="bottom"/>
            <w:gridSpan w:val="3"/>
          </w:tcPr>
          <w:p>
            <w:pPr>
              <w:spacing w:after="0"/>
              <w:rPr>
                <w:sz w:val="20"/>
                <w:szCs w:val="20"/>
                <w:color w:val="auto"/>
              </w:rPr>
            </w:pPr>
            <w:r>
              <w:rPr>
                <w:rFonts w:ascii="Courier New" w:cs="Courier New" w:eastAsia="Courier New" w:hAnsi="Courier New"/>
                <w:sz w:val="16"/>
                <w:szCs w:val="16"/>
                <w:color w:val="auto"/>
                <w:w w:val="99"/>
              </w:rPr>
              <w:t>billion QVC credit</w:t>
            </w: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facility and</w:t>
            </w:r>
          </w:p>
        </w:tc>
      </w:tr>
    </w:tbl>
    <w:p>
      <w:pPr>
        <w:spacing w:after="0" w:line="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6"/>
          <w:szCs w:val="16"/>
          <w:color w:val="auto"/>
        </w:rPr>
        <w:t>existing cash and cash equivalents held by QVC.</w:t>
      </w:r>
      <w:r>
        <w:rPr>
          <w:sz w:val="20"/>
          <w:szCs w:val="20"/>
          <w:color w:val="auto"/>
        </w:rPr>
        <w:tab/>
      </w:r>
      <w:r>
        <w:rPr>
          <w:rFonts w:ascii="Courier New" w:cs="Courier New" w:eastAsia="Courier New" w:hAnsi="Courier New"/>
          <w:sz w:val="15"/>
          <w:szCs w:val="15"/>
          <w:color w:val="auto"/>
        </w:rPr>
        <w:t>Following the acquisition,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020" w:type="dxa"/>
            <w:vAlign w:val="bottom"/>
            <w:gridSpan w:val="6"/>
          </w:tcPr>
          <w:p>
            <w:pPr>
              <w:spacing w:after="0"/>
              <w:rPr>
                <w:sz w:val="20"/>
                <w:szCs w:val="20"/>
                <w:color w:val="auto"/>
              </w:rPr>
            </w:pPr>
            <w:r>
              <w:rPr>
                <w:rFonts w:ascii="Courier New" w:cs="Courier New" w:eastAsia="Courier New" w:hAnsi="Courier New"/>
                <w:sz w:val="16"/>
                <w:szCs w:val="16"/>
                <w:color w:val="auto"/>
                <w:w w:val="99"/>
              </w:rPr>
              <w:t>the Company and TCI own, through their respective subsidiaries,</w:t>
            </w:r>
          </w:p>
        </w:tc>
        <w:tc>
          <w:tcPr>
            <w:tcW w:w="2600" w:type="dxa"/>
            <w:vAlign w:val="bottom"/>
            <w:gridSpan w:val="2"/>
          </w:tcPr>
          <w:p>
            <w:pPr>
              <w:jc w:val="right"/>
              <w:ind w:right="1441"/>
              <w:spacing w:after="0"/>
              <w:rPr>
                <w:sz w:val="20"/>
                <w:szCs w:val="20"/>
                <w:color w:val="auto"/>
              </w:rPr>
            </w:pPr>
            <w:r>
              <w:rPr>
                <w:rFonts w:ascii="Courier New" w:cs="Courier New" w:eastAsia="Courier New" w:hAnsi="Courier New"/>
                <w:sz w:val="16"/>
                <w:szCs w:val="16"/>
                <w:color w:val="auto"/>
              </w:rPr>
              <w:t>57.45% and</w:t>
            </w:r>
          </w:p>
        </w:tc>
      </w:tr>
      <w:tr>
        <w:trPr>
          <w:trHeight w:val="182"/>
        </w:trPr>
        <w:tc>
          <w:tcPr>
            <w:tcW w:w="4920" w:type="dxa"/>
            <w:vAlign w:val="bottom"/>
            <w:gridSpan w:val="5"/>
          </w:tcPr>
          <w:p>
            <w:pPr>
              <w:spacing w:after="0"/>
              <w:rPr>
                <w:sz w:val="20"/>
                <w:szCs w:val="20"/>
                <w:color w:val="auto"/>
              </w:rPr>
            </w:pPr>
            <w:r>
              <w:rPr>
                <w:rFonts w:ascii="Courier New" w:cs="Courier New" w:eastAsia="Courier New" w:hAnsi="Courier New"/>
                <w:sz w:val="16"/>
                <w:szCs w:val="16"/>
                <w:color w:val="auto"/>
              </w:rPr>
              <w:t>42.55%,  respectively,  of  QVC.  The  Company  has</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accounted</w:t>
            </w:r>
          </w:p>
        </w:tc>
        <w:tc>
          <w:tcPr>
            <w:tcW w:w="2600" w:type="dxa"/>
            <w:vAlign w:val="bottom"/>
            <w:gridSpan w:val="2"/>
          </w:tcPr>
          <w:p>
            <w:pPr>
              <w:jc w:val="right"/>
              <w:ind w:right="1441"/>
              <w:spacing w:after="0"/>
              <w:rPr>
                <w:sz w:val="20"/>
                <w:szCs w:val="20"/>
                <w:color w:val="auto"/>
              </w:rPr>
            </w:pPr>
            <w:r>
              <w:rPr>
                <w:rFonts w:ascii="Courier New" w:cs="Courier New" w:eastAsia="Courier New" w:hAnsi="Courier New"/>
                <w:sz w:val="16"/>
                <w:szCs w:val="16"/>
                <w:color w:val="auto"/>
              </w:rPr>
              <w:t>for the QVC</w:t>
            </w:r>
          </w:p>
        </w:tc>
      </w:tr>
      <w:tr>
        <w:trPr>
          <w:trHeight w:val="182"/>
        </w:trPr>
        <w:tc>
          <w:tcPr>
            <w:tcW w:w="1240" w:type="dxa"/>
            <w:vAlign w:val="bottom"/>
          </w:tcPr>
          <w:p>
            <w:pPr>
              <w:spacing w:after="0"/>
              <w:rPr>
                <w:sz w:val="20"/>
                <w:szCs w:val="20"/>
                <w:color w:val="auto"/>
              </w:rPr>
            </w:pPr>
            <w:r>
              <w:rPr>
                <w:rFonts w:ascii="Courier New" w:cs="Courier New" w:eastAsia="Courier New" w:hAnsi="Courier New"/>
                <w:sz w:val="16"/>
                <w:szCs w:val="16"/>
                <w:color w:val="auto"/>
              </w:rPr>
              <w:t>Acquisition</w:t>
            </w:r>
          </w:p>
        </w:tc>
        <w:tc>
          <w:tcPr>
            <w:tcW w:w="1740" w:type="dxa"/>
            <w:vAlign w:val="bottom"/>
            <w:gridSpan w:val="2"/>
          </w:tcPr>
          <w:p>
            <w:pPr>
              <w:spacing w:after="0"/>
              <w:rPr>
                <w:sz w:val="20"/>
                <w:szCs w:val="20"/>
                <w:color w:val="auto"/>
              </w:rPr>
            </w:pPr>
            <w:r>
              <w:rPr>
                <w:rFonts w:ascii="Courier New" w:cs="Courier New" w:eastAsia="Courier New" w:hAnsi="Courier New"/>
                <w:sz w:val="16"/>
                <w:szCs w:val="16"/>
                <w:color w:val="auto"/>
                <w:w w:val="99"/>
              </w:rPr>
              <w:t>under the purchase</w:t>
            </w:r>
          </w:p>
        </w:tc>
        <w:tc>
          <w:tcPr>
            <w:tcW w:w="194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method and QVC was</w:t>
            </w:r>
          </w:p>
        </w:tc>
        <w:tc>
          <w:tcPr>
            <w:tcW w:w="14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consolidated</w:t>
            </w:r>
          </w:p>
        </w:tc>
        <w:tc>
          <w:tcPr>
            <w:tcW w:w="2280" w:type="dxa"/>
            <w:vAlign w:val="bottom"/>
          </w:tcPr>
          <w:p>
            <w:pPr>
              <w:jc w:val="right"/>
              <w:ind w:right="1441"/>
              <w:spacing w:after="0"/>
              <w:rPr>
                <w:sz w:val="20"/>
                <w:szCs w:val="20"/>
                <w:color w:val="auto"/>
              </w:rPr>
            </w:pPr>
            <w:r>
              <w:rPr>
                <w:rFonts w:ascii="Courier New" w:cs="Courier New" w:eastAsia="Courier New" w:hAnsi="Courier New"/>
                <w:sz w:val="16"/>
                <w:szCs w:val="16"/>
                <w:color w:val="auto"/>
                <w:w w:val="96"/>
              </w:rPr>
              <w:t>with the</w:t>
            </w:r>
          </w:p>
        </w:tc>
      </w:tr>
      <w:tr>
        <w:trPr>
          <w:trHeight w:val="182"/>
        </w:trPr>
        <w:tc>
          <w:tcPr>
            <w:tcW w:w="3700" w:type="dxa"/>
            <w:vAlign w:val="bottom"/>
            <w:gridSpan w:val="4"/>
          </w:tcPr>
          <w:p>
            <w:pPr>
              <w:spacing w:after="0"/>
              <w:rPr>
                <w:sz w:val="20"/>
                <w:szCs w:val="20"/>
                <w:color w:val="auto"/>
              </w:rPr>
            </w:pPr>
            <w:r>
              <w:rPr>
                <w:rFonts w:ascii="Courier New" w:cs="Courier New" w:eastAsia="Courier New" w:hAnsi="Courier New"/>
                <w:sz w:val="16"/>
                <w:szCs w:val="16"/>
                <w:color w:val="auto"/>
              </w:rPr>
              <w:t>Company effective February 1, 1995.</w:t>
            </w: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64"/>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rPr>
              <w:t>Cellular Rebuild</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2"/>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rPr>
              <w:t>In 1995, the Company's</w:t>
            </w:r>
          </w:p>
        </w:tc>
        <w:tc>
          <w:tcPr>
            <w:tcW w:w="2640" w:type="dxa"/>
            <w:vAlign w:val="bottom"/>
            <w:gridSpan w:val="3"/>
          </w:tcPr>
          <w:p>
            <w:pPr>
              <w:spacing w:after="0"/>
              <w:rPr>
                <w:sz w:val="20"/>
                <w:szCs w:val="20"/>
                <w:color w:val="auto"/>
              </w:rPr>
            </w:pPr>
            <w:r>
              <w:rPr>
                <w:rFonts w:ascii="Courier New" w:cs="Courier New" w:eastAsia="Courier New" w:hAnsi="Courier New"/>
                <w:sz w:val="16"/>
                <w:szCs w:val="16"/>
                <w:color w:val="auto"/>
                <w:w w:val="97"/>
              </w:rPr>
              <w:t>cellular division  purchased</w:t>
            </w:r>
          </w:p>
        </w:tc>
        <w:tc>
          <w:tcPr>
            <w:tcW w:w="142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approximately</w:t>
            </w:r>
          </w:p>
        </w:tc>
        <w:tc>
          <w:tcPr>
            <w:tcW w:w="2280" w:type="dxa"/>
            <w:vAlign w:val="bottom"/>
          </w:tcPr>
          <w:p>
            <w:pPr>
              <w:jc w:val="right"/>
              <w:ind w:right="1441"/>
              <w:spacing w:after="0"/>
              <w:rPr>
                <w:sz w:val="20"/>
                <w:szCs w:val="20"/>
                <w:color w:val="auto"/>
              </w:rPr>
            </w:pPr>
            <w:r>
              <w:rPr>
                <w:rFonts w:ascii="Courier New" w:cs="Courier New" w:eastAsia="Courier New" w:hAnsi="Courier New"/>
                <w:sz w:val="16"/>
                <w:szCs w:val="16"/>
                <w:color w:val="auto"/>
              </w:rPr>
              <w:t>$172.0</w:t>
            </w:r>
          </w:p>
        </w:tc>
      </w:tr>
      <w:tr>
        <w:trPr>
          <w:trHeight w:val="182"/>
        </w:trPr>
        <w:tc>
          <w:tcPr>
            <w:tcW w:w="4920" w:type="dxa"/>
            <w:vAlign w:val="bottom"/>
            <w:gridSpan w:val="5"/>
          </w:tcPr>
          <w:p>
            <w:pPr>
              <w:spacing w:after="0"/>
              <w:rPr>
                <w:sz w:val="20"/>
                <w:szCs w:val="20"/>
                <w:color w:val="auto"/>
              </w:rPr>
            </w:pPr>
            <w:r>
              <w:rPr>
                <w:rFonts w:ascii="Courier New" w:cs="Courier New" w:eastAsia="Courier New" w:hAnsi="Courier New"/>
                <w:sz w:val="16"/>
                <w:szCs w:val="16"/>
                <w:color w:val="auto"/>
                <w:w w:val="98"/>
              </w:rPr>
              <w:t>million of switching and cell site  equipment  which</w:t>
            </w:r>
          </w:p>
        </w:tc>
        <w:tc>
          <w:tcPr>
            <w:tcW w:w="3700" w:type="dxa"/>
            <w:vAlign w:val="bottom"/>
            <w:gridSpan w:val="3"/>
          </w:tcPr>
          <w:p>
            <w:pPr>
              <w:jc w:val="right"/>
              <w:ind w:right="1441"/>
              <w:spacing w:after="0"/>
              <w:rPr>
                <w:sz w:val="20"/>
                <w:szCs w:val="20"/>
                <w:color w:val="auto"/>
              </w:rPr>
            </w:pPr>
            <w:r>
              <w:rPr>
                <w:rFonts w:ascii="Courier New" w:cs="Courier New" w:eastAsia="Courier New" w:hAnsi="Courier New"/>
                <w:sz w:val="16"/>
                <w:szCs w:val="16"/>
                <w:color w:val="auto"/>
              </w:rPr>
              <w:t>replaced the existing</w:t>
            </w:r>
          </w:p>
        </w:tc>
      </w:tr>
      <w:tr>
        <w:trPr>
          <w:trHeight w:val="182"/>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rPr>
              <w:t>switching and cell site</w:t>
            </w:r>
          </w:p>
        </w:tc>
        <w:tc>
          <w:tcPr>
            <w:tcW w:w="142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6"/>
              </w:rPr>
              <w:t>equipment (the</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9"/>
              </w:rPr>
              <w:t>"Cellular</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Rebuild").</w:t>
            </w:r>
          </w:p>
        </w:tc>
        <w:tc>
          <w:tcPr>
            <w:tcW w:w="2600" w:type="dxa"/>
            <w:vAlign w:val="bottom"/>
            <w:gridSpan w:val="2"/>
          </w:tcPr>
          <w:p>
            <w:pPr>
              <w:jc w:val="right"/>
              <w:ind w:right="1441"/>
              <w:spacing w:after="0"/>
              <w:rPr>
                <w:sz w:val="20"/>
                <w:szCs w:val="20"/>
                <w:color w:val="auto"/>
              </w:rPr>
            </w:pPr>
            <w:r>
              <w:rPr>
                <w:rFonts w:ascii="Courier New" w:cs="Courier New" w:eastAsia="Courier New" w:hAnsi="Courier New"/>
                <w:sz w:val="16"/>
                <w:szCs w:val="16"/>
                <w:color w:val="auto"/>
              </w:rPr>
              <w:t>The Company</w:t>
            </w:r>
          </w:p>
        </w:tc>
      </w:tr>
      <w:tr>
        <w:trPr>
          <w:trHeight w:val="182"/>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substantially</w:t>
            </w:r>
          </w:p>
        </w:tc>
        <w:tc>
          <w:tcPr>
            <w:tcW w:w="7380" w:type="dxa"/>
            <w:vAlign w:val="bottom"/>
            <w:gridSpan w:val="7"/>
          </w:tcPr>
          <w:p>
            <w:pPr>
              <w:jc w:val="right"/>
              <w:ind w:right="1441"/>
              <w:spacing w:after="0"/>
              <w:rPr>
                <w:sz w:val="20"/>
                <w:szCs w:val="20"/>
                <w:color w:val="auto"/>
              </w:rPr>
            </w:pPr>
            <w:r>
              <w:rPr>
                <w:rFonts w:ascii="Courier New" w:cs="Courier New" w:eastAsia="Courier New" w:hAnsi="Courier New"/>
                <w:sz w:val="16"/>
                <w:szCs w:val="16"/>
                <w:color w:val="auto"/>
              </w:rPr>
              <w:t>completed the Cellular Rebuild during 1995. During the first</w:t>
            </w:r>
          </w:p>
        </w:tc>
      </w:tr>
      <w:tr>
        <w:trPr>
          <w:trHeight w:val="182"/>
        </w:trPr>
        <w:tc>
          <w:tcPr>
            <w:tcW w:w="8620" w:type="dxa"/>
            <w:vAlign w:val="bottom"/>
            <w:gridSpan w:val="8"/>
          </w:tcPr>
          <w:p>
            <w:pPr>
              <w:spacing w:after="0"/>
              <w:rPr>
                <w:sz w:val="20"/>
                <w:szCs w:val="20"/>
                <w:color w:val="auto"/>
              </w:rPr>
            </w:pPr>
            <w:r>
              <w:rPr>
                <w:rFonts w:ascii="Courier New" w:cs="Courier New" w:eastAsia="Courier New" w:hAnsi="Courier New"/>
                <w:sz w:val="16"/>
                <w:szCs w:val="16"/>
                <w:color w:val="auto"/>
              </w:rPr>
              <w:t>quarter  of 1995,  the  Company  charged  approximately  $110.0  million to</w:t>
            </w:r>
          </w:p>
        </w:tc>
      </w:tr>
      <w:tr>
        <w:trPr>
          <w:trHeight w:val="182"/>
        </w:trPr>
        <w:tc>
          <w:tcPr>
            <w:tcW w:w="124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7380" w:type="dxa"/>
            <w:vAlign w:val="bottom"/>
            <w:gridSpan w:val="7"/>
          </w:tcPr>
          <w:p>
            <w:pPr>
              <w:jc w:val="right"/>
              <w:ind w:right="1441"/>
              <w:spacing w:after="0"/>
              <w:rPr>
                <w:sz w:val="20"/>
                <w:szCs w:val="20"/>
                <w:color w:val="auto"/>
              </w:rPr>
            </w:pPr>
            <w:r>
              <w:rPr>
                <w:rFonts w:ascii="Courier New" w:cs="Courier New" w:eastAsia="Courier New" w:hAnsi="Courier New"/>
                <w:sz w:val="16"/>
                <w:szCs w:val="16"/>
                <w:color w:val="auto"/>
                <w:w w:val="99"/>
              </w:rPr>
              <w:t>expense which represented the difference between the net book</w:t>
            </w:r>
          </w:p>
        </w:tc>
      </w:tr>
      <w:tr>
        <w:trPr>
          <w:trHeight w:val="182"/>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rPr>
              <w:t>value of the equipment</w:t>
            </w:r>
          </w:p>
        </w:tc>
        <w:tc>
          <w:tcPr>
            <w:tcW w:w="6340" w:type="dxa"/>
            <w:vAlign w:val="bottom"/>
            <w:gridSpan w:val="6"/>
          </w:tcPr>
          <w:p>
            <w:pPr>
              <w:jc w:val="right"/>
              <w:ind w:right="1441"/>
              <w:spacing w:after="0"/>
              <w:rPr>
                <w:sz w:val="20"/>
                <w:szCs w:val="20"/>
                <w:color w:val="auto"/>
              </w:rPr>
            </w:pPr>
            <w:r>
              <w:rPr>
                <w:rFonts w:ascii="Courier New" w:cs="Courier New" w:eastAsia="Courier New" w:hAnsi="Courier New"/>
                <w:sz w:val="16"/>
                <w:szCs w:val="16"/>
                <w:color w:val="auto"/>
                <w:w w:val="98"/>
              </w:rPr>
              <w:t>replaced and the residual  value  realized upon its</w:t>
            </w:r>
          </w:p>
        </w:tc>
      </w:tr>
      <w:tr>
        <w:trPr>
          <w:trHeight w:val="182"/>
        </w:trPr>
        <w:tc>
          <w:tcPr>
            <w:tcW w:w="1240" w:type="dxa"/>
            <w:vAlign w:val="bottom"/>
          </w:tcPr>
          <w:p>
            <w:pPr>
              <w:spacing w:after="0"/>
              <w:rPr>
                <w:sz w:val="20"/>
                <w:szCs w:val="20"/>
                <w:color w:val="auto"/>
              </w:rPr>
            </w:pPr>
            <w:r>
              <w:rPr>
                <w:rFonts w:ascii="Courier New" w:cs="Courier New" w:eastAsia="Courier New" w:hAnsi="Courier New"/>
                <w:sz w:val="16"/>
                <w:szCs w:val="16"/>
                <w:color w:val="auto"/>
              </w:rPr>
              <w:t>disposal.</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64"/>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rPr>
              <w:t>Pro Forma Results</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2"/>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w w:val="98"/>
              </w:rPr>
              <w:t>The  following pro forma</w:t>
            </w:r>
          </w:p>
        </w:tc>
        <w:tc>
          <w:tcPr>
            <w:tcW w:w="14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information</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7"/>
              </w:rPr>
              <w:t>for the three</w:t>
            </w:r>
          </w:p>
        </w:tc>
        <w:tc>
          <w:tcPr>
            <w:tcW w:w="3700" w:type="dxa"/>
            <w:vAlign w:val="bottom"/>
            <w:gridSpan w:val="3"/>
          </w:tcPr>
          <w:p>
            <w:pPr>
              <w:jc w:val="right"/>
              <w:ind w:right="1441"/>
              <w:spacing w:after="0"/>
              <w:rPr>
                <w:sz w:val="20"/>
                <w:szCs w:val="20"/>
                <w:color w:val="auto"/>
              </w:rPr>
            </w:pPr>
            <w:r>
              <w:rPr>
                <w:rFonts w:ascii="Courier New" w:cs="Courier New" w:eastAsia="Courier New" w:hAnsi="Courier New"/>
                <w:sz w:val="16"/>
                <w:szCs w:val="16"/>
                <w:color w:val="auto"/>
              </w:rPr>
              <w:t>months ended March 31,</w:t>
            </w:r>
          </w:p>
        </w:tc>
      </w:tr>
      <w:tr>
        <w:trPr>
          <w:trHeight w:val="182"/>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1995 has been</w:t>
            </w:r>
          </w:p>
        </w:tc>
        <w:tc>
          <w:tcPr>
            <w:tcW w:w="246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presented as if the QVC</w:t>
            </w:r>
          </w:p>
        </w:tc>
        <w:tc>
          <w:tcPr>
            <w:tcW w:w="1220" w:type="dxa"/>
            <w:vAlign w:val="bottom"/>
          </w:tcPr>
          <w:p>
            <w:pPr>
              <w:jc w:val="center"/>
              <w:spacing w:after="0"/>
              <w:rPr>
                <w:sz w:val="20"/>
                <w:szCs w:val="20"/>
                <w:color w:val="auto"/>
              </w:rPr>
            </w:pPr>
            <w:r>
              <w:rPr>
                <w:rFonts w:ascii="Courier New" w:cs="Courier New" w:eastAsia="Courier New" w:hAnsi="Courier New"/>
                <w:sz w:val="16"/>
                <w:szCs w:val="16"/>
                <w:color w:val="auto"/>
                <w:w w:val="98"/>
              </w:rPr>
              <w:t>Acquisition</w:t>
            </w:r>
          </w:p>
        </w:tc>
        <w:tc>
          <w:tcPr>
            <w:tcW w:w="3700" w:type="dxa"/>
            <w:vAlign w:val="bottom"/>
            <w:gridSpan w:val="3"/>
          </w:tcPr>
          <w:p>
            <w:pPr>
              <w:jc w:val="right"/>
              <w:ind w:right="1441"/>
              <w:spacing w:after="0"/>
              <w:rPr>
                <w:sz w:val="20"/>
                <w:szCs w:val="20"/>
                <w:color w:val="auto"/>
              </w:rPr>
            </w:pPr>
            <w:r>
              <w:rPr>
                <w:rFonts w:ascii="Courier New" w:cs="Courier New" w:eastAsia="Courier New" w:hAnsi="Courier New"/>
                <w:sz w:val="16"/>
                <w:szCs w:val="16"/>
                <w:color w:val="auto"/>
              </w:rPr>
              <w:t>occurred on January 1,</w:t>
            </w:r>
          </w:p>
        </w:tc>
      </w:tr>
      <w:tr>
        <w:trPr>
          <w:trHeight w:val="182"/>
        </w:trPr>
        <w:tc>
          <w:tcPr>
            <w:tcW w:w="2980" w:type="dxa"/>
            <w:vAlign w:val="bottom"/>
            <w:gridSpan w:val="3"/>
          </w:tcPr>
          <w:p>
            <w:pPr>
              <w:spacing w:after="0"/>
              <w:rPr>
                <w:sz w:val="20"/>
                <w:szCs w:val="20"/>
                <w:color w:val="auto"/>
              </w:rPr>
            </w:pPr>
            <w:r>
              <w:rPr>
                <w:rFonts w:ascii="Courier New" w:cs="Courier New" w:eastAsia="Courier New" w:hAnsi="Courier New"/>
                <w:sz w:val="16"/>
                <w:szCs w:val="16"/>
                <w:color w:val="auto"/>
              </w:rPr>
              <w:t>1995. This unaudited pro forma</w:t>
            </w:r>
          </w:p>
        </w:tc>
        <w:tc>
          <w:tcPr>
            <w:tcW w:w="336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information is based on historical</w:t>
            </w:r>
          </w:p>
        </w:tc>
        <w:tc>
          <w:tcPr>
            <w:tcW w:w="2280" w:type="dxa"/>
            <w:vAlign w:val="bottom"/>
          </w:tcPr>
          <w:p>
            <w:pPr>
              <w:jc w:val="right"/>
              <w:ind w:right="1441"/>
              <w:spacing w:after="0"/>
              <w:rPr>
                <w:sz w:val="20"/>
                <w:szCs w:val="20"/>
                <w:color w:val="auto"/>
              </w:rPr>
            </w:pPr>
            <w:r>
              <w:rPr>
                <w:rFonts w:ascii="Courier New" w:cs="Courier New" w:eastAsia="Courier New" w:hAnsi="Courier New"/>
                <w:sz w:val="16"/>
                <w:szCs w:val="16"/>
                <w:color w:val="auto"/>
              </w:rPr>
              <w:t>results</w:t>
            </w:r>
          </w:p>
        </w:tc>
      </w:tr>
      <w:tr>
        <w:trPr>
          <w:trHeight w:val="182"/>
        </w:trPr>
        <w:tc>
          <w:tcPr>
            <w:tcW w:w="4920" w:type="dxa"/>
            <w:vAlign w:val="bottom"/>
            <w:gridSpan w:val="5"/>
          </w:tcPr>
          <w:p>
            <w:pPr>
              <w:spacing w:after="0"/>
              <w:rPr>
                <w:sz w:val="20"/>
                <w:szCs w:val="20"/>
                <w:color w:val="auto"/>
              </w:rPr>
            </w:pPr>
            <w:r>
              <w:rPr>
                <w:rFonts w:ascii="Courier New" w:cs="Courier New" w:eastAsia="Courier New" w:hAnsi="Courier New"/>
                <w:sz w:val="16"/>
                <w:szCs w:val="16"/>
                <w:color w:val="auto"/>
              </w:rPr>
              <w:t>of  operations,  adjusted for  acquisition  costs,</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7"/>
              </w:rPr>
              <w:t>and is not</w:t>
            </w:r>
          </w:p>
        </w:tc>
        <w:tc>
          <w:tcPr>
            <w:tcW w:w="2600" w:type="dxa"/>
            <w:vAlign w:val="bottom"/>
            <w:gridSpan w:val="2"/>
          </w:tcPr>
          <w:p>
            <w:pPr>
              <w:jc w:val="right"/>
              <w:ind w:right="1441"/>
              <w:spacing w:after="0"/>
              <w:rPr>
                <w:sz w:val="20"/>
                <w:szCs w:val="20"/>
                <w:color w:val="auto"/>
              </w:rPr>
            </w:pPr>
            <w:r>
              <w:rPr>
                <w:rFonts w:ascii="Courier New" w:cs="Courier New" w:eastAsia="Courier New" w:hAnsi="Courier New"/>
                <w:sz w:val="16"/>
                <w:szCs w:val="16"/>
                <w:color w:val="auto"/>
              </w:rPr>
              <w:t>necessarily</w:t>
            </w:r>
          </w:p>
        </w:tc>
      </w:tr>
      <w:tr>
        <w:trPr>
          <w:trHeight w:val="182"/>
        </w:trPr>
        <w:tc>
          <w:tcPr>
            <w:tcW w:w="8620" w:type="dxa"/>
            <w:vAlign w:val="bottom"/>
            <w:gridSpan w:val="8"/>
          </w:tcPr>
          <w:p>
            <w:pPr>
              <w:spacing w:after="0"/>
              <w:rPr>
                <w:sz w:val="20"/>
                <w:szCs w:val="20"/>
                <w:color w:val="auto"/>
              </w:rPr>
            </w:pPr>
            <w:r>
              <w:rPr>
                <w:rFonts w:ascii="Courier New" w:cs="Courier New" w:eastAsia="Courier New" w:hAnsi="Courier New"/>
                <w:sz w:val="16"/>
                <w:szCs w:val="16"/>
                <w:color w:val="auto"/>
              </w:rPr>
              <w:t>indicative of what the results would have been had the Company operated QVC</w:t>
            </w:r>
          </w:p>
        </w:tc>
      </w:tr>
      <w:tr>
        <w:trPr>
          <w:trHeight w:val="182"/>
        </w:trPr>
        <w:tc>
          <w:tcPr>
            <w:tcW w:w="2280" w:type="dxa"/>
            <w:vAlign w:val="bottom"/>
            <w:gridSpan w:val="2"/>
          </w:tcPr>
          <w:p>
            <w:pPr>
              <w:spacing w:after="0"/>
              <w:rPr>
                <w:sz w:val="20"/>
                <w:szCs w:val="20"/>
                <w:color w:val="auto"/>
              </w:rPr>
            </w:pPr>
            <w:r>
              <w:rPr>
                <w:rFonts w:ascii="Courier New" w:cs="Courier New" w:eastAsia="Courier New" w:hAnsi="Courier New"/>
                <w:sz w:val="16"/>
                <w:szCs w:val="16"/>
                <w:color w:val="auto"/>
              </w:rPr>
              <w:t>since such date.</w:t>
            </w: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728"/>
        </w:trPr>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(Dollars in millions, except per share data)</w:t>
            </w:r>
          </w:p>
        </w:tc>
      </w:tr>
      <w:tr>
        <w:trPr>
          <w:trHeight w:val="182"/>
        </w:trPr>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700" w:type="dxa"/>
            <w:vAlign w:val="bottom"/>
            <w:gridSpan w:val="3"/>
          </w:tcPr>
          <w:p>
            <w:pPr>
              <w:jc w:val="right"/>
              <w:ind w:right="1061"/>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1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700" w:type="dxa"/>
            <w:vAlign w:val="bottom"/>
            <w:gridSpan w:val="3"/>
          </w:tcPr>
          <w:p>
            <w:pPr>
              <w:jc w:val="right"/>
              <w:ind w:right="961"/>
              <w:spacing w:after="0"/>
              <w:rPr>
                <w:sz w:val="20"/>
                <w:szCs w:val="20"/>
                <w:color w:val="auto"/>
              </w:rPr>
            </w:pPr>
            <w:r>
              <w:rPr>
                <w:rFonts w:ascii="Courier New" w:cs="Courier New" w:eastAsia="Courier New" w:hAnsi="Courier New"/>
                <w:sz w:val="16"/>
                <w:szCs w:val="16"/>
                <w:color w:val="auto"/>
              </w:rPr>
              <w:t>March 31, 1995 (1)</w:t>
            </w:r>
          </w:p>
        </w:tc>
      </w:tr>
      <w:tr>
        <w:trPr>
          <w:trHeight w:val="546"/>
        </w:trPr>
        <w:tc>
          <w:tcPr>
            <w:tcW w:w="1240" w:type="dxa"/>
            <w:vAlign w:val="bottom"/>
          </w:tcPr>
          <w:p>
            <w:pPr>
              <w:ind w:left="480"/>
              <w:spacing w:after="0"/>
              <w:rPr>
                <w:sz w:val="20"/>
                <w:szCs w:val="20"/>
                <w:color w:val="auto"/>
              </w:rPr>
            </w:pPr>
            <w:r>
              <w:rPr>
                <w:rFonts w:ascii="Courier New" w:cs="Courier New" w:eastAsia="Courier New" w:hAnsi="Courier New"/>
                <w:sz w:val="16"/>
                <w:szCs w:val="16"/>
                <w:color w:val="auto"/>
                <w:w w:val="96"/>
              </w:rPr>
              <w:t>Revenues</w:t>
            </w:r>
          </w:p>
        </w:tc>
        <w:tc>
          <w:tcPr>
            <w:tcW w:w="1740" w:type="dxa"/>
            <w:vAlign w:val="bottom"/>
            <w:gridSpan w:val="2"/>
          </w:tcPr>
          <w:p>
            <w:pPr>
              <w:spacing w:after="0"/>
              <w:rPr>
                <w:sz w:val="20"/>
                <w:szCs w:val="20"/>
                <w:color w:val="auto"/>
              </w:rPr>
            </w:pPr>
            <w:r>
              <w:rPr>
                <w:rFonts w:ascii="Courier New" w:cs="Courier New" w:eastAsia="Courier New" w:hAnsi="Courier New"/>
                <w:sz w:val="8"/>
                <w:szCs w:val="8"/>
                <w:color w:val="auto"/>
                <w:w w:val="76"/>
              </w:rPr>
              <w:t>...............................................</w:t>
            </w: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jc w:val="right"/>
              <w:ind w:right="1541"/>
              <w:spacing w:after="0"/>
              <w:rPr>
                <w:sz w:val="20"/>
                <w:szCs w:val="20"/>
                <w:color w:val="auto"/>
              </w:rPr>
            </w:pPr>
            <w:r>
              <w:rPr>
                <w:rFonts w:ascii="Courier New" w:cs="Courier New" w:eastAsia="Courier New" w:hAnsi="Courier New"/>
                <w:sz w:val="16"/>
                <w:szCs w:val="16"/>
                <w:color w:val="auto"/>
                <w:w w:val="95"/>
              </w:rPr>
              <w:t>$ 794.0</w:t>
            </w:r>
          </w:p>
        </w:tc>
      </w:tr>
      <w:tr>
        <w:trPr>
          <w:trHeight w:val="364"/>
        </w:trPr>
        <w:tc>
          <w:tcPr>
            <w:tcW w:w="1240" w:type="dxa"/>
            <w:vAlign w:val="bottom"/>
          </w:tcPr>
          <w:p>
            <w:pPr>
              <w:ind w:left="480"/>
              <w:spacing w:after="0"/>
              <w:rPr>
                <w:sz w:val="20"/>
                <w:szCs w:val="20"/>
                <w:color w:val="auto"/>
              </w:rPr>
            </w:pPr>
            <w:r>
              <w:rPr>
                <w:rFonts w:ascii="Courier New" w:cs="Courier New" w:eastAsia="Courier New" w:hAnsi="Courier New"/>
                <w:sz w:val="16"/>
                <w:szCs w:val="16"/>
                <w:color w:val="auto"/>
                <w:w w:val="96"/>
              </w:rPr>
              <w:t>Net loss</w:t>
            </w:r>
          </w:p>
        </w:tc>
        <w:tc>
          <w:tcPr>
            <w:tcW w:w="1740" w:type="dxa"/>
            <w:vAlign w:val="bottom"/>
            <w:gridSpan w:val="2"/>
          </w:tcPr>
          <w:p>
            <w:pPr>
              <w:spacing w:after="0"/>
              <w:rPr>
                <w:sz w:val="20"/>
                <w:szCs w:val="20"/>
                <w:color w:val="auto"/>
              </w:rPr>
            </w:pPr>
            <w:r>
              <w:rPr>
                <w:rFonts w:ascii="Courier New" w:cs="Courier New" w:eastAsia="Courier New" w:hAnsi="Courier New"/>
                <w:sz w:val="8"/>
                <w:szCs w:val="8"/>
                <w:color w:val="auto"/>
                <w:w w:val="76"/>
              </w:rPr>
              <w:t>...............................................</w:t>
            </w: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jc w:val="right"/>
              <w:ind w:right="1441"/>
              <w:spacing w:after="0"/>
              <w:rPr>
                <w:sz w:val="20"/>
                <w:szCs w:val="20"/>
                <w:color w:val="auto"/>
              </w:rPr>
            </w:pPr>
            <w:r>
              <w:rPr>
                <w:rFonts w:ascii="Courier New" w:cs="Courier New" w:eastAsia="Courier New" w:hAnsi="Courier New"/>
                <w:sz w:val="16"/>
                <w:szCs w:val="16"/>
                <w:color w:val="auto"/>
              </w:rPr>
              <w:t>(5.6)</w:t>
            </w:r>
          </w:p>
        </w:tc>
      </w:tr>
      <w:tr>
        <w:trPr>
          <w:trHeight w:val="364"/>
        </w:trPr>
        <w:tc>
          <w:tcPr>
            <w:tcW w:w="2980" w:type="dxa"/>
            <w:vAlign w:val="bottom"/>
            <w:gridSpan w:val="3"/>
          </w:tcPr>
          <w:p>
            <w:pPr>
              <w:ind w:left="480"/>
              <w:spacing w:after="0"/>
              <w:rPr>
                <w:sz w:val="20"/>
                <w:szCs w:val="20"/>
                <w:color w:val="auto"/>
              </w:rPr>
            </w:pPr>
            <w:r>
              <w:rPr>
                <w:rFonts w:ascii="Courier New" w:cs="Courier New" w:eastAsia="Courier New" w:hAnsi="Courier New"/>
                <w:sz w:val="10"/>
                <w:szCs w:val="10"/>
                <w:color w:val="auto"/>
                <w:w w:val="75"/>
              </w:rPr>
              <w:t>Net loss per share.....................................</w:t>
            </w: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jc w:val="right"/>
              <w:ind w:right="1441"/>
              <w:spacing w:after="0"/>
              <w:rPr>
                <w:sz w:val="20"/>
                <w:szCs w:val="20"/>
                <w:color w:val="auto"/>
              </w:rPr>
            </w:pPr>
            <w:r>
              <w:rPr>
                <w:rFonts w:ascii="Courier New" w:cs="Courier New" w:eastAsia="Courier New" w:hAnsi="Courier New"/>
                <w:sz w:val="16"/>
                <w:szCs w:val="16"/>
                <w:color w:val="auto"/>
              </w:rPr>
              <w:t>(.02)</w:t>
            </w:r>
          </w:p>
        </w:tc>
      </w:tr>
    </w:tbl>
    <w:p>
      <w:pPr>
        <w:spacing w:after="0" w:line="368" w:lineRule="exact"/>
        <w:rPr>
          <w:sz w:val="20"/>
          <w:szCs w:val="20"/>
          <w:color w:val="auto"/>
        </w:rPr>
      </w:pPr>
    </w:p>
    <w:p>
      <w:pPr>
        <w:jc w:val="both"/>
        <w:ind w:left="480" w:right="2659" w:hanging="470"/>
        <w:spacing w:after="0" w:line="238" w:lineRule="auto"/>
        <w:tabs>
          <w:tab w:leader="none" w:pos="4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April 1, 1995, QVC commenced consolidating its United Kingdom ("UK") operations. Pro forma revenues presented above do not reflect revenues relating to QVC's UK operations.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759"/>
          </w:cols>
          <w:pgMar w:left="700" w:top="477" w:right="1440" w:bottom="1440" w:gutter="0" w:footer="0" w:header="0"/>
        </w:sectPr>
      </w:pPr>
    </w:p>
    <w:bookmarkStart w:id="9" w:name="page10"/>
    <w:bookmarkEnd w:id="9"/>
    <w:p>
      <w:pPr>
        <w:ind w:left="2083"/>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QUARTER ENDED MARCH 31, 1996</w:t>
      </w:r>
    </w:p>
    <w:p>
      <w:pPr>
        <w:spacing w:after="0" w:line="1"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(Unaudited)</w:t>
      </w:r>
    </w:p>
    <w:p>
      <w:pPr>
        <w:spacing w:after="0" w:line="183" w:lineRule="exact"/>
        <w:rPr>
          <w:sz w:val="20"/>
          <w:szCs w:val="20"/>
          <w:color w:val="auto"/>
        </w:rPr>
      </w:pPr>
    </w:p>
    <w:p>
      <w:pPr>
        <w:ind w:left="463" w:hanging="463"/>
        <w:spacing w:after="0"/>
        <w:tabs>
          <w:tab w:leader="none" w:pos="4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w:t>
      </w:r>
    </w:p>
    <w:p>
      <w:pPr>
        <w:spacing w:after="0" w:line="182" w:lineRule="exact"/>
        <w:rPr>
          <w:rFonts w:ascii="Courier New" w:cs="Courier New" w:eastAsia="Courier New" w:hAnsi="Courier New"/>
          <w:sz w:val="16"/>
          <w:szCs w:val="16"/>
          <w:color w:val="auto"/>
        </w:rPr>
      </w:pPr>
    </w:p>
    <w:p>
      <w:pPr>
        <w:ind w:left="46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 Equity Method</w:t>
      </w:r>
    </w:p>
    <w:p>
      <w:pPr>
        <w:spacing w:after="0" w:line="4" w:lineRule="exact"/>
        <w:rPr>
          <w:rFonts w:ascii="Courier New" w:cs="Courier New" w:eastAsia="Courier New" w:hAnsi="Courier New"/>
          <w:sz w:val="16"/>
          <w:szCs w:val="16"/>
          <w:color w:val="auto"/>
        </w:rPr>
      </w:pPr>
    </w:p>
    <w:p>
      <w:pPr>
        <w:ind w:left="463" w:right="3320"/>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Summarized financial information for equity method investments is as follows (dollars in thousands):</w:t>
      </w:r>
    </w:p>
    <w:p>
      <w:pPr>
        <w:spacing w:after="0" w:line="366" w:lineRule="exact"/>
        <w:rPr>
          <w:sz w:val="20"/>
          <w:szCs w:val="20"/>
          <w:color w:val="auto"/>
        </w:rPr>
      </w:pPr>
    </w:p>
    <w:tbl>
      <w:tblPr>
        <w:tblLayout w:type="fixed"/>
        <w:tblInd w:w="463" w:type="dxa"/>
        <w:tblCellMar>
          <w:top w:w="0" w:type="dxa"/>
          <w:left w:w="0" w:type="dxa"/>
          <w:bottom w:w="0" w:type="dxa"/>
          <w:right w:w="0" w:type="dxa"/>
        </w:tblCellMar>
      </w:tblPr>
      <w:tr>
        <w:trPr>
          <w:trHeight w:val="181"/>
        </w:trPr>
        <w:tc>
          <w:tcPr>
            <w:tcW w:w="492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6"/>
                <w:szCs w:val="16"/>
                <w:color w:val="auto"/>
                <w:w w:val="98"/>
              </w:rPr>
              <w:t>Three Months</w:t>
            </w:r>
          </w:p>
        </w:tc>
        <w:tc>
          <w:tcPr>
            <w:tcW w:w="194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7"/>
              </w:rPr>
              <w:t>Three Months</w:t>
            </w:r>
          </w:p>
        </w:tc>
        <w:tc>
          <w:tcPr>
            <w:tcW w:w="1420" w:type="dxa"/>
            <w:vAlign w:val="bottom"/>
          </w:tcPr>
          <w:p>
            <w:pPr>
              <w:spacing w:after="0"/>
              <w:rPr>
                <w:sz w:val="15"/>
                <w:szCs w:val="15"/>
                <w:color w:val="auto"/>
              </w:rPr>
            </w:pPr>
          </w:p>
        </w:tc>
      </w:tr>
      <w:tr>
        <w:trPr>
          <w:trHeight w:val="182"/>
        </w:trPr>
        <w:tc>
          <w:tcPr>
            <w:tcW w:w="492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6"/>
                <w:szCs w:val="16"/>
                <w:color w:val="auto"/>
                <w:w w:val="99"/>
              </w:rPr>
              <w:t>Ended</w:t>
            </w:r>
          </w:p>
        </w:tc>
        <w:tc>
          <w:tcPr>
            <w:tcW w:w="19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Ended</w:t>
            </w:r>
          </w:p>
        </w:tc>
        <w:tc>
          <w:tcPr>
            <w:tcW w:w="1420" w:type="dxa"/>
            <w:vAlign w:val="bottom"/>
          </w:tcPr>
          <w:p>
            <w:pPr>
              <w:spacing w:after="0"/>
              <w:rPr>
                <w:sz w:val="15"/>
                <w:szCs w:val="15"/>
                <w:color w:val="auto"/>
              </w:rPr>
            </w:pPr>
          </w:p>
        </w:tc>
      </w:tr>
      <w:tr>
        <w:trPr>
          <w:trHeight w:val="182"/>
        </w:trPr>
        <w:tc>
          <w:tcPr>
            <w:tcW w:w="492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6"/>
                <w:szCs w:val="16"/>
                <w:color w:val="auto"/>
                <w:w w:val="97"/>
              </w:rPr>
              <w:t>December 31,1995</w:t>
            </w:r>
          </w:p>
        </w:tc>
        <w:tc>
          <w:tcPr>
            <w:tcW w:w="194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March 31, 1996</w:t>
            </w:r>
          </w:p>
        </w:tc>
        <w:tc>
          <w:tcPr>
            <w:tcW w:w="1420" w:type="dxa"/>
            <w:vAlign w:val="bottom"/>
          </w:tcPr>
          <w:p>
            <w:pPr>
              <w:spacing w:after="0"/>
              <w:rPr>
                <w:sz w:val="15"/>
                <w:szCs w:val="15"/>
                <w:color w:val="auto"/>
              </w:rPr>
            </w:pPr>
          </w:p>
        </w:tc>
      </w:tr>
      <w:tr>
        <w:trPr>
          <w:trHeight w:val="182"/>
        </w:trPr>
        <w:tc>
          <w:tcPr>
            <w:tcW w:w="492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6"/>
                <w:szCs w:val="16"/>
                <w:color w:val="auto"/>
                <w:w w:val="98"/>
              </w:rPr>
              <w:t>Sprint Spectrum (1)</w:t>
            </w:r>
          </w:p>
        </w:tc>
        <w:tc>
          <w:tcPr>
            <w:tcW w:w="19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Other</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Combined</w:t>
            </w:r>
          </w:p>
        </w:tc>
      </w:tr>
      <w:tr>
        <w:trPr>
          <w:trHeight w:val="364"/>
        </w:trPr>
        <w:tc>
          <w:tcPr>
            <w:tcW w:w="4920" w:type="dxa"/>
            <w:vAlign w:val="bottom"/>
          </w:tcPr>
          <w:p>
            <w:pPr>
              <w:spacing w:after="0"/>
              <w:rPr>
                <w:sz w:val="20"/>
                <w:szCs w:val="20"/>
                <w:color w:val="auto"/>
              </w:rPr>
            </w:pPr>
            <w:r>
              <w:rPr>
                <w:rFonts w:ascii="Courier New" w:cs="Courier New" w:eastAsia="Courier New" w:hAnsi="Courier New"/>
                <w:sz w:val="16"/>
                <w:szCs w:val="16"/>
                <w:color w:val="auto"/>
              </w:rPr>
              <w:t>Combined Results of Operations</w:t>
            </w:r>
          </w:p>
        </w:tc>
        <w:tc>
          <w:tcPr>
            <w:tcW w:w="2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2"/>
        </w:trPr>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Revenues, net...............................</w:t>
            </w:r>
          </w:p>
        </w:tc>
        <w:tc>
          <w:tcPr>
            <w:tcW w:w="2140" w:type="dxa"/>
            <w:vAlign w:val="bottom"/>
          </w:tcPr>
          <w:p>
            <w:pPr>
              <w:jc w:val="right"/>
              <w:ind w:right="140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$221,119</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$221,119</w:t>
            </w:r>
          </w:p>
        </w:tc>
      </w:tr>
      <w:tr>
        <w:trPr>
          <w:trHeight w:val="182"/>
        </w:trPr>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21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50</w:t>
            </w:r>
          </w:p>
        </w:tc>
        <w:tc>
          <w:tcPr>
            <w:tcW w:w="19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46,747</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46,797</w:t>
            </w:r>
          </w:p>
        </w:tc>
      </w:tr>
      <w:tr>
        <w:trPr>
          <w:trHeight w:val="182"/>
        </w:trPr>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Operating loss..............................</w:t>
            </w:r>
          </w:p>
        </w:tc>
        <w:tc>
          <w:tcPr>
            <w:tcW w:w="21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(44,779)</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(40,824)</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(85,603)</w:t>
            </w:r>
          </w:p>
        </w:tc>
      </w:tr>
      <w:tr>
        <w:trPr>
          <w:trHeight w:val="182"/>
        </w:trPr>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Net loss as reported</w:t>
            </w:r>
          </w:p>
        </w:tc>
        <w:tc>
          <w:tcPr>
            <w:tcW w:w="21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9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by affiliates............................</w:t>
            </w:r>
          </w:p>
        </w:tc>
        <w:tc>
          <w:tcPr>
            <w:tcW w:w="21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(85,313)</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(68,270)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(153,583)</w:t>
            </w:r>
          </w:p>
        </w:tc>
      </w:tr>
      <w:tr>
        <w:trPr>
          <w:trHeight w:val="364"/>
        </w:trPr>
        <w:tc>
          <w:tcPr>
            <w:tcW w:w="4920" w:type="dxa"/>
            <w:vAlign w:val="bottom"/>
          </w:tcPr>
          <w:p>
            <w:pPr>
              <w:spacing w:after="0"/>
              <w:rPr>
                <w:sz w:val="20"/>
                <w:szCs w:val="20"/>
                <w:color w:val="auto"/>
              </w:rPr>
            </w:pPr>
            <w:r>
              <w:rPr>
                <w:rFonts w:ascii="Courier New" w:cs="Courier New" w:eastAsia="Courier New" w:hAnsi="Courier New"/>
                <w:sz w:val="16"/>
                <w:szCs w:val="16"/>
                <w:color w:val="auto"/>
              </w:rPr>
              <w:t>Company's Equity in Net Loss</w:t>
            </w:r>
          </w:p>
        </w:tc>
        <w:tc>
          <w:tcPr>
            <w:tcW w:w="2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2"/>
        </w:trPr>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Equity in current period net loss</w:t>
            </w:r>
          </w:p>
        </w:tc>
        <w:tc>
          <w:tcPr>
            <w:tcW w:w="21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($12,797)</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($19,950)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($32,747)</w:t>
            </w:r>
          </w:p>
        </w:tc>
      </w:tr>
      <w:tr>
        <w:trPr>
          <w:trHeight w:val="182"/>
        </w:trPr>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Amortization expense (3)....................</w:t>
            </w:r>
          </w:p>
        </w:tc>
        <w:tc>
          <w:tcPr>
            <w:tcW w:w="2140" w:type="dxa"/>
            <w:vAlign w:val="bottom"/>
          </w:tcPr>
          <w:p>
            <w:pPr>
              <w:spacing w:after="0"/>
              <w:rPr>
                <w:sz w:val="15"/>
                <w:szCs w:val="15"/>
                <w:color w:val="auto"/>
              </w:rPr>
            </w:pP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(1,755)</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(1,755)</w:t>
            </w:r>
          </w:p>
        </w:tc>
      </w:tr>
      <w:tr>
        <w:trPr>
          <w:trHeight w:val="182"/>
        </w:trPr>
        <w:tc>
          <w:tcPr>
            <w:tcW w:w="4920" w:type="dxa"/>
            <w:vAlign w:val="bottom"/>
          </w:tcPr>
          <w:p>
            <w:pPr>
              <w:spacing w:after="0"/>
              <w:rPr>
                <w:sz w:val="15"/>
                <w:szCs w:val="15"/>
                <w:color w:val="auto"/>
              </w:rPr>
            </w:pPr>
          </w:p>
        </w:tc>
        <w:tc>
          <w:tcPr>
            <w:tcW w:w="21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9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Total equity in net loss..................</w:t>
            </w:r>
          </w:p>
        </w:tc>
        <w:tc>
          <w:tcPr>
            <w:tcW w:w="214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($12,797)</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($21,705)</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($34,502)</w:t>
            </w:r>
          </w:p>
        </w:tc>
      </w:tr>
      <w:tr>
        <w:trPr>
          <w:trHeight w:val="182"/>
        </w:trPr>
        <w:tc>
          <w:tcPr>
            <w:tcW w:w="4920" w:type="dxa"/>
            <w:vAlign w:val="bottom"/>
          </w:tcPr>
          <w:p>
            <w:pPr>
              <w:spacing w:after="0"/>
              <w:rPr>
                <w:sz w:val="15"/>
                <w:szCs w:val="15"/>
                <w:color w:val="auto"/>
              </w:rPr>
            </w:pPr>
          </w:p>
        </w:tc>
        <w:tc>
          <w:tcPr>
            <w:tcW w:w="21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909"/>
        </w:trPr>
        <w:tc>
          <w:tcPr>
            <w:tcW w:w="492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6"/>
                <w:szCs w:val="16"/>
                <w:color w:val="auto"/>
                <w:w w:val="98"/>
              </w:rPr>
              <w:t>December 31, 1995</w:t>
            </w:r>
          </w:p>
        </w:tc>
        <w:tc>
          <w:tcPr>
            <w:tcW w:w="194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March 31, 1996</w:t>
            </w:r>
          </w:p>
        </w:tc>
        <w:tc>
          <w:tcPr>
            <w:tcW w:w="1420" w:type="dxa"/>
            <w:vAlign w:val="bottom"/>
          </w:tcPr>
          <w:p>
            <w:pPr>
              <w:spacing w:after="0"/>
              <w:rPr>
                <w:sz w:val="24"/>
                <w:szCs w:val="24"/>
                <w:color w:val="auto"/>
              </w:rPr>
            </w:pPr>
          </w:p>
        </w:tc>
      </w:tr>
      <w:tr>
        <w:trPr>
          <w:trHeight w:val="182"/>
        </w:trPr>
        <w:tc>
          <w:tcPr>
            <w:tcW w:w="492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6"/>
                <w:szCs w:val="16"/>
                <w:color w:val="auto"/>
                <w:w w:val="98"/>
              </w:rPr>
              <w:t>Sprint Spectrum (1)</w:t>
            </w:r>
          </w:p>
        </w:tc>
        <w:tc>
          <w:tcPr>
            <w:tcW w:w="19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Other</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Combined</w:t>
            </w:r>
          </w:p>
        </w:tc>
      </w:tr>
      <w:tr>
        <w:trPr>
          <w:trHeight w:val="364"/>
        </w:trPr>
        <w:tc>
          <w:tcPr>
            <w:tcW w:w="4920" w:type="dxa"/>
            <w:vAlign w:val="bottom"/>
          </w:tcPr>
          <w:p>
            <w:pPr>
              <w:spacing w:after="0"/>
              <w:rPr>
                <w:sz w:val="20"/>
                <w:szCs w:val="20"/>
                <w:color w:val="auto"/>
              </w:rPr>
            </w:pPr>
            <w:r>
              <w:rPr>
                <w:rFonts w:ascii="Courier New" w:cs="Courier New" w:eastAsia="Courier New" w:hAnsi="Courier New"/>
                <w:sz w:val="16"/>
                <w:szCs w:val="16"/>
                <w:color w:val="auto"/>
              </w:rPr>
              <w:t>Combined Financial Position</w:t>
            </w:r>
          </w:p>
        </w:tc>
        <w:tc>
          <w:tcPr>
            <w:tcW w:w="2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2"/>
        </w:trPr>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Current assets..................................</w:t>
            </w:r>
          </w:p>
        </w:tc>
        <w:tc>
          <w:tcPr>
            <w:tcW w:w="21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$1,651</w:t>
            </w:r>
          </w:p>
        </w:tc>
        <w:tc>
          <w:tcPr>
            <w:tcW w:w="19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$444,109</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$445,760</w:t>
            </w:r>
          </w:p>
        </w:tc>
      </w:tr>
      <w:tr>
        <w:trPr>
          <w:trHeight w:val="182"/>
        </w:trPr>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Noncurrent assets...............................</w:t>
            </w:r>
          </w:p>
        </w:tc>
        <w:tc>
          <w:tcPr>
            <w:tcW w:w="21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2,253,451</w:t>
            </w:r>
          </w:p>
        </w:tc>
        <w:tc>
          <w:tcPr>
            <w:tcW w:w="19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1,956,823</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4,210,274</w:t>
            </w:r>
          </w:p>
        </w:tc>
      </w:tr>
      <w:tr>
        <w:trPr>
          <w:trHeight w:val="182"/>
        </w:trPr>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Current liabilities.............................</w:t>
            </w:r>
          </w:p>
        </w:tc>
        <w:tc>
          <w:tcPr>
            <w:tcW w:w="21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53,104</w:t>
            </w:r>
          </w:p>
        </w:tc>
        <w:tc>
          <w:tcPr>
            <w:tcW w:w="19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268,749</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321,853</w:t>
            </w:r>
          </w:p>
        </w:tc>
      </w:tr>
      <w:tr>
        <w:trPr>
          <w:trHeight w:val="182"/>
        </w:trPr>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Noncurrent liabilities..........................</w:t>
            </w:r>
          </w:p>
        </w:tc>
        <w:tc>
          <w:tcPr>
            <w:tcW w:w="2140" w:type="dxa"/>
            <w:vAlign w:val="bottom"/>
          </w:tcPr>
          <w:p>
            <w:pPr>
              <w:spacing w:after="0"/>
              <w:rPr>
                <w:sz w:val="15"/>
                <w:szCs w:val="15"/>
                <w:color w:val="auto"/>
              </w:rPr>
            </w:pPr>
          </w:p>
        </w:tc>
        <w:tc>
          <w:tcPr>
            <w:tcW w:w="19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1,627,776</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1,627,776</w:t>
            </w:r>
          </w:p>
        </w:tc>
      </w:tr>
      <w:tr>
        <w:trPr>
          <w:trHeight w:val="909"/>
        </w:trPr>
        <w:tc>
          <w:tcPr>
            <w:tcW w:w="492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6"/>
                <w:szCs w:val="16"/>
                <w:color w:val="auto"/>
                <w:w w:val="98"/>
              </w:rPr>
              <w:t>Three Months</w:t>
            </w:r>
          </w:p>
        </w:tc>
        <w:tc>
          <w:tcPr>
            <w:tcW w:w="194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7"/>
              </w:rPr>
              <w:t>Three Months</w:t>
            </w:r>
          </w:p>
        </w:tc>
        <w:tc>
          <w:tcPr>
            <w:tcW w:w="1420" w:type="dxa"/>
            <w:vAlign w:val="bottom"/>
          </w:tcPr>
          <w:p>
            <w:pPr>
              <w:spacing w:after="0"/>
              <w:rPr>
                <w:sz w:val="24"/>
                <w:szCs w:val="24"/>
                <w:color w:val="auto"/>
              </w:rPr>
            </w:pPr>
          </w:p>
        </w:tc>
      </w:tr>
      <w:tr>
        <w:trPr>
          <w:trHeight w:val="182"/>
        </w:trPr>
        <w:tc>
          <w:tcPr>
            <w:tcW w:w="492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6"/>
                <w:szCs w:val="16"/>
                <w:color w:val="auto"/>
                <w:w w:val="99"/>
              </w:rPr>
              <w:t>Ended</w:t>
            </w:r>
          </w:p>
        </w:tc>
        <w:tc>
          <w:tcPr>
            <w:tcW w:w="19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Ended</w:t>
            </w:r>
          </w:p>
        </w:tc>
        <w:tc>
          <w:tcPr>
            <w:tcW w:w="1420" w:type="dxa"/>
            <w:vAlign w:val="bottom"/>
          </w:tcPr>
          <w:p>
            <w:pPr>
              <w:spacing w:after="0"/>
              <w:rPr>
                <w:sz w:val="15"/>
                <w:szCs w:val="15"/>
                <w:color w:val="auto"/>
              </w:rPr>
            </w:pPr>
          </w:p>
        </w:tc>
      </w:tr>
      <w:tr>
        <w:trPr>
          <w:trHeight w:val="182"/>
        </w:trPr>
        <w:tc>
          <w:tcPr>
            <w:tcW w:w="492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6"/>
                <w:szCs w:val="16"/>
                <w:color w:val="auto"/>
                <w:w w:val="98"/>
              </w:rPr>
              <w:t>January 31,1995</w:t>
            </w:r>
          </w:p>
        </w:tc>
        <w:tc>
          <w:tcPr>
            <w:tcW w:w="1940" w:type="dxa"/>
            <w:vAlign w:val="bottom"/>
          </w:tcPr>
          <w:p>
            <w:pPr>
              <w:jc w:val="center"/>
              <w:ind w:right="261"/>
              <w:spacing w:after="0"/>
              <w:rPr>
                <w:sz w:val="20"/>
                <w:szCs w:val="20"/>
                <w:color w:val="auto"/>
              </w:rPr>
            </w:pPr>
            <w:r>
              <w:rPr>
                <w:rFonts w:ascii="Courier New" w:cs="Courier New" w:eastAsia="Courier New" w:hAnsi="Courier New"/>
                <w:sz w:val="16"/>
                <w:szCs w:val="16"/>
                <w:color w:val="auto"/>
                <w:w w:val="98"/>
              </w:rPr>
              <w:t>March 31, 1995</w:t>
            </w:r>
          </w:p>
        </w:tc>
        <w:tc>
          <w:tcPr>
            <w:tcW w:w="1420" w:type="dxa"/>
            <w:vAlign w:val="bottom"/>
          </w:tcPr>
          <w:p>
            <w:pPr>
              <w:spacing w:after="0"/>
              <w:rPr>
                <w:sz w:val="15"/>
                <w:szCs w:val="15"/>
                <w:color w:val="auto"/>
              </w:rPr>
            </w:pPr>
          </w:p>
        </w:tc>
      </w:tr>
      <w:tr>
        <w:trPr>
          <w:trHeight w:val="182"/>
        </w:trPr>
        <w:tc>
          <w:tcPr>
            <w:tcW w:w="492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Courier New" w:cs="Courier New" w:eastAsia="Courier New" w:hAnsi="Courier New"/>
                <w:sz w:val="16"/>
                <w:szCs w:val="16"/>
                <w:color w:val="auto"/>
                <w:w w:val="98"/>
              </w:rPr>
              <w:t>QVC (2)</w:t>
            </w:r>
          </w:p>
        </w:tc>
        <w:tc>
          <w:tcPr>
            <w:tcW w:w="19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Other</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Combined</w:t>
            </w:r>
          </w:p>
        </w:tc>
      </w:tr>
      <w:tr>
        <w:trPr>
          <w:trHeight w:val="364"/>
        </w:trPr>
        <w:tc>
          <w:tcPr>
            <w:tcW w:w="4920" w:type="dxa"/>
            <w:vAlign w:val="bottom"/>
          </w:tcPr>
          <w:p>
            <w:pPr>
              <w:spacing w:after="0"/>
              <w:rPr>
                <w:sz w:val="20"/>
                <w:szCs w:val="20"/>
                <w:color w:val="auto"/>
              </w:rPr>
            </w:pPr>
            <w:r>
              <w:rPr>
                <w:rFonts w:ascii="Courier New" w:cs="Courier New" w:eastAsia="Courier New" w:hAnsi="Courier New"/>
                <w:sz w:val="16"/>
                <w:szCs w:val="16"/>
                <w:color w:val="auto"/>
              </w:rPr>
              <w:t>Combined Results of Operations</w:t>
            </w:r>
          </w:p>
        </w:tc>
        <w:tc>
          <w:tcPr>
            <w:tcW w:w="2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2"/>
        </w:trPr>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Revenues, net...............................</w:t>
            </w:r>
          </w:p>
        </w:tc>
        <w:tc>
          <w:tcPr>
            <w:tcW w:w="21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$425,921</w:t>
            </w:r>
          </w:p>
        </w:tc>
        <w:tc>
          <w:tcPr>
            <w:tcW w:w="19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$140,386</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$566,307</w:t>
            </w:r>
          </w:p>
        </w:tc>
      </w:tr>
      <w:tr>
        <w:trPr>
          <w:trHeight w:val="182"/>
        </w:trPr>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Depreciation and amortization...............</w:t>
            </w:r>
          </w:p>
        </w:tc>
        <w:tc>
          <w:tcPr>
            <w:tcW w:w="21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12,992</w:t>
            </w:r>
          </w:p>
        </w:tc>
        <w:tc>
          <w:tcPr>
            <w:tcW w:w="19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33,793</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46,785</w:t>
            </w:r>
          </w:p>
        </w:tc>
      </w:tr>
      <w:tr>
        <w:trPr>
          <w:trHeight w:val="182"/>
        </w:trPr>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Operating income (loss).....................</w:t>
            </w:r>
          </w:p>
        </w:tc>
        <w:tc>
          <w:tcPr>
            <w:tcW w:w="21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58,247</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(48,955)</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9,292</w:t>
            </w:r>
          </w:p>
        </w:tc>
      </w:tr>
      <w:tr>
        <w:trPr>
          <w:trHeight w:val="182"/>
        </w:trPr>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Net income (loss) as reported</w:t>
            </w:r>
          </w:p>
        </w:tc>
        <w:tc>
          <w:tcPr>
            <w:tcW w:w="21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2"/>
        </w:trPr>
        <w:tc>
          <w:tcPr>
            <w:tcW w:w="49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by affiliates............................</w:t>
            </w:r>
          </w:p>
        </w:tc>
        <w:tc>
          <w:tcPr>
            <w:tcW w:w="21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28,333</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(67,191)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(38,858)</w:t>
            </w:r>
          </w:p>
        </w:tc>
      </w:tr>
      <w:tr>
        <w:trPr>
          <w:trHeight w:val="364"/>
        </w:trPr>
        <w:tc>
          <w:tcPr>
            <w:tcW w:w="4920" w:type="dxa"/>
            <w:vAlign w:val="bottom"/>
          </w:tcPr>
          <w:p>
            <w:pPr>
              <w:spacing w:after="0"/>
              <w:rPr>
                <w:sz w:val="20"/>
                <w:szCs w:val="20"/>
                <w:color w:val="auto"/>
              </w:rPr>
            </w:pPr>
            <w:r>
              <w:rPr>
                <w:rFonts w:ascii="Courier New" w:cs="Courier New" w:eastAsia="Courier New" w:hAnsi="Courier New"/>
                <w:sz w:val="16"/>
                <w:szCs w:val="16"/>
                <w:color w:val="auto"/>
              </w:rPr>
              <w:t>Company's Equity in Net Income (Loss)</w:t>
            </w:r>
          </w:p>
        </w:tc>
        <w:tc>
          <w:tcPr>
            <w:tcW w:w="2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2"/>
        </w:trPr>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Equity in current period net income (loss)</w:t>
            </w:r>
          </w:p>
        </w:tc>
        <w:tc>
          <w:tcPr>
            <w:tcW w:w="21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$4,286</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($19,978)</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($15,692)</w:t>
            </w:r>
          </w:p>
        </w:tc>
      </w:tr>
      <w:tr>
        <w:trPr>
          <w:trHeight w:val="182"/>
        </w:trPr>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Amortization income (expense) (3)</w:t>
            </w:r>
          </w:p>
        </w:tc>
        <w:tc>
          <w:tcPr>
            <w:tcW w:w="21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1,194</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(1,919)</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(725)</w:t>
            </w:r>
          </w:p>
        </w:tc>
      </w:tr>
      <w:tr>
        <w:trPr>
          <w:trHeight w:val="182"/>
        </w:trPr>
        <w:tc>
          <w:tcPr>
            <w:tcW w:w="4920" w:type="dxa"/>
            <w:vAlign w:val="bottom"/>
          </w:tcPr>
          <w:p>
            <w:pPr>
              <w:spacing w:after="0"/>
              <w:rPr>
                <w:sz w:val="15"/>
                <w:szCs w:val="15"/>
                <w:color w:val="auto"/>
              </w:rPr>
            </w:pPr>
          </w:p>
        </w:tc>
        <w:tc>
          <w:tcPr>
            <w:tcW w:w="21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Total equity in net income (loss)</w:t>
            </w:r>
          </w:p>
        </w:tc>
        <w:tc>
          <w:tcPr>
            <w:tcW w:w="21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$5,480</w:t>
            </w:r>
          </w:p>
        </w:tc>
        <w:tc>
          <w:tcPr>
            <w:tcW w:w="194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($21,897)</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($16,417)</w:t>
            </w:r>
          </w:p>
        </w:tc>
      </w:tr>
      <w:tr>
        <w:trPr>
          <w:trHeight w:val="182"/>
        </w:trPr>
        <w:tc>
          <w:tcPr>
            <w:tcW w:w="4920" w:type="dxa"/>
            <w:vAlign w:val="bottom"/>
          </w:tcPr>
          <w:p>
            <w:pPr>
              <w:spacing w:after="0"/>
              <w:rPr>
                <w:sz w:val="15"/>
                <w:szCs w:val="15"/>
                <w:color w:val="auto"/>
              </w:rPr>
            </w:pPr>
          </w:p>
        </w:tc>
        <w:tc>
          <w:tcPr>
            <w:tcW w:w="214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jc w:val="both"/>
        <w:ind w:left="943" w:right="3320" w:hanging="470"/>
        <w:spacing w:after="0" w:line="239" w:lineRule="auto"/>
        <w:tabs>
          <w:tab w:leader="none" w:pos="9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equity interest in Sprint Spectrum's net loss is recorded three months in arrears. Accordingly, the summarized financial information presented above includes Sprint Spectrum's results of operations for the three months ended December 31, 1995 and its financial position as of December 31, 1995.</w:t>
      </w:r>
    </w:p>
    <w:p>
      <w:pPr>
        <w:spacing w:after="0" w:line="6" w:lineRule="exact"/>
        <w:rPr>
          <w:rFonts w:ascii="Courier New" w:cs="Courier New" w:eastAsia="Courier New" w:hAnsi="Courier New"/>
          <w:sz w:val="16"/>
          <w:szCs w:val="16"/>
          <w:color w:val="auto"/>
        </w:rPr>
      </w:pPr>
    </w:p>
    <w:p>
      <w:pPr>
        <w:jc w:val="both"/>
        <w:ind w:left="943" w:right="3320" w:hanging="470"/>
        <w:spacing w:after="0" w:line="239" w:lineRule="auto"/>
        <w:tabs>
          <w:tab w:leader="none" w:pos="94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January 31, 1995, QVC's fiscal year end was January 31, and therefore, the Company recorded its equity interest in QVC's net income two months in arrears. For the three months ended March 31, 1995, the Company recorded its equity interest in QVC's net income for the period from November 1, 1994 through January 31, 1995, which was not previously recorded by the Company.</w:t>
      </w:r>
    </w:p>
    <w:p>
      <w:pPr>
        <w:spacing w:after="0" w:line="186"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883"/>
          </w:cols>
          <w:pgMar w:left="237" w:top="477" w:right="779" w:bottom="1065" w:gutter="0" w:footer="0" w:header="0"/>
        </w:sectPr>
      </w:pPr>
    </w:p>
    <w:bookmarkStart w:id="10" w:name="page11"/>
    <w:bookmarkEnd w:id="10"/>
    <w:p>
      <w:pPr>
        <w:ind w:left="2083"/>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QUARTER ENDED MARCH 31, 1996</w:t>
      </w:r>
    </w:p>
    <w:p>
      <w:pPr>
        <w:spacing w:after="0" w:line="1"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jc w:val="both"/>
        <w:ind w:left="943" w:right="2659"/>
        <w:spacing w:after="0" w:line="238" w:lineRule="auto"/>
        <w:rPr>
          <w:sz w:val="20"/>
          <w:szCs w:val="20"/>
          <w:color w:val="auto"/>
        </w:rPr>
      </w:pPr>
      <w:r>
        <w:rPr>
          <w:rFonts w:ascii="Courier New" w:cs="Courier New" w:eastAsia="Courier New" w:hAnsi="Courier New"/>
          <w:sz w:val="16"/>
          <w:szCs w:val="16"/>
          <w:color w:val="auto"/>
        </w:rPr>
        <w:t>The effect of this one-time adjustment was not significant to the Company's results of operations. Effective February 1, 1995, QVC's results of operations were consolidated with the Company.</w:t>
      </w:r>
    </w:p>
    <w:p>
      <w:pPr>
        <w:spacing w:after="0" w:line="6" w:lineRule="exact"/>
        <w:rPr>
          <w:sz w:val="20"/>
          <w:szCs w:val="20"/>
          <w:color w:val="auto"/>
        </w:rPr>
      </w:pPr>
    </w:p>
    <w:p>
      <w:pPr>
        <w:jc w:val="both"/>
        <w:ind w:left="943" w:right="2659" w:hanging="470"/>
        <w:spacing w:after="0" w:line="239" w:lineRule="auto"/>
        <w:tabs>
          <w:tab w:leader="none" w:pos="943"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differences between the Company's recorded investments and its proportionate interests in the book value of the investees' net assets are being amortized to equity in net income or loss, primarily over a period of twenty years, which is consistent with the estimated lives of the underlying assets.</w:t>
      </w:r>
    </w:p>
    <w:p>
      <w:pPr>
        <w:spacing w:after="0" w:line="200" w:lineRule="exact"/>
        <w:rPr>
          <w:sz w:val="20"/>
          <w:szCs w:val="20"/>
          <w:color w:val="auto"/>
        </w:rPr>
      </w:pPr>
    </w:p>
    <w:p>
      <w:pPr>
        <w:spacing w:after="0" w:line="349"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Investments - Public Companies</w:t>
      </w:r>
    </w:p>
    <w:p>
      <w:pPr>
        <w:spacing w:after="0" w:line="5"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In February 1996, in connection with certain preemptive rights of the Company under previously existing agreements with Nextel Communications, Inc. ("Nextel"), the Company purchased approximately 8.16 million shares, classified as available for sale, of Nextel common stock at $12.25 per share, for a total cost of $99.9 million.</w:t>
      </w:r>
    </w:p>
    <w:p>
      <w:pPr>
        <w:spacing w:after="0" w:line="189" w:lineRule="exact"/>
        <w:rPr>
          <w:sz w:val="20"/>
          <w:szCs w:val="20"/>
          <w:color w:val="auto"/>
        </w:rPr>
      </w:pPr>
    </w:p>
    <w:p>
      <w:pPr>
        <w:jc w:val="both"/>
        <w:ind w:left="463" w:right="2659"/>
        <w:spacing w:after="0"/>
        <w:rPr>
          <w:sz w:val="20"/>
          <w:szCs w:val="20"/>
          <w:color w:val="auto"/>
        </w:rPr>
      </w:pPr>
      <w:r>
        <w:rPr>
          <w:rFonts w:ascii="Courier New" w:cs="Courier New" w:eastAsia="Courier New" w:hAnsi="Courier New"/>
          <w:sz w:val="16"/>
          <w:szCs w:val="16"/>
          <w:color w:val="auto"/>
        </w:rPr>
        <w:t>The Company holds unrestricted equity investments in certain publicly traded companies with an historical cost of $216.0 million and $115.9 million as of March 31, 1996 and December 31, 1995, respectively. The Company has recorded these investments, which are classified as available for sale, at their estimated fair values of $309.6 million and $150.1 million as of March 31, 1996 and December 31, 1995, respectively. The unrealized pre-tax gains as of March 31, 1996 and December 31, 1995 of $93.6 million and $34.2 million, respectively, have been reported in the Company's condensed consolidated balance sheet as decreases in stockholders' deficiency, net of related deferred income taxes.</w:t>
      </w:r>
    </w:p>
    <w:p>
      <w:pPr>
        <w:spacing w:after="0" w:line="184" w:lineRule="exact"/>
        <w:rPr>
          <w:sz w:val="20"/>
          <w:szCs w:val="20"/>
          <w:color w:val="auto"/>
        </w:rPr>
      </w:pPr>
    </w:p>
    <w:p>
      <w:pPr>
        <w:ind w:left="463"/>
        <w:spacing w:after="0"/>
        <w:rPr>
          <w:sz w:val="20"/>
          <w:szCs w:val="20"/>
          <w:color w:val="auto"/>
        </w:rPr>
      </w:pPr>
      <w:r>
        <w:rPr>
          <w:rFonts w:ascii="Courier New" w:cs="Courier New" w:eastAsia="Courier New" w:hAnsi="Courier New"/>
          <w:sz w:val="16"/>
          <w:szCs w:val="16"/>
          <w:color w:val="auto"/>
        </w:rPr>
        <w:t>Investments - Privately Held Companies</w:t>
      </w:r>
    </w:p>
    <w:p>
      <w:pPr>
        <w:spacing w:after="0" w:line="1" w:lineRule="exact"/>
        <w:rPr>
          <w:sz w:val="20"/>
          <w:szCs w:val="20"/>
          <w:color w:val="auto"/>
        </w:rPr>
      </w:pPr>
    </w:p>
    <w:p>
      <w:pPr>
        <w:ind w:left="463"/>
        <w:spacing w:after="0"/>
        <w:tabs>
          <w:tab w:leader="none" w:pos="823" w:val="left"/>
          <w:tab w:leader="none" w:pos="1683" w:val="left"/>
          <w:tab w:leader="none" w:pos="2343" w:val="left"/>
          <w:tab w:leader="none" w:pos="2823" w:val="left"/>
          <w:tab w:leader="none" w:pos="3663" w:val="left"/>
          <w:tab w:leader="none" w:pos="4703" w:val="left"/>
          <w:tab w:leader="none" w:pos="5183" w:val="left"/>
          <w:tab w:leader="none" w:pos="6403" w:val="left"/>
          <w:tab w:leader="none" w:pos="6783" w:val="left"/>
        </w:tabs>
        <w:rPr>
          <w:sz w:val="20"/>
          <w:szCs w:val="20"/>
          <w:color w:val="auto"/>
        </w:rPr>
      </w:pPr>
      <w:r>
        <w:rPr>
          <w:rFonts w:ascii="Courier New" w:cs="Courier New" w:eastAsia="Courier New" w:hAnsi="Courier New"/>
          <w:sz w:val="16"/>
          <w:szCs w:val="16"/>
          <w:color w:val="auto"/>
        </w:rPr>
        <w:t>In</w:t>
        <w:tab/>
        <w:t>January</w:t>
        <w:tab/>
        <w:t>1995,</w:t>
        <w:tab/>
        <w:t>the</w:t>
        <w:tab/>
        <w:t>Company</w:t>
        <w:tab/>
        <w:t>exchanged</w:t>
        <w:tab/>
        <w:t>its</w:t>
        <w:tab/>
        <w:t>investments</w:t>
        <w:tab/>
        <w:t>in</w:t>
      </w:r>
      <w:r>
        <w:rPr>
          <w:sz w:val="20"/>
          <w:szCs w:val="20"/>
          <w:color w:val="auto"/>
        </w:rPr>
        <w:tab/>
      </w:r>
      <w:r>
        <w:rPr>
          <w:rFonts w:ascii="Courier New" w:cs="Courier New" w:eastAsia="Courier New" w:hAnsi="Courier New"/>
          <w:sz w:val="15"/>
          <w:szCs w:val="15"/>
          <w:color w:val="auto"/>
        </w:rPr>
        <w:t>Heritage</w:t>
      </w:r>
    </w:p>
    <w:p>
      <w:pPr>
        <w:spacing w:after="0" w:line="5" w:lineRule="exact"/>
        <w:rPr>
          <w:sz w:val="20"/>
          <w:szCs w:val="20"/>
          <w:color w:val="auto"/>
        </w:rPr>
      </w:pPr>
    </w:p>
    <w:p>
      <w:pPr>
        <w:jc w:val="both"/>
        <w:ind w:left="463" w:right="2659"/>
        <w:spacing w:after="0" w:line="239" w:lineRule="auto"/>
        <w:rPr>
          <w:sz w:val="20"/>
          <w:szCs w:val="20"/>
          <w:color w:val="auto"/>
        </w:rPr>
      </w:pPr>
      <w:r>
        <w:rPr>
          <w:rFonts w:ascii="Courier New" w:cs="Courier New" w:eastAsia="Courier New" w:hAnsi="Courier New"/>
          <w:sz w:val="16"/>
          <w:szCs w:val="16"/>
          <w:color w:val="auto"/>
        </w:rPr>
        <w:t>Communications, Inc. with TCI for approximately 13.3 million publicly-traded Class A common shares of TCI with a fair market value of approximately $290.0 million. Shortly thereafter, the Company sold approximately 9.1 million unrestricted TCI shares for total proceeds of approximately $188.1 million. As a result of these transactions, the Company recognized a pre-tax gain of approximately $141.0 million in the first quarter of 1995.</w:t>
      </w:r>
    </w:p>
    <w:p>
      <w:pPr>
        <w:spacing w:after="0" w:line="188" w:lineRule="exact"/>
        <w:rPr>
          <w:sz w:val="20"/>
          <w:szCs w:val="20"/>
          <w:color w:val="auto"/>
        </w:rPr>
      </w:pPr>
    </w:p>
    <w:p>
      <w:pPr>
        <w:ind w:left="463" w:hanging="463"/>
        <w:spacing w:after="0"/>
        <w:tabs>
          <w:tab w:leader="none" w:pos="4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CASH FLOWS - SUPPLEMENTAL INFORMATION</w:t>
      </w:r>
    </w:p>
    <w:p>
      <w:pPr>
        <w:spacing w:after="0" w:line="186" w:lineRule="exact"/>
        <w:rPr>
          <w:rFonts w:ascii="Courier New" w:cs="Courier New" w:eastAsia="Courier New" w:hAnsi="Courier New"/>
          <w:sz w:val="16"/>
          <w:szCs w:val="16"/>
          <w:color w:val="auto"/>
        </w:rPr>
      </w:pPr>
    </w:p>
    <w:p>
      <w:pPr>
        <w:jc w:val="both"/>
        <w:ind w:left="463"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made interest payments of approximately $102.0 million and $94.8 million during the three months ended March 31, 1996 and 1995, respectively.</w:t>
      </w:r>
    </w:p>
    <w:p>
      <w:pPr>
        <w:spacing w:after="0" w:line="188" w:lineRule="exact"/>
        <w:rPr>
          <w:rFonts w:ascii="Courier New" w:cs="Courier New" w:eastAsia="Courier New" w:hAnsi="Courier New"/>
          <w:sz w:val="16"/>
          <w:szCs w:val="16"/>
          <w:color w:val="auto"/>
        </w:rPr>
      </w:pPr>
    </w:p>
    <w:p>
      <w:pPr>
        <w:jc w:val="both"/>
        <w:ind w:left="463"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made cash payments for income taxes of approximately $15.3 million and $3.1 million during the three months ended March 31, 1996 and 1995, respectively.</w:t>
      </w:r>
    </w:p>
    <w:p>
      <w:pPr>
        <w:spacing w:after="0" w:line="184" w:lineRule="exact"/>
        <w:rPr>
          <w:rFonts w:ascii="Courier New" w:cs="Courier New" w:eastAsia="Courier New" w:hAnsi="Courier New"/>
          <w:sz w:val="16"/>
          <w:szCs w:val="16"/>
          <w:color w:val="auto"/>
        </w:rPr>
      </w:pPr>
    </w:p>
    <w:p>
      <w:pPr>
        <w:ind w:left="463" w:hanging="463"/>
        <w:spacing w:after="0"/>
        <w:tabs>
          <w:tab w:leader="none" w:pos="46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CONTINGENCIES</w:t>
      </w:r>
    </w:p>
    <w:p>
      <w:pPr>
        <w:spacing w:after="0" w:line="186" w:lineRule="exact"/>
        <w:rPr>
          <w:rFonts w:ascii="Courier New" w:cs="Courier New" w:eastAsia="Courier New" w:hAnsi="Courier New"/>
          <w:sz w:val="16"/>
          <w:szCs w:val="16"/>
          <w:color w:val="auto"/>
        </w:rPr>
      </w:pPr>
    </w:p>
    <w:p>
      <w:pPr>
        <w:jc w:val="both"/>
        <w:ind w:left="463"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subject to claims which arise in the ordinary course of its business and other legal proceedings. In the opinion of management, the amount of ultimate liability with respect to these actions will not materially affect the financial position or results of operations of the Company.</w:t>
      </w:r>
    </w:p>
    <w:p>
      <w:pPr>
        <w:spacing w:after="0" w:line="367" w:lineRule="exact"/>
        <w:rPr>
          <w:sz w:val="20"/>
          <w:szCs w:val="20"/>
          <w:color w:val="auto"/>
        </w:rPr>
      </w:pPr>
    </w:p>
    <w:p>
      <w:pPr>
        <w:ind w:left="3783"/>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2"/>
          </w:cols>
          <w:pgMar w:left="237" w:top="477" w:right="1440" w:bottom="1440" w:gutter="0" w:footer="0" w:header="0"/>
        </w:sectPr>
      </w:pPr>
    </w:p>
    <w:bookmarkStart w:id="11" w:name="page12"/>
    <w:bookmarkEnd w:id="11"/>
    <w:p>
      <w:pPr>
        <w:ind w:left="2083"/>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3"/>
        <w:spacing w:after="0"/>
        <w:rPr>
          <w:sz w:val="20"/>
          <w:szCs w:val="20"/>
          <w:color w:val="auto"/>
        </w:rPr>
      </w:pPr>
      <w:r>
        <w:rPr>
          <w:rFonts w:ascii="Courier New" w:cs="Courier New" w:eastAsia="Courier New" w:hAnsi="Courier New"/>
          <w:sz w:val="16"/>
          <w:szCs w:val="16"/>
          <w:color w:val="auto"/>
        </w:rPr>
        <w:t>QUARTER ENDED MARCH 31, 1996</w:t>
      </w:r>
    </w:p>
    <w:p>
      <w:pPr>
        <w:spacing w:after="0" w:line="1" w:lineRule="exact"/>
        <w:rPr>
          <w:sz w:val="20"/>
          <w:szCs w:val="20"/>
          <w:color w:val="auto"/>
        </w:rPr>
      </w:pPr>
    </w:p>
    <w:p>
      <w:pPr>
        <w:ind w:left="763"/>
        <w:spacing w:after="0"/>
        <w:rPr>
          <w:sz w:val="20"/>
          <w:szCs w:val="20"/>
          <w:color w:val="auto"/>
        </w:rPr>
      </w:pPr>
      <w:r>
        <w:rPr>
          <w:rFonts w:ascii="Courier New" w:cs="Courier New" w:eastAsia="Courier New" w:hAnsi="Courier New"/>
          <w:sz w:val="16"/>
          <w:szCs w:val="16"/>
          <w:color w:val="auto"/>
        </w:rPr>
        <w:t>NOTES TO CONDENSED CONSOLIDATED FINANCIAL STATEMENTS - CONCLUDED</w:t>
      </w:r>
    </w:p>
    <w:p>
      <w:pPr>
        <w:spacing w:after="0" w:line="1"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(Unaudited)</w:t>
      </w:r>
    </w:p>
    <w:p>
      <w:pPr>
        <w:spacing w:after="0" w:line="186" w:lineRule="exact"/>
        <w:rPr>
          <w:sz w:val="20"/>
          <w:szCs w:val="20"/>
          <w:color w:val="auto"/>
        </w:rPr>
      </w:pPr>
    </w:p>
    <w:p>
      <w:pPr>
        <w:ind w:left="463" w:right="7840" w:hanging="463"/>
        <w:spacing w:after="0" w:line="237" w:lineRule="auto"/>
        <w:tabs>
          <w:tab w:leader="none" w:pos="46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DATA BY BUSINESS SEGMENT (Dollars in thousands)</w:t>
      </w:r>
    </w:p>
    <w:p>
      <w:pPr>
        <w:spacing w:after="0" w:line="366"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340" w:type="dxa"/>
            <w:vAlign w:val="bottom"/>
          </w:tcPr>
          <w:p>
            <w:pPr>
              <w:spacing w:after="0"/>
              <w:rPr>
                <w:sz w:val="15"/>
                <w:szCs w:val="15"/>
                <w:color w:val="auto"/>
              </w:rPr>
            </w:pP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Domestic</w:t>
            </w:r>
          </w:p>
        </w:tc>
        <w:tc>
          <w:tcPr>
            <w:tcW w:w="1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Cable</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Electronic</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Cellular</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Corporate</w:t>
            </w:r>
          </w:p>
        </w:tc>
        <w:tc>
          <w:tcPr>
            <w:tcW w:w="1160" w:type="dxa"/>
            <w:vAlign w:val="bottom"/>
          </w:tcPr>
          <w:p>
            <w:pPr>
              <w:spacing w:after="0"/>
              <w:rPr>
                <w:sz w:val="15"/>
                <w:szCs w:val="15"/>
                <w:color w:val="auto"/>
              </w:rPr>
            </w:pPr>
          </w:p>
        </w:tc>
      </w:tr>
      <w:tr>
        <w:trPr>
          <w:trHeight w:val="182"/>
        </w:trPr>
        <w:tc>
          <w:tcPr>
            <w:tcW w:w="4340" w:type="dxa"/>
            <w:vAlign w:val="bottom"/>
          </w:tcPr>
          <w:p>
            <w:pPr>
              <w:spacing w:after="0"/>
              <w:rPr>
                <w:sz w:val="15"/>
                <w:szCs w:val="15"/>
                <w:color w:val="auto"/>
              </w:rPr>
            </w:pPr>
          </w:p>
        </w:tc>
        <w:tc>
          <w:tcPr>
            <w:tcW w:w="16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Communications</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Retailing</w:t>
            </w:r>
          </w:p>
        </w:tc>
        <w:tc>
          <w:tcPr>
            <w:tcW w:w="1560" w:type="dxa"/>
            <w:vAlign w:val="bottom"/>
          </w:tcPr>
          <w:p>
            <w:pPr>
              <w:jc w:val="right"/>
              <w:ind w:right="1"/>
              <w:spacing w:after="0"/>
              <w:rPr>
                <w:sz w:val="20"/>
                <w:szCs w:val="20"/>
                <w:color w:val="auto"/>
              </w:rPr>
            </w:pPr>
            <w:r>
              <w:rPr>
                <w:rFonts w:ascii="Courier New" w:cs="Courier New" w:eastAsia="Courier New" w:hAnsi="Courier New"/>
                <w:sz w:val="16"/>
                <w:szCs w:val="16"/>
                <w:color w:val="auto"/>
              </w:rPr>
              <w:t>Communications</w:t>
            </w:r>
          </w:p>
        </w:tc>
        <w:tc>
          <w:tcPr>
            <w:tcW w:w="14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and Other (1)</w:t>
            </w:r>
          </w:p>
        </w:tc>
        <w:tc>
          <w:tcPr>
            <w:tcW w:w="11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Total</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Three Months Ended March 31, 1996</w:t>
            </w: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Revenues, net...............................</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$382,348</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$450,078</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$98,192</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$20,126</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$950,744</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94,372</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26,150</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26,345</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10,006</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156,873</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90,606</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46,264</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2,113</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(25,733)</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113,250</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56,685</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18,169</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20,786</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39,174</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134,814</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53,636</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6,104</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14,903</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36,758</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111,401</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Equity in net (losses) income of</w:t>
            </w:r>
          </w:p>
        </w:tc>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4340" w:type="dxa"/>
            <w:vAlign w:val="bottom"/>
          </w:tcPr>
          <w:p>
            <w:pPr>
              <w:ind w:left="380"/>
              <w:spacing w:after="0"/>
              <w:rPr>
                <w:sz w:val="20"/>
                <w:szCs w:val="20"/>
                <w:color w:val="auto"/>
              </w:rPr>
            </w:pPr>
            <w:r>
              <w:rPr>
                <w:rFonts w:ascii="Courier New" w:cs="Courier New" w:eastAsia="Courier New" w:hAnsi="Courier New"/>
                <w:sz w:val="16"/>
                <w:szCs w:val="16"/>
                <w:color w:val="auto"/>
              </w:rPr>
              <w:t>affiliates..............................</w:t>
            </w:r>
          </w:p>
        </w:tc>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(5,554)</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57</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(868)</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(28,137)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(34,502)</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As of March 31, 1996</w:t>
            </w: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$4,546,772</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$2,072,256</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$1,358,144</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$1,680,758</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$9,657,930</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Long-term debt, less current portion</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2,986,607</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904,659</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1,064,756</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2,145,023</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7,101,045</w:t>
            </w:r>
          </w:p>
        </w:tc>
      </w:tr>
      <w:tr>
        <w:trPr>
          <w:trHeight w:val="3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Three Months Ended March 31, 1995</w:t>
            </w: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Revenues, net...............................</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$347,122</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$227,019</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$82,153</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$7,312</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$663,606</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89,498</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14,272</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134,482</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5,225</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243,477</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75,636</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24,400</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(103,296)</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(20,611)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(23,871)</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61,583</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12,645</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17,470</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25,889</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117,587</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Capital expenditures........................</w:t>
            </w:r>
          </w:p>
        </w:tc>
        <w:tc>
          <w:tcPr>
            <w:tcW w:w="166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42,217</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1,235</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50,253</w:t>
            </w:r>
          </w:p>
        </w:tc>
        <w:tc>
          <w:tcPr>
            <w:tcW w:w="14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15,913</w:t>
            </w:r>
          </w:p>
        </w:tc>
        <w:tc>
          <w:tcPr>
            <w:tcW w:w="116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109,618</w:t>
            </w:r>
          </w:p>
        </w:tc>
      </w:tr>
      <w:tr>
        <w:trPr>
          <w:trHeight w:val="182"/>
        </w:trPr>
        <w:tc>
          <w:tcPr>
            <w:tcW w:w="4340" w:type="dxa"/>
            <w:vAlign w:val="bottom"/>
          </w:tcPr>
          <w:p>
            <w:pPr>
              <w:spacing w:after="0"/>
              <w:rPr>
                <w:sz w:val="20"/>
                <w:szCs w:val="20"/>
                <w:color w:val="auto"/>
              </w:rPr>
            </w:pPr>
            <w:r>
              <w:rPr>
                <w:rFonts w:ascii="Courier New" w:cs="Courier New" w:eastAsia="Courier New" w:hAnsi="Courier New"/>
                <w:sz w:val="16"/>
                <w:szCs w:val="16"/>
                <w:color w:val="auto"/>
              </w:rPr>
              <w:t>Equity in net (losses) income of</w:t>
            </w:r>
          </w:p>
        </w:tc>
        <w:tc>
          <w:tcPr>
            <w:tcW w:w="1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4340" w:type="dxa"/>
            <w:vAlign w:val="bottom"/>
          </w:tcPr>
          <w:p>
            <w:pPr>
              <w:ind w:left="380"/>
              <w:spacing w:after="0"/>
              <w:rPr>
                <w:sz w:val="20"/>
                <w:szCs w:val="20"/>
                <w:color w:val="auto"/>
              </w:rPr>
            </w:pPr>
            <w:r>
              <w:rPr>
                <w:rFonts w:ascii="Courier New" w:cs="Courier New" w:eastAsia="Courier New" w:hAnsi="Courier New"/>
                <w:sz w:val="16"/>
                <w:szCs w:val="16"/>
                <w:color w:val="auto"/>
              </w:rPr>
              <w:t>affiliates..............................</w:t>
            </w:r>
          </w:p>
        </w:tc>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(2,969)</w:t>
            </w:r>
          </w:p>
        </w:tc>
        <w:tc>
          <w:tcPr>
            <w:tcW w:w="132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1,058</w:t>
            </w:r>
          </w:p>
        </w:tc>
        <w:tc>
          <w:tcPr>
            <w:tcW w:w="15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(264)</w:t>
            </w:r>
          </w:p>
        </w:tc>
        <w:tc>
          <w:tcPr>
            <w:tcW w:w="14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(14,242)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(16,417)</w:t>
            </w: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ind w:left="463" w:right="3960" w:hanging="463"/>
        <w:spacing w:after="0" w:line="237" w:lineRule="auto"/>
        <w:tabs>
          <w:tab w:leader="none" w:pos="46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and other includes certain operating businesses and elimination entries related to the segments presented.</w:t>
      </w:r>
    </w:p>
    <w:p>
      <w:pPr>
        <w:spacing w:after="0" w:line="200" w:lineRule="exact"/>
        <w:rPr>
          <w:sz w:val="20"/>
          <w:szCs w:val="20"/>
          <w:color w:val="auto"/>
        </w:rPr>
      </w:pPr>
    </w:p>
    <w:p>
      <w:pPr>
        <w:spacing w:after="0" w:line="347"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1523"/>
          </w:cols>
          <w:pgMar w:left="237" w:top="477" w:right="139" w:bottom="1440" w:gutter="0" w:footer="0" w:header="0"/>
        </w:sectPr>
      </w:pPr>
    </w:p>
    <w:bookmarkStart w:id="12" w:name="page13"/>
    <w:bookmarkEnd w:id="12"/>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1996</w:t>
      </w:r>
    </w:p>
    <w:p>
      <w:pPr>
        <w:spacing w:after="0" w:line="200" w:lineRule="exact"/>
        <w:rPr>
          <w:sz w:val="20"/>
          <w:szCs w:val="20"/>
          <w:color w:val="auto"/>
        </w:rPr>
      </w:pPr>
    </w:p>
    <w:p>
      <w:pPr>
        <w:spacing w:after="0" w:line="350" w:lineRule="exact"/>
        <w:rPr>
          <w:sz w:val="20"/>
          <w:szCs w:val="20"/>
          <w:color w:val="auto"/>
        </w:rPr>
      </w:pPr>
    </w:p>
    <w:p>
      <w:pPr>
        <w:ind w:left="940" w:right="3319" w:hanging="945"/>
        <w:spacing w:after="0" w:line="237" w:lineRule="auto"/>
        <w:tabs>
          <w:tab w:leader="none" w:pos="920" w:val="left"/>
        </w:tabs>
        <w:rPr>
          <w:sz w:val="20"/>
          <w:szCs w:val="20"/>
          <w:color w:val="auto"/>
        </w:rPr>
      </w:pPr>
      <w:r>
        <w:rPr>
          <w:rFonts w:ascii="Courier New" w:cs="Courier New" w:eastAsia="Courier New" w:hAnsi="Courier New"/>
          <w:sz w:val="16"/>
          <w:szCs w:val="16"/>
          <w:color w:val="auto"/>
        </w:rPr>
        <w:t>ITEM 2.</w:t>
        <w:tab/>
        <w:t>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has experienced significant growth in recent years both through strategic acquisitions and growth in its existing businesses. The Company has historically met its cash needs for operations through its cash flows from operating activities. Cash requirements for acquisitions and capital expenditures have been provided through the Company's financing activities as well as its existing cash, cash equivalents and short-term investments.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Developments of Business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Regional Sports Venture</w:t>
      </w:r>
    </w:p>
    <w:p>
      <w:pPr>
        <w:spacing w:after="0" w:line="5"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In March 1996, the Company entered into definitive agreements through which it will ultimately acquire (the "Sports Venture Acquisition") a 66% interest in the Philadelphia Flyers Limited Partnership, a Pennsylvania limited partnership ("PFLP"), the assets of which, upon consummation of the acquisition, will consist of (i) the National Basketball Association ("NBA") franchise to own and operate the Philadelphia 76ers basketball team and related assets (the "Sixers"), (ii) the National Hockey League ("NHL") franchise to own and operate the Philadelphia Flyers hockey team and related assets, which PFLP currently owns (the "Flyers"), and (iii) two adjacent arenas, leasehold interests in and development rights related to the land underlying the arenas and other adjacent parcels of land located in Philadelphia, Pennsylvania (collectively, the "Arenas"). The remaining 34% of PFLP will be owned by a group (the "Minority Group") represented by Mr. Edward Snider ("Snider"), the current majority owner of PFLP and the Arenas. A company owned by Snider will manage PFLP after consummation of the Sports Venture Acquisition.</w:t>
      </w:r>
    </w:p>
    <w:p>
      <w:pPr>
        <w:spacing w:after="0" w:line="363"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In April 1996, the Company completed the first step of the Sports Venture Acquisition by purchasing the Sixers from Mr. Harold Katz for $125.0 million in cash plus assumed net liabilities of approximately $11.0 million through a partnership controlled by the Company. To complete the Sports Venture Acquisition, the Company will contribute its interest in the Sixers and exchange $15.0 million in cash plus approximately 5.2 million shares of the Company's Class A Special Common Stock (the "Class A Special Common Stock") or their equivalent for a 66% interest in PFLP. At the same time, Snider will cause all of the Minority Group's interests in the Arenas to be contributed to PFLP for a 34% interest in PFLP. In connection with the Sports Venture Acquisition, PFLP will assume the outstanding liabilities relating to the Sixers and the Arenas, including a mortgage obligation of approximately $155.0 million. The closing of the Sports Venture Acquisition is expected to occur during the second or third quarter of 1996 and is subject to certain approvals, including approvals of the NBA and NHL, and other conditions. The Company anticipates that it will account for its interest in PFLP under the equity method.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Sprint Spectrum</w:t>
      </w:r>
    </w:p>
    <w:p>
      <w:pPr>
        <w:spacing w:after="0" w:line="5" w:lineRule="exact"/>
        <w:rPr>
          <w:sz w:val="20"/>
          <w:szCs w:val="20"/>
          <w:color w:val="auto"/>
        </w:rPr>
      </w:pPr>
    </w:p>
    <w:p>
      <w:pPr>
        <w:jc w:val="both"/>
        <w:ind w:right="2659"/>
        <w:spacing w:after="0" w:line="257" w:lineRule="auto"/>
        <w:rPr>
          <w:sz w:val="20"/>
          <w:szCs w:val="20"/>
          <w:color w:val="auto"/>
        </w:rPr>
      </w:pPr>
      <w:r>
        <w:rPr>
          <w:rFonts w:ascii="Courier New" w:cs="Courier New" w:eastAsia="Courier New" w:hAnsi="Courier New"/>
          <w:sz w:val="15"/>
          <w:szCs w:val="15"/>
          <w:color w:val="auto"/>
        </w:rPr>
        <w:t>Effective as of January 1996, the Company, Tele-Communications, Inc. ("TCI"), Cox Communications, Inc. and Sprint Corporation (collectively, the "Parents"), and certain subsidiaries of the Parents (the "Partner Subsidiaries"), entered into a series of agreements relating to their previously announced joint venture (March 1995) to engage in the communications business. Under an Amended and Restated Agreement of Limited Partnership (the "Partnership Agreement") of MajorCo, L.P. (known as "Sprint Spectrum"), the business of Sprint Spectrum will be the provision of wireless telecommunications services and will not include the previously authorized business of providing local wireline communications services to residences and businesses. A partnership owned entirely by subsidiaries of the Company owns 15% of Sprint Spectrum. The Company accounts for its investment in Sprint Spectrum under the equity method.</w:t>
      </w:r>
    </w:p>
    <w:p>
      <w:pPr>
        <w:spacing w:after="0" w:line="35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77" w:right="1440" w:bottom="1440" w:gutter="0" w:footer="0" w:header="0"/>
        </w:sectPr>
      </w:pPr>
    </w:p>
    <w:bookmarkStart w:id="13" w:name="page14"/>
    <w:bookmarkEnd w:id="13"/>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1996</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Scripps Cable</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 October 1995, the Company announced its agreement to acquire the cable television operations ("Scripps Cable") of The E.W. Scripps Company in exchange for shares of the Company's Class A Special Common Stock worth $1.575 billion, subject to certain closing adjustments (the "Scripps Transaction"). Scripps Cable passes approximately 1.2 million homes and serves approximately 800,000 subscribers, with over 60% of its subscribers located in Sacramento, California and Chattanooga and Knoxville, Tennessee. The acquisition is expected to close in the third quarter of 1996, subject to shareholder and regulatory approval and certain other conditions.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Repurchase Program</w:t>
      </w:r>
    </w:p>
    <w:p>
      <w:pPr>
        <w:spacing w:after="0" w:line="5"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Concurrent with the announcement of the Scripps Transaction, the Company announced that its Board of Directors authorized a market repurchase program (the "Repurchase Program") pursuant to which the Company may purchase, at such times and on such terms as it deems appropriate, up to $500.0 million of its outstanding common stock, subject to certain restrictions and market conditions. Pursuant to the Repurchase Program, the Company has repurchased shares of its common stock for aggregate consideration of $80.4 million through April 30, 1996, including $56.7 million during the three months ended March 31, 1996.</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QVC</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 February 1995, the Company and TCI acquired all of the outstanding stock of QVC, Inc. and its subsidiaries ("QVC") not previously owned by them (approximately 65% of such shares on a fully diluted basis) for $46, in cash, per share (the "QVC Acquisition"), representing a total cost of approximately $1.4 billion. The QVC Acquisition,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 Following the acquisition, the Company and TCI own, through their respective subsidiaries, 57.45% and 42.55%, respectively, of QVC. The Company has accounted for the QVC Acquisition under the purchase method and QVC was consolidated with the Company effective February 1, 1995.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Cash Equivalents and Short-term Investments</w:t>
      </w:r>
    </w:p>
    <w:p>
      <w:pPr>
        <w:spacing w:after="0" w:line="5" w:lineRule="exact"/>
        <w:rPr>
          <w:sz w:val="20"/>
          <w:szCs w:val="20"/>
          <w:color w:val="auto"/>
        </w:rPr>
      </w:pPr>
    </w:p>
    <w:p>
      <w:pPr>
        <w:jc w:val="both"/>
        <w:ind w:right="2659"/>
        <w:spacing w:after="0" w:line="258" w:lineRule="auto"/>
        <w:rPr>
          <w:sz w:val="20"/>
          <w:szCs w:val="20"/>
          <w:color w:val="auto"/>
        </w:rPr>
      </w:pPr>
      <w:r>
        <w:rPr>
          <w:rFonts w:ascii="Courier New" w:cs="Courier New" w:eastAsia="Courier New" w:hAnsi="Courier New"/>
          <w:sz w:val="15"/>
          <w:szCs w:val="15"/>
          <w:color w:val="auto"/>
        </w:rPr>
        <w:t>The Company has traditionally maintained significant levels of cash, cash equivalents and short-term investments to meet its short-term liquidity requirements. Cash, cash equivalents and short-term investments as of March 31, 1996 were $709.7 million. As of March 31, 1996 approximately $462.5 million of the Company's cash, cash equivalents and short-term investments was restricted to use by subsidiaries of the Company under contractual or other arrangements, including approximately $295.0 million which is restricted to use by Comcast UK Cable Partners Limited ("Comcast UK Cable"), a subsidiary of the Company.</w:t>
      </w:r>
    </w:p>
    <w:p>
      <w:pPr>
        <w:spacing w:after="0" w:line="176"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Company's cash, cash equivalents and short-term investments are recorded at cost which approximates their fair value. As of March 31, 1996, the Company's short-term investments of $199.6 million had a weighted average maturity of approximately 17 months. However, due to the high degree of liquidity and the intent of management to use these investments as needed to fund its commitments, the Company considers these as current assets.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5" w:lineRule="exact"/>
        <w:rPr>
          <w:sz w:val="20"/>
          <w:szCs w:val="20"/>
          <w:color w:val="auto"/>
        </w:rPr>
      </w:pPr>
    </w:p>
    <w:p>
      <w:pPr>
        <w:jc w:val="both"/>
        <w:ind w:right="2659"/>
        <w:spacing w:after="0" w:line="238" w:lineRule="auto"/>
        <w:rPr>
          <w:sz w:val="20"/>
          <w:szCs w:val="20"/>
          <w:color w:val="auto"/>
        </w:rPr>
      </w:pPr>
      <w:r>
        <w:rPr>
          <w:rFonts w:ascii="Courier New" w:cs="Courier New" w:eastAsia="Courier New" w:hAnsi="Courier New"/>
          <w:sz w:val="16"/>
          <w:szCs w:val="16"/>
          <w:color w:val="auto"/>
        </w:rPr>
        <w:t>In conjunction with the Sports Venture Acquisition, the Company has agreed to lend up to $50.0 million to PFLP on a subordinated basis in the event that PFLP is unable to obtain financing from other sources.</w:t>
      </w:r>
    </w:p>
    <w:p>
      <w:pPr>
        <w:spacing w:after="0" w:line="188"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Under the provisions of the Partnership Agreement, the Partner Subsidiaries have committed to contribute $4.2 billion in cash to Sprint Spectrum through 1997, of which the Company's share is $630.0 million. Of this funding requirement, the Company has made total cash capital contributions to Sprint Spectrum of $363.1 million through March 31, 1996. The Company anticipates that Sprint Spectrum's capital requirements over the next several years will be significant. Requirements in excess of committed capital are planned to be funded by Sprint Spectrum through</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77" w:right="1440" w:bottom="1440" w:gutter="0" w:footer="0" w:header="0"/>
        </w:sectPr>
      </w:pPr>
    </w:p>
    <w:bookmarkStart w:id="14" w:name="page15"/>
    <w:bookmarkEnd w:id="14"/>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1996</w:t>
      </w:r>
    </w:p>
    <w:p>
      <w:pPr>
        <w:spacing w:after="0" w:line="368"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external financing. Although it is anticipated that external financing will be available to Sprint Spectrum on acceptable terms and conditions, no assurances can be given as to such availability. The timing of the Company's remaining capital contributions to Sprint Spectrum is dependent upon a number of factors, including Sprint Spectrum's ability to obtain external financing as well as its working capital requirements.</w:t>
      </w:r>
    </w:p>
    <w:p>
      <w:pPr>
        <w:spacing w:after="0" w:line="190"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In February 1996, in connection with certain preemptive rights of the Company under previously existing agreements with Nextel Communications, Inc. ("Nextel"), the Company purchased approximately 8.16 million shares, classified as available for sale, of Nextel common stock at $12.25 per share, for a total cost of $99.9 million. The Company continues to hold options, which expire in 1997, to acquire an additional 25 million shares of Nextel common stock at $16 per share.</w:t>
      </w:r>
    </w:p>
    <w:p>
      <w:pPr>
        <w:spacing w:after="0" w:line="192"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 January 1995, the Company exchanged its investments in Heritage Communications, Inc. with TCI for approximately 13.3 million publicly-traded Class A common shares of TCI with a fair market value of approximately $290.0 million. Shortly thereafter, the Company sold approximately 9.1 million unrestricted TCI shares for total proceeds of approximately $188.1 million (collectively, the "Heritage Transaction"). As a result of these transactions, the Company recognized a pre-tax gain of approximately $141.0 million in the first quarter of 1995.</w:t>
      </w:r>
    </w:p>
    <w:p>
      <w:pPr>
        <w:spacing w:after="0" w:line="187"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does not have any additional significant contractual commitments with respect to any of its investments. However, to the extent the Company does not fund its investees' capital calls, it exposes itself to dilution of its ownership interests.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Financing</w:t>
      </w:r>
    </w:p>
    <w:p>
      <w:pPr>
        <w:spacing w:after="0" w:line="5"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In conjunction with the Repurchase Program, through April 30, 1996, the Company had sold put options on 4.0 million shares of its Class A Special Common Stock, including put options on 1.0 million of such shares sold during the three months ended March 31, 1996. The put options give the holder the right to require the Company to repurchase such shares at specified prices on specific dates. In May 1996, the Company extended the original May through July 1996 maturities of the put options to October through December 1996 and received $1.1 million in connection with the extensions. Initial proceeds of $3.5 million from the sale of these put options were credited to additional capital. The amount the Company would be obligated to pay to repurchase such shares if all outstanding put options were exercised, totaling $69.6 million, has been reclassified to a temporary equity account in the Company's condensed consolidated balance sheet as of March 31, 1996.</w:t>
      </w:r>
    </w:p>
    <w:p>
      <w:pPr>
        <w:spacing w:after="0" w:line="186"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Company expects to continue to recognize significant losses and to continue to pay dividends; therefore, it anticipates that it will continue to have a deficiency in stockholders' equity that will increase through the date of consummation of the Scripps Transaction. If the Scripps Transaction is consummated, the Company will no longer have a deficiency in stockholders' equity; however, the Company will continue to recognize losses for the foreseeable future, resulting in decreases in stockholders' equity. The telecommunications industry, including cable and cellular communications, and the electronic retailing industry are experiencing increasing competition and rapid technological changes. The Company's future results of operations will be affected by its ability to react to changes in the competitive environment and by its ability to implement new technologies. However, management believes that competition, technological changes and its significant losses and deficiency in stockholders' equity will not significantly affect its ability to obtain financing.</w:t>
      </w:r>
    </w:p>
    <w:p>
      <w:pPr>
        <w:spacing w:after="0" w:line="191"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believes that it will be able to meet its current and long-term liquidity and capital requirements, including fixed charges, through its cash flows from operating activities, existing cash, cash equivalents, short-term investments and lines of credit and other external financing.</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77" w:right="1440" w:bottom="1440" w:gutter="0" w:footer="0" w:header="0"/>
        </w:sectPr>
      </w:pPr>
    </w:p>
    <w:bookmarkStart w:id="15" w:name="page16"/>
    <w:bookmarkEnd w:id="15"/>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1996</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Statement of Cash Flows</w:t>
      </w:r>
    </w:p>
    <w:p>
      <w:pPr>
        <w:spacing w:after="0" w:line="186" w:lineRule="exact"/>
        <w:rPr>
          <w:sz w:val="20"/>
          <w:szCs w:val="20"/>
          <w:color w:val="auto"/>
        </w:rPr>
      </w:pPr>
    </w:p>
    <w:p>
      <w:pPr>
        <w:jc w:val="both"/>
        <w:ind w:right="2659"/>
        <w:spacing w:after="0" w:line="260" w:lineRule="auto"/>
        <w:rPr>
          <w:sz w:val="20"/>
          <w:szCs w:val="20"/>
          <w:color w:val="auto"/>
        </w:rPr>
      </w:pPr>
      <w:r>
        <w:rPr>
          <w:rFonts w:ascii="Courier New" w:cs="Courier New" w:eastAsia="Courier New" w:hAnsi="Courier New"/>
          <w:sz w:val="15"/>
          <w:szCs w:val="15"/>
          <w:color w:val="auto"/>
        </w:rPr>
        <w:t>Cash and cash equivalents decreased $28.9 million as of March 31, 1996 from December 31, 1995 and increased $80.6 million as of March 31, 1995 from December 31, 1994. Changes in cash and cash equivalents resulted from cash flows from operating, financing and investing activities which are explained below.</w:t>
      </w:r>
    </w:p>
    <w:p>
      <w:pPr>
        <w:spacing w:after="0" w:line="173"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Net cash provided by operating activities amounted to $128.1 million and $72.8 million for the three months ended March 31, 1996 and 1995, respectively. The increase of $55.3 million is due to the effects of the QVC Acquisition and to changes in working capital as a result of the timing of receipts and disbursements.</w:t>
      </w:r>
    </w:p>
    <w:p>
      <w:pPr>
        <w:spacing w:after="0" w:line="189"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Net cash (used in) provided by financing activities was ($28.9) million and $1.3 billion for the three months ended March 31, 1996 and 1995, respectively. For the three months ended March 31, 1996, the Company borrowed $191.2 million under its existing lines of credit and repaid $167.4 million, including approximately $78.5 million under a vendor financing arrangement. During the three months ended March 31, 1995, the Company borrowed $1.3 billion, including $1.1 billion in connection with the QVC Acquisition.</w:t>
      </w:r>
    </w:p>
    <w:p>
      <w:pPr>
        <w:spacing w:after="0" w:line="192"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Net cash used in investing activities was $128.1 million and $1.3 billion for the three months ended March 31, 1996 and 1995, respectively. For the three months ended March 31, 1996, net cash used in investing activities includes investments in affiliates of $153.7 million and additions to property and equipment of $111.4 million, offset by proceeds from the sales of short-term and long-term investments of $173.8 million. During the three months ended March 31, 1995, net cash used in investing activities includes the QVC Acquisition, net of cash acquired, of $1.3 billion, investments in affiliates of $137.3 million and additions to property and equipment of $109.6 million. Such amounts were offset by proceeds from sales of short-term and long-term investments of $292.9 million.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The effects of the Company's recent acquisitions has been to increase significantly the Company's revenues and expenses resulting in substantial increases in its operating income before depreciation and amortization, depreciation and amortization expense and interest expense (see "Operating Results by Business Segment" following). As a result of the increases in depreciation and amortization expense and interest expense associated with these acquisitions and their financing, it is expected that the Company will continue to recognize substantial losses for the foreseeable future.</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477" w:right="1440" w:bottom="1440" w:gutter="0" w:footer="0" w:header="0"/>
        </w:sectPr>
      </w:pPr>
    </w:p>
    <w:bookmarkStart w:id="16" w:name="page17"/>
    <w:bookmarkEnd w:id="16"/>
    <w:tbl>
      <w:tblPr>
        <w:tblLayout w:type="fixed"/>
        <w:tblInd w:w="3" w:type="dxa"/>
        <w:tblCellMar>
          <w:top w:w="0" w:type="dxa"/>
          <w:left w:w="0" w:type="dxa"/>
          <w:bottom w:w="0" w:type="dxa"/>
          <w:right w:w="0" w:type="dxa"/>
        </w:tblCellMar>
      </w:tblPr>
      <w:tr>
        <w:trPr>
          <w:trHeight w:val="181"/>
        </w:trPr>
        <w:tc>
          <w:tcPr>
            <w:tcW w:w="1520" w:type="dxa"/>
            <w:vAlign w:val="bottom"/>
          </w:tcPr>
          <w:p>
            <w:pPr>
              <w:spacing w:after="0"/>
              <w:rPr>
                <w:sz w:val="15"/>
                <w:szCs w:val="15"/>
                <w:color w:val="auto"/>
              </w:rPr>
            </w:pPr>
          </w:p>
        </w:tc>
        <w:tc>
          <w:tcPr>
            <w:tcW w:w="45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COMCAST CORPORATION AND SUBSIDIARIES</w:t>
            </w: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3200" w:type="dxa"/>
            <w:vAlign w:val="bottom"/>
          </w:tcPr>
          <w:p>
            <w:pPr>
              <w:ind w:left="1880"/>
              <w:spacing w:after="0"/>
              <w:rPr>
                <w:sz w:val="20"/>
                <w:szCs w:val="20"/>
                <w:color w:val="auto"/>
              </w:rPr>
            </w:pPr>
            <w:r>
              <w:rPr>
                <w:rFonts w:ascii="Courier New" w:cs="Courier New" w:eastAsia="Courier New" w:hAnsi="Courier New"/>
                <w:sz w:val="16"/>
                <w:szCs w:val="16"/>
                <w:color w:val="auto"/>
              </w:rPr>
              <w:t>FORM 10-Q</w:t>
            </w:r>
          </w:p>
        </w:tc>
        <w:tc>
          <w:tcPr>
            <w:tcW w:w="1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1520" w:type="dxa"/>
            <w:vAlign w:val="bottom"/>
          </w:tcPr>
          <w:p>
            <w:pPr>
              <w:spacing w:after="0"/>
              <w:rPr>
                <w:sz w:val="15"/>
                <w:szCs w:val="15"/>
                <w:color w:val="auto"/>
              </w:rPr>
            </w:pPr>
          </w:p>
        </w:tc>
        <w:tc>
          <w:tcPr>
            <w:tcW w:w="3200" w:type="dxa"/>
            <w:vAlign w:val="bottom"/>
          </w:tcPr>
          <w:p>
            <w:pPr>
              <w:ind w:left="940"/>
              <w:spacing w:after="0"/>
              <w:rPr>
                <w:sz w:val="20"/>
                <w:szCs w:val="20"/>
                <w:color w:val="auto"/>
              </w:rPr>
            </w:pPr>
            <w:r>
              <w:rPr>
                <w:rFonts w:ascii="Courier New" w:cs="Courier New" w:eastAsia="Courier New" w:hAnsi="Courier New"/>
                <w:sz w:val="16"/>
                <w:szCs w:val="16"/>
                <w:color w:val="auto"/>
              </w:rPr>
              <w:t>QUARTER ENDED MARCH 31,</w:t>
            </w:r>
          </w:p>
        </w:tc>
        <w:tc>
          <w:tcPr>
            <w:tcW w:w="1320" w:type="dxa"/>
            <w:vAlign w:val="bottom"/>
          </w:tcPr>
          <w:p>
            <w:pPr>
              <w:jc w:val="right"/>
              <w:ind w:right="861"/>
              <w:spacing w:after="0"/>
              <w:rPr>
                <w:sz w:val="20"/>
                <w:szCs w:val="20"/>
                <w:color w:val="auto"/>
              </w:rPr>
            </w:pPr>
            <w:r>
              <w:rPr>
                <w:rFonts w:ascii="Courier New" w:cs="Courier New" w:eastAsia="Courier New" w:hAnsi="Courier New"/>
                <w:sz w:val="16"/>
                <w:szCs w:val="16"/>
                <w:color w:val="auto"/>
                <w:w w:val="93"/>
              </w:rPr>
              <w:t>1996</w:t>
            </w: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4"/>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rPr>
              <w:t>Summarized  consolidated  financial  information</w:t>
            </w:r>
          </w:p>
        </w:tc>
        <w:tc>
          <w:tcPr>
            <w:tcW w:w="2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for the  Company for the three</w:t>
            </w: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2"/>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w w:val="97"/>
              </w:rPr>
              <w:t>months ended March 31, 1996 and 1995 is as follows</w:t>
            </w:r>
          </w:p>
        </w:tc>
        <w:tc>
          <w:tcPr>
            <w:tcW w:w="1320" w:type="dxa"/>
            <w:vAlign w:val="bottom"/>
          </w:tcPr>
          <w:p>
            <w:pPr>
              <w:jc w:val="right"/>
              <w:ind w:right="1"/>
              <w:spacing w:after="0"/>
              <w:rPr>
                <w:sz w:val="20"/>
                <w:szCs w:val="20"/>
                <w:color w:val="auto"/>
              </w:rPr>
            </w:pPr>
            <w:r>
              <w:rPr>
                <w:rFonts w:ascii="Courier New" w:cs="Courier New" w:eastAsia="Courier New" w:hAnsi="Courier New"/>
                <w:sz w:val="16"/>
                <w:szCs w:val="16"/>
                <w:color w:val="auto"/>
              </w:rPr>
              <w:t>(dollars in</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millions,  "NM"</w:t>
            </w: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2"/>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rPr>
              <w:t>denotes percentage is not meaningful):</w:t>
            </w:r>
          </w:p>
        </w:tc>
        <w:tc>
          <w:tcPr>
            <w:tcW w:w="13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546"/>
        </w:trPr>
        <w:tc>
          <w:tcPr>
            <w:tcW w:w="15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20" w:type="dxa"/>
            <w:vAlign w:val="bottom"/>
            <w:gridSpan w:val="2"/>
          </w:tcPr>
          <w:p>
            <w:pPr>
              <w:jc w:val="right"/>
              <w:ind w:right="441"/>
              <w:spacing w:after="0"/>
              <w:rPr>
                <w:sz w:val="20"/>
                <w:szCs w:val="20"/>
                <w:color w:val="auto"/>
              </w:rPr>
            </w:pPr>
            <w:r>
              <w:rPr>
                <w:rFonts w:ascii="Courier New" w:cs="Courier New" w:eastAsia="Courier New" w:hAnsi="Courier New"/>
                <w:sz w:val="16"/>
                <w:szCs w:val="16"/>
                <w:color w:val="auto"/>
              </w:rPr>
              <w:t>Three Months Ended</w:t>
            </w: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2"/>
        </w:trPr>
        <w:tc>
          <w:tcPr>
            <w:tcW w:w="15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March 31,</w:t>
            </w:r>
          </w:p>
        </w:tc>
        <w:tc>
          <w:tcPr>
            <w:tcW w:w="900" w:type="dxa"/>
            <w:vAlign w:val="bottom"/>
          </w:tcPr>
          <w:p>
            <w:pPr>
              <w:spacing w:after="0"/>
              <w:rPr>
                <w:sz w:val="15"/>
                <w:szCs w:val="15"/>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Increase / (Decrease)</w:t>
            </w:r>
          </w:p>
        </w:tc>
      </w:tr>
      <w:tr>
        <w:trPr>
          <w:trHeight w:val="182"/>
        </w:trPr>
        <w:tc>
          <w:tcPr>
            <w:tcW w:w="15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1996</w:t>
            </w:r>
          </w:p>
        </w:tc>
        <w:tc>
          <w:tcPr>
            <w:tcW w:w="9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3"/>
              </w:rPr>
              <w:t>1995</w:t>
            </w: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r>
      <w:tr>
        <w:trPr>
          <w:trHeight w:val="364"/>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w w:val="84"/>
              </w:rPr>
              <w:t>Revenues..................................................</w:t>
            </w:r>
          </w:p>
        </w:tc>
        <w:tc>
          <w:tcPr>
            <w:tcW w:w="1320" w:type="dxa"/>
            <w:vAlign w:val="bottom"/>
          </w:tcPr>
          <w:p>
            <w:pPr>
              <w:spacing w:after="0"/>
              <w:rPr>
                <w:sz w:val="24"/>
                <w:szCs w:val="24"/>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$950.7</w:t>
            </w: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$663.6</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$287.1</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43.3%</w:t>
            </w:r>
          </w:p>
        </w:tc>
      </w:tr>
      <w:tr>
        <w:trPr>
          <w:trHeight w:val="182"/>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32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270.1</w:t>
            </w: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138.1</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132.0</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95.6</w:t>
            </w:r>
          </w:p>
        </w:tc>
      </w:tr>
      <w:tr>
        <w:trPr>
          <w:trHeight w:val="182"/>
        </w:trPr>
        <w:tc>
          <w:tcPr>
            <w:tcW w:w="6040" w:type="dxa"/>
            <w:vAlign w:val="bottom"/>
            <w:gridSpan w:val="3"/>
          </w:tcPr>
          <w:p>
            <w:pPr>
              <w:spacing w:after="0"/>
              <w:rPr>
                <w:sz w:val="20"/>
                <w:szCs w:val="20"/>
                <w:color w:val="auto"/>
              </w:rPr>
            </w:pPr>
            <w:r>
              <w:rPr>
                <w:rFonts w:ascii="Courier New" w:cs="Courier New" w:eastAsia="Courier New" w:hAnsi="Courier New"/>
                <w:sz w:val="16"/>
                <w:szCs w:val="16"/>
                <w:color w:val="auto"/>
              </w:rPr>
              <w:t>Operating, selling, general and administrative expenses</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410.5</w:t>
            </w: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305.9</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104.6</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34.2</w:t>
            </w:r>
          </w:p>
        </w:tc>
      </w:tr>
      <w:tr>
        <w:trPr>
          <w:trHeight w:val="182"/>
        </w:trPr>
        <w:tc>
          <w:tcPr>
            <w:tcW w:w="15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4"/>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rPr>
              <w:t>Operating income before depreciation and</w:t>
            </w: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2"/>
        </w:trPr>
        <w:tc>
          <w:tcPr>
            <w:tcW w:w="1520" w:type="dxa"/>
            <w:vAlign w:val="bottom"/>
          </w:tcPr>
          <w:p>
            <w:pPr>
              <w:ind w:left="280"/>
              <w:spacing w:after="0"/>
              <w:rPr>
                <w:sz w:val="20"/>
                <w:szCs w:val="20"/>
                <w:color w:val="auto"/>
              </w:rPr>
            </w:pPr>
            <w:r>
              <w:rPr>
                <w:rFonts w:ascii="Courier New" w:cs="Courier New" w:eastAsia="Courier New" w:hAnsi="Courier New"/>
                <w:sz w:val="16"/>
                <w:szCs w:val="16"/>
                <w:color w:val="auto"/>
              </w:rPr>
              <w:t>amortization</w:t>
            </w:r>
          </w:p>
        </w:tc>
        <w:tc>
          <w:tcPr>
            <w:tcW w:w="45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w w:val="97"/>
              </w:rPr>
              <w:t>(1) ......................................</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270.1</w:t>
            </w: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219.6</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50.5</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23.0</w:t>
            </w:r>
          </w:p>
        </w:tc>
      </w:tr>
      <w:tr>
        <w:trPr>
          <w:trHeight w:val="182"/>
        </w:trPr>
        <w:tc>
          <w:tcPr>
            <w:tcW w:w="6040" w:type="dxa"/>
            <w:vAlign w:val="bottom"/>
            <w:gridSpan w:val="3"/>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156.8</w:t>
            </w: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243.5</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(86.7)</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(35.6)</w:t>
            </w:r>
          </w:p>
        </w:tc>
      </w:tr>
      <w:tr>
        <w:trPr>
          <w:trHeight w:val="182"/>
        </w:trPr>
        <w:tc>
          <w:tcPr>
            <w:tcW w:w="15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4"/>
        </w:trPr>
        <w:tc>
          <w:tcPr>
            <w:tcW w:w="6040" w:type="dxa"/>
            <w:vAlign w:val="bottom"/>
            <w:gridSpan w:val="3"/>
          </w:tcPr>
          <w:p>
            <w:pPr>
              <w:spacing w:after="0"/>
              <w:rPr>
                <w:sz w:val="20"/>
                <w:szCs w:val="20"/>
                <w:color w:val="auto"/>
              </w:rPr>
            </w:pPr>
            <w:r>
              <w:rPr>
                <w:rFonts w:ascii="Courier New" w:cs="Courier New" w:eastAsia="Courier New" w:hAnsi="Courier New"/>
                <w:sz w:val="16"/>
                <w:szCs w:val="16"/>
                <w:color w:val="auto"/>
              </w:rPr>
              <w:t>Operating income (loss)...................................</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113.3</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(23.9)</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137.2</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NM</w:t>
            </w:r>
          </w:p>
        </w:tc>
      </w:tr>
      <w:tr>
        <w:trPr>
          <w:trHeight w:val="182"/>
        </w:trPr>
        <w:tc>
          <w:tcPr>
            <w:tcW w:w="15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4"/>
        </w:trPr>
        <w:tc>
          <w:tcPr>
            <w:tcW w:w="1520" w:type="dxa"/>
            <w:vAlign w:val="bottom"/>
          </w:tcPr>
          <w:p>
            <w:pPr>
              <w:spacing w:after="0"/>
              <w:rPr>
                <w:sz w:val="20"/>
                <w:szCs w:val="20"/>
                <w:color w:val="auto"/>
              </w:rPr>
            </w:pPr>
            <w:r>
              <w:rPr>
                <w:rFonts w:ascii="Courier New" w:cs="Courier New" w:eastAsia="Courier New" w:hAnsi="Courier New"/>
                <w:sz w:val="16"/>
                <w:szCs w:val="16"/>
                <w:color w:val="auto"/>
                <w:w w:val="97"/>
              </w:rPr>
              <w:t>Interest expense</w:t>
            </w:r>
          </w:p>
        </w:tc>
        <w:tc>
          <w:tcPr>
            <w:tcW w:w="452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w w:val="97"/>
              </w:rPr>
              <w:t>..........................................</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134.8</w:t>
            </w: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117.6</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17.2</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14.6</w:t>
            </w:r>
          </w:p>
        </w:tc>
      </w:tr>
      <w:tr>
        <w:trPr>
          <w:trHeight w:val="182"/>
        </w:trPr>
        <w:tc>
          <w:tcPr>
            <w:tcW w:w="6040" w:type="dxa"/>
            <w:vAlign w:val="bottom"/>
            <w:gridSpan w:val="3"/>
          </w:tcPr>
          <w:p>
            <w:pPr>
              <w:spacing w:after="0"/>
              <w:rPr>
                <w:sz w:val="20"/>
                <w:szCs w:val="20"/>
                <w:color w:val="auto"/>
              </w:rPr>
            </w:pPr>
            <w:r>
              <w:rPr>
                <w:rFonts w:ascii="Courier New" w:cs="Courier New" w:eastAsia="Courier New" w:hAnsi="Courier New"/>
                <w:sz w:val="16"/>
                <w:szCs w:val="16"/>
                <w:color w:val="auto"/>
              </w:rPr>
              <w:t>Investment income.........................................</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(18.6)</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(152.8)</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(134.2)</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(87.8)</w:t>
            </w:r>
          </w:p>
        </w:tc>
      </w:tr>
      <w:tr>
        <w:trPr>
          <w:trHeight w:val="182"/>
        </w:trPr>
        <w:tc>
          <w:tcPr>
            <w:tcW w:w="6040" w:type="dxa"/>
            <w:vAlign w:val="bottom"/>
            <w:gridSpan w:val="3"/>
          </w:tcPr>
          <w:p>
            <w:pPr>
              <w:spacing w:after="0"/>
              <w:rPr>
                <w:sz w:val="20"/>
                <w:szCs w:val="20"/>
                <w:color w:val="auto"/>
              </w:rPr>
            </w:pPr>
            <w:r>
              <w:rPr>
                <w:rFonts w:ascii="Courier New" w:cs="Courier New" w:eastAsia="Courier New" w:hAnsi="Courier New"/>
                <w:sz w:val="16"/>
                <w:szCs w:val="16"/>
                <w:color w:val="auto"/>
              </w:rPr>
              <w:t>Equity in net losses of affiliates........................</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34.5</w:t>
            </w: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16.4</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18.1</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NM</w:t>
            </w:r>
          </w:p>
        </w:tc>
      </w:tr>
      <w:tr>
        <w:trPr>
          <w:trHeight w:val="182"/>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w w:val="84"/>
              </w:rPr>
              <w:t>Other.....................................................</w:t>
            </w:r>
          </w:p>
        </w:tc>
        <w:tc>
          <w:tcPr>
            <w:tcW w:w="132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11.4</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(0.3)</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11.7</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NM</w:t>
            </w:r>
          </w:p>
        </w:tc>
      </w:tr>
      <w:tr>
        <w:trPr>
          <w:trHeight w:val="182"/>
        </w:trPr>
        <w:tc>
          <w:tcPr>
            <w:tcW w:w="6040" w:type="dxa"/>
            <w:vAlign w:val="bottom"/>
            <w:gridSpan w:val="3"/>
          </w:tcPr>
          <w:p>
            <w:pPr>
              <w:spacing w:after="0"/>
              <w:rPr>
                <w:sz w:val="20"/>
                <w:szCs w:val="20"/>
                <w:color w:val="auto"/>
              </w:rPr>
            </w:pPr>
            <w:r>
              <w:rPr>
                <w:rFonts w:ascii="Courier New" w:cs="Courier New" w:eastAsia="Courier New" w:hAnsi="Courier New"/>
                <w:sz w:val="16"/>
                <w:szCs w:val="16"/>
                <w:color w:val="auto"/>
              </w:rPr>
              <w:t>Income tax expense........................................</w:t>
            </w: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0.9</w:t>
            </w: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3.9</w:t>
            </w:r>
          </w:p>
        </w:tc>
        <w:tc>
          <w:tcPr>
            <w:tcW w:w="12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(3.0)</w:t>
            </w:r>
          </w:p>
        </w:tc>
        <w:tc>
          <w:tcPr>
            <w:tcW w:w="9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(76.9)</w:t>
            </w:r>
          </w:p>
        </w:tc>
      </w:tr>
      <w:tr>
        <w:trPr>
          <w:trHeight w:val="182"/>
        </w:trPr>
        <w:tc>
          <w:tcPr>
            <w:tcW w:w="6040" w:type="dxa"/>
            <w:vAlign w:val="bottom"/>
            <w:gridSpan w:val="3"/>
          </w:tcPr>
          <w:p>
            <w:pPr>
              <w:spacing w:after="0"/>
              <w:rPr>
                <w:sz w:val="20"/>
                <w:szCs w:val="20"/>
                <w:color w:val="auto"/>
              </w:rPr>
            </w:pPr>
            <w:r>
              <w:rPr>
                <w:rFonts w:ascii="Courier New" w:cs="Courier New" w:eastAsia="Courier New" w:hAnsi="Courier New"/>
                <w:sz w:val="16"/>
                <w:szCs w:val="16"/>
                <w:color w:val="auto"/>
              </w:rPr>
              <w:t>Minority interest.........................................</w:t>
            </w: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(15.1)</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(8.1)</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7.0</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86.4</w:t>
            </w:r>
          </w:p>
        </w:tc>
      </w:tr>
      <w:tr>
        <w:trPr>
          <w:trHeight w:val="182"/>
        </w:trPr>
        <w:tc>
          <w:tcPr>
            <w:tcW w:w="15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w w:val="97"/>
              </w:rPr>
              <w:t>------</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64"/>
        </w:trPr>
        <w:tc>
          <w:tcPr>
            <w:tcW w:w="4720" w:type="dxa"/>
            <w:vAlign w:val="bottom"/>
            <w:gridSpan w:val="2"/>
          </w:tcPr>
          <w:p>
            <w:pPr>
              <w:spacing w:after="0"/>
              <w:rPr>
                <w:sz w:val="20"/>
                <w:szCs w:val="20"/>
                <w:color w:val="auto"/>
              </w:rPr>
            </w:pPr>
            <w:r>
              <w:rPr>
                <w:rFonts w:ascii="Courier New" w:cs="Courier New" w:eastAsia="Courier New" w:hAnsi="Courier New"/>
                <w:sz w:val="16"/>
                <w:szCs w:val="16"/>
                <w:color w:val="auto"/>
                <w:w w:val="84"/>
              </w:rPr>
              <w:t>Net loss..................................................</w:t>
            </w:r>
          </w:p>
        </w:tc>
        <w:tc>
          <w:tcPr>
            <w:tcW w:w="1320" w:type="dxa"/>
            <w:vAlign w:val="bottom"/>
          </w:tcPr>
          <w:p>
            <w:pPr>
              <w:spacing w:after="0"/>
              <w:rPr>
                <w:sz w:val="24"/>
                <w:szCs w:val="24"/>
                <w:color w:val="auto"/>
              </w:rPr>
            </w:pPr>
          </w:p>
        </w:tc>
        <w:tc>
          <w:tcPr>
            <w:tcW w:w="15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($34.6)</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($0.6)</w:t>
            </w:r>
          </w:p>
        </w:tc>
        <w:tc>
          <w:tcPr>
            <w:tcW w:w="12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$34.0</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NM</w:t>
            </w:r>
          </w:p>
        </w:tc>
      </w:tr>
      <w:tr>
        <w:trPr>
          <w:trHeight w:val="182"/>
        </w:trPr>
        <w:tc>
          <w:tcPr>
            <w:tcW w:w="15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5" w:lineRule="exact"/>
        <w:rPr>
          <w:sz w:val="20"/>
          <w:szCs w:val="20"/>
          <w:color w:val="auto"/>
        </w:rPr>
      </w:pPr>
    </w:p>
    <w:p>
      <w:pPr>
        <w:jc w:val="both"/>
        <w:ind w:left="463" w:right="3120" w:hanging="463"/>
        <w:spacing w:after="0"/>
        <w:tabs>
          <w:tab w:leader="none" w:pos="46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the Company's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 See "Statement of Cash Flows" above for a discussion of net cash provided by operating activities.</w:t>
      </w:r>
    </w:p>
    <w:p>
      <w:pPr>
        <w:spacing w:after="0" w:line="200" w:lineRule="exact"/>
        <w:rPr>
          <w:sz w:val="20"/>
          <w:szCs w:val="20"/>
          <w:color w:val="auto"/>
        </w:rPr>
      </w:pPr>
    </w:p>
    <w:p>
      <w:pPr>
        <w:spacing w:after="0" w:line="35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Operating Results by Business Segment</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Domestic Cable Communications</w:t>
      </w:r>
    </w:p>
    <w:p>
      <w:pPr>
        <w:spacing w:after="0" w:line="186" w:lineRule="exact"/>
        <w:rPr>
          <w:sz w:val="20"/>
          <w:szCs w:val="20"/>
          <w:color w:val="auto"/>
        </w:rPr>
      </w:pPr>
    </w:p>
    <w:p>
      <w:pPr>
        <w:ind w:left="3" w:right="3120"/>
        <w:spacing w:after="0" w:line="237" w:lineRule="auto"/>
        <w:rPr>
          <w:sz w:val="20"/>
          <w:szCs w:val="20"/>
          <w:color w:val="auto"/>
        </w:rPr>
      </w:pPr>
      <w:r>
        <w:rPr>
          <w:rFonts w:ascii="Courier New" w:cs="Courier New" w:eastAsia="Courier New" w:hAnsi="Courier New"/>
          <w:sz w:val="16"/>
          <w:szCs w:val="16"/>
          <w:color w:val="auto"/>
        </w:rPr>
        <w:t>The following table sets forth operating results for the Company's domestic cable communications segment (dollars in millions).</w:t>
      </w:r>
    </w:p>
    <w:p>
      <w:pPr>
        <w:spacing w:after="0" w:line="200" w:lineRule="exact"/>
        <w:rPr>
          <w:sz w:val="20"/>
          <w:szCs w:val="20"/>
          <w:color w:val="auto"/>
        </w:rPr>
      </w:pPr>
    </w:p>
    <w:p>
      <w:pPr>
        <w:spacing w:after="0" w:line="347"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4680" w:type="dxa"/>
            <w:vAlign w:val="bottom"/>
          </w:tcPr>
          <w:p>
            <w:pPr>
              <w:spacing w:after="0"/>
              <w:rPr>
                <w:sz w:val="15"/>
                <w:szCs w:val="15"/>
                <w:color w:val="auto"/>
              </w:rPr>
            </w:pPr>
          </w:p>
        </w:tc>
        <w:tc>
          <w:tcPr>
            <w:tcW w:w="3080" w:type="dxa"/>
            <w:vAlign w:val="bottom"/>
            <w:gridSpan w:val="2"/>
          </w:tcPr>
          <w:p>
            <w:pPr>
              <w:jc w:val="right"/>
              <w:ind w:right="781"/>
              <w:spacing w:after="0"/>
              <w:rPr>
                <w:sz w:val="20"/>
                <w:szCs w:val="20"/>
                <w:color w:val="auto"/>
              </w:rPr>
            </w:pPr>
            <w:r>
              <w:rPr>
                <w:rFonts w:ascii="Courier New" w:cs="Courier New" w:eastAsia="Courier New" w:hAnsi="Courier New"/>
                <w:sz w:val="16"/>
                <w:szCs w:val="16"/>
                <w:color w:val="auto"/>
              </w:rPr>
              <w:t>Three Months Ended</w:t>
            </w:r>
          </w:p>
        </w:tc>
        <w:tc>
          <w:tcPr>
            <w:tcW w:w="11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2"/>
        </w:trPr>
        <w:tc>
          <w:tcPr>
            <w:tcW w:w="4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80" w:type="dxa"/>
            <w:vAlign w:val="bottom"/>
          </w:tcPr>
          <w:p>
            <w:pPr>
              <w:jc w:val="right"/>
              <w:ind w:right="1161"/>
              <w:spacing w:after="0"/>
              <w:rPr>
                <w:sz w:val="20"/>
                <w:szCs w:val="20"/>
                <w:color w:val="auto"/>
              </w:rPr>
            </w:pPr>
            <w:r>
              <w:rPr>
                <w:rFonts w:ascii="Courier New" w:cs="Courier New" w:eastAsia="Courier New" w:hAnsi="Courier New"/>
                <w:sz w:val="16"/>
                <w:szCs w:val="16"/>
                <w:color w:val="auto"/>
              </w:rPr>
              <w:t>March 31,</w:t>
            </w:r>
          </w:p>
        </w:tc>
        <w:tc>
          <w:tcPr>
            <w:tcW w:w="1120" w:type="dxa"/>
            <w:vAlign w:val="bottom"/>
          </w:tcPr>
          <w:p>
            <w:pPr>
              <w:spacing w:after="0"/>
              <w:rPr>
                <w:sz w:val="15"/>
                <w:szCs w:val="15"/>
                <w:color w:val="auto"/>
              </w:rPr>
            </w:pPr>
          </w:p>
        </w:tc>
        <w:tc>
          <w:tcPr>
            <w:tcW w:w="1520" w:type="dxa"/>
            <w:vAlign w:val="bottom"/>
          </w:tcPr>
          <w:p>
            <w:pPr>
              <w:ind w:left="100"/>
              <w:spacing w:after="0"/>
              <w:rPr>
                <w:sz w:val="20"/>
                <w:szCs w:val="20"/>
                <w:color w:val="auto"/>
              </w:rPr>
            </w:pPr>
            <w:r>
              <w:rPr>
                <w:rFonts w:ascii="Courier New" w:cs="Courier New" w:eastAsia="Courier New" w:hAnsi="Courier New"/>
                <w:sz w:val="16"/>
                <w:szCs w:val="16"/>
                <w:color w:val="auto"/>
              </w:rPr>
              <w:t>Increase</w:t>
            </w:r>
          </w:p>
        </w:tc>
      </w:tr>
      <w:tr>
        <w:trPr>
          <w:trHeight w:val="182"/>
        </w:trPr>
        <w:tc>
          <w:tcPr>
            <w:tcW w:w="468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1996</w:t>
            </w:r>
          </w:p>
        </w:tc>
        <w:tc>
          <w:tcPr>
            <w:tcW w:w="21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center"/>
              <w:ind w:left="981"/>
              <w:spacing w:after="0"/>
              <w:rPr>
                <w:sz w:val="20"/>
                <w:szCs w:val="20"/>
                <w:color w:val="auto"/>
              </w:rPr>
            </w:pPr>
            <w:r>
              <w:rPr>
                <w:rFonts w:ascii="Courier New" w:cs="Courier New" w:eastAsia="Courier New" w:hAnsi="Courier New"/>
                <w:sz w:val="16"/>
                <w:szCs w:val="16"/>
                <w:color w:val="auto"/>
              </w:rPr>
              <w:t>%</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$382.3</w:t>
            </w:r>
          </w:p>
        </w:tc>
        <w:tc>
          <w:tcPr>
            <w:tcW w:w="21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$347.1</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$35.2</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99"/>
              </w:rPr>
              <w:t>10.1%</w:t>
            </w:r>
          </w:p>
        </w:tc>
      </w:tr>
      <w:tr>
        <w:trPr>
          <w:trHeight w:val="182"/>
        </w:trPr>
        <w:tc>
          <w:tcPr>
            <w:tcW w:w="468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w:t>
            </w:r>
          </w:p>
        </w:tc>
        <w:tc>
          <w:tcPr>
            <w:tcW w:w="9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2"/>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administrative expenses...................</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197.3</w:t>
            </w:r>
          </w:p>
        </w:tc>
        <w:tc>
          <w:tcPr>
            <w:tcW w:w="21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182.0</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15.3</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97"/>
              </w:rPr>
              <w:t>8.4</w:t>
            </w:r>
          </w:p>
        </w:tc>
      </w:tr>
      <w:tr>
        <w:trPr>
          <w:trHeight w:val="182"/>
        </w:trPr>
        <w:tc>
          <w:tcPr>
            <w:tcW w:w="46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spacing w:after="0"/>
              <w:rPr>
                <w:sz w:val="15"/>
                <w:szCs w:val="15"/>
                <w:color w:val="auto"/>
              </w:rPr>
            </w:pP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2"/>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$185.0</w:t>
            </w:r>
          </w:p>
        </w:tc>
        <w:tc>
          <w:tcPr>
            <w:tcW w:w="21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$165.1</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$19.9</w:t>
            </w:r>
          </w:p>
        </w:tc>
        <w:tc>
          <w:tcPr>
            <w:tcW w:w="1520" w:type="dxa"/>
            <w:vAlign w:val="bottom"/>
          </w:tcPr>
          <w:p>
            <w:pPr>
              <w:jc w:val="center"/>
              <w:ind w:left="961"/>
              <w:spacing w:after="0"/>
              <w:rPr>
                <w:sz w:val="20"/>
                <w:szCs w:val="20"/>
                <w:color w:val="auto"/>
              </w:rPr>
            </w:pPr>
            <w:r>
              <w:rPr>
                <w:rFonts w:ascii="Courier New" w:cs="Courier New" w:eastAsia="Courier New" w:hAnsi="Courier New"/>
                <w:sz w:val="16"/>
                <w:szCs w:val="16"/>
                <w:color w:val="auto"/>
                <w:w w:val="99"/>
              </w:rPr>
              <w:t>12.1%</w:t>
            </w:r>
          </w:p>
        </w:tc>
      </w:tr>
      <w:tr>
        <w:trPr>
          <w:trHeight w:val="182"/>
        </w:trPr>
        <w:tc>
          <w:tcPr>
            <w:tcW w:w="46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1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spacing w:after="0"/>
              <w:rPr>
                <w:sz w:val="15"/>
                <w:szCs w:val="15"/>
                <w:color w:val="auto"/>
              </w:rPr>
            </w:pP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 See footnote (1) above.</w:t>
      </w:r>
    </w:p>
    <w:p>
      <w:pPr>
        <w:spacing w:after="0" w:line="200" w:lineRule="exact"/>
        <w:rPr>
          <w:sz w:val="20"/>
          <w:szCs w:val="20"/>
          <w:color w:val="auto"/>
        </w:rPr>
      </w:pPr>
    </w:p>
    <w:p>
      <w:pPr>
        <w:spacing w:after="0" w:line="346"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683"/>
          </w:cols>
          <w:pgMar w:left="237" w:top="477" w:right="979" w:bottom="701" w:gutter="0" w:footer="0" w:header="0"/>
        </w:sectPr>
      </w:pPr>
    </w:p>
    <w:bookmarkStart w:id="17" w:name="page18"/>
    <w:bookmarkEnd w:id="17"/>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1996</w:t>
      </w:r>
    </w:p>
    <w:p>
      <w:pPr>
        <w:spacing w:after="0" w:line="368" w:lineRule="exact"/>
        <w:rPr>
          <w:sz w:val="20"/>
          <w:szCs w:val="20"/>
          <w:color w:val="auto"/>
        </w:rPr>
      </w:pPr>
    </w:p>
    <w:p>
      <w:pPr>
        <w:jc w:val="both"/>
        <w:ind w:right="220"/>
        <w:spacing w:after="0" w:line="239" w:lineRule="auto"/>
        <w:rPr>
          <w:sz w:val="20"/>
          <w:szCs w:val="20"/>
          <w:color w:val="auto"/>
        </w:rPr>
      </w:pPr>
      <w:r>
        <w:rPr>
          <w:rFonts w:ascii="Courier New" w:cs="Courier New" w:eastAsia="Courier New" w:hAnsi="Courier New"/>
          <w:sz w:val="16"/>
          <w:szCs w:val="16"/>
          <w:color w:val="auto"/>
        </w:rPr>
        <w:t>Of the increase in service income of $35.2 million for the three month period from 1995 to 1996, $9.1 million is attributable to subscriber growth, $20.0 million relates to changes in rates and $6.1 million relates to growth in other product offerings.</w:t>
      </w:r>
    </w:p>
    <w:p>
      <w:pPr>
        <w:spacing w:after="0" w:line="187" w:lineRule="exact"/>
        <w:rPr>
          <w:sz w:val="20"/>
          <w:szCs w:val="20"/>
          <w:color w:val="auto"/>
        </w:rPr>
      </w:pPr>
    </w:p>
    <w:p>
      <w:pPr>
        <w:jc w:val="both"/>
        <w:ind w:right="220"/>
        <w:spacing w:after="0"/>
        <w:rPr>
          <w:sz w:val="20"/>
          <w:szCs w:val="20"/>
          <w:color w:val="auto"/>
        </w:rPr>
      </w:pPr>
      <w:r>
        <w:rPr>
          <w:rFonts w:ascii="Courier New" w:cs="Courier New" w:eastAsia="Courier New" w:hAnsi="Courier New"/>
          <w:sz w:val="16"/>
          <w:szCs w:val="16"/>
          <w:color w:val="auto"/>
        </w:rPr>
        <w:t>Of the $15.3 million increase in operating, selling, general and administrative expenses for the three month period from 1995 to 1996, $8.6 million is attributable to increases in the costs of cable programming as a result of subscriber growth, additional programming offerings and changes in rates and $6.7 million results from increases in the cost of labor and other volume related expenses. It is anticipated that the Company's cost of cable programming will increase in the future as cable programming rates increase and additional sources of cable programming become available.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Electronic Retailing</w:t>
      </w:r>
    </w:p>
    <w:p>
      <w:pPr>
        <w:spacing w:after="0" w:line="186" w:lineRule="exact"/>
        <w:rPr>
          <w:sz w:val="20"/>
          <w:szCs w:val="20"/>
          <w:color w:val="auto"/>
        </w:rPr>
      </w:pPr>
    </w:p>
    <w:p>
      <w:pPr>
        <w:jc w:val="both"/>
        <w:ind w:right="220"/>
        <w:spacing w:after="0" w:line="239" w:lineRule="auto"/>
        <w:rPr>
          <w:sz w:val="20"/>
          <w:szCs w:val="20"/>
          <w:color w:val="auto"/>
        </w:rPr>
      </w:pPr>
      <w:r>
        <w:rPr>
          <w:rFonts w:ascii="Courier New" w:cs="Courier New" w:eastAsia="Courier New" w:hAnsi="Courier New"/>
          <w:sz w:val="16"/>
          <w:szCs w:val="16"/>
          <w:color w:val="auto"/>
        </w:rPr>
        <w:t>As a result of the QVC Acquisition, the Company commenced consolidating the financial results of QVC, effective February 1, 1995. The following table presents comparative financial information for the three months ended March 31, 1996 and pro forma financial information for the three months ended March 31, 1995, and is presented herein for purposes of analysis and may not reflect what actual operating results would have been had the Company owned QVC since January 1, 1995 (dollars in millions).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20" w:type="dxa"/>
            <w:vAlign w:val="bottom"/>
          </w:tcPr>
          <w:p>
            <w:pPr>
              <w:spacing w:after="0"/>
              <w:rPr>
                <w:sz w:val="15"/>
                <w:szCs w:val="15"/>
                <w:color w:val="auto"/>
              </w:rPr>
            </w:pPr>
          </w:p>
        </w:tc>
        <w:tc>
          <w:tcPr>
            <w:tcW w:w="25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4820" w:type="dxa"/>
            <w:vAlign w:val="bottom"/>
          </w:tcPr>
          <w:p>
            <w:pPr>
              <w:spacing w:after="0"/>
              <w:rPr>
                <w:sz w:val="15"/>
                <w:szCs w:val="15"/>
                <w:color w:val="auto"/>
              </w:rPr>
            </w:pPr>
          </w:p>
        </w:tc>
        <w:tc>
          <w:tcPr>
            <w:tcW w:w="1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March 31,</w:t>
            </w:r>
          </w:p>
        </w:tc>
        <w:tc>
          <w:tcPr>
            <w:tcW w:w="760" w:type="dxa"/>
            <w:vAlign w:val="bottom"/>
          </w:tcPr>
          <w:p>
            <w:pPr>
              <w:spacing w:after="0"/>
              <w:rPr>
                <w:sz w:val="15"/>
                <w:szCs w:val="15"/>
                <w:color w:val="auto"/>
              </w:rPr>
            </w:pPr>
          </w:p>
        </w:tc>
      </w:tr>
      <w:tr>
        <w:trPr>
          <w:trHeight w:val="182"/>
        </w:trPr>
        <w:tc>
          <w:tcPr>
            <w:tcW w:w="4820" w:type="dxa"/>
            <w:vAlign w:val="bottom"/>
          </w:tcPr>
          <w:p>
            <w:pPr>
              <w:spacing w:after="0"/>
              <w:rPr>
                <w:sz w:val="15"/>
                <w:szCs w:val="15"/>
                <w:color w:val="auto"/>
              </w:rPr>
            </w:pPr>
          </w:p>
        </w:tc>
        <w:tc>
          <w:tcPr>
            <w:tcW w:w="1800" w:type="dxa"/>
            <w:vAlign w:val="bottom"/>
          </w:tcPr>
          <w:p>
            <w:pPr>
              <w:ind w:left="380"/>
              <w:spacing w:after="0"/>
              <w:rPr>
                <w:sz w:val="20"/>
                <w:szCs w:val="20"/>
                <w:color w:val="auto"/>
              </w:rPr>
            </w:pPr>
            <w:r>
              <w:rPr>
                <w:rFonts w:ascii="Courier New" w:cs="Courier New" w:eastAsia="Courier New" w:hAnsi="Courier New"/>
                <w:sz w:val="16"/>
                <w:szCs w:val="16"/>
                <w:color w:val="auto"/>
              </w:rPr>
              <w:t>1996</w:t>
            </w:r>
          </w:p>
        </w:tc>
        <w:tc>
          <w:tcPr>
            <w:tcW w:w="7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1995</w:t>
            </w:r>
          </w:p>
        </w:tc>
      </w:tr>
      <w:tr>
        <w:trPr>
          <w:trHeight w:val="364"/>
        </w:trPr>
        <w:tc>
          <w:tcPr>
            <w:tcW w:w="4820" w:type="dxa"/>
            <w:vAlign w:val="bottom"/>
          </w:tcPr>
          <w:p>
            <w:pPr>
              <w:spacing w:after="0"/>
              <w:rPr>
                <w:sz w:val="20"/>
                <w:szCs w:val="20"/>
                <w:color w:val="auto"/>
              </w:rPr>
            </w:pPr>
            <w:r>
              <w:rPr>
                <w:rFonts w:ascii="Courier New" w:cs="Courier New" w:eastAsia="Courier New" w:hAnsi="Courier New"/>
                <w:sz w:val="16"/>
                <w:szCs w:val="16"/>
                <w:color w:val="auto"/>
              </w:rPr>
              <w:t>Net sales from electronic retailing</w:t>
            </w:r>
          </w:p>
        </w:tc>
        <w:tc>
          <w:tcPr>
            <w:tcW w:w="18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$450.1</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$358.5</w:t>
            </w: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Cost of goods sold from electronic retailing</w:t>
            </w:r>
          </w:p>
        </w:tc>
        <w:tc>
          <w:tcPr>
            <w:tcW w:w="18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270.1</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216.1</w:t>
            </w: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18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2"/>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18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107.6</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80.3</w:t>
            </w:r>
          </w:p>
        </w:tc>
      </w:tr>
      <w:tr>
        <w:trPr>
          <w:trHeight w:val="182"/>
        </w:trPr>
        <w:tc>
          <w:tcPr>
            <w:tcW w:w="4820" w:type="dxa"/>
            <w:vAlign w:val="bottom"/>
          </w:tcPr>
          <w:p>
            <w:pPr>
              <w:spacing w:after="0"/>
              <w:rPr>
                <w:sz w:val="15"/>
                <w:szCs w:val="15"/>
                <w:color w:val="auto"/>
              </w:rPr>
            </w:pPr>
          </w:p>
        </w:tc>
        <w:tc>
          <w:tcPr>
            <w:tcW w:w="18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82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482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18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$72.4</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$62.1</w:t>
            </w:r>
          </w:p>
        </w:tc>
      </w:tr>
      <w:tr>
        <w:trPr>
          <w:trHeight w:val="182"/>
        </w:trPr>
        <w:tc>
          <w:tcPr>
            <w:tcW w:w="4820" w:type="dxa"/>
            <w:vAlign w:val="bottom"/>
          </w:tcPr>
          <w:p>
            <w:pPr>
              <w:spacing w:after="0"/>
              <w:rPr>
                <w:sz w:val="15"/>
                <w:szCs w:val="15"/>
                <w:color w:val="auto"/>
              </w:rPr>
            </w:pPr>
          </w:p>
        </w:tc>
        <w:tc>
          <w:tcPr>
            <w:tcW w:w="180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482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80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40.0%</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39.7%</w:t>
            </w:r>
          </w:p>
        </w:tc>
      </w:tr>
      <w:tr>
        <w:trPr>
          <w:trHeight w:val="364"/>
        </w:trPr>
        <w:tc>
          <w:tcPr>
            <w:tcW w:w="4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(a) See footnote (1) on page 15.</w:t>
            </w:r>
          </w:p>
        </w:tc>
        <w:tc>
          <w:tcPr>
            <w:tcW w:w="180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pacing w:after="0" w:line="200" w:lineRule="exact"/>
        <w:rPr>
          <w:sz w:val="20"/>
          <w:szCs w:val="20"/>
          <w:color w:val="auto"/>
        </w:rPr>
      </w:pPr>
    </w:p>
    <w:p>
      <w:pPr>
        <w:spacing w:after="0" w:line="350" w:lineRule="exact"/>
        <w:rPr>
          <w:sz w:val="20"/>
          <w:szCs w:val="20"/>
          <w:color w:val="auto"/>
        </w:rPr>
      </w:pPr>
    </w:p>
    <w:p>
      <w:pPr>
        <w:jc w:val="both"/>
        <w:ind w:right="220"/>
        <w:spacing w:after="0" w:line="259" w:lineRule="auto"/>
        <w:rPr>
          <w:sz w:val="20"/>
          <w:szCs w:val="20"/>
          <w:color w:val="auto"/>
        </w:rPr>
      </w:pPr>
      <w:r>
        <w:rPr>
          <w:rFonts w:ascii="Courier New" w:cs="Courier New" w:eastAsia="Courier New" w:hAnsi="Courier New"/>
          <w:sz w:val="15"/>
          <w:szCs w:val="15"/>
          <w:color w:val="auto"/>
        </w:rPr>
        <w:t>The consolidation of QVC's United Kingdom operations, effective April 1, 1995, resulted in an increase in net sales from electronic retailing of $21.2 million for the three month period from 1995 to 1996. The remaining increase of $70.4 million is primarily attributable to the effects of an 8.3% increase in the average number of QVC homes receiving QVC services in the United States.</w:t>
      </w:r>
    </w:p>
    <w:p>
      <w:pPr>
        <w:spacing w:after="0" w:line="174" w:lineRule="exact"/>
        <w:rPr>
          <w:sz w:val="20"/>
          <w:szCs w:val="20"/>
          <w:color w:val="auto"/>
        </w:rPr>
      </w:pPr>
    </w:p>
    <w:p>
      <w:pPr>
        <w:jc w:val="both"/>
        <w:ind w:right="220"/>
        <w:spacing w:after="0" w:line="238" w:lineRule="auto"/>
        <w:rPr>
          <w:sz w:val="20"/>
          <w:szCs w:val="20"/>
          <w:color w:val="auto"/>
        </w:rPr>
      </w:pPr>
      <w:r>
        <w:rPr>
          <w:rFonts w:ascii="Courier New" w:cs="Courier New" w:eastAsia="Courier New" w:hAnsi="Courier New"/>
          <w:sz w:val="16"/>
          <w:szCs w:val="16"/>
          <w:color w:val="auto"/>
        </w:rPr>
        <w:t>The increase in cost of goods sold from electronic retailing is directly related to the growth in net sales. Gross margin has remained relatively constant from 1995 to 1996.</w:t>
      </w:r>
    </w:p>
    <w:p>
      <w:pPr>
        <w:spacing w:after="0" w:line="188" w:lineRule="exact"/>
        <w:rPr>
          <w:sz w:val="20"/>
          <w:szCs w:val="20"/>
          <w:color w:val="auto"/>
        </w:rPr>
      </w:pPr>
    </w:p>
    <w:p>
      <w:pPr>
        <w:jc w:val="both"/>
        <w:ind w:right="220"/>
        <w:spacing w:after="0" w:line="239" w:lineRule="auto"/>
        <w:rPr>
          <w:sz w:val="20"/>
          <w:szCs w:val="20"/>
          <w:color w:val="auto"/>
        </w:rPr>
      </w:pPr>
      <w:r>
        <w:rPr>
          <w:rFonts w:ascii="Courier New" w:cs="Courier New" w:eastAsia="Courier New" w:hAnsi="Courier New"/>
          <w:sz w:val="16"/>
          <w:szCs w:val="16"/>
          <w:color w:val="auto"/>
        </w:rPr>
        <w:t>The consolidation of QVC's United Kingdom operations, effective April 1, 1995, resulted in an increase in operating, selling, general and administrative expenses of $10.2 million for the three month period from 1995 to 1996. The remaining increase of $17.1 million is attributable to higher sales volume and increases in advertising and administrative costs.</w:t>
      </w:r>
    </w:p>
    <w:p>
      <w:pPr>
        <w:spacing w:after="0" w:line="36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Increase</w:t>
      </w:r>
    </w:p>
    <w:p>
      <w:pPr>
        <w:spacing w:after="0" w:line="1" w:lineRule="exact"/>
        <w:rPr>
          <w:sz w:val="20"/>
          <w:szCs w:val="20"/>
          <w:color w:val="auto"/>
        </w:rPr>
      </w:pPr>
    </w:p>
    <w:p>
      <w:pPr>
        <w:ind w:left="1720" w:hanging="1522"/>
        <w:spacing w:after="0"/>
        <w:tabs>
          <w:tab w:leader="none" w:pos="17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$91.6</w:t>
            </w:r>
          </w:p>
        </w:tc>
        <w:tc>
          <w:tcPr>
            <w:tcW w:w="1000" w:type="dxa"/>
            <w:vAlign w:val="bottom"/>
          </w:tcPr>
          <w:p>
            <w:pPr>
              <w:ind w:left="520"/>
              <w:spacing w:after="0"/>
              <w:rPr>
                <w:sz w:val="20"/>
                <w:szCs w:val="20"/>
                <w:color w:val="auto"/>
              </w:rPr>
            </w:pPr>
            <w:r>
              <w:rPr>
                <w:rFonts w:ascii="Courier New" w:cs="Courier New" w:eastAsia="Courier New" w:hAnsi="Courier New"/>
                <w:sz w:val="16"/>
                <w:szCs w:val="16"/>
                <w:color w:val="auto"/>
                <w:w w:val="95"/>
              </w:rPr>
              <w:t>25.6%</w:t>
            </w:r>
          </w:p>
        </w:tc>
      </w:tr>
      <w:tr>
        <w:trPr>
          <w:trHeight w:val="182"/>
        </w:trPr>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54.0</w:t>
            </w:r>
          </w:p>
        </w:tc>
        <w:tc>
          <w:tcPr>
            <w:tcW w:w="1000" w:type="dxa"/>
            <w:vAlign w:val="bottom"/>
          </w:tcPr>
          <w:p>
            <w:pPr>
              <w:ind w:left="520"/>
              <w:spacing w:after="0"/>
              <w:rPr>
                <w:sz w:val="20"/>
                <w:szCs w:val="20"/>
                <w:color w:val="auto"/>
              </w:rPr>
            </w:pPr>
            <w:r>
              <w:rPr>
                <w:rFonts w:ascii="Courier New" w:cs="Courier New" w:eastAsia="Courier New" w:hAnsi="Courier New"/>
                <w:sz w:val="16"/>
                <w:szCs w:val="16"/>
                <w:color w:val="auto"/>
              </w:rPr>
              <w:t>25.0</w:t>
            </w:r>
          </w:p>
        </w:tc>
      </w:tr>
      <w:tr>
        <w:trPr>
          <w:trHeight w:val="364"/>
        </w:trPr>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27.3</w:t>
            </w:r>
          </w:p>
        </w:tc>
        <w:tc>
          <w:tcPr>
            <w:tcW w:w="1000" w:type="dxa"/>
            <w:vAlign w:val="bottom"/>
          </w:tcPr>
          <w:p>
            <w:pPr>
              <w:ind w:left="520"/>
              <w:spacing w:after="0"/>
              <w:rPr>
                <w:sz w:val="20"/>
                <w:szCs w:val="20"/>
                <w:color w:val="auto"/>
              </w:rPr>
            </w:pPr>
            <w:r>
              <w:rPr>
                <w:rFonts w:ascii="Courier New" w:cs="Courier New" w:eastAsia="Courier New" w:hAnsi="Courier New"/>
                <w:sz w:val="16"/>
                <w:szCs w:val="16"/>
                <w:color w:val="auto"/>
              </w:rPr>
              <w:t>34.0</w:t>
            </w:r>
          </w:p>
        </w:tc>
      </w:tr>
      <w:tr>
        <w:trPr>
          <w:trHeight w:val="182"/>
        </w:trPr>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w:t>
            </w:r>
          </w:p>
        </w:tc>
        <w:tc>
          <w:tcPr>
            <w:tcW w:w="1000" w:type="dxa"/>
            <w:vAlign w:val="bottom"/>
          </w:tcPr>
          <w:p>
            <w:pPr>
              <w:spacing w:after="0"/>
              <w:rPr>
                <w:sz w:val="15"/>
                <w:szCs w:val="15"/>
                <w:color w:val="auto"/>
              </w:rPr>
            </w:pPr>
          </w:p>
        </w:tc>
      </w:tr>
      <w:tr>
        <w:trPr>
          <w:trHeight w:val="546"/>
        </w:trPr>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$10.3</w:t>
            </w:r>
          </w:p>
        </w:tc>
        <w:tc>
          <w:tcPr>
            <w:tcW w:w="1000" w:type="dxa"/>
            <w:vAlign w:val="bottom"/>
          </w:tcPr>
          <w:p>
            <w:pPr>
              <w:ind w:left="520"/>
              <w:spacing w:after="0"/>
              <w:rPr>
                <w:sz w:val="20"/>
                <w:szCs w:val="20"/>
                <w:color w:val="auto"/>
              </w:rPr>
            </w:pPr>
            <w:r>
              <w:rPr>
                <w:rFonts w:ascii="Courier New" w:cs="Courier New" w:eastAsia="Courier New" w:hAnsi="Courier New"/>
                <w:sz w:val="16"/>
                <w:szCs w:val="16"/>
                <w:color w:val="auto"/>
                <w:w w:val="95"/>
              </w:rPr>
              <w:t>16.6%</w:t>
            </w:r>
          </w:p>
        </w:tc>
      </w:tr>
      <w:tr>
        <w:trPr>
          <w:trHeight w:val="182"/>
        </w:trPr>
        <w:tc>
          <w:tcPr>
            <w:tcW w:w="1000" w:type="dxa"/>
            <w:vAlign w:val="bottom"/>
          </w:tcPr>
          <w:p>
            <w:pPr>
              <w:jc w:val="right"/>
              <w:ind w:right="441"/>
              <w:spacing w:after="0"/>
              <w:rPr>
                <w:sz w:val="20"/>
                <w:szCs w:val="20"/>
                <w:color w:val="auto"/>
              </w:rPr>
            </w:pPr>
            <w:r>
              <w:rPr>
                <w:rFonts w:ascii="Courier New" w:cs="Courier New" w:eastAsia="Courier New" w:hAnsi="Courier New"/>
                <w:sz w:val="16"/>
                <w:szCs w:val="16"/>
                <w:color w:val="auto"/>
                <w:w w:val="95"/>
              </w:rPr>
              <w:t>=====</w:t>
            </w:r>
          </w:p>
        </w:tc>
        <w:tc>
          <w:tcPr>
            <w:tcW w:w="1000" w:type="dxa"/>
            <w:vAlign w:val="bottom"/>
          </w:tcPr>
          <w:p>
            <w:pPr>
              <w:spacing w:after="0"/>
              <w:rPr>
                <w:sz w:val="15"/>
                <w:szCs w:val="15"/>
                <w:color w:val="auto"/>
              </w:rPr>
            </w:pPr>
          </w:p>
        </w:tc>
      </w:tr>
    </w:tbl>
    <w:p>
      <w:pPr>
        <w:sectPr>
          <w:pgSz w:w="11900" w:h="16838" w:orient="portrait"/>
          <w:cols w:equalWidth="0" w:num="2">
            <w:col w:w="7780" w:space="720"/>
            <w:col w:w="2000"/>
          </w:cols>
          <w:pgMar w:left="240" w:top="659" w:right="1159" w:bottom="1440" w:gutter="0" w:footer="0" w:header="0"/>
        </w:sectPr>
      </w:pPr>
    </w:p>
    <w:bookmarkStart w:id="18" w:name="page19"/>
    <w:bookmarkEnd w:id="18"/>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1996</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Cellular Communications</w:t>
      </w:r>
    </w:p>
    <w:p>
      <w:pPr>
        <w:spacing w:after="0" w:line="186" w:lineRule="exact"/>
        <w:rPr>
          <w:sz w:val="20"/>
          <w:szCs w:val="20"/>
          <w:color w:val="auto"/>
        </w:rPr>
      </w:pPr>
    </w:p>
    <w:p>
      <w:pPr>
        <w:jc w:val="both"/>
        <w:ind w:right="40"/>
        <w:spacing w:after="0" w:line="237" w:lineRule="auto"/>
        <w:rPr>
          <w:sz w:val="20"/>
          <w:szCs w:val="20"/>
          <w:color w:val="auto"/>
        </w:rPr>
      </w:pPr>
      <w:r>
        <w:rPr>
          <w:rFonts w:ascii="Courier New" w:cs="Courier New" w:eastAsia="Courier New" w:hAnsi="Courier New"/>
          <w:sz w:val="16"/>
          <w:szCs w:val="16"/>
          <w:color w:val="auto"/>
        </w:rPr>
        <w:t>The following table sets forth the operating results for the Company's cellular communications segment (dollars in millions).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80" w:type="dxa"/>
            <w:vAlign w:val="bottom"/>
          </w:tcPr>
          <w:p>
            <w:pPr>
              <w:spacing w:after="0"/>
              <w:rPr>
                <w:sz w:val="15"/>
                <w:szCs w:val="15"/>
                <w:color w:val="auto"/>
              </w:rPr>
            </w:pPr>
          </w:p>
        </w:tc>
        <w:tc>
          <w:tcPr>
            <w:tcW w:w="24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rPr>
              <w:t>Three Months Ended</w:t>
            </w:r>
          </w:p>
        </w:tc>
      </w:tr>
      <w:tr>
        <w:trPr>
          <w:trHeight w:val="182"/>
        </w:trPr>
        <w:tc>
          <w:tcPr>
            <w:tcW w:w="4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March 31,</w:t>
            </w:r>
          </w:p>
        </w:tc>
      </w:tr>
      <w:tr>
        <w:trPr>
          <w:trHeight w:val="182"/>
        </w:trPr>
        <w:tc>
          <w:tcPr>
            <w:tcW w:w="4680" w:type="dxa"/>
            <w:vAlign w:val="bottom"/>
          </w:tcPr>
          <w:p>
            <w:pPr>
              <w:spacing w:after="0"/>
              <w:rPr>
                <w:sz w:val="15"/>
                <w:szCs w:val="15"/>
                <w:color w:val="auto"/>
              </w:rPr>
            </w:pPr>
          </w:p>
        </w:tc>
        <w:tc>
          <w:tcPr>
            <w:tcW w:w="9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1996</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r>
        <w:trPr>
          <w:trHeight w:val="364"/>
        </w:trPr>
        <w:tc>
          <w:tcPr>
            <w:tcW w:w="4680" w:type="dxa"/>
            <w:vAlign w:val="bottom"/>
          </w:tcPr>
          <w:p>
            <w:pPr>
              <w:spacing w:after="0"/>
              <w:rPr>
                <w:sz w:val="20"/>
                <w:szCs w:val="20"/>
                <w:color w:val="auto"/>
              </w:rPr>
            </w:pPr>
            <w:r>
              <w:rPr>
                <w:rFonts w:ascii="Courier New" w:cs="Courier New" w:eastAsia="Courier New" w:hAnsi="Courier New"/>
                <w:sz w:val="16"/>
                <w:szCs w:val="16"/>
                <w:color w:val="auto"/>
              </w:rPr>
              <w:t>Service income</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$98.2</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$82.2</w:t>
            </w:r>
          </w:p>
        </w:tc>
      </w:tr>
      <w:tr>
        <w:trPr>
          <w:trHeight w:val="182"/>
        </w:trPr>
        <w:tc>
          <w:tcPr>
            <w:tcW w:w="4680" w:type="dxa"/>
            <w:vAlign w:val="bottom"/>
          </w:tcPr>
          <w:p>
            <w:pPr>
              <w:spacing w:after="0"/>
              <w:rPr>
                <w:sz w:val="20"/>
                <w:szCs w:val="20"/>
                <w:color w:val="auto"/>
              </w:rPr>
            </w:pPr>
            <w:r>
              <w:rPr>
                <w:rFonts w:ascii="Courier New" w:cs="Courier New" w:eastAsia="Courier New" w:hAnsi="Courier New"/>
                <w:sz w:val="16"/>
                <w:szCs w:val="16"/>
                <w:color w:val="auto"/>
              </w:rPr>
              <w:t>Operating, selling, general and administrative</w:t>
            </w:r>
          </w:p>
        </w:tc>
        <w:tc>
          <w:tcPr>
            <w:tcW w:w="9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2"/>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expenses</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69.7</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51.0</w:t>
            </w:r>
          </w:p>
        </w:tc>
      </w:tr>
      <w:tr>
        <w:trPr>
          <w:trHeight w:val="182"/>
        </w:trPr>
        <w:tc>
          <w:tcPr>
            <w:tcW w:w="46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680" w:type="dxa"/>
            <w:vAlign w:val="bottom"/>
          </w:tcPr>
          <w:p>
            <w:pPr>
              <w:spacing w:after="0"/>
              <w:rPr>
                <w:sz w:val="20"/>
                <w:szCs w:val="20"/>
                <w:color w:val="auto"/>
              </w:rPr>
            </w:pPr>
            <w:r>
              <w:rPr>
                <w:rFonts w:ascii="Courier New" w:cs="Courier New" w:eastAsia="Courier New" w:hAnsi="Courier New"/>
                <w:sz w:val="16"/>
                <w:szCs w:val="16"/>
                <w:color w:val="auto"/>
              </w:rPr>
              <w:t>Operating income before depreciation</w:t>
            </w:r>
          </w:p>
        </w:tc>
        <w:tc>
          <w:tcPr>
            <w:tcW w:w="9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82"/>
        </w:trPr>
        <w:tc>
          <w:tcPr>
            <w:tcW w:w="4680" w:type="dxa"/>
            <w:vAlign w:val="bottom"/>
          </w:tcPr>
          <w:p>
            <w:pPr>
              <w:ind w:left="460"/>
              <w:spacing w:after="0"/>
              <w:rPr>
                <w:sz w:val="20"/>
                <w:szCs w:val="20"/>
                <w:color w:val="auto"/>
              </w:rPr>
            </w:pPr>
            <w:r>
              <w:rPr>
                <w:rFonts w:ascii="Courier New" w:cs="Courier New" w:eastAsia="Courier New" w:hAnsi="Courier New"/>
                <w:sz w:val="16"/>
                <w:szCs w:val="16"/>
                <w:color w:val="auto"/>
              </w:rPr>
              <w:t>and amortization (a)</w:t>
            </w: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$28.5</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$31.2</w:t>
            </w:r>
          </w:p>
        </w:tc>
      </w:tr>
      <w:tr>
        <w:trPr>
          <w:trHeight w:val="182"/>
        </w:trPr>
        <w:tc>
          <w:tcPr>
            <w:tcW w:w="4680" w:type="dxa"/>
            <w:vAlign w:val="bottom"/>
          </w:tcPr>
          <w:p>
            <w:pPr>
              <w:spacing w:after="0"/>
              <w:rPr>
                <w:sz w:val="15"/>
                <w:szCs w:val="15"/>
                <w:color w:val="auto"/>
              </w:rPr>
            </w:pPr>
          </w:p>
        </w:tc>
        <w:tc>
          <w:tcPr>
            <w:tcW w:w="9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See footnote (1) on page 15.</w:t>
      </w:r>
    </w:p>
    <w:p>
      <w:pPr>
        <w:spacing w:after="0" w:line="200" w:lineRule="exact"/>
        <w:rPr>
          <w:sz w:val="20"/>
          <w:szCs w:val="20"/>
          <w:color w:val="auto"/>
        </w:rPr>
      </w:pPr>
    </w:p>
    <w:p>
      <w:pPr>
        <w:spacing w:after="0" w:line="350" w:lineRule="exact"/>
        <w:rPr>
          <w:sz w:val="20"/>
          <w:szCs w:val="20"/>
          <w:color w:val="auto"/>
        </w:rPr>
      </w:pPr>
    </w:p>
    <w:p>
      <w:pPr>
        <w:jc w:val="both"/>
        <w:ind w:right="40"/>
        <w:spacing w:after="0" w:line="239" w:lineRule="auto"/>
        <w:rPr>
          <w:sz w:val="20"/>
          <w:szCs w:val="20"/>
          <w:color w:val="auto"/>
        </w:rPr>
      </w:pPr>
      <w:r>
        <w:rPr>
          <w:rFonts w:ascii="Courier New" w:cs="Courier New" w:eastAsia="Courier New" w:hAnsi="Courier New"/>
          <w:sz w:val="16"/>
          <w:szCs w:val="16"/>
          <w:color w:val="auto"/>
        </w:rPr>
        <w:t>Of the $16.0 million increase in service income for the three month period from 1995 to 1996, $20.7 million is attributable to the Company's subscriber growth and $2.2 million is attributable to other products. Offsetting this increase is a decrease of $6.9 million resulting from a reduction in the average rate per minute of use from 1995 to the same period in 1996.</w:t>
      </w:r>
    </w:p>
    <w:p>
      <w:pPr>
        <w:spacing w:after="0" w:line="189" w:lineRule="exact"/>
        <w:rPr>
          <w:sz w:val="20"/>
          <w:szCs w:val="20"/>
          <w:color w:val="auto"/>
        </w:rPr>
      </w:pPr>
    </w:p>
    <w:p>
      <w:pPr>
        <w:jc w:val="both"/>
        <w:ind w:right="40"/>
        <w:spacing w:after="0" w:line="239" w:lineRule="auto"/>
        <w:rPr>
          <w:sz w:val="20"/>
          <w:szCs w:val="20"/>
          <w:color w:val="auto"/>
        </w:rPr>
      </w:pPr>
      <w:r>
        <w:rPr>
          <w:rFonts w:ascii="Courier New" w:cs="Courier New" w:eastAsia="Courier New" w:hAnsi="Courier New"/>
          <w:sz w:val="16"/>
          <w:szCs w:val="16"/>
          <w:color w:val="auto"/>
        </w:rPr>
        <w:t>Of the $18.7 million increase in operating, selling, general and administrative expenses for the three month period from 1995 to 1996, $12.7 million is related to subscriber growth, including the costs to acquire and service subscribers. The remaining increase of $6.0 million is due to increases in other expenses, including subscriber retention costs, administrative costs and theft of service in 1996.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Analysis</w:t>
      </w:r>
    </w:p>
    <w:p>
      <w:pPr>
        <w:spacing w:after="0" w:line="186" w:lineRule="exact"/>
        <w:rPr>
          <w:sz w:val="20"/>
          <w:szCs w:val="20"/>
          <w:color w:val="auto"/>
        </w:rPr>
      </w:pPr>
    </w:p>
    <w:p>
      <w:pPr>
        <w:jc w:val="both"/>
        <w:ind w:right="40"/>
        <w:spacing w:after="0" w:line="239" w:lineRule="auto"/>
        <w:rPr>
          <w:sz w:val="20"/>
          <w:szCs w:val="20"/>
          <w:color w:val="auto"/>
        </w:rPr>
      </w:pPr>
      <w:r>
        <w:rPr>
          <w:rFonts w:ascii="Courier New" w:cs="Courier New" w:eastAsia="Courier New" w:hAnsi="Courier New"/>
          <w:sz w:val="16"/>
          <w:szCs w:val="16"/>
          <w:color w:val="auto"/>
        </w:rPr>
        <w:t>The $86.7 million decrease in depreciation and amortization expense is attributable to the effects of the rebuild of certain of the Company's cellular equipment in 1995, as described below, partially offset by the effects of the QVC Acquisition and capital expenditures.</w:t>
      </w:r>
    </w:p>
    <w:p>
      <w:pPr>
        <w:spacing w:after="0" w:line="187" w:lineRule="exact"/>
        <w:rPr>
          <w:sz w:val="20"/>
          <w:szCs w:val="20"/>
          <w:color w:val="auto"/>
        </w:rPr>
      </w:pPr>
    </w:p>
    <w:p>
      <w:pPr>
        <w:jc w:val="both"/>
        <w:ind w:right="40"/>
        <w:spacing w:after="0" w:line="258" w:lineRule="auto"/>
        <w:rPr>
          <w:sz w:val="20"/>
          <w:szCs w:val="20"/>
          <w:color w:val="auto"/>
        </w:rPr>
      </w:pPr>
      <w:r>
        <w:rPr>
          <w:rFonts w:ascii="Courier New" w:cs="Courier New" w:eastAsia="Courier New" w:hAnsi="Courier New"/>
          <w:sz w:val="15"/>
          <w:szCs w:val="15"/>
          <w:color w:val="auto"/>
        </w:rPr>
        <w:t>In 1995, the Company's cellular division purchased approximately $172.0 million of switching and cell site equipment which replaced the existing switching and cell site equipment (the "Cellular Rebuild"). The Company substantially completed the Cellular Rebuild during 1995. During the first quarter of 1995, the Company charged approximately $110.0 million to depreciation expense which represented the difference between the net book value of the equipment replaced and the residual value realized upon its disposal.</w:t>
      </w:r>
    </w:p>
    <w:p>
      <w:pPr>
        <w:spacing w:after="0" w:line="176" w:lineRule="exact"/>
        <w:rPr>
          <w:sz w:val="20"/>
          <w:szCs w:val="20"/>
          <w:color w:val="auto"/>
        </w:rPr>
      </w:pPr>
    </w:p>
    <w:p>
      <w:pPr>
        <w:jc w:val="both"/>
        <w:ind w:right="40"/>
        <w:spacing w:after="0"/>
        <w:rPr>
          <w:sz w:val="20"/>
          <w:szCs w:val="20"/>
          <w:color w:val="auto"/>
        </w:rPr>
      </w:pPr>
      <w:r>
        <w:rPr>
          <w:rFonts w:ascii="Courier New" w:cs="Courier New" w:eastAsia="Courier New" w:hAnsi="Courier New"/>
          <w:sz w:val="16"/>
          <w:szCs w:val="16"/>
          <w:color w:val="auto"/>
        </w:rPr>
        <w:t>The $17.2 million increase in interest expense is due to increased levels of debt, including the debt related to the QVC Acquisition, offset by interest capitalized and decreases in rates. The Company anticipates that, for the foreseeable future, interest expense will be a significant cost to the Company and will have a significant adverse effect on the Company's ability to realize net earnings. The Company believes it will continue to be able to meet its obligations through its ability both to generate operating income before depreciation and amortization and to obtain external financing.</w:t>
      </w:r>
    </w:p>
    <w:p>
      <w:pPr>
        <w:spacing w:after="0" w:line="187" w:lineRule="exact"/>
        <w:rPr>
          <w:sz w:val="20"/>
          <w:szCs w:val="20"/>
          <w:color w:val="auto"/>
        </w:rPr>
      </w:pPr>
    </w:p>
    <w:p>
      <w:pPr>
        <w:jc w:val="both"/>
        <w:ind w:right="40"/>
        <w:spacing w:after="0" w:line="239" w:lineRule="auto"/>
        <w:rPr>
          <w:sz w:val="20"/>
          <w:szCs w:val="20"/>
          <w:color w:val="auto"/>
        </w:rPr>
      </w:pPr>
      <w:r>
        <w:rPr>
          <w:rFonts w:ascii="Courier New" w:cs="Courier New" w:eastAsia="Courier New" w:hAnsi="Courier New"/>
          <w:sz w:val="16"/>
          <w:szCs w:val="16"/>
          <w:color w:val="auto"/>
        </w:rPr>
        <w:t>The $134.2 million decrease in investment income is attributable to the effects of the Heritage Transaction in 1995, partially offset by interest earned on larger average balances of cash, cash equivalents and short-term investments in 1996.</w:t>
      </w:r>
    </w:p>
    <w:p>
      <w:pPr>
        <w:spacing w:after="0" w:line="36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Increase/(Decrease)</w:t>
      </w:r>
    </w:p>
    <w:p>
      <w:pPr>
        <w:spacing w:after="0" w:line="1" w:lineRule="exact"/>
        <w:rPr>
          <w:sz w:val="20"/>
          <w:szCs w:val="20"/>
          <w:color w:val="auto"/>
        </w:rPr>
      </w:pPr>
    </w:p>
    <w:p>
      <w:pPr>
        <w:ind w:left="1700" w:hanging="1511"/>
        <w:spacing w:after="0"/>
        <w:tabs>
          <w:tab w:leader="none" w:pos="17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5"/>
              </w:rPr>
              <w:t>$16.0</w:t>
            </w:r>
          </w:p>
        </w:tc>
        <w:tc>
          <w:tcPr>
            <w:tcW w:w="1040" w:type="dxa"/>
            <w:vAlign w:val="bottom"/>
          </w:tcPr>
          <w:p>
            <w:pPr>
              <w:ind w:left="480"/>
              <w:spacing w:after="0"/>
              <w:rPr>
                <w:sz w:val="20"/>
                <w:szCs w:val="20"/>
                <w:color w:val="auto"/>
              </w:rPr>
            </w:pPr>
            <w:r>
              <w:rPr>
                <w:rFonts w:ascii="Courier New" w:cs="Courier New" w:eastAsia="Courier New" w:hAnsi="Courier New"/>
                <w:sz w:val="16"/>
                <w:szCs w:val="16"/>
                <w:color w:val="auto"/>
              </w:rPr>
              <w:t>19.5%</w:t>
            </w:r>
          </w:p>
        </w:tc>
      </w:tr>
      <w:tr>
        <w:trPr>
          <w:trHeight w:val="364"/>
        </w:trPr>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18.7</w:t>
            </w:r>
          </w:p>
        </w:tc>
        <w:tc>
          <w:tcPr>
            <w:tcW w:w="1040" w:type="dxa"/>
            <w:vAlign w:val="bottom"/>
          </w:tcPr>
          <w:p>
            <w:pPr>
              <w:ind w:left="480"/>
              <w:spacing w:after="0"/>
              <w:rPr>
                <w:sz w:val="20"/>
                <w:szCs w:val="20"/>
                <w:color w:val="auto"/>
              </w:rPr>
            </w:pPr>
            <w:r>
              <w:rPr>
                <w:rFonts w:ascii="Courier New" w:cs="Courier New" w:eastAsia="Courier New" w:hAnsi="Courier New"/>
                <w:sz w:val="16"/>
                <w:szCs w:val="16"/>
                <w:color w:val="auto"/>
              </w:rPr>
              <w:t>36.7</w:t>
            </w:r>
          </w:p>
        </w:tc>
      </w:tr>
      <w:tr>
        <w:trPr>
          <w:trHeight w:val="182"/>
        </w:trPr>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5"/>
              </w:rPr>
              <w:t>-----</w:t>
            </w:r>
          </w:p>
        </w:tc>
        <w:tc>
          <w:tcPr>
            <w:tcW w:w="1040" w:type="dxa"/>
            <w:vAlign w:val="bottom"/>
          </w:tcPr>
          <w:p>
            <w:pPr>
              <w:spacing w:after="0"/>
              <w:rPr>
                <w:sz w:val="15"/>
                <w:szCs w:val="15"/>
                <w:color w:val="auto"/>
              </w:rPr>
            </w:pPr>
          </w:p>
        </w:tc>
      </w:tr>
      <w:tr>
        <w:trPr>
          <w:trHeight w:val="364"/>
        </w:trPr>
        <w:tc>
          <w:tcPr>
            <w:tcW w:w="104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3"/>
              </w:rPr>
              <w:t>($2.7)</w:t>
            </w:r>
          </w:p>
        </w:tc>
        <w:tc>
          <w:tcPr>
            <w:tcW w:w="1040" w:type="dxa"/>
            <w:vAlign w:val="bottom"/>
          </w:tcPr>
          <w:p>
            <w:pPr>
              <w:ind w:left="480"/>
              <w:spacing w:after="0"/>
              <w:rPr>
                <w:sz w:val="20"/>
                <w:szCs w:val="20"/>
                <w:color w:val="auto"/>
              </w:rPr>
            </w:pPr>
            <w:r>
              <w:rPr>
                <w:rFonts w:ascii="Courier New" w:cs="Courier New" w:eastAsia="Courier New" w:hAnsi="Courier New"/>
                <w:sz w:val="16"/>
                <w:szCs w:val="16"/>
                <w:color w:val="auto"/>
                <w:w w:val="93"/>
              </w:rPr>
              <w:t>(8.7%)</w:t>
            </w:r>
          </w:p>
        </w:tc>
      </w:tr>
      <w:tr>
        <w:trPr>
          <w:trHeight w:val="182"/>
        </w:trPr>
        <w:tc>
          <w:tcPr>
            <w:tcW w:w="1040" w:type="dxa"/>
            <w:vAlign w:val="bottom"/>
          </w:tcPr>
          <w:p>
            <w:pPr>
              <w:jc w:val="right"/>
              <w:ind w:right="481"/>
              <w:spacing w:after="0"/>
              <w:rPr>
                <w:sz w:val="20"/>
                <w:szCs w:val="20"/>
                <w:color w:val="auto"/>
              </w:rPr>
            </w:pPr>
            <w:r>
              <w:rPr>
                <w:rFonts w:ascii="Courier New" w:cs="Courier New" w:eastAsia="Courier New" w:hAnsi="Courier New"/>
                <w:sz w:val="16"/>
                <w:szCs w:val="16"/>
                <w:color w:val="auto"/>
                <w:w w:val="95"/>
              </w:rPr>
              <w:t>=====</w:t>
            </w:r>
          </w:p>
        </w:tc>
        <w:tc>
          <w:tcPr>
            <w:tcW w:w="1040" w:type="dxa"/>
            <w:vAlign w:val="bottom"/>
          </w:tcPr>
          <w:p>
            <w:pPr>
              <w:spacing w:after="0"/>
              <w:rPr>
                <w:sz w:val="15"/>
                <w:szCs w:val="15"/>
                <w:color w:val="auto"/>
              </w:rPr>
            </w:pPr>
          </w:p>
        </w:tc>
      </w:tr>
    </w:tbl>
    <w:p>
      <w:pPr>
        <w:sectPr>
          <w:pgSz w:w="11900" w:h="16838" w:orient="portrait"/>
          <w:cols w:equalWidth="0" w:num="2">
            <w:col w:w="7600" w:space="720"/>
            <w:col w:w="2080"/>
          </w:cols>
          <w:pgMar w:left="240" w:top="477" w:right="1259" w:bottom="1440" w:gutter="0" w:footer="0" w:header="0"/>
        </w:sectPr>
      </w:pPr>
    </w:p>
    <w:bookmarkStart w:id="19" w:name="page20"/>
    <w:bookmarkEnd w:id="19"/>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1996</w:t>
      </w:r>
    </w:p>
    <w:p>
      <w:pPr>
        <w:spacing w:after="0" w:line="368"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$18.1 million increase in equity in net losses of affiliates is due to increased losses incurred by the Company's international investees, losses incurred by Sprint Spectrum and certain programming investees and the effects of the QVC Acquisition.</w:t>
      </w:r>
    </w:p>
    <w:p>
      <w:pPr>
        <w:spacing w:after="0" w:line="187" w:lineRule="exact"/>
        <w:rPr>
          <w:sz w:val="20"/>
          <w:szCs w:val="20"/>
          <w:color w:val="auto"/>
        </w:rPr>
      </w:pPr>
    </w:p>
    <w:p>
      <w:pPr>
        <w:jc w:val="both"/>
        <w:ind w:right="2659"/>
        <w:spacing w:after="0"/>
        <w:rPr>
          <w:sz w:val="20"/>
          <w:szCs w:val="20"/>
          <w:color w:val="auto"/>
        </w:rPr>
      </w:pPr>
      <w:r>
        <w:rPr>
          <w:rFonts w:ascii="Courier New" w:cs="Courier New" w:eastAsia="Courier New" w:hAnsi="Courier New"/>
          <w:sz w:val="16"/>
          <w:szCs w:val="16"/>
          <w:color w:val="auto"/>
        </w:rPr>
        <w:t>For the three months ended March 31, 1996 and 1995, the Company's earnings before minority interest, income tax expense, equity in net losses of affiliates and fixed charges (interest expense) were $120.5 million and $129.2 million, respectively. Excluding the pre-tax gain of $141.0 million recognized in the first quarter of 1995 in connection with the Heritage Transaction, such earnings were not adequate to cover the Company's fixed charges, including capitalized interest of $7.1 million for the three months ended March 31, 1996, of $141.9 million and $117.6 million for the three months ended March 31, 1996 and 1995, respectively. Fixed charges include non-cash interest, net of interest capitalized, of $16.1 million and $13.5 million for the three months ended March 31, 1996 and 1995, respectively. The inadequacy of these earnings to cover fixed charges is primarily due to the substantial non-cash charges for depreciation and amortization expense, including the first quarter 1995 charge associated with the Cellular Rebuild.</w:t>
      </w:r>
    </w:p>
    <w:p>
      <w:pPr>
        <w:spacing w:after="0" w:line="191" w:lineRule="exact"/>
        <w:rPr>
          <w:sz w:val="20"/>
          <w:szCs w:val="20"/>
          <w:color w:val="auto"/>
        </w:rPr>
      </w:pPr>
    </w:p>
    <w:p>
      <w:pPr>
        <w:jc w:val="both"/>
        <w:ind w:right="2659"/>
        <w:spacing w:after="0" w:line="239" w:lineRule="auto"/>
        <w:rPr>
          <w:sz w:val="20"/>
          <w:szCs w:val="20"/>
          <w:color w:val="auto"/>
        </w:rPr>
      </w:pPr>
      <w:r>
        <w:rPr>
          <w:rFonts w:ascii="Courier New" w:cs="Courier New" w:eastAsia="Courier New" w:hAnsi="Courier New"/>
          <w:sz w:val="16"/>
          <w:szCs w:val="16"/>
          <w:color w:val="auto"/>
        </w:rPr>
        <w:t>The Company believes that its losses and inadequacy of earnings to cover fixed charges will not significantly affect the performance of its normal business activities because of its existing cash, cash equivalents and short-term investments, its ability to generate operating income before depreciation and amortization and its ability to obtain external financing.</w:t>
      </w:r>
    </w:p>
    <w:p>
      <w:pPr>
        <w:spacing w:after="0" w:line="189" w:lineRule="exact"/>
        <w:rPr>
          <w:sz w:val="20"/>
          <w:szCs w:val="20"/>
          <w:color w:val="auto"/>
        </w:rPr>
      </w:pPr>
    </w:p>
    <w:p>
      <w:pPr>
        <w:jc w:val="both"/>
        <w:ind w:right="2659"/>
        <w:spacing w:after="0" w:line="237" w:lineRule="auto"/>
        <w:rPr>
          <w:sz w:val="20"/>
          <w:szCs w:val="20"/>
          <w:color w:val="auto"/>
        </w:rPr>
      </w:pPr>
      <w:r>
        <w:rPr>
          <w:rFonts w:ascii="Courier New" w:cs="Courier New" w:eastAsia="Courier New" w:hAnsi="Courier New"/>
          <w:sz w:val="16"/>
          <w:szCs w:val="16"/>
          <w:color w:val="auto"/>
        </w:rPr>
        <w:t>The Company believes that its operations are not materially affected by inflation.</w:t>
      </w:r>
    </w:p>
    <w:p>
      <w:pPr>
        <w:spacing w:after="0" w:line="200" w:lineRule="exact"/>
        <w:rPr>
          <w:sz w:val="20"/>
          <w:szCs w:val="20"/>
          <w:color w:val="auto"/>
        </w:rPr>
      </w:pPr>
    </w:p>
    <w:p>
      <w:pPr>
        <w:spacing w:after="0" w:line="34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77" w:right="1440" w:bottom="1440" w:gutter="0" w:footer="0" w:header="0"/>
        </w:sectPr>
      </w:pPr>
    </w:p>
    <w:bookmarkStart w:id="20" w:name="page21"/>
    <w:bookmarkEnd w:id="20"/>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1996</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83" w:lineRule="exact"/>
        <w:rPr>
          <w:sz w:val="20"/>
          <w:szCs w:val="20"/>
          <w:color w:val="auto"/>
        </w:rPr>
      </w:pPr>
    </w:p>
    <w:p>
      <w:pPr>
        <w:ind w:left="460"/>
        <w:spacing w:after="0"/>
        <w:tabs>
          <w:tab w:leader="none" w:pos="140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6" w:lineRule="exact"/>
        <w:rPr>
          <w:sz w:val="20"/>
          <w:szCs w:val="20"/>
          <w:color w:val="auto"/>
        </w:rPr>
      </w:pPr>
    </w:p>
    <w:p>
      <w:pPr>
        <w:jc w:val="both"/>
        <w:ind w:left="460" w:right="2659"/>
        <w:spacing w:after="0" w:line="238" w:lineRule="auto"/>
        <w:rPr>
          <w:sz w:val="20"/>
          <w:szCs w:val="20"/>
          <w:color w:val="auto"/>
        </w:rPr>
      </w:pPr>
      <w:r>
        <w:rPr>
          <w:rFonts w:ascii="Courier New" w:cs="Courier New" w:eastAsia="Courier New" w:hAnsi="Courier New"/>
          <w:sz w:val="16"/>
          <w:szCs w:val="16"/>
          <w:color w:val="auto"/>
        </w:rPr>
        <w:t>The Company is not party to litigation which, in the opinion of the Company's management, will have a material adverse effect on the Company's financial position or results of operations.</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ITEM 6.Exhibits and Reports on Form 8-K</w:t>
      </w:r>
    </w:p>
    <w:p>
      <w:pPr>
        <w:spacing w:after="0" w:line="183" w:lineRule="exact"/>
        <w:rPr>
          <w:sz w:val="20"/>
          <w:szCs w:val="20"/>
          <w:color w:val="auto"/>
        </w:rPr>
      </w:pPr>
    </w:p>
    <w:p>
      <w:pPr>
        <w:ind w:left="840" w:hanging="370"/>
        <w:spacing w:after="0"/>
        <w:tabs>
          <w:tab w:leader="none" w:pos="8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to be filed by Item 601 of Regulation S-K:</w:t>
      </w:r>
    </w:p>
    <w:p>
      <w:pPr>
        <w:spacing w:after="0" w:line="186" w:lineRule="exact"/>
        <w:rPr>
          <w:rFonts w:ascii="Courier New" w:cs="Courier New" w:eastAsia="Courier New" w:hAnsi="Courier New"/>
          <w:sz w:val="16"/>
          <w:szCs w:val="16"/>
          <w:color w:val="auto"/>
        </w:rPr>
      </w:pPr>
    </w:p>
    <w:p>
      <w:pPr>
        <w:ind w:left="1520" w:right="2659" w:hanging="662"/>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 Comcast Corporation 1996 Stock Option Plan, dated March 13, 1996 (incorporated by reference to the definitive additional materials to the Company's amended definitive Proxy Statement for its Annual Meeting of Shareholders to be held on June 19, 1996, filed on May 15, 1996).</w:t>
      </w:r>
    </w:p>
    <w:p>
      <w:pPr>
        <w:spacing w:after="0" w:line="184" w:lineRule="exact"/>
        <w:rPr>
          <w:rFonts w:ascii="Courier New" w:cs="Courier New" w:eastAsia="Courier New" w:hAnsi="Courier New"/>
          <w:sz w:val="16"/>
          <w:szCs w:val="16"/>
          <w:color w:val="auto"/>
        </w:rPr>
      </w:pP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27.1   Financial Data Schedule.</w:t>
      </w:r>
    </w:p>
    <w:p>
      <w:pPr>
        <w:spacing w:after="0" w:line="182" w:lineRule="exact"/>
        <w:rPr>
          <w:rFonts w:ascii="Courier New" w:cs="Courier New" w:eastAsia="Courier New" w:hAnsi="Courier New"/>
          <w:sz w:val="16"/>
          <w:szCs w:val="16"/>
          <w:color w:val="auto"/>
        </w:rPr>
      </w:pPr>
    </w:p>
    <w:p>
      <w:pPr>
        <w:ind w:left="840" w:hanging="370"/>
        <w:spacing w:after="0"/>
        <w:tabs>
          <w:tab w:leader="none" w:pos="8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6" w:lineRule="exact"/>
        <w:rPr>
          <w:rFonts w:ascii="Courier New" w:cs="Courier New" w:eastAsia="Courier New" w:hAnsi="Courier New"/>
          <w:sz w:val="16"/>
          <w:szCs w:val="16"/>
          <w:color w:val="auto"/>
        </w:rPr>
      </w:pPr>
    </w:p>
    <w:p>
      <w:pPr>
        <w:jc w:val="both"/>
        <w:ind w:left="840" w:right="265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filed a Current Report on Form 8-K under Item 5 on February 12, 1996 relating to its January 31, 1996 agreements with Tele-Communications, Inc., Cox Communications, Inc. and Sprint Corporation which amended agreements related to their previously announced joint venture to engage in the communications business.</w:t>
      </w:r>
    </w:p>
    <w:p>
      <w:pPr>
        <w:spacing w:after="0" w:line="200" w:lineRule="exact"/>
        <w:rPr>
          <w:sz w:val="20"/>
          <w:szCs w:val="20"/>
          <w:color w:val="auto"/>
        </w:rPr>
      </w:pPr>
    </w:p>
    <w:p>
      <w:pPr>
        <w:spacing w:after="0" w:line="34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59" w:right="1440" w:bottom="1440" w:gutter="0" w:footer="0" w:header="0"/>
        </w:sectPr>
      </w:pPr>
    </w:p>
    <w:bookmarkStart w:id="21" w:name="page22"/>
    <w:bookmarkEnd w:id="21"/>
    <w:p>
      <w:pPr>
        <w:ind w:left="2080"/>
        <w:spacing w:after="0"/>
        <w:rPr>
          <w:sz w:val="20"/>
          <w:szCs w:val="20"/>
          <w:color w:val="auto"/>
        </w:rPr>
      </w:pPr>
      <w:r>
        <w:rPr>
          <w:rFonts w:ascii="Courier New" w:cs="Courier New" w:eastAsia="Courier New" w:hAnsi="Courier New"/>
          <w:sz w:val="16"/>
          <w:szCs w:val="16"/>
          <w:color w:val="auto"/>
        </w:rPr>
        <w:t>COMCAST CORPORATION AND SUBSIDIARIES</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FORM 10-Q</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QUARTER ENDED MARCH 31, 1996</w:t>
      </w:r>
    </w:p>
    <w:p>
      <w:pPr>
        <w:spacing w:after="0" w:line="364"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SIGNATURE</w:t>
      </w:r>
    </w:p>
    <w:p>
      <w:pPr>
        <w:spacing w:after="0" w:line="186" w:lineRule="exact"/>
        <w:rPr>
          <w:sz w:val="20"/>
          <w:szCs w:val="20"/>
          <w:color w:val="auto"/>
        </w:rPr>
      </w:pPr>
    </w:p>
    <w:p>
      <w:pPr>
        <w:jc w:val="both"/>
        <w:ind w:right="2659" w:firstLine="851"/>
        <w:spacing w:after="0" w:line="238" w:lineRule="auto"/>
        <w:rPr>
          <w:sz w:val="20"/>
          <w:szCs w:val="20"/>
          <w:color w:val="auto"/>
        </w:rPr>
      </w:pPr>
      <w:r>
        <w:rPr>
          <w:rFonts w:ascii="Courier New" w:cs="Courier New" w:eastAsia="Courier New" w:hAnsi="Courier New"/>
          <w:sz w:val="16"/>
          <w:szCs w:val="16"/>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 LAWRENCE S. SMITH</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Lawrence S. Smith</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Executive Vice President</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(Chief Accounting Officer)</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15, 1996</w:t>
      </w:r>
    </w:p>
    <w:p>
      <w:pPr>
        <w:spacing w:after="0" w:line="183"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77" w:right="1440" w:bottom="1440" w:gutter="0" w:footer="0" w:header="0"/>
        </w:sectPr>
      </w:pPr>
    </w:p>
    <w:bookmarkStart w:id="22" w:name="page23"/>
    <w:bookmarkEnd w:id="22"/>
    <w:p>
      <w:pPr>
        <w:ind w:left="100"/>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ind w:left="20" w:right="3199"/>
        <w:spacing w:after="0" w:line="238"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statement of operations and consolidated balance sheet and is qualified in its entirety by reference to such financial statements.</w:t>
      </w:r>
    </w:p>
    <w:p>
      <w:pPr>
        <w:spacing w:after="0" w:line="18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0000022301</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COMCAST CORPORATION</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1,000</w:t>
      </w:r>
    </w:p>
    <w:p>
      <w:pPr>
        <w:spacing w:after="0" w:line="36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3-MOS</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DEC-31-1996</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MAR-31-1996</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510,150</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199,575</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453,922</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(86,133)</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240,753</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1,426,325</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2,839,028</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(982,195)</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9,657,930</w:t>
      </w:r>
    </w:p>
    <w:p>
      <w:pPr>
        <w:spacing w:after="0" w:line="1"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1,009,572</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7,101,045</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236,563</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(1,128,133)</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9,657,930</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950,744</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950,744</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(270,146)</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(837,494)</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(34,502)</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(134,814)</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(48,810)</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(864)</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(34,604)</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(34,604)</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0</w:t>
      </w:r>
    </w:p>
    <w:p>
      <w:pPr>
        <w:spacing w:after="0" w:line="186"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6"/>
          <w:szCs w:val="16"/>
          <w:color w:val="auto"/>
        </w:rPr>
        <w:t>Loss before income tax expense and other items excludes the effect of minority interests, net of tax, of $15,070.</w:t>
      </w:r>
    </w:p>
    <w:sectPr>
      <w:pgSz w:w="11900" w:h="16838" w:orient="portrait"/>
      <w:cols w:equalWidth="0" w:num="1">
        <w:col w:w="10219"/>
      </w:cols>
      <w:pgMar w:left="240" w:top="5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4"/>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5"/>
    </w:lvl>
  </w:abstractNum>
  <w:abstractNum w:abstractNumId="8">
    <w:nsid w:val="1190CDE7"/>
    <w:multiLevelType w:val="hybridMultilevel"/>
    <w:lvl w:ilvl="0">
      <w:lvlJc w:val="left"/>
      <w:lvlText w:val="%1."/>
      <w:numFmt w:val="decimal"/>
      <w:start w:val="7"/>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2019-12-12T23:16:24Z</dcterms:created>
  <dcterms:modified xsi:type="dcterms:W3CDTF">2019-12-12T23:16:24Z</dcterms:modified>
</cp:coreProperties>
</file>