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SCHEDULE SC 13G/A</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Under the Securities Exchange Act of 1934</w:t>
      </w:r>
    </w:p>
    <w:p>
      <w:pPr>
        <w:ind w:left="2440"/>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AMERIPRISE FINANCIAL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03076C106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previsions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5220" w:type="dxa"/>
            <w:vAlign w:val="bottom"/>
          </w:tcPr>
          <w:p>
            <w:pPr>
              <w:ind w:left="38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COMCAST CORP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1(b)</w:t>
            </w: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ADDRESS OF ISSUERS PRINCIPAL EXECUTIVE OFFICES</w:t>
            </w:r>
          </w:p>
        </w:tc>
      </w:tr>
    </w:tbl>
    <w:p>
      <w:pPr>
        <w:ind w:left="860"/>
        <w:spacing w:after="0" w:line="238" w:lineRule="auto"/>
        <w:rPr>
          <w:sz w:val="20"/>
          <w:szCs w:val="20"/>
          <w:color w:val="auto"/>
        </w:rPr>
      </w:pPr>
      <w:r>
        <w:rPr>
          <w:rFonts w:ascii="Courier New" w:cs="Courier New" w:eastAsia="Courier New" w:hAnsi="Courier New"/>
          <w:sz w:val="18"/>
          <w:szCs w:val="18"/>
          <w:color w:val="auto"/>
        </w:rPr>
        <w:t>1500 MARKET ST</w:t>
      </w:r>
    </w:p>
    <w:p>
      <w:pPr>
        <w:ind w:left="860"/>
        <w:spacing w:after="0"/>
        <w:rPr>
          <w:sz w:val="20"/>
          <w:szCs w:val="20"/>
          <w:color w:val="auto"/>
        </w:rPr>
      </w:pPr>
      <w:r>
        <w:rPr>
          <w:rFonts w:ascii="Courier New" w:cs="Courier New" w:eastAsia="Courier New" w:hAnsi="Courier New"/>
          <w:sz w:val="18"/>
          <w:szCs w:val="18"/>
          <w:color w:val="auto"/>
        </w:rPr>
        <w:t>PHILADELPHIA, PENNSYLVANIA 19102-2148</w:t>
      </w:r>
    </w:p>
    <w:p>
      <w:pPr>
        <w:jc w:val="right"/>
        <w:ind w:right="6319"/>
        <w:spacing w:after="0"/>
        <w:tabs>
          <w:tab w:leader="none" w:pos="5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jc w:val="right"/>
        <w:ind w:right="6319"/>
        <w:spacing w:after="0" w:line="238" w:lineRule="auto"/>
        <w:rPr>
          <w:sz w:val="20"/>
          <w:szCs w:val="20"/>
          <w:color w:val="auto"/>
        </w:rPr>
      </w:pPr>
      <w:r>
        <w:rPr>
          <w:rFonts w:ascii="Courier New" w:cs="Courier New" w:eastAsia="Courier New" w:hAnsi="Courier New"/>
          <w:sz w:val="18"/>
          <w:szCs w:val="18"/>
          <w:color w:val="auto"/>
        </w:rPr>
        <w:t>Davis Selected Advisers, L.P.</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860"/>
        <w:spacing w:after="0" w:line="238" w:lineRule="auto"/>
        <w:rPr>
          <w:sz w:val="20"/>
          <w:szCs w:val="20"/>
          <w:color w:val="auto"/>
        </w:rPr>
      </w:pPr>
      <w:r>
        <w:rPr>
          <w:rFonts w:ascii="Courier New" w:cs="Courier New" w:eastAsia="Courier New" w:hAnsi="Courier New"/>
          <w:sz w:val="18"/>
          <w:szCs w:val="18"/>
          <w:color w:val="auto"/>
        </w:rPr>
        <w:t>2949 East Elvira Road, Suite 101</w:t>
      </w:r>
    </w:p>
    <w:p>
      <w:pPr>
        <w:ind w:left="860"/>
        <w:spacing w:after="0"/>
        <w:rPr>
          <w:sz w:val="20"/>
          <w:szCs w:val="20"/>
          <w:color w:val="auto"/>
        </w:rPr>
      </w:pPr>
      <w:r>
        <w:rPr>
          <w:rFonts w:ascii="Courier New" w:cs="Courier New" w:eastAsia="Courier New" w:hAnsi="Courier New"/>
          <w:sz w:val="18"/>
          <w:szCs w:val="18"/>
          <w:color w:val="auto"/>
        </w:rPr>
        <w:t>Tucson, Arizona 85706</w:t>
      </w: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860"/>
        <w:spacing w:after="0" w:line="238" w:lineRule="auto"/>
        <w:rPr>
          <w:sz w:val="20"/>
          <w:szCs w:val="20"/>
          <w:color w:val="auto"/>
        </w:rPr>
      </w:pPr>
      <w:r>
        <w:rPr>
          <w:rFonts w:ascii="Courier New" w:cs="Courier New" w:eastAsia="Courier New" w:hAnsi="Courier New"/>
          <w:sz w:val="18"/>
          <w:szCs w:val="18"/>
          <w:color w:val="auto"/>
        </w:rPr>
        <w:t>Colorado Limited Partnership</w:t>
      </w: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860"/>
        <w:spacing w:after="0" w:line="237" w:lineRule="auto"/>
        <w:rPr>
          <w:sz w:val="20"/>
          <w:szCs w:val="20"/>
          <w:color w:val="auto"/>
        </w:rPr>
      </w:pPr>
      <w:r>
        <w:rPr>
          <w:rFonts w:ascii="Courier New" w:cs="Courier New" w:eastAsia="Courier New" w:hAnsi="Courier New"/>
          <w:sz w:val="18"/>
          <w:szCs w:val="18"/>
          <w:color w:val="auto"/>
        </w:rPr>
        <w:t>Common</w:t>
      </w: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860"/>
        <w:spacing w:after="0" w:line="237" w:lineRule="auto"/>
        <w:rPr>
          <w:sz w:val="20"/>
          <w:szCs w:val="20"/>
          <w:color w:val="auto"/>
        </w:rPr>
      </w:pPr>
      <w:r>
        <w:rPr>
          <w:rFonts w:ascii="Courier New" w:cs="Courier New" w:eastAsia="Courier New" w:hAnsi="Courier New"/>
          <w:sz w:val="18"/>
          <w:szCs w:val="18"/>
          <w:color w:val="auto"/>
        </w:rPr>
        <w:t>20030N200</w:t>
      </w: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FIELD PURSUANT TO RULE 13d-1(b)</w:t>
      </w:r>
    </w:p>
    <w:p>
      <w:pPr>
        <w:spacing w:after="0" w:line="200" w:lineRule="exact"/>
        <w:rPr>
          <w:sz w:val="24"/>
          <w:szCs w:val="24"/>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w:t>
      </w:r>
    </w:p>
    <w:p>
      <w:pPr>
        <w:spacing w:after="0" w:line="4" w:lineRule="exact"/>
        <w:rPr>
          <w:rFonts w:ascii="Courier New" w:cs="Courier New" w:eastAsia="Courier New" w:hAnsi="Courier New"/>
          <w:sz w:val="18"/>
          <w:szCs w:val="18"/>
          <w:color w:val="auto"/>
        </w:rPr>
      </w:pPr>
    </w:p>
    <w:p>
      <w:pPr>
        <w:ind w:right="7159" w:firstLine="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Advisers Act of 1940 Item 4 OWNERSHIP</w:t>
      </w:r>
    </w:p>
    <w:p>
      <w:pPr>
        <w:spacing w:after="0" w:line="1"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60,215,622 shares</w:t>
      </w:r>
    </w:p>
    <w:p>
      <w:pPr>
        <w:spacing w:after="0" w:line="202" w:lineRule="exact"/>
        <w:rPr>
          <w:sz w:val="24"/>
          <w:szCs w:val="24"/>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(b) Percent of class:</w:t>
      </w:r>
      <w:r>
        <w:rPr>
          <w:sz w:val="20"/>
          <w:szCs w:val="20"/>
          <w:color w:val="auto"/>
        </w:rPr>
        <w:tab/>
      </w:r>
      <w:r>
        <w:rPr>
          <w:rFonts w:ascii="Courier New" w:cs="Courier New" w:eastAsia="Courier New" w:hAnsi="Courier New"/>
          <w:sz w:val="16"/>
          <w:szCs w:val="16"/>
          <w:color w:val="auto"/>
        </w:rPr>
        <w:t>7.30%</w:t>
      </w:r>
    </w:p>
    <w:p>
      <w:pPr>
        <w:ind w:left="1480" w:hanging="629"/>
        <w:spacing w:after="0" w:line="238"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7" w:lineRule="exact"/>
        <w:rPr>
          <w:sz w:val="24"/>
          <w:szCs w:val="24"/>
          <w:color w:val="auto"/>
        </w:rPr>
      </w:pPr>
    </w:p>
    <w:p>
      <w:pPr>
        <w:ind w:left="2540" w:right="4619" w:hanging="1689"/>
        <w:spacing w:after="0" w:line="235" w:lineRule="auto"/>
        <w:tabs>
          <w:tab w:leader="none" w:pos="14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to direct the vote N/A</w:t>
      </w:r>
    </w:p>
    <w:p>
      <w:pPr>
        <w:spacing w:after="0" w:line="5" w:lineRule="exact"/>
        <w:rPr>
          <w:rFonts w:ascii="Courier New" w:cs="Courier New" w:eastAsia="Courier New" w:hAnsi="Courier New"/>
          <w:sz w:val="18"/>
          <w:szCs w:val="18"/>
          <w:color w:val="auto"/>
        </w:rPr>
      </w:pPr>
    </w:p>
    <w:p>
      <w:pPr>
        <w:ind w:left="1700" w:right="3039" w:hanging="849"/>
        <w:spacing w:after="0" w:line="235" w:lineRule="auto"/>
        <w:tabs>
          <w:tab w:leader="none" w:pos="148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Davis Selected Advisers, L.P. 60,215,622 shares</w:t>
      </w:r>
    </w:p>
    <w:p>
      <w:pPr>
        <w:spacing w:after="0" w:line="1" w:lineRule="exact"/>
        <w:rPr>
          <w:rFonts w:ascii="Courier New" w:cs="Courier New" w:eastAsia="Courier New" w:hAnsi="Courier New"/>
          <w:sz w:val="18"/>
          <w:szCs w:val="18"/>
          <w:color w:val="auto"/>
        </w:rPr>
      </w:pPr>
    </w:p>
    <w:p>
      <w:pPr>
        <w:ind w:left="1480" w:hanging="629"/>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54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Not applicable</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 applicable</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or such securities and were not acquired in connection with or as a participant in any transaction having such purposes or effect.</w:t>
      </w:r>
    </w:p>
    <w:p>
      <w:pPr>
        <w:spacing w:after="0" w:line="18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Anthony Frazia</w:t>
      </w:r>
    </w:p>
    <w:p>
      <w:pPr>
        <w:spacing w:after="0" w:line="200" w:lineRule="exact"/>
        <w:rPr>
          <w:sz w:val="20"/>
          <w:szCs w:val="20"/>
          <w:color w:val="auto"/>
        </w:rPr>
      </w:pPr>
    </w:p>
    <w:p>
      <w:pPr>
        <w:sectPr>
          <w:pgSz w:w="11900" w:h="16838" w:orient="portrait"/>
          <w:cols w:equalWidth="0" w:num="2">
            <w:col w:w="1820" w:space="720"/>
            <w:col w:w="7679"/>
          </w:cols>
          <w:pgMar w:left="240" w:top="339"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Anthony Frazia,JD, CRCP Co-Chief Compliance Officer/Director of Institutional Operations, Compliance and Risk Management</w:t>
      </w:r>
    </w:p>
    <w:p>
      <w:pPr>
        <w:spacing w:after="0" w:line="200" w:lineRule="exact"/>
        <w:rPr>
          <w:sz w:val="20"/>
          <w:szCs w:val="20"/>
          <w:color w:val="auto"/>
        </w:rPr>
      </w:pPr>
    </w:p>
    <w:p>
      <w:pPr>
        <w:sectPr>
          <w:pgSz w:w="11900" w:h="16838" w:orient="portrait"/>
          <w:cols w:equalWidth="0" w:num="2">
            <w:col w:w="1820" w:space="720"/>
            <w:col w:w="7679"/>
          </w:cols>
          <w:pgMar w:left="240" w:top="339" w:right="1440" w:bottom="1440" w:gutter="0" w:footer="0" w:header="0"/>
          <w:type w:val="continuous"/>
        </w:sectPr>
      </w:pP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2005</w:t>
      </w:r>
    </w:p>
    <w:sectPr>
      <w:pgSz w:w="11900" w:h="16838" w:orient="portrait"/>
      <w:cols w:equalWidth="0" w:num="2">
        <w:col w:w="1820" w:space="720"/>
        <w:col w:w="767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2019-12-12T04:01:48Z</dcterms:created>
  <dcterms:modified xsi:type="dcterms:W3CDTF">2019-12-12T04:01:48Z</dcterms:modified>
</cp:coreProperties>
</file>