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208915</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440" w:type="dxa"/>
        <w:tblCellMar>
          <w:top w:w="0" w:type="dxa"/>
          <w:left w:w="0" w:type="dxa"/>
          <w:bottom w:w="0" w:type="dxa"/>
          <w:right w:w="0" w:type="dxa"/>
        </w:tblCellMar>
      </w:tblPr>
      <w:tr>
        <w:trPr>
          <w:trHeight w:val="329"/>
        </w:trPr>
        <w:tc>
          <w:tcPr>
            <w:tcW w:w="7780" w:type="dxa"/>
            <w:vAlign w:val="bottom"/>
          </w:tcPr>
          <w:p>
            <w:pPr>
              <w:jc w:val="center"/>
              <w:ind w:left="2679"/>
              <w:spacing w:after="0"/>
              <w:rPr>
                <w:sz w:val="20"/>
                <w:szCs w:val="20"/>
                <w:color w:val="auto"/>
              </w:rPr>
            </w:pPr>
            <w:r>
              <w:rPr>
                <w:rFonts w:ascii="Arial" w:cs="Arial" w:eastAsia="Arial" w:hAnsi="Arial"/>
                <w:sz w:val="25"/>
                <w:szCs w:val="25"/>
                <w:b w:val="1"/>
                <w:bCs w:val="1"/>
                <w:color w:val="auto"/>
              </w:rPr>
              <w:t>FORM 8-K</w:t>
            </w:r>
          </w:p>
        </w:tc>
        <w:tc>
          <w:tcPr>
            <w:tcW w:w="2540" w:type="dxa"/>
            <w:vAlign w:val="bottom"/>
          </w:tcPr>
          <w:p>
            <w:pPr>
              <w:spacing w:after="0"/>
              <w:rPr>
                <w:sz w:val="24"/>
                <w:szCs w:val="24"/>
                <w:color w:val="auto"/>
              </w:rPr>
            </w:pPr>
          </w:p>
        </w:tc>
      </w:tr>
      <w:tr>
        <w:trPr>
          <w:trHeight w:val="509"/>
        </w:trPr>
        <w:tc>
          <w:tcPr>
            <w:tcW w:w="7780" w:type="dxa"/>
            <w:vAlign w:val="bottom"/>
          </w:tcPr>
          <w:p>
            <w:pPr>
              <w:jc w:val="center"/>
              <w:ind w:left="2659"/>
              <w:spacing w:after="0"/>
              <w:rPr>
                <w:sz w:val="20"/>
                <w:szCs w:val="20"/>
                <w:color w:val="auto"/>
              </w:rPr>
            </w:pPr>
            <w:r>
              <w:rPr>
                <w:rFonts w:ascii="Arial" w:cs="Arial" w:eastAsia="Arial" w:hAnsi="Arial"/>
                <w:sz w:val="25"/>
                <w:szCs w:val="25"/>
                <w:b w:val="1"/>
                <w:bCs w:val="1"/>
                <w:color w:val="auto"/>
              </w:rPr>
              <w:t>CURRENT REPORT</w:t>
            </w:r>
          </w:p>
        </w:tc>
        <w:tc>
          <w:tcPr>
            <w:tcW w:w="2540" w:type="dxa"/>
            <w:vAlign w:val="bottom"/>
          </w:tcPr>
          <w:p>
            <w:pPr>
              <w:spacing w:after="0"/>
              <w:rPr>
                <w:sz w:val="24"/>
                <w:szCs w:val="24"/>
                <w:color w:val="auto"/>
              </w:rPr>
            </w:pPr>
          </w:p>
        </w:tc>
      </w:tr>
      <w:tr>
        <w:trPr>
          <w:trHeight w:val="297"/>
        </w:trPr>
        <w:tc>
          <w:tcPr>
            <w:tcW w:w="7780" w:type="dxa"/>
            <w:vAlign w:val="bottom"/>
          </w:tcPr>
          <w:p>
            <w:pPr>
              <w:jc w:val="center"/>
              <w:ind w:left="2659"/>
              <w:spacing w:after="0"/>
              <w:rPr>
                <w:sz w:val="20"/>
                <w:szCs w:val="20"/>
                <w:color w:val="auto"/>
              </w:rPr>
            </w:pPr>
            <w:r>
              <w:rPr>
                <w:rFonts w:ascii="Arial" w:cs="Arial" w:eastAsia="Arial" w:hAnsi="Arial"/>
                <w:sz w:val="25"/>
                <w:szCs w:val="25"/>
                <w:b w:val="1"/>
                <w:bCs w:val="1"/>
                <w:color w:val="auto"/>
                <w:w w:val="90"/>
              </w:rPr>
              <w:t>Pursuant to Section 13 or 15(d) of the</w:t>
            </w:r>
          </w:p>
        </w:tc>
        <w:tc>
          <w:tcPr>
            <w:tcW w:w="2540" w:type="dxa"/>
            <w:vAlign w:val="bottom"/>
          </w:tcPr>
          <w:p>
            <w:pPr>
              <w:spacing w:after="0"/>
              <w:rPr>
                <w:sz w:val="24"/>
                <w:szCs w:val="24"/>
                <w:color w:val="auto"/>
              </w:rPr>
            </w:pPr>
          </w:p>
        </w:tc>
      </w:tr>
      <w:tr>
        <w:trPr>
          <w:trHeight w:val="329"/>
        </w:trPr>
        <w:tc>
          <w:tcPr>
            <w:tcW w:w="7780" w:type="dxa"/>
            <w:vAlign w:val="bottom"/>
          </w:tcPr>
          <w:p>
            <w:pPr>
              <w:jc w:val="center"/>
              <w:ind w:left="2679"/>
              <w:spacing w:after="0"/>
              <w:rPr>
                <w:sz w:val="20"/>
                <w:szCs w:val="20"/>
                <w:color w:val="auto"/>
              </w:rPr>
            </w:pPr>
            <w:r>
              <w:rPr>
                <w:rFonts w:ascii="Arial" w:cs="Arial" w:eastAsia="Arial" w:hAnsi="Arial"/>
                <w:sz w:val="25"/>
                <w:szCs w:val="25"/>
                <w:b w:val="1"/>
                <w:bCs w:val="1"/>
                <w:color w:val="auto"/>
                <w:w w:val="89"/>
              </w:rPr>
              <w:t>Securities Exchange Act of 1934</w:t>
            </w:r>
          </w:p>
        </w:tc>
        <w:tc>
          <w:tcPr>
            <w:tcW w:w="2540" w:type="dxa"/>
            <w:vAlign w:val="bottom"/>
          </w:tcPr>
          <w:p>
            <w:pPr>
              <w:spacing w:after="0"/>
              <w:rPr>
                <w:sz w:val="24"/>
                <w:szCs w:val="24"/>
                <w:color w:val="auto"/>
              </w:rPr>
            </w:pPr>
          </w:p>
        </w:tc>
      </w:tr>
      <w:tr>
        <w:trPr>
          <w:trHeight w:val="451"/>
        </w:trPr>
        <w:tc>
          <w:tcPr>
            <w:tcW w:w="7780" w:type="dxa"/>
            <w:vAlign w:val="bottom"/>
          </w:tcPr>
          <w:p>
            <w:pPr>
              <w:jc w:val="center"/>
              <w:ind w:left="2679"/>
              <w:spacing w:after="0"/>
              <w:rPr>
                <w:sz w:val="20"/>
                <w:szCs w:val="20"/>
                <w:color w:val="auto"/>
              </w:rPr>
            </w:pPr>
            <w:r>
              <w:rPr>
                <w:rFonts w:ascii="Arial" w:cs="Arial" w:eastAsia="Arial" w:hAnsi="Arial"/>
                <w:sz w:val="18"/>
                <w:szCs w:val="18"/>
                <w:color w:val="auto"/>
                <w:w w:val="91"/>
              </w:rPr>
              <w:t>Date of report (Date of earliest event reported): June 6, 2012</w:t>
            </w:r>
          </w:p>
        </w:tc>
        <w:tc>
          <w:tcPr>
            <w:tcW w:w="2540" w:type="dxa"/>
            <w:vAlign w:val="bottom"/>
          </w:tcPr>
          <w:p>
            <w:pPr>
              <w:spacing w:after="0"/>
              <w:rPr>
                <w:sz w:val="24"/>
                <w:szCs w:val="24"/>
                <w:color w:val="auto"/>
              </w:rPr>
            </w:pPr>
          </w:p>
        </w:tc>
      </w:tr>
      <w:tr>
        <w:trPr>
          <w:trHeight w:val="607"/>
        </w:trPr>
        <w:tc>
          <w:tcPr>
            <w:tcW w:w="7780" w:type="dxa"/>
            <w:vAlign w:val="bottom"/>
          </w:tcPr>
          <w:p>
            <w:pPr>
              <w:jc w:val="center"/>
              <w:ind w:left="2659"/>
              <w:spacing w:after="0"/>
              <w:rPr>
                <w:sz w:val="20"/>
                <w:szCs w:val="20"/>
                <w:color w:val="auto"/>
              </w:rPr>
            </w:pPr>
            <w:r>
              <w:rPr>
                <w:rFonts w:ascii="Arial" w:cs="Arial" w:eastAsia="Arial" w:hAnsi="Arial"/>
                <w:sz w:val="25"/>
                <w:szCs w:val="25"/>
                <w:b w:val="1"/>
                <w:bCs w:val="1"/>
                <w:color w:val="auto"/>
                <w:w w:val="91"/>
              </w:rPr>
              <w:t>Comcast Corporation</w:t>
            </w:r>
          </w:p>
        </w:tc>
        <w:tc>
          <w:tcPr>
            <w:tcW w:w="2540" w:type="dxa"/>
            <w:vAlign w:val="bottom"/>
          </w:tcPr>
          <w:p>
            <w:pPr>
              <w:spacing w:after="0"/>
              <w:rPr>
                <w:sz w:val="24"/>
                <w:szCs w:val="24"/>
                <w:color w:val="auto"/>
              </w:rPr>
            </w:pPr>
          </w:p>
        </w:tc>
      </w:tr>
      <w:tr>
        <w:trPr>
          <w:trHeight w:val="216"/>
        </w:trPr>
        <w:tc>
          <w:tcPr>
            <w:tcW w:w="7780" w:type="dxa"/>
            <w:vAlign w:val="bottom"/>
          </w:tcPr>
          <w:p>
            <w:pPr>
              <w:jc w:val="center"/>
              <w:ind w:left="2639"/>
              <w:spacing w:after="0"/>
              <w:rPr>
                <w:sz w:val="20"/>
                <w:szCs w:val="20"/>
                <w:color w:val="auto"/>
              </w:rPr>
            </w:pPr>
            <w:r>
              <w:rPr>
                <w:rFonts w:ascii="Arial" w:cs="Arial" w:eastAsia="Arial" w:hAnsi="Arial"/>
                <w:sz w:val="18"/>
                <w:szCs w:val="18"/>
                <w:color w:val="auto"/>
                <w:w w:val="90"/>
              </w:rPr>
              <w:t>(Exact Name of Registrant</w:t>
            </w:r>
          </w:p>
        </w:tc>
        <w:tc>
          <w:tcPr>
            <w:tcW w:w="2540" w:type="dxa"/>
            <w:vAlign w:val="bottom"/>
          </w:tcPr>
          <w:p>
            <w:pPr>
              <w:spacing w:after="0"/>
              <w:rPr>
                <w:sz w:val="18"/>
                <w:szCs w:val="18"/>
                <w:color w:val="auto"/>
              </w:rPr>
            </w:pPr>
          </w:p>
        </w:tc>
      </w:tr>
      <w:tr>
        <w:trPr>
          <w:trHeight w:val="230"/>
        </w:trPr>
        <w:tc>
          <w:tcPr>
            <w:tcW w:w="7780" w:type="dxa"/>
            <w:vAlign w:val="bottom"/>
          </w:tcPr>
          <w:p>
            <w:pPr>
              <w:jc w:val="center"/>
              <w:ind w:left="2639"/>
              <w:spacing w:after="0"/>
              <w:rPr>
                <w:sz w:val="20"/>
                <w:szCs w:val="20"/>
                <w:color w:val="auto"/>
              </w:rPr>
            </w:pPr>
            <w:r>
              <w:rPr>
                <w:rFonts w:ascii="Arial" w:cs="Arial" w:eastAsia="Arial" w:hAnsi="Arial"/>
                <w:sz w:val="18"/>
                <w:szCs w:val="18"/>
                <w:color w:val="auto"/>
                <w:w w:val="90"/>
              </w:rPr>
              <w:t>as Specified in its Charter)</w:t>
            </w:r>
          </w:p>
        </w:tc>
        <w:tc>
          <w:tcPr>
            <w:tcW w:w="2540" w:type="dxa"/>
            <w:vAlign w:val="bottom"/>
          </w:tcPr>
          <w:p>
            <w:pPr>
              <w:spacing w:after="0"/>
              <w:rPr>
                <w:sz w:val="20"/>
                <w:szCs w:val="20"/>
                <w:color w:val="auto"/>
              </w:rPr>
            </w:pPr>
          </w:p>
        </w:tc>
      </w:tr>
      <w:tr>
        <w:trPr>
          <w:trHeight w:val="621"/>
        </w:trPr>
        <w:tc>
          <w:tcPr>
            <w:tcW w:w="7780" w:type="dxa"/>
            <w:vAlign w:val="bottom"/>
          </w:tcPr>
          <w:p>
            <w:pPr>
              <w:jc w:val="center"/>
              <w:ind w:left="2659"/>
              <w:spacing w:after="0"/>
              <w:rPr>
                <w:sz w:val="20"/>
                <w:szCs w:val="20"/>
                <w:color w:val="auto"/>
              </w:rPr>
            </w:pPr>
            <w:r>
              <w:rPr>
                <w:rFonts w:ascii="Arial" w:cs="Arial" w:eastAsia="Arial" w:hAnsi="Arial"/>
                <w:sz w:val="18"/>
                <w:szCs w:val="18"/>
                <w:b w:val="1"/>
                <w:bCs w:val="1"/>
                <w:color w:val="auto"/>
                <w:w w:val="88"/>
              </w:rPr>
              <w:t>Pennsylvania</w:t>
            </w:r>
          </w:p>
        </w:tc>
        <w:tc>
          <w:tcPr>
            <w:tcW w:w="2540" w:type="dxa"/>
            <w:vAlign w:val="bottom"/>
          </w:tcPr>
          <w:p>
            <w:pPr>
              <w:spacing w:after="0"/>
              <w:rPr>
                <w:sz w:val="24"/>
                <w:szCs w:val="24"/>
                <w:color w:val="auto"/>
              </w:rPr>
            </w:pPr>
          </w:p>
        </w:tc>
      </w:tr>
      <w:tr>
        <w:trPr>
          <w:trHeight w:val="311"/>
        </w:trPr>
        <w:tc>
          <w:tcPr>
            <w:tcW w:w="7780" w:type="dxa"/>
            <w:vAlign w:val="bottom"/>
          </w:tcPr>
          <w:p>
            <w:pPr>
              <w:jc w:val="center"/>
              <w:ind w:left="2659"/>
              <w:spacing w:after="0"/>
              <w:rPr>
                <w:sz w:val="20"/>
                <w:szCs w:val="20"/>
                <w:color w:val="auto"/>
              </w:rPr>
            </w:pPr>
            <w:r>
              <w:rPr>
                <w:rFonts w:ascii="Arial" w:cs="Arial" w:eastAsia="Arial" w:hAnsi="Arial"/>
                <w:sz w:val="18"/>
                <w:szCs w:val="18"/>
                <w:color w:val="auto"/>
                <w:w w:val="91"/>
              </w:rPr>
              <w:t>(State or Other Jurisdiction of Incorporation)</w:t>
            </w:r>
          </w:p>
        </w:tc>
        <w:tc>
          <w:tcPr>
            <w:tcW w:w="2540" w:type="dxa"/>
            <w:vAlign w:val="bottom"/>
          </w:tcPr>
          <w:p>
            <w:pPr>
              <w:spacing w:after="0"/>
              <w:rPr>
                <w:sz w:val="24"/>
                <w:szCs w:val="24"/>
                <w:color w:val="auto"/>
              </w:rPr>
            </w:pPr>
          </w:p>
        </w:tc>
      </w:tr>
      <w:tr>
        <w:trPr>
          <w:trHeight w:val="621"/>
        </w:trPr>
        <w:tc>
          <w:tcPr>
            <w:tcW w:w="7780" w:type="dxa"/>
            <w:vAlign w:val="bottom"/>
          </w:tcPr>
          <w:p>
            <w:pPr>
              <w:jc w:val="center"/>
              <w:ind w:right="4739"/>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311"/>
        </w:trPr>
        <w:tc>
          <w:tcPr>
            <w:tcW w:w="7780" w:type="dxa"/>
            <w:vAlign w:val="bottom"/>
          </w:tcPr>
          <w:p>
            <w:pPr>
              <w:jc w:val="center"/>
              <w:ind w:right="4739"/>
              <w:spacing w:after="0"/>
              <w:rPr>
                <w:sz w:val="20"/>
                <w:szCs w:val="20"/>
                <w:color w:val="auto"/>
              </w:rPr>
            </w:pPr>
            <w:r>
              <w:rPr>
                <w:rFonts w:ascii="Arial" w:cs="Arial" w:eastAsia="Arial" w:hAnsi="Arial"/>
                <w:sz w:val="18"/>
                <w:szCs w:val="18"/>
                <w:color w:val="auto"/>
                <w:w w:val="92"/>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08"/>
        </w:trPr>
        <w:tc>
          <w:tcPr>
            <w:tcW w:w="7780" w:type="dxa"/>
            <w:vAlign w:val="bottom"/>
          </w:tcPr>
          <w:p>
            <w:pPr>
              <w:jc w:val="center"/>
              <w:ind w:right="4739"/>
              <w:spacing w:after="0"/>
              <w:rPr>
                <w:sz w:val="20"/>
                <w:szCs w:val="20"/>
                <w:color w:val="auto"/>
              </w:rPr>
            </w:pPr>
            <w:r>
              <w:rPr>
                <w:rFonts w:ascii="Arial" w:cs="Arial" w:eastAsia="Arial" w:hAnsi="Arial"/>
                <w:sz w:val="18"/>
                <w:szCs w:val="18"/>
                <w:b w:val="1"/>
                <w:bCs w:val="1"/>
                <w:color w:val="auto"/>
                <w:w w:val="90"/>
              </w:rPr>
              <w:t>One Comcast Center</w:t>
            </w:r>
          </w:p>
        </w:tc>
        <w:tc>
          <w:tcPr>
            <w:tcW w:w="2540" w:type="dxa"/>
            <w:vAlign w:val="bottom"/>
          </w:tcPr>
          <w:p>
            <w:pPr>
              <w:spacing w:after="0"/>
              <w:rPr>
                <w:sz w:val="24"/>
                <w:szCs w:val="24"/>
                <w:color w:val="auto"/>
              </w:rPr>
            </w:pPr>
          </w:p>
        </w:tc>
      </w:tr>
      <w:tr>
        <w:trPr>
          <w:trHeight w:val="234"/>
        </w:trPr>
        <w:tc>
          <w:tcPr>
            <w:tcW w:w="7780" w:type="dxa"/>
            <w:vAlign w:val="bottom"/>
          </w:tcPr>
          <w:p>
            <w:pPr>
              <w:jc w:val="center"/>
              <w:ind w:right="4759"/>
              <w:spacing w:after="0"/>
              <w:rPr>
                <w:sz w:val="20"/>
                <w:szCs w:val="20"/>
                <w:color w:val="auto"/>
              </w:rPr>
            </w:pPr>
            <w:r>
              <w:rPr>
                <w:rFonts w:ascii="Arial" w:cs="Arial" w:eastAsia="Arial" w:hAnsi="Arial"/>
                <w:sz w:val="18"/>
                <w:szCs w:val="18"/>
                <w:b w:val="1"/>
                <w:bCs w:val="1"/>
                <w:color w:val="auto"/>
                <w:w w:val="90"/>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311"/>
        </w:trPr>
        <w:tc>
          <w:tcPr>
            <w:tcW w:w="7780" w:type="dxa"/>
            <w:vAlign w:val="bottom"/>
          </w:tcPr>
          <w:p>
            <w:pPr>
              <w:jc w:val="center"/>
              <w:ind w:right="4739"/>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27"/>
        </w:trPr>
        <w:tc>
          <w:tcPr>
            <w:tcW w:w="7780" w:type="dxa"/>
            <w:vAlign w:val="bottom"/>
          </w:tcPr>
          <w:p>
            <w:pPr>
              <w:jc w:val="center"/>
              <w:ind w:left="2659"/>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527"/>
        </w:trPr>
        <w:tc>
          <w:tcPr>
            <w:tcW w:w="7780" w:type="dxa"/>
            <w:vAlign w:val="bottom"/>
          </w:tcPr>
          <w:p>
            <w:pPr>
              <w:jc w:val="center"/>
              <w:ind w:left="2659"/>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bl>
    <w:p>
      <w:pPr>
        <w:spacing w:after="0" w:line="22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560" w:hanging="228"/>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49" w:right="77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June 6, 2012, Comcast Corporation (“Comcast”) and Comcast Cable Communications, LLC (“Comcast Cable”) entered into a new revolving credit agreement, which may be used for general corporate purposes. The new revolving credit agreement replaces Comcast’s prior $6.8 billion revolving credit agreement, which was terminated in connection with the execution of the new revolving credit agreement. Under the new revolving credit agreement, Comcast and Comcast Cable may borrow up to an aggregate of $6.25 billion. The new revolving credit agreement terminates on June 6, 2017. As of June 6, 2012, no amounts were outstanding under the new revolving credit agreement other than approximately $456 million of letters of credit previously issued for the account of Comcast and its subsidiaries, including those under the prior revolving credit agreement. Amounts outstanding under the new revolving credit agreement may be accelerated upon the occurrence of customary events of default, and the new revolving credit agreement requires Comcast and its restricted subsidiaries to maintain a ratio of consolidated total indebtedness (as defined) to annualized EBITDA (as defined) of no more than 5.75:1.00. As was the case with the prior credit facility, the new revolving credit agreement is guaranteed by a number of Comcast’s wholly owned subsidiaries that indirectly hold substantially all of the assets of its cable communications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5480" w:val="left"/>
          <w:tab w:leader="none" w:pos="6220" w:val="left"/>
        </w:tabs>
        <w:rPr>
          <w:sz w:val="20"/>
          <w:szCs w:val="20"/>
          <w:color w:val="auto"/>
        </w:rPr>
      </w:pPr>
      <w:r>
        <w:rPr>
          <w:rFonts w:ascii="Arial" w:cs="Arial" w:eastAsia="Arial" w:hAnsi="Arial"/>
          <w:sz w:val="18"/>
          <w:szCs w:val="18"/>
          <w:color w:val="auto"/>
        </w:rPr>
        <w:t>Date: June 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4612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600"/>
      </w:cols>
      <w:pgMar w:left="240" w:top="756"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2019-12-09T14:42:22Z</dcterms:created>
  <dcterms:modified xsi:type="dcterms:W3CDTF">2019-12-09T14:42:22Z</dcterms:modified>
</cp:coreProperties>
</file>