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 September 17, 1998</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32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160" w:space="640"/>
            <w:col w:w="1800" w:space="720"/>
            <w:col w:w="3899"/>
          </w:cols>
          <w:pgMar w:left="240" w:top="244" w:right="1440" w:bottom="1440" w:gutter="0" w:footer="0" w:header="0"/>
          <w:type w:val="continuous"/>
        </w:sectPr>
      </w:pPr>
    </w:p>
    <w:p>
      <w:pPr>
        <w:spacing w:after="0" w:line="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1500 Market Street, Philadelphia, PA 19102</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6" w:lineRule="exact"/>
        <w:rPr>
          <w:sz w:val="24"/>
          <w:szCs w:val="24"/>
          <w:color w:val="auto"/>
        </w:rPr>
      </w:pPr>
    </w:p>
    <w:p>
      <w:pPr>
        <w:jc w:val="right"/>
        <w:ind w:left="740" w:right="25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(215) 665-1700 --------------</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 September 1998, Comcast Corporation ("Comcast") determined that it would contribute, via a capital contribution to its wholly owned subsidiary, Comcast Cable Communications, Inc. ("Comcast Cable"), all of the shares in Jones Intercable, Inc. ("Jones Intercable") to be acquired by Comcast from BCI Telecom Holding and affiliates of Glenn R. Jones (the "Jones Acquisition") in transactions previously announced by Comcast. The shares to be acquired consist of an aggregate of approximately 12.8 million shares of Jones Intercable Class A Common Stock and approximately 2.9 million shares of Jones Intercable Common Stock (the "Common Stock"), representing approximately 37% of the economic and 47% of the voting interest in Jones Intercable. In addition, the approximately 2.9 million shares of Common Stock will represent approximately 57% of the outstanding Common Stock which class of stock elects 75% of the Board of Directors of Jones Intercable.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contribution, which is subject to the receipt of required regulatory and other approvals, will be effective immediately following closing of the Jones Acquisition, which is expected to occur in the first quarter of 1999. As a result, Jones Intercable will become a consolidated public-company subsidiary of Comcast Cable.</w:t>
      </w:r>
    </w:p>
    <w:p>
      <w:pPr>
        <w:sectPr>
          <w:pgSz w:w="11900" w:h="16838" w:orient="portrait"/>
          <w:cols w:equalWidth="0" w:num="1">
            <w:col w:w="10219"/>
          </w:cols>
          <w:pgMar w:left="240" w:top="244" w:right="1440" w:bottom="1440"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September 17, 1998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Arthur R. Block</w:t>
      </w:r>
    </w:p>
    <w:p>
      <w:pPr>
        <w:ind w:left="420"/>
        <w:spacing w:after="0" w:line="238" w:lineRule="auto"/>
        <w:rPr>
          <w:sz w:val="20"/>
          <w:szCs w:val="20"/>
          <w:color w:val="auto"/>
        </w:rPr>
      </w:pPr>
      <w:r>
        <w:rPr>
          <w:rFonts w:ascii="Courier New" w:cs="Courier New" w:eastAsia="Courier New" w:hAnsi="Courier New"/>
          <w:sz w:val="18"/>
          <w:szCs w:val="18"/>
          <w:color w:val="auto"/>
        </w:rPr>
        <w:t>Vice President and</w:t>
      </w:r>
    </w:p>
    <w:p>
      <w:pPr>
        <w:ind w:left="420"/>
        <w:spacing w:after="0"/>
        <w:rPr>
          <w:sz w:val="20"/>
          <w:szCs w:val="20"/>
          <w:color w:val="auto"/>
        </w:rPr>
      </w:pPr>
      <w:r>
        <w:rPr>
          <w:rFonts w:ascii="Courier New" w:cs="Courier New" w:eastAsia="Courier New" w:hAnsi="Courier New"/>
          <w:sz w:val="18"/>
          <w:szCs w:val="18"/>
          <w:color w:val="auto"/>
        </w:rPr>
        <w:t>Senior Deputy General Counsel</w:t>
      </w:r>
    </w:p>
    <w:p>
      <w:pPr>
        <w:spacing w:after="0" w:line="200" w:lineRule="exact"/>
        <w:rPr>
          <w:sz w:val="20"/>
          <w:szCs w:val="20"/>
          <w:color w:val="auto"/>
        </w:rPr>
      </w:pPr>
    </w:p>
    <w:p>
      <w:pPr>
        <w:sectPr>
          <w:pgSz w:w="11900" w:h="16838" w:orient="portrait"/>
          <w:cols w:equalWidth="0" w:num="2">
            <w:col w:w="3400" w:space="720"/>
            <w:col w:w="6099"/>
          </w:cols>
          <w:pgMar w:left="240" w:top="717" w:right="1440" w:bottom="1440" w:gutter="0" w:footer="0" w:header="0"/>
          <w:type w:val="continuous"/>
        </w:sectPr>
      </w:pP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2019-12-12T23:02:21Z</dcterms:created>
  <dcterms:modified xsi:type="dcterms:W3CDTF">2019-12-12T23:02:21Z</dcterms:modified>
</cp:coreProperties>
</file>