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July 10,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180" w:space="720"/>
            <w:col w:w="3060"/>
          </w:cols>
          <w:pgMar w:left="440" w:top="229" w:right="49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9" w:right="4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0960"/>
          </w:cols>
          <w:pgMar w:left="440" w:top="229" w:right="499" w:bottom="144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2002 RESTRICTED STOCK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 2003 STOCK OPTION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Thomas J. Reid,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3037205</wp:posOffset>
            </wp:positionH>
            <wp:positionV relativeFrom="page">
              <wp:posOffset>311785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 (1)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387,000,000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$39.375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$15,238,125,000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$1,977,908.63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2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on Form S-8 (this “Registration Statement”) covers 387,000,000 shares of Class A Common Stock, par value $0.01 per share (“Common Stock”), of Comcast Corporation (the “Registrant”), 36,000,000 of which are issuable pursuant to the Comcast Corporation 2002 Restricted Stock Plan, as amended and restated effective April 10, 2020 (the “2002 Restricted Stock Plan”), and 351,000,000 of which are issuable pursuant to the Comcast Corporation 2003 Stock Option Plan, as amended and restated effective April 10, 2020 (the “2003 Stock Option Plan” and together with the 2002 Restricted Stock Plan, the “Plans”).</w:t>
      </w:r>
    </w:p>
    <w:p>
      <w:pPr>
        <w:spacing w:after="0" w:line="2"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covers any additional shares of Common Stock that become issuable under the Plans to prevent dilution resulting from stock splits, stock dividends, or similar transactions.</w:t>
      </w:r>
    </w:p>
    <w:p>
      <w:pPr>
        <w:spacing w:after="0" w:line="1" w:lineRule="exact"/>
        <w:rPr>
          <w:rFonts w:ascii="Arial" w:cs="Arial" w:eastAsia="Arial" w:hAnsi="Arial"/>
          <w:sz w:val="18"/>
          <w:szCs w:val="18"/>
          <w:color w:val="auto"/>
        </w:rPr>
      </w:pPr>
    </w:p>
    <w:p>
      <w:pPr>
        <w:ind w:left="424" w:right="160" w:hanging="424"/>
        <w:spacing w:after="0" w:line="290"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 457(c) and (h) under the Securities Act, solely for the purpose of calculating the amount of the registration fee, based upon the average of the high and low prices per share of Common Stock on the NASDAQ Global Select Market on July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702" w:right="439" w:bottom="1440" w:gutter="0" w:footer="0" w:header="0"/>
        </w:sectPr>
      </w:pPr>
    </w:p>
    <w:bookmarkStart w:id="2" w:name="page3"/>
    <w:bookmarkEnd w:id="2"/>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of Additional Shares under Comcast Corporation 2002 Restricted Stock Plan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Pursuant to General Instruction E of Form S-8, this Registration Statement is being filed in order to register an additional 36,000,000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of the Registrant issuable under the 2002 Restricted Stock Plan, which are securities of the same class and relate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benefit plan as those shares of Common Stock registered on the Registrant’s registration statements on Form S-8 previously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(the “Commission”) on November 19, 2002 (Registration No. 333-101295, as amended by post-effective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amendment no. 1 filed on December 4, 2002), December 4, 2002 (Registration No. 333-101645), April 8, 2003 (Registration No. 333-104385),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1, 2005 (Registration No. 333-123059), January 4, 2006 (Registration No. 333-130847), May 16, 2008 (Registration No. 333-150976),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21, 2009 (Registration No. 333-161468), May 23, 2011 (Registration No. 333-174416), and July 28, 2016 (Registration No. 333-212716), all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hereby incorporated by reference.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of Additional Shares under Comcast Corporation 2003 Stock Option Plan</w:t>
      </w:r>
    </w:p>
    <w:p>
      <w:pPr>
        <w:spacing w:after="0" w:line="117"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Pursuant to General Instruction E of Form S-8, this Registration Statement is also being filed in order to register an additional 351,000,000 shares of Common Stock of the Registrant issuable under the 2003 Stock Option Plan, which are securities of the same class and relate to the same employee benefit plan as those shares of Common Stock registered on the Registrant’s registration statements on Form S-8 previously filed with the Commission on April 8, 2003 (Registration No. 333-104385), May 16, 2008 (Registration No. 333-150976), August 21, 2009 (Registration</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No. 333-161468), May 23, 2011 (Registration No. 333-174416), and July 28, 2016 (Registration No. 333-212716), all of which are hereby incorporated by reference.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documents filed with the Commission by the Registrant are hereby incorporated by reference into this Registration Statement (other than portions of the documents that are “furnished” rather than filed with the Commission):</w:t>
      </w:r>
    </w:p>
    <w:p>
      <w:pPr>
        <w:spacing w:after="0" w:line="76" w:lineRule="exact"/>
        <w:rPr>
          <w:sz w:val="20"/>
          <w:szCs w:val="20"/>
          <w:color w:val="auto"/>
        </w:rPr>
      </w:pPr>
    </w:p>
    <w:p>
      <w:pPr>
        <w:ind w:left="960" w:right="40" w:hanging="532"/>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18">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2019, as filed with the Commission on January 30, 2020 (excluding the financial statements of NBCUniversal Media, LLC, and the associated reports of NBCUniversal Media, LLC’s independent registered public accounting firm included in such Annual Report) (the “Annual Report”);</w:t>
      </w:r>
    </w:p>
    <w:p>
      <w:pPr>
        <w:spacing w:after="0" w:line="70" w:lineRule="exact"/>
        <w:rPr>
          <w:rFonts w:ascii="Arial" w:cs="Arial" w:eastAsia="Arial" w:hAnsi="Arial"/>
          <w:sz w:val="17"/>
          <w:szCs w:val="17"/>
          <w:color w:val="auto"/>
        </w:rPr>
      </w:pPr>
    </w:p>
    <w:p>
      <w:pPr>
        <w:ind w:left="960" w:right="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2020, as filed with the Commission on April 30, 2020;</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2"/>
        </w:numPr>
        <w:rPr>
          <w:rFonts w:ascii="Arial" w:cs="Arial" w:eastAsia="Arial" w:hAnsi="Arial"/>
          <w:sz w:val="18"/>
          <w:szCs w:val="18"/>
          <w:color w:val="0000EE"/>
        </w:rPr>
      </w:pPr>
      <w:hyperlink r:id="rId20">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EE"/>
          </w:rPr>
          <w:t>February 20,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28, 2020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 xml:space="preserve">June 5, 2020 </w:t>
        </w:r>
      </w:hyperlink>
      <w:hyperlink r:id="rId2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June 11, 2020</w:t>
        </w:r>
      </w:hyperlink>
      <w:hyperlink r:id="rId20">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960" w:right="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sections of the Registrant’s Definitive Proxy Statement on </w:t>
      </w:r>
      <w:hyperlink r:id="rId23">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2020 Annual Meeting of Shareholders incorporated by reference in the Annual Report; and</w:t>
      </w:r>
    </w:p>
    <w:p>
      <w:pPr>
        <w:spacing w:after="0" w:line="75"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included under the caption “Amended and Restated Description of our Class A Common Stock” in Item 3.03 of Registrant’s Current Report on </w:t>
      </w:r>
      <w:hyperlink r:id="rId24">
        <w:r>
          <w:rPr>
            <w:rFonts w:ascii="Arial" w:cs="Arial" w:eastAsia="Arial" w:hAnsi="Arial"/>
            <w:sz w:val="17"/>
            <w:szCs w:val="17"/>
            <w:u w:val="single" w:color="auto"/>
            <w:color w:val="0000EE"/>
          </w:rPr>
          <w:t>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Commission on December 15, 2015.</w:t>
      </w:r>
    </w:p>
    <w:p>
      <w:pPr>
        <w:spacing w:after="0" w:line="146" w:lineRule="exact"/>
        <w:rPr>
          <w:rFonts w:ascii="Arial" w:cs="Arial" w:eastAsia="Arial" w:hAnsi="Arial"/>
          <w:sz w:val="18"/>
          <w:szCs w:val="18"/>
          <w:color w:val="auto"/>
        </w:rPr>
      </w:pPr>
    </w:p>
    <w:p>
      <w:pPr>
        <w:ind w:right="60"/>
        <w:spacing w:after="0" w:line="293" w:lineRule="auto"/>
        <w:rPr>
          <w:sz w:val="20"/>
          <w:szCs w:val="20"/>
          <w:color w:val="auto"/>
        </w:rPr>
      </w:pPr>
      <w:r>
        <w:rPr>
          <w:rFonts w:ascii="Arial" w:cs="Arial" w:eastAsia="Arial" w:hAnsi="Arial"/>
          <w:sz w:val="16"/>
          <w:szCs w:val="16"/>
          <w:color w:val="auto"/>
        </w:rPr>
        <w:t>All documents filed by the Registrant with the Commission pursuant to Sections 13(a), 13(c), 14 and 15(d) (other than the documents, or portions thereof, that are “furnished” rather than filed with the Commission) of the Securities Exchange Act of 1934, as amended (the “Exchange Act”), after the date hereof and prior to the filing of a post-effective amendment which indicates that all securities offered pursuant to this Registration Statement have been sold or which deregisters all securities then remaining unsold, but excluding any financial statements of NBCUniversal Media, LLC, and any associated report of NBCUniversal Media, LLC’s independent registered public accounting firm included in any such documents, shall be deemed to be incorporated by reference herein and to be a part hereof from the date of filing of such documents. Any statements contained in a previously filed</w:t>
      </w:r>
    </w:p>
    <w:p>
      <w:pPr>
        <w:sectPr>
          <w:pgSz w:w="11900" w:h="16838" w:orient="portrait"/>
          <w:cols w:equalWidth="0" w:num="1">
            <w:col w:w="11000"/>
          </w:cols>
          <w:pgMar w:left="440" w:top="270" w:right="459" w:bottom="1440" w:gutter="0" w:footer="0" w:header="0"/>
        </w:sectPr>
      </w:pPr>
    </w:p>
    <w:bookmarkStart w:id="3" w:name="page4"/>
    <w:bookmarkEnd w:id="3"/>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 incorporated by reference into this Registration Statement is deemed to be modified or superseded for purposes of this Registration Statement to the extent that a statement contained in this Registration Statement, or in a subsequently filed document also incorporated by reference herein, modifies or supersedes that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ectPr>
          <w:pgSz w:w="11900" w:h="16838" w:orient="portrait"/>
          <w:cols w:equalWidth="0" w:num="1">
            <w:col w:w="11020"/>
          </w:cols>
          <w:pgMar w:left="440" w:top="274" w:right="439" w:bottom="1440" w:gutter="0" w:footer="0" w:header="0"/>
        </w:sectPr>
      </w:pPr>
    </w:p>
    <w:bookmarkStart w:id="4" w:name="page5"/>
    <w:bookmarkEnd w:id="4"/>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Registrant’s charter, by-laws and indemnification agreements.</w:t>
      </w:r>
    </w:p>
    <w:p>
      <w:pPr>
        <w:sectPr>
          <w:pgSz w:w="11900" w:h="16838" w:orient="portrait"/>
          <w:cols w:equalWidth="0" w:num="1">
            <w:col w:w="10960"/>
          </w:cols>
          <w:pgMar w:left="440" w:top="274" w:right="49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 Exhibits.</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340" w:type="dxa"/>
            <w:vAlign w:val="bottom"/>
            <w:tcBorders>
              <w:bottom w:val="single" w:sz="8" w:color="0000EE"/>
            </w:tcBorders>
            <w:gridSpan w:val="5"/>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Comcast Corporation 2002 Restricted Stock Plan, as amended and restated effective April 10, 2020 (incorporated by reference to</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Appendix B to the Registrant’s definitive proxy statement filed with the Commission on April 24,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7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860" w:type="dxa"/>
            <w:vAlign w:val="bottom"/>
            <w:tcBorders>
              <w:bottom w:val="single" w:sz="8" w:color="0000EE"/>
            </w:tcBorders>
            <w:gridSpan w:val="6"/>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Comcast Corporation 2003 Stock Option Plan, as amended and restated effective April 10, 2020 (incorporated by reference to Appendix</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A to the Registrant’s definitive proxy statement filed with the Commission on April 24, 2020)</w:t>
              </w:r>
            </w:hyperlink>
          </w:p>
        </w:tc>
        <w:tc>
          <w:tcPr>
            <w:tcW w:w="3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Blank Rome LLP (regarding validity)</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Opinion of Blank Rome LLP (regarding ERISA)</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Consent of Deloitte &amp; Touche LLP</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Blank Rome LLP (contained in Exhibits </w:t>
            </w:r>
            <w:hyperlink w:anchor="page10">
              <w:r>
                <w:rPr>
                  <w:rFonts w:ascii="Arial" w:cs="Arial" w:eastAsia="Arial" w:hAnsi="Arial"/>
                  <w:sz w:val="18"/>
                  <w:szCs w:val="18"/>
                  <w:u w:val="single" w:color="auto"/>
                  <w:color w:val="0000EE"/>
                </w:rPr>
                <w:t>5.1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2">
              <w:r>
                <w:rPr>
                  <w:rFonts w:ascii="Arial" w:cs="Arial" w:eastAsia="Arial" w:hAnsi="Arial"/>
                  <w:sz w:val="18"/>
                  <w:szCs w:val="18"/>
                  <w:u w:val="single" w:color="auto"/>
                  <w:color w:val="0000EE"/>
                </w:rPr>
                <w:t>5.2</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Power of Attorney (contained in the signature pages hereto)</w:t>
              </w:r>
            </w:hyperlink>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64" w:hanging="533"/>
        <w:spacing w:after="0" w:line="254" w:lineRule="auto"/>
        <w:tabs>
          <w:tab w:leader="none" w:pos="196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7" w:lineRule="exact"/>
        <w:rPr>
          <w:rFonts w:ascii="Arial" w:cs="Arial" w:eastAsia="Arial" w:hAnsi="Arial"/>
          <w:sz w:val="18"/>
          <w:szCs w:val="18"/>
          <w:color w:val="auto"/>
        </w:rPr>
      </w:pPr>
    </w:p>
    <w:p>
      <w:pPr>
        <w:ind w:left="1964" w:right="480" w:hanging="533"/>
        <w:spacing w:after="0" w:line="277" w:lineRule="auto"/>
        <w:tabs>
          <w:tab w:leader="none" w:pos="196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84" w:right="280"/>
        <w:spacing w:after="0" w:line="259" w:lineRule="auto"/>
        <w:rPr>
          <w:sz w:val="20"/>
          <w:szCs w:val="20"/>
          <w:color w:val="auto"/>
        </w:rPr>
      </w:pPr>
      <w:r>
        <w:rPr>
          <w:rFonts w:ascii="Arial" w:cs="Arial" w:eastAsia="Arial" w:hAnsi="Arial"/>
          <w:sz w:val="18"/>
          <w:szCs w:val="18"/>
          <w:color w:val="auto"/>
        </w:rPr>
        <w:t>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92" w:lineRule="exact"/>
        <w:rPr>
          <w:sz w:val="20"/>
          <w:szCs w:val="20"/>
          <w:color w:val="auto"/>
        </w:rPr>
      </w:pPr>
    </w:p>
    <w:p>
      <w:pPr>
        <w:ind w:left="964" w:hanging="532"/>
        <w:spacing w:after="0" w:line="263"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004"/>
          </w:cols>
          <w:pgMar w:left="436" w:top="270" w:right="459" w:bottom="1440" w:gutter="0" w:footer="0" w:header="0"/>
        </w:sectPr>
      </w:pPr>
    </w:p>
    <w:bookmarkStart w:id="6" w:name="page7"/>
    <w:bookmarkEnd w:id="6"/>
    <w:p>
      <w:pPr>
        <w:ind w:left="424"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24"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4"/>
          </w:cols>
          <w:pgMar w:left="436" w:top="274" w:right="5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July 10, 2020.</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Legal Officer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Brian L. Roberts,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7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800" w:type="dxa"/>
            <w:vAlign w:val="bottom"/>
          </w:tcPr>
          <w:p>
            <w:pPr>
              <w:jc w:val="center"/>
              <w:ind w:left="191"/>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tcPr>
          <w:p>
            <w:pPr>
              <w:jc w:val="center"/>
              <w:ind w:left="59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L. Roberts</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2"/>
              </w:rPr>
              <w:t>Chairman and CEO; Director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Brian L. Roberts</w:t>
            </w:r>
          </w:p>
        </w:tc>
        <w:tc>
          <w:tcPr>
            <w:tcW w:w="4800" w:type="dxa"/>
            <w:vAlign w:val="bottom"/>
          </w:tcPr>
          <w:p>
            <w:pPr>
              <w:jc w:val="center"/>
              <w:ind w:left="211"/>
              <w:spacing w:after="0"/>
              <w:rPr>
                <w:sz w:val="20"/>
                <w:szCs w:val="20"/>
                <w:color w:val="auto"/>
              </w:rPr>
            </w:pPr>
            <w:r>
              <w:rPr>
                <w:rFonts w:ascii="Arial" w:cs="Arial" w:eastAsia="Arial" w:hAnsi="Arial"/>
                <w:sz w:val="18"/>
                <w:szCs w:val="18"/>
                <w:color w:val="auto"/>
                <w:w w:val="94"/>
              </w:rPr>
              <w:t>(Principal Executive Officer)</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Cavanagh</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4"/>
              </w:rPr>
              <w:t>Chief Financial Officer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Michael J. Cavanagh</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4"/>
              </w:rPr>
              <w:t>(Principal Financial Officer)</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4"/>
              </w:rPr>
              <w:t>/s/ Daniel C. Murdock</w:t>
            </w:r>
          </w:p>
        </w:tc>
        <w:tc>
          <w:tcPr>
            <w:tcW w:w="4800" w:type="dxa"/>
            <w:vAlign w:val="bottom"/>
          </w:tcPr>
          <w:p>
            <w:pPr>
              <w:jc w:val="center"/>
              <w:ind w:left="211"/>
              <w:spacing w:after="0"/>
              <w:rPr>
                <w:sz w:val="20"/>
                <w:szCs w:val="20"/>
                <w:color w:val="auto"/>
              </w:rPr>
            </w:pPr>
            <w:r>
              <w:rPr>
                <w:rFonts w:ascii="Arial" w:cs="Arial" w:eastAsia="Arial" w:hAnsi="Arial"/>
                <w:sz w:val="18"/>
                <w:szCs w:val="18"/>
                <w:color w:val="auto"/>
                <w:w w:val="92"/>
              </w:rPr>
              <w:t>Executive Vice President, Chief Accounting</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114"/>
        </w:trPr>
        <w:tc>
          <w:tcPr>
            <w:tcW w:w="4180" w:type="dxa"/>
            <w:vAlign w:val="bottom"/>
            <w:tcBorders>
              <w:bottom w:val="single" w:sz="8" w:color="auto"/>
            </w:tcBorders>
            <w:vMerge w:val="continue"/>
          </w:tcPr>
          <w:p>
            <w:pPr>
              <w:spacing w:after="0"/>
              <w:rPr>
                <w:sz w:val="9"/>
                <w:szCs w:val="9"/>
                <w:color w:val="auto"/>
              </w:rPr>
            </w:pPr>
          </w:p>
        </w:tc>
        <w:tc>
          <w:tcPr>
            <w:tcW w:w="4800" w:type="dxa"/>
            <w:vAlign w:val="bottom"/>
            <w:vMerge w:val="restart"/>
          </w:tcPr>
          <w:p>
            <w:pPr>
              <w:jc w:val="center"/>
              <w:ind w:left="191"/>
              <w:spacing w:after="0"/>
              <w:rPr>
                <w:sz w:val="20"/>
                <w:szCs w:val="20"/>
                <w:color w:val="auto"/>
              </w:rPr>
            </w:pPr>
            <w:r>
              <w:rPr>
                <w:rFonts w:ascii="Arial" w:cs="Arial" w:eastAsia="Arial" w:hAnsi="Arial"/>
                <w:sz w:val="18"/>
                <w:szCs w:val="18"/>
                <w:color w:val="auto"/>
                <w:w w:val="93"/>
              </w:rPr>
              <w:t>Officer and Controller</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3"/>
              </w:rPr>
              <w:t>Daniel C. Murdock</w:t>
            </w:r>
          </w:p>
        </w:tc>
        <w:tc>
          <w:tcPr>
            <w:tcW w:w="480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4180" w:type="dxa"/>
            <w:vAlign w:val="bottom"/>
            <w:vMerge w:val="continue"/>
          </w:tcPr>
          <w:p>
            <w:pPr>
              <w:spacing w:after="0"/>
              <w:rPr>
                <w:sz w:val="11"/>
                <w:szCs w:val="11"/>
                <w:color w:val="auto"/>
              </w:rPr>
            </w:pPr>
          </w:p>
        </w:tc>
        <w:tc>
          <w:tcPr>
            <w:tcW w:w="4800" w:type="dxa"/>
            <w:vAlign w:val="bottom"/>
            <w:vMerge w:val="restart"/>
          </w:tcPr>
          <w:p>
            <w:pPr>
              <w:jc w:val="center"/>
              <w:ind w:left="191"/>
              <w:spacing w:after="0"/>
              <w:rPr>
                <w:sz w:val="20"/>
                <w:szCs w:val="20"/>
                <w:color w:val="auto"/>
              </w:rPr>
            </w:pPr>
            <w:r>
              <w:rPr>
                <w:rFonts w:ascii="Arial" w:cs="Arial" w:eastAsia="Arial" w:hAnsi="Arial"/>
                <w:sz w:val="18"/>
                <w:szCs w:val="18"/>
                <w:color w:val="auto"/>
                <w:w w:val="94"/>
              </w:rPr>
              <w:t>(Principal Accounting Officer)</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18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Kenneth J. Bacon</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Madeline S. Bell</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Naomi M. Bergman</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Naomi M. Bergman</w:t>
            </w: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Edward D. Breen</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 Hassell</w:t>
            </w:r>
          </w:p>
        </w:tc>
        <w:tc>
          <w:tcPr>
            <w:tcW w:w="4800" w:type="dxa"/>
            <w:vAlign w:val="bottom"/>
          </w:tcPr>
          <w:p>
            <w:pPr>
              <w:jc w:val="center"/>
              <w:ind w:left="191"/>
              <w:spacing w:after="0"/>
              <w:rPr>
                <w:sz w:val="20"/>
                <w:szCs w:val="20"/>
                <w:color w:val="auto"/>
              </w:rPr>
            </w:pPr>
            <w:r>
              <w:rPr>
                <w:rFonts w:ascii="Arial" w:cs="Arial" w:eastAsia="Arial" w:hAnsi="Arial"/>
                <w:sz w:val="18"/>
                <w:szCs w:val="18"/>
                <w:color w:val="auto"/>
                <w:w w:val="95"/>
              </w:rPr>
              <w:t>Director</w:t>
            </w:r>
          </w:p>
        </w:tc>
        <w:tc>
          <w:tcPr>
            <w:tcW w:w="1640" w:type="dxa"/>
            <w:vAlign w:val="bottom"/>
          </w:tcPr>
          <w:p>
            <w:pPr>
              <w:jc w:val="center"/>
              <w:ind w:left="572"/>
              <w:spacing w:after="0"/>
              <w:rPr>
                <w:sz w:val="20"/>
                <w:szCs w:val="20"/>
                <w:color w:val="auto"/>
              </w:rPr>
            </w:pPr>
            <w:r>
              <w:rPr>
                <w:rFonts w:ascii="Arial" w:cs="Arial" w:eastAsia="Arial" w:hAnsi="Arial"/>
                <w:sz w:val="18"/>
                <w:szCs w:val="18"/>
                <w:color w:val="auto"/>
                <w:w w:val="91"/>
              </w:rPr>
              <w:t>July 10,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4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A. Honickman</w:t>
            </w:r>
          </w:p>
        </w:tc>
        <w:tc>
          <w:tcPr>
            <w:tcW w:w="41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00"/>
              <w:spacing w:after="0"/>
              <w:rPr>
                <w:sz w:val="20"/>
                <w:szCs w:val="20"/>
                <w:color w:val="auto"/>
              </w:rPr>
            </w:pPr>
            <w:r>
              <w:rPr>
                <w:rFonts w:ascii="Arial" w:cs="Arial" w:eastAsia="Arial" w:hAnsi="Arial"/>
                <w:sz w:val="18"/>
                <w:szCs w:val="18"/>
                <w:color w:val="auto"/>
                <w:w w:val="89"/>
              </w:rPr>
              <w:t>July 10,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4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Maritza G. Montiel</w:t>
            </w:r>
          </w:p>
        </w:tc>
        <w:tc>
          <w:tcPr>
            <w:tcW w:w="41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00"/>
              <w:spacing w:after="0"/>
              <w:rPr>
                <w:sz w:val="20"/>
                <w:szCs w:val="20"/>
                <w:color w:val="auto"/>
              </w:rPr>
            </w:pPr>
            <w:r>
              <w:rPr>
                <w:rFonts w:ascii="Arial" w:cs="Arial" w:eastAsia="Arial" w:hAnsi="Arial"/>
                <w:sz w:val="18"/>
                <w:szCs w:val="18"/>
                <w:color w:val="auto"/>
                <w:w w:val="89"/>
              </w:rPr>
              <w:t>July 10,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Maritza G. Montiel</w:t>
            </w:r>
          </w:p>
        </w:tc>
        <w:tc>
          <w:tcPr>
            <w:tcW w:w="4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Asuka Nakahara</w:t>
            </w:r>
          </w:p>
        </w:tc>
        <w:tc>
          <w:tcPr>
            <w:tcW w:w="41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00"/>
              <w:spacing w:after="0"/>
              <w:rPr>
                <w:sz w:val="20"/>
                <w:szCs w:val="20"/>
                <w:color w:val="auto"/>
              </w:rPr>
            </w:pPr>
            <w:r>
              <w:rPr>
                <w:rFonts w:ascii="Arial" w:cs="Arial" w:eastAsia="Arial" w:hAnsi="Arial"/>
                <w:sz w:val="18"/>
                <w:szCs w:val="18"/>
                <w:color w:val="auto"/>
                <w:w w:val="89"/>
              </w:rPr>
              <w:t>July 10,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4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C. Novak</w:t>
            </w:r>
          </w:p>
        </w:tc>
        <w:tc>
          <w:tcPr>
            <w:tcW w:w="41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00"/>
              <w:spacing w:after="0"/>
              <w:rPr>
                <w:sz w:val="20"/>
                <w:szCs w:val="20"/>
                <w:color w:val="auto"/>
              </w:rPr>
            </w:pPr>
            <w:r>
              <w:rPr>
                <w:rFonts w:ascii="Arial" w:cs="Arial" w:eastAsia="Arial" w:hAnsi="Arial"/>
                <w:sz w:val="18"/>
                <w:szCs w:val="18"/>
                <w:color w:val="auto"/>
                <w:w w:val="89"/>
              </w:rPr>
              <w:t>July 10,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416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0620"/>
          </w:cols>
          <w:pgMar w:left="440" w:top="490" w:right="8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82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482725" cy="16319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6"/>
          <w:szCs w:val="16"/>
          <w:color w:val="auto"/>
        </w:rPr>
        <w:t>215-569-5500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215-569-5555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387,000,000 shares (the “Shares”) of Class A common stock, par value $0.01 per share (“Common Stock”), 36,000,000 of which are issuable pursuant to the Comcast Corporation 2002 Restricted Stock Plan, as amended and restated effective April 10, 2020 (the “2002 Restricted Stock Plan”), and 351,000,000 of which are issuable pursuant to the Comcast Corporation 2003 Stock Option Plan, as amended and restated effective April 10, 2020 (the “2003 Stock Option Plan” and together with the 2002 Restricted Stock Plan, the “Plans”). This opinion is furnished pursuant to the requirements of Item 601(b)(5) of Regulation S-K.</w:t>
      </w:r>
    </w:p>
    <w:p>
      <w:pPr>
        <w:spacing w:after="0" w:line="16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In rendering this opinion, we have examined the following documents: (i) the Company’s Amended and Restated Articles of Incorporation; (ii) the Company’s Amended and Restated By-Laws; (iii) resolutions adopted by the Board of Directors of the Company related to the Plans; (iv) the Registration Statement (including all exhibits thereto); (v) the Plans; and (vi)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7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 rendering this opinion, we have assumed that, at the time of issuance of any Shares, there shall be a sufficient number of duly authorized and unissued shares of the Company’s Common Stock to accommodate the issuance of the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is limited to the Pennsylvania Business Corporation Law of 1988, as amended.</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when issued in accordance with the terms of the Plans, will be validly issued, fully paid and nonassessable.</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ectPr>
          <w:pgSz w:w="11900" w:h="16838" w:orient="portrait"/>
          <w:cols w:equalWidth="0" w:num="1">
            <w:col w:w="11020"/>
          </w:cols>
          <w:pgMar w:left="440" w:top="121" w:right="439" w:bottom="1440" w:gutter="0" w:footer="0" w:header="0"/>
        </w:sectPr>
      </w:pPr>
    </w:p>
    <w:bookmarkStart w:id="10" w:name="page11"/>
    <w:bookmarkEnd w:id="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opinion is strictly limited to the matters stated herein and no other or more extensive opinion is intended, implied or to be inferred beyond the matters expressly stated herein.</w:t>
      </w:r>
    </w:p>
    <w:p>
      <w:pPr>
        <w:spacing w:after="0" w:line="170"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BLANK ROME LLP</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1000"/>
          </w:cols>
          <w:pgMar w:left="440" w:top="274"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5166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851660" cy="2057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6"/>
          <w:szCs w:val="16"/>
          <w:color w:val="auto"/>
        </w:rPr>
        <w:t>215-569-5500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215-569-5555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35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Comcast Corporation 2002 Restricted Stock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We have served as counsel to Comcast Corporation, a Pennsylvania Corporation (the “Company”), in connection with the registration by the Company of 387,000,000 shares of Class A common stock, par value $0.01 per share (the “Shares”), on Form S-8 (the “Registration Statement”) with the Securities and Exchange Commission (the “Commission”). Of the total Shares registered, 36,000,000 may be issued pursuant to the Company’s 2002 Restricted Stock Plan, as amended and restated effective April 10, 2020 (the “Restricted Stock Plan”). Unless otherwise defined herein, capitalized terms used herein shall have the meanings assigned to them in the Registration Statement.</w:t>
      </w:r>
    </w:p>
    <w:p>
      <w:pPr>
        <w:spacing w:after="0" w:line="176"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70"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The Restricted Stock Plan document states that the Restricted Stock Plan was established to permit eligible employees and non-employee directors to defer the receipt of compensation otherwise payable to such outside directors and eligible employees in accordance with the terms of the Restricted Stock Plan. The Restricted Stock Plan is unfunded and states that it is maintained primarily for the purpose of providing deferred compensation to outside directors and to a select group of management or highly compensated employees. For the purpose of this opinion, we have assumed that (1) the Restricted Stock Plan was amended and restated, effective as of April 10, 2020 in its current form, and (2) the deferral provisions of the Restricted Stock Plan are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pacing w:after="0" w:line="178"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By its express terms,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7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Restricted Stock Plan is not designed or operated with the purpose of satisfying the requirements for qualification under section 401(a) of the Internal Revenue Code of 1986, as amended.</w:t>
      </w:r>
    </w:p>
    <w:p>
      <w:pPr>
        <w:spacing w:after="0" w:line="170"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ectPr>
          <w:pgSz w:w="11900" w:h="16838" w:orient="portrait"/>
          <w:cols w:equalWidth="0" w:num="1">
            <w:col w:w="11020"/>
          </w:cols>
          <w:pgMar w:left="440" w:top="121" w:right="439" w:bottom="1440" w:gutter="0" w:footer="0" w:header="0"/>
        </w:sectPr>
      </w:pPr>
    </w:p>
    <w:bookmarkStart w:id="12" w:name="page13"/>
    <w:bookmarkEnd w:id="12"/>
    <w:p>
      <w:pPr>
        <w:ind w:right="4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the basis of the foregoing, we are of the opinion that the provisions of the written document constituting the Restricted Stock Plan comply with the requirements of ERISA pertaining to such provisions.</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65"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1000"/>
          </w:cols>
          <w:pgMar w:left="440" w:top="274" w:right="4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dated January 30, 2020, relating to the financial statements and financial statement schedule of Comcast Corporation, and the effectiveness of Comcast Corporation’s internal control over financial reporting, appearing in the Annual Report on Form 10-K of Comcast Corporation for the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10,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jpeg"/><Relationship Id="rId35" Type="http://schemas.openxmlformats.org/officeDocument/2006/relationships/image" Target="media/image19.png"/><Relationship Id="rId36" Type="http://schemas.openxmlformats.org/officeDocument/2006/relationships/image" Target="media/image20.jpeg"/><Relationship Id="rId37" Type="http://schemas.openxmlformats.org/officeDocument/2006/relationships/image" Target="media/image21.png"/><Relationship Id="rId18" Type="http://schemas.openxmlformats.org/officeDocument/2006/relationships/hyperlink" Target="http://www.sec.gov/ix?doc=/Archives/edgar/data/902739/000116669120000008/cmcsa-12312019x10k.htm" TargetMode="External"/><Relationship Id="rId19" Type="http://schemas.openxmlformats.org/officeDocument/2006/relationships/hyperlink" Target="http://www.sec.gov/ix?doc=/Archives/edgar/data/1166691/000116669120000017/cmcsa-3312020x10q.htm" TargetMode="External"/><Relationship Id="rId20" Type="http://schemas.openxmlformats.org/officeDocument/2006/relationships/hyperlink" Target="http://www.sec.gov/ix?doc=/Archives/edgar/data/1166691/000119312520154347/d858193d8k.htm" TargetMode="External"/><Relationship Id="rId21" Type="http://schemas.openxmlformats.org/officeDocument/2006/relationships/hyperlink" Target="http://www.sec.gov/ix?doc=/Archives/edgar/data/1166691/000095010320011162/dp129780_8k.htm" TargetMode="External"/><Relationship Id="rId22" Type="http://schemas.openxmlformats.org/officeDocument/2006/relationships/hyperlink" Target="http://www.sec.gov/ix?doc=/Archives/edgar/data/1166691/000095010320011430/dp130021_8k.htm" TargetMode="External"/><Relationship Id="rId23" Type="http://schemas.openxmlformats.org/officeDocument/2006/relationships/hyperlink" Target="http://www.sec.gov/Archives/edgar/data/1166691/000119312520118504/d781322ddef14a.htm" TargetMode="External"/><Relationship Id="rId24" Type="http://schemas.openxmlformats.org/officeDocument/2006/relationships/hyperlink" Target="http://www.sec.gov/Archives/edgar/data/1166691/000095010315009516/dp61838_8k.htm" TargetMode="External"/><Relationship Id="rId28" Type="http://schemas.openxmlformats.org/officeDocument/2006/relationships/hyperlink" Target="http://www.sec.gov/Archives/edgar/data/1166691/000119312520118504/d781322ddef14a.htm#toc781322_29" TargetMode="External"/><Relationship Id="rId29" Type="http://schemas.openxmlformats.org/officeDocument/2006/relationships/hyperlink" Target="http://www.sec.gov/Archives/edgar/data/1166691/000119312520118504/d781322ddef14a.htm#toc781322_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2020-07-10T15:58:40Z</dcterms:created>
  <dcterms:modified xsi:type="dcterms:W3CDTF">2020-07-10T15:58:40Z</dcterms:modified>
</cp:coreProperties>
</file>