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20594</w:t>
      </w:r>
    </w:p>
    <w:p>
      <w:pPr>
        <w:spacing w:after="0" w:line="200" w:lineRule="exact"/>
        <w:rPr>
          <w:sz w:val="24"/>
          <w:szCs w:val="24"/>
          <w:color w:val="auto"/>
        </w:rPr>
      </w:pPr>
    </w:p>
    <w:p>
      <w:pPr>
        <w:spacing w:after="0" w:line="204"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Class A Special Common Stock</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200300200</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447" w:right="1440" w:bottom="1440" w:gutter="0" w:footer="0" w:header="0"/>
        </w:sectPr>
      </w:pPr>
    </w:p>
    <w:bookmarkStart w:id="1" w:name="page2"/>
    <w:bookmarkEnd w:id="1"/>
    <w:p>
      <w:pPr>
        <w:ind w:left="540" w:hanging="427"/>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Research and Management Company 95-1411037</w:t>
      </w:r>
    </w:p>
    <w:p>
      <w:pPr>
        <w:spacing w:after="0" w:line="203" w:lineRule="exact"/>
        <w:rPr>
          <w:sz w:val="20"/>
          <w:szCs w:val="20"/>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7180"/>
        <w:spacing w:after="0" w:line="238" w:lineRule="auto"/>
        <w:rPr>
          <w:sz w:val="20"/>
          <w:szCs w:val="20"/>
          <w:color w:val="auto"/>
        </w:rPr>
      </w:pPr>
      <w:r>
        <w:rPr>
          <w:rFonts w:ascii="Courier New" w:cs="Courier New" w:eastAsia="Courier New" w:hAnsi="Courier New"/>
          <w:sz w:val="18"/>
          <w:szCs w:val="18"/>
          <w:color w:val="auto"/>
        </w:rPr>
        <w:t>(a)</w:t>
      </w:r>
    </w:p>
    <w:p>
      <w:pPr>
        <w:spacing w:after="0" w:line="202"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5899" w:hanging="427"/>
        <w:spacing w:after="0" w:line="470"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14" w:lineRule="exact"/>
        <w:rPr>
          <w:sz w:val="20"/>
          <w:szCs w:val="20"/>
          <w:color w:val="auto"/>
        </w:rPr>
      </w:pPr>
    </w:p>
    <w:p>
      <w:pPr>
        <w:ind w:left="1900" w:right="6519" w:hanging="417"/>
        <w:spacing w:after="0" w:line="470"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19,315,900</w:t>
      </w:r>
    </w:p>
    <w:p>
      <w:pPr>
        <w:spacing w:after="0"/>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09" w:lineRule="exact"/>
        <w:rPr>
          <w:sz w:val="20"/>
          <w:szCs w:val="20"/>
          <w:color w:val="auto"/>
        </w:rPr>
      </w:pPr>
    </w:p>
    <w:p>
      <w:pPr>
        <w:ind w:left="1900" w:right="5779" w:hanging="417"/>
        <w:spacing w:after="0" w:line="470"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09" w:lineRule="exact"/>
        <w:rPr>
          <w:sz w:val="20"/>
          <w:szCs w:val="20"/>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7" w:lineRule="exact"/>
        <w:rPr>
          <w:sz w:val="20"/>
          <w:szCs w:val="20"/>
          <w:color w:val="auto"/>
        </w:rPr>
      </w:pPr>
    </w:p>
    <w:p>
      <w:pPr>
        <w:ind w:left="540" w:right="2619"/>
        <w:spacing w:after="0" w:line="235" w:lineRule="auto"/>
        <w:rPr>
          <w:sz w:val="20"/>
          <w:szCs w:val="20"/>
          <w:color w:val="auto"/>
        </w:rPr>
      </w:pPr>
      <w:r>
        <w:rPr>
          <w:rFonts w:ascii="Courier New" w:cs="Courier New" w:eastAsia="Courier New" w:hAnsi="Courier New"/>
          <w:sz w:val="18"/>
          <w:szCs w:val="18"/>
          <w:color w:val="auto"/>
        </w:rPr>
        <w:t>19,315,900 Beneficial ownership disclaimed pursuant to Rule 13d-4 (Please see Item 4)</w:t>
      </w:r>
    </w:p>
    <w:p>
      <w:pPr>
        <w:spacing w:after="0" w:line="208" w:lineRule="exact"/>
        <w:rPr>
          <w:sz w:val="20"/>
          <w:szCs w:val="20"/>
          <w:color w:val="auto"/>
        </w:rPr>
      </w:pPr>
    </w:p>
    <w:p>
      <w:pPr>
        <w:ind w:left="540" w:hanging="427"/>
        <w:spacing w:after="0"/>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6.2%</w:t>
      </w:r>
    </w:p>
    <w:p>
      <w:pPr>
        <w:spacing w:after="0" w:line="214" w:lineRule="exact"/>
        <w:rPr>
          <w:rFonts w:ascii="Courier New" w:cs="Courier New" w:eastAsia="Courier New" w:hAnsi="Courier New"/>
          <w:sz w:val="18"/>
          <w:szCs w:val="18"/>
          <w:color w:val="auto"/>
        </w:rPr>
      </w:pPr>
    </w:p>
    <w:p>
      <w:pPr>
        <w:ind w:left="540" w:right="7059" w:hanging="427"/>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8"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919" w:right="1440" w:bottom="1440" w:gutter="0" w:footer="0" w:header="0"/>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Comcast Corporation</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1500 Market Street</w:t>
      </w:r>
    </w:p>
    <w:p>
      <w:pPr>
        <w:ind w:left="740"/>
        <w:spacing w:after="0"/>
        <w:tabs>
          <w:tab w:leader="none" w:pos="2620" w:val="left"/>
        </w:tabs>
        <w:rPr>
          <w:sz w:val="20"/>
          <w:szCs w:val="20"/>
          <w:color w:val="auto"/>
        </w:rPr>
      </w:pPr>
      <w:r>
        <w:rPr>
          <w:rFonts w:ascii="Courier New" w:cs="Courier New" w:eastAsia="Courier New" w:hAnsi="Courier New"/>
          <w:sz w:val="18"/>
          <w:szCs w:val="18"/>
          <w:color w:val="auto"/>
        </w:rPr>
        <w:t>Philadelphia, PA</w:t>
      </w:r>
      <w:r>
        <w:rPr>
          <w:sz w:val="20"/>
          <w:szCs w:val="20"/>
          <w:color w:val="auto"/>
        </w:rPr>
        <w:tab/>
      </w:r>
      <w:r>
        <w:rPr>
          <w:rFonts w:ascii="Courier New" w:cs="Courier New" w:eastAsia="Courier New" w:hAnsi="Courier New"/>
          <w:sz w:val="16"/>
          <w:szCs w:val="16"/>
          <w:color w:val="auto"/>
        </w:rPr>
        <w:t>19102-2148</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Research and Management Company</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ind w:left="74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0" w:lineRule="exact"/>
        <w:rPr>
          <w:sz w:val="20"/>
          <w:szCs w:val="20"/>
          <w:color w:val="auto"/>
        </w:rPr>
      </w:pPr>
    </w:p>
    <w:p>
      <w:pPr>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Class A Special Common Stock</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200300200</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is(are):</w:t>
      </w:r>
    </w:p>
    <w:p>
      <w:pPr>
        <w:spacing w:after="0" w:line="207" w:lineRule="exact"/>
        <w:rPr>
          <w:sz w:val="20"/>
          <w:szCs w:val="20"/>
          <w:color w:val="auto"/>
        </w:rPr>
      </w:pPr>
    </w:p>
    <w:p>
      <w:pPr>
        <w:ind w:left="1280" w:right="2839" w:hanging="535"/>
        <w:spacing w:after="0" w:line="235" w:lineRule="auto"/>
        <w:tabs>
          <w:tab w:leader="none" w:pos="149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Please note that this filing is not meant to reflect any change in the beneficial ownership of the securities being reported herein by the investment management affiliates of The Capital Group Companies, Inc. ("CGC").</w:t>
      </w:r>
    </w:p>
    <w:p>
      <w:pPr>
        <w:spacing w:after="0" w:line="207" w:lineRule="exact"/>
        <w:rPr>
          <w:sz w:val="20"/>
          <w:szCs w:val="20"/>
          <w:color w:val="auto"/>
        </w:rPr>
      </w:pPr>
    </w:p>
    <w:p>
      <w:pPr>
        <w:ind w:left="740" w:right="2619"/>
        <w:spacing w:after="0" w:line="270" w:lineRule="auto"/>
        <w:rPr>
          <w:sz w:val="20"/>
          <w:szCs w:val="20"/>
          <w:color w:val="auto"/>
        </w:rPr>
      </w:pPr>
      <w:r>
        <w:rPr>
          <w:rFonts w:ascii="Courier New" w:cs="Courier New" w:eastAsia="Courier New" w:hAnsi="Courier New"/>
          <w:sz w:val="16"/>
          <w:szCs w:val="16"/>
          <w:color w:val="auto"/>
        </w:rPr>
        <w:t>This filing reflects the fact that CGC will no longer report the beneficial ownership of securities held in accounts which are under the discretionary investment management of its investment management affiliates. The Securities and Exchange Commission ("SEC") recently provided guidance on when beneficial ownership under Rule 13d-1 should be attributed among entities under common control. (See SEC Release 34-39538.) The guidance clarifies that in circumstances where the organizational structure of a parent company and related entities is such that they exercise investment and voting powers independently, attribution among entities will not be required. Since CGC is a holding company and is not involved in investment and voting decisions, securities beneficially owned by clients of its affiliates will no longer be attributed to CGC.</w:t>
      </w:r>
    </w:p>
    <w:p>
      <w:pPr>
        <w:sectPr>
          <w:pgSz w:w="11900" w:h="16838" w:orient="portrait"/>
          <w:cols w:equalWidth="0" w:num="1">
            <w:col w:w="10219"/>
          </w:cols>
          <w:pgMar w:left="240" w:top="717" w:right="1440" w:bottom="1440" w:gutter="0" w:footer="0" w:header="0"/>
        </w:sectPr>
      </w:pPr>
    </w:p>
    <w:bookmarkStart w:id="4" w:name="page5"/>
    <w:bookmarkEnd w:id="4"/>
    <w:p>
      <w:pPr>
        <w:spacing w:after="0" w:line="270" w:lineRule="auto"/>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left="740" w:right="2619"/>
        <w:spacing w:after="0" w:line="237" w:lineRule="auto"/>
        <w:rPr>
          <w:sz w:val="20"/>
          <w:szCs w:val="20"/>
          <w:color w:val="auto"/>
        </w:rPr>
      </w:pPr>
      <w:r>
        <w:rPr>
          <w:rFonts w:ascii="Courier New" w:cs="Courier New" w:eastAsia="Courier New" w:hAnsi="Courier New"/>
          <w:sz w:val="18"/>
          <w:szCs w:val="18"/>
          <w:color w:val="auto"/>
        </w:rPr>
        <w:t>Capital Research and Management Company, an investment adviser registered under Section 203 of the Investment Advisers Act of 1940 and wholly owned subsidiary of The Capital Group Companies, Inc., is the beneficial owner of 19,315,900 shares or 6.2% of the 308,407,000 shares of Class A Special Common Stock believed to be outstanding as a result of acting as investment adviser to various investment companies registered under Section 8 of the Investment Company Act of 1940.</w:t>
      </w:r>
    </w:p>
    <w:p>
      <w:pPr>
        <w:spacing w:after="0" w:line="212" w:lineRule="exact"/>
        <w:rPr>
          <w:sz w:val="20"/>
          <w:szCs w:val="20"/>
          <w:color w:val="auto"/>
        </w:rPr>
      </w:pPr>
    </w:p>
    <w:p>
      <w:pPr>
        <w:ind w:left="740" w:right="2739"/>
        <w:spacing w:after="0" w:line="237" w:lineRule="auto"/>
        <w:rPr>
          <w:sz w:val="20"/>
          <w:szCs w:val="20"/>
          <w:color w:val="auto"/>
        </w:rPr>
      </w:pPr>
      <w:r>
        <w:rPr>
          <w:rFonts w:ascii="Courier New" w:cs="Courier New" w:eastAsia="Courier New" w:hAnsi="Courier New"/>
          <w:sz w:val="18"/>
          <w:szCs w:val="18"/>
          <w:color w:val="auto"/>
        </w:rPr>
        <w:t>Shares reported by Capital Research and Management Company includes 1,525,650 shares resulting from the assumed conversion of $79,000,000 principal amount of the 1.125% Convertible Notes, due 2007.</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 [ ]</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pacing w:after="0" w:line="207" w:lineRule="exact"/>
        <w:rPr>
          <w:sz w:val="20"/>
          <w:szCs w:val="20"/>
          <w:color w:val="auto"/>
        </w:rPr>
      </w:pPr>
    </w:p>
    <w:p>
      <w:pPr>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w:t>
      </w:r>
    </w:p>
    <w:p>
      <w:pPr>
        <w:spacing w:after="0" w:line="207" w:lineRule="exact"/>
        <w:rPr>
          <w:sz w:val="20"/>
          <w:szCs w:val="20"/>
          <w:color w:val="auto"/>
        </w:rPr>
      </w:pPr>
    </w:p>
    <w:p>
      <w:pPr>
        <w:ind w:left="1060" w:right="2839"/>
        <w:spacing w:after="0" w:line="237" w:lineRule="auto"/>
        <w:rPr>
          <w:sz w:val="20"/>
          <w:szCs w:val="20"/>
          <w:color w:val="auto"/>
        </w:rPr>
      </w:pPr>
      <w:r>
        <w:rPr>
          <w:rFonts w:ascii="Courier New" w:cs="Courier New" w:eastAsia="Courier New" w:hAnsi="Courier New"/>
          <w:sz w:val="18"/>
          <w:szCs w:val="18"/>
          <w:color w:val="auto"/>
        </w:rPr>
        <w:t>Capital Research and Management Company is an Investment Adviser registered under Section 203 of the Investment Advisers Act of 1940 and is a wholly owned subsidiary of The Capital Group Companies, Inc.</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 w:leader="none" w:pos="7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940" w:val="left"/>
          <w:tab w:leader="none" w:pos="4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5"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9, 1998 (For the period ended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1997)</w:t>
      </w:r>
    </w:p>
    <w:p>
      <w:pPr>
        <w:spacing w:after="0" w:line="200" w:lineRule="exact"/>
        <w:rPr>
          <w:sz w:val="20"/>
          <w:szCs w:val="20"/>
          <w:color w:val="auto"/>
        </w:rPr>
      </w:pPr>
    </w:p>
    <w:p>
      <w:pPr>
        <w:sectPr>
          <w:pgSz w:w="11900" w:h="16838" w:orient="portrait"/>
          <w:cols w:equalWidth="0" w:num="2">
            <w:col w:w="1720" w:space="720"/>
            <w:col w:w="7779"/>
          </w:cols>
          <w:pgMar w:left="240" w:top="925" w:right="1440" w:bottom="1440" w:gutter="0" w:footer="0" w:header="0"/>
          <w:type w:val="continuous"/>
        </w:sectPr>
      </w:pPr>
    </w:p>
    <w:p>
      <w:pPr>
        <w:spacing w:after="0" w:line="204"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*Paul G. Haaga, Jr.</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Paul G. Haaga, Jr., Executive Vice</w:t>
      </w:r>
    </w:p>
    <w:p>
      <w:pPr>
        <w:ind w:left="244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Capital Research and Management Company</w:t>
      </w:r>
    </w:p>
    <w:p>
      <w:pPr>
        <w:sectPr>
          <w:pgSz w:w="11900" w:h="16838" w:orient="portrait"/>
          <w:cols w:equalWidth="0" w:num="1">
            <w:col w:w="10219"/>
          </w:cols>
          <w:pgMar w:left="240" w:top="925" w:right="1440" w:bottom="1440" w:gutter="0" w:footer="0" w:header="0"/>
          <w:type w:val="continuous"/>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720"/>
        <w:spacing w:after="0"/>
        <w:rPr>
          <w:sz w:val="20"/>
          <w:szCs w:val="20"/>
          <w:color w:val="auto"/>
        </w:rPr>
      </w:pPr>
      <w:r>
        <w:rPr>
          <w:rFonts w:ascii="Courier New" w:cs="Courier New" w:eastAsia="Courier New" w:hAnsi="Courier New"/>
          <w:sz w:val="18"/>
          <w:szCs w:val="18"/>
          <w:color w:val="auto"/>
        </w:rPr>
        <w:t>James P. Ryan</w:t>
      </w:r>
    </w:p>
    <w:p>
      <w:pPr>
        <w:ind w:left="72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72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December 4, 1997 included as an Exhibit to Schedule 13G filed with the Securities and Exchange Commission by The Capital Group Companies, Inc. on December 10, 1997 with respect to Viatel Inc.</w:t>
      </w:r>
    </w:p>
    <w:p>
      <w:pPr>
        <w:sectPr>
          <w:pgSz w:w="11900" w:h="16838" w:orient="portrait"/>
          <w:cols w:equalWidth="0" w:num="1">
            <w:col w:w="9359"/>
          </w:cols>
          <w:pgMar w:left="1100" w:top="1122" w:right="1440" w:bottom="1440" w:gutter="0" w:footer="0" w:header="0"/>
        </w:sectPr>
      </w:pPr>
    </w:p>
    <w:bookmarkStart w:id="8" w:name="page9"/>
    <w:bookmarkEnd w:id="8"/>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jc w:val="center"/>
        <w:ind w:right="2739"/>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Los Angeles, CA</w:t>
      </w:r>
    </w:p>
    <w:p>
      <w:pPr>
        <w:ind w:left="3160"/>
        <w:spacing w:after="0" w:line="238" w:lineRule="auto"/>
        <w:rPr>
          <w:sz w:val="20"/>
          <w:szCs w:val="20"/>
          <w:color w:val="auto"/>
        </w:rPr>
      </w:pPr>
      <w:r>
        <w:rPr>
          <w:rFonts w:ascii="Courier New" w:cs="Courier New" w:eastAsia="Courier New" w:hAnsi="Courier New"/>
          <w:sz w:val="18"/>
          <w:szCs w:val="18"/>
          <w:color w:val="auto"/>
        </w:rPr>
        <w:t>July 9, 1998</w:t>
      </w:r>
    </w:p>
    <w:p>
      <w:pPr>
        <w:spacing w:after="0" w:line="207" w:lineRule="exact"/>
        <w:rPr>
          <w:sz w:val="20"/>
          <w:szCs w:val="20"/>
          <w:color w:val="auto"/>
        </w:rPr>
      </w:pPr>
    </w:p>
    <w:p>
      <w:pPr>
        <w:ind w:right="2619" w:firstLine="316"/>
        <w:spacing w:after="0" w:line="275" w:lineRule="auto"/>
        <w:rPr>
          <w:sz w:val="20"/>
          <w:szCs w:val="20"/>
          <w:color w:val="auto"/>
        </w:rPr>
      </w:pPr>
      <w:r>
        <w:rPr>
          <w:rFonts w:ascii="Courier New" w:cs="Courier New" w:eastAsia="Courier New" w:hAnsi="Courier New"/>
          <w:sz w:val="16"/>
          <w:szCs w:val="16"/>
          <w:color w:val="auto"/>
        </w:rPr>
        <w:t>and Capital Research and Management Company ("CRMC") hereby agree to file a joint statement on Schedule 13G under the Securities Exchange Act of 1934 (the "Act") in connection with their beneficial ownership of Class A Special Common Stock issued by Comcast Corporation.</w:t>
      </w:r>
    </w:p>
    <w:p>
      <w:pPr>
        <w:spacing w:after="0" w:line="182" w:lineRule="exact"/>
        <w:rPr>
          <w:sz w:val="20"/>
          <w:szCs w:val="20"/>
          <w:color w:val="auto"/>
        </w:rPr>
      </w:pPr>
    </w:p>
    <w:p>
      <w:pPr>
        <w:ind w:right="3359" w:firstLine="316"/>
        <w:spacing w:after="0" w:line="235" w:lineRule="auto"/>
        <w:rPr>
          <w:sz w:val="20"/>
          <w:szCs w:val="20"/>
          <w:color w:val="auto"/>
        </w:rPr>
      </w:pPr>
      <w:r>
        <w:rPr>
          <w:rFonts w:ascii="Courier New" w:cs="Courier New" w:eastAsia="Courier New" w:hAnsi="Courier New"/>
          <w:sz w:val="18"/>
          <w:szCs w:val="18"/>
          <w:color w:val="auto"/>
        </w:rPr>
        <w:t>and CRMC state that they are each entitled to individually use Schedule 13G pursuant to Rule 13d-1(c) of the Act.</w:t>
      </w:r>
    </w:p>
    <w:p>
      <w:pPr>
        <w:spacing w:after="0" w:line="208" w:lineRule="exact"/>
        <w:rPr>
          <w:sz w:val="20"/>
          <w:szCs w:val="20"/>
          <w:color w:val="auto"/>
        </w:rPr>
      </w:pPr>
    </w:p>
    <w:p>
      <w:pPr>
        <w:ind w:right="2619" w:firstLine="316"/>
        <w:spacing w:after="0" w:line="237" w:lineRule="auto"/>
        <w:rPr>
          <w:sz w:val="20"/>
          <w:szCs w:val="20"/>
          <w:color w:val="auto"/>
        </w:rPr>
      </w:pPr>
      <w:r>
        <w:rPr>
          <w:rFonts w:ascii="Courier New" w:cs="Courier New" w:eastAsia="Courier New" w:hAnsi="Courier New"/>
          <w:sz w:val="18"/>
          <w:szCs w:val="18"/>
          <w:color w:val="auto"/>
        </w:rPr>
        <w:t>and CRMC are each responsible for the timely filing of the statement and any amendments thereto, and for the completeness and accuracy of the information concerning each of them contained therein but are not responsible for the completeness or accuracy of the information concerning the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CAPITAL RESEARCH AND MANAGEMENT COMPANY</w:t>
      </w:r>
    </w:p>
    <w:p>
      <w:pPr>
        <w:spacing w:after="0" w:line="201" w:lineRule="exact"/>
        <w:rPr>
          <w:sz w:val="20"/>
          <w:szCs w:val="20"/>
          <w:color w:val="auto"/>
        </w:rPr>
      </w:pPr>
    </w:p>
    <w:p>
      <w:pPr>
        <w:ind w:left="180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*Paul G. Haaga, Jr.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Paul G. Haaga, Jr., Executive</w:t>
      </w:r>
    </w:p>
    <w:p>
      <w:pPr>
        <w:ind w:left="3700"/>
        <w:spacing w:after="0" w:line="238" w:lineRule="auto"/>
        <w:rPr>
          <w:sz w:val="20"/>
          <w:szCs w:val="20"/>
          <w:color w:val="auto"/>
        </w:rPr>
      </w:pPr>
      <w:r>
        <w:rPr>
          <w:rFonts w:ascii="Courier New" w:cs="Courier New" w:eastAsia="Courier New" w:hAnsi="Courier New"/>
          <w:sz w:val="18"/>
          <w:szCs w:val="18"/>
          <w:color w:val="auto"/>
        </w:rPr>
        <w:t>Vice President</w:t>
      </w:r>
    </w:p>
    <w:p>
      <w:pPr>
        <w:ind w:left="3700"/>
        <w:spacing w:after="0"/>
        <w:rPr>
          <w:sz w:val="20"/>
          <w:szCs w:val="20"/>
          <w:color w:val="auto"/>
        </w:rPr>
      </w:pPr>
      <w:r>
        <w:rPr>
          <w:rFonts w:ascii="Courier New" w:cs="Courier New" w:eastAsia="Courier New" w:hAnsi="Courier New"/>
          <w:sz w:val="18"/>
          <w:szCs w:val="18"/>
          <w:color w:val="auto"/>
        </w:rPr>
        <w:t>Capital Research and Management</w:t>
      </w:r>
    </w:p>
    <w:p>
      <w:pPr>
        <w:ind w:left="3700"/>
        <w:spacing w:after="0" w:line="237" w:lineRule="auto"/>
        <w:rPr>
          <w:sz w:val="20"/>
          <w:szCs w:val="20"/>
          <w:color w:val="auto"/>
        </w:rPr>
      </w:pPr>
      <w:r>
        <w:rPr>
          <w:rFonts w:ascii="Courier New" w:cs="Courier New" w:eastAsia="Courier New" w:hAnsi="Courier New"/>
          <w:sz w:val="18"/>
          <w:szCs w:val="18"/>
          <w:color w:val="auto"/>
        </w:rPr>
        <w:t>Company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James P. Ryan</w:t>
      </w:r>
    </w:p>
    <w:p>
      <w:pPr>
        <w:ind w:left="54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540" w:right="2939"/>
        <w:spacing w:after="0" w:line="275" w:lineRule="auto"/>
        <w:rPr>
          <w:sz w:val="20"/>
          <w:szCs w:val="20"/>
          <w:color w:val="auto"/>
        </w:rPr>
      </w:pPr>
      <w:r>
        <w:rPr>
          <w:rFonts w:ascii="Courier New" w:cs="Courier New" w:eastAsia="Courier New" w:hAnsi="Courier New"/>
          <w:sz w:val="16"/>
          <w:szCs w:val="16"/>
          <w:color w:val="auto"/>
        </w:rPr>
        <w:t>Signed pursuant to a Power of Attorney dated December 4, 1997 included as an Exhibit to Schedule 13G filed with the Securities and Exchange Commission by The Capital Group Companies, Inc. on December 10, 1997 with respect to Viatel Inc.</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4"/>
      <w:numFmt w:val="bullet"/>
      <w:start w:val="1"/>
    </w:lvl>
  </w:abstractNum>
  <w:abstractNum w:abstractNumId="3">
    <w:nsid w:val="507ED7AB"/>
    <w:multiLevelType w:val="hybridMultilevel"/>
    <w:lvl w:ilvl="0">
      <w:lvlJc w:val="left"/>
      <w:lvlText w:val="5"/>
      <w:numFmt w:val="bullet"/>
      <w:start w:val="1"/>
    </w:lvl>
  </w:abstractNum>
  <w:abstractNum w:abstractNumId="4">
    <w:nsid w:val="2EB141F2"/>
    <w:multiLevelType w:val="hybridMultilevel"/>
    <w:lvl w:ilvl="0">
      <w:lvlJc w:val="left"/>
      <w:lvlText w:val="8"/>
      <w:numFmt w:val="bullet"/>
      <w:start w:val="1"/>
    </w:lvl>
  </w:abstractNum>
  <w:abstractNum w:abstractNumId="5">
    <w:nsid w:val="41B71EFB"/>
    <w:multiLevelType w:val="hybridMultilevel"/>
    <w:lvl w:ilvl="0">
      <w:lvlJc w:val="left"/>
      <w:lvlText w:val="9"/>
      <w:numFmt w:val="bullet"/>
      <w:start w:val="1"/>
    </w:lvl>
  </w:abstractNum>
  <w:abstractNum w:abstractNumId="6">
    <w:nsid w:val="79E2A9E3"/>
    <w:multiLevelType w:val="hybridMultilevel"/>
    <w:lvl w:ilvl="0">
      <w:lvlJc w:val="left"/>
      <w:lvlText w:val="%1"/>
      <w:numFmt w:val="decimal"/>
      <w:start w:val="10"/>
    </w:lvl>
    <w:lvl w:ilvl="1">
      <w:lvlJc w:val="left"/>
      <w:lvlText w:val="*"/>
      <w:numFmt w:val="bullet"/>
      <w:start w:val="1"/>
    </w:lvl>
  </w:abstractNum>
  <w:abstractNum w:abstractNumId="7">
    <w:nsid w:val="7545E146"/>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2019-12-12T23:07:17Z</dcterms:created>
  <dcterms:modified xsi:type="dcterms:W3CDTF">2019-12-12T23:07:17Z</dcterms:modified>
</cp:coreProperties>
</file>