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-182880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4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5328920</wp:posOffset>
            </wp:positionH>
            <wp:positionV relativeFrom="paragraph">
              <wp:posOffset>-596900</wp:posOffset>
            </wp:positionV>
            <wp:extent cx="5651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-596900</wp:posOffset>
            </wp:positionV>
            <wp:extent cx="56515" cy="610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-1867535</wp:posOffset>
            </wp:positionH>
            <wp:positionV relativeFrom="paragraph">
              <wp:posOffset>17145</wp:posOffset>
            </wp:positionV>
            <wp:extent cx="7329170" cy="4781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478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580"/>
            <w:col w:w="860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ROBERTS RALPH J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" w:right="880" w:hanging="7"/>
        <w:spacing w:after="0" w:line="2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Chairman-Exec &amp; Finance Comm</w:t>
      </w:r>
    </w:p>
    <w:p>
      <w:pPr>
        <w:spacing w:after="0" w:line="5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19102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07/15/2004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Special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4,164,523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5,854,605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Special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07/15/2004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1,428,432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27.79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4,426,173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Special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346,456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 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07/15/2004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4,164,523.4231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Special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4,164,523.4231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Stock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on settlement of phantom stock. The reporting person received cash for the fractional shares.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the original Form 4 filed on July 15, 2004, the number of shares withheld for payment of tax liability was inadvertently miscalculated. This amended Form 4 corrects that error.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withheld for payment of tax liability.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convert on a one-to-one basis.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7/15/04.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/s/ Roberts, Ralph J.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07/22/2004</w:t>
            </w:r>
          </w:p>
        </w:tc>
      </w:tr>
      <w:tr>
        <w:trPr>
          <w:trHeight w:val="21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4400" w:hanging="5"/>
        <w:spacing w:after="0" w:line="318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2019-12-18T10:08:37Z</dcterms:created>
  <dcterms:modified xsi:type="dcterms:W3CDTF">2019-12-18T10:08:37Z</dcterms:modified>
</cp:coreProperties>
</file>