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COMCAST CORP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11/28/2008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CLEARWIRE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CLWR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26"/>
              <w:spacing w:after="0"/>
              <w:rPr>
                <w:sz w:val="20"/>
                <w:szCs w:val="20"/>
                <w:color w:val="auto"/>
              </w:rPr>
            </w:pPr>
            <w:r>
              <w:rPr>
                <w:rFonts w:ascii="Arial" w:cs="Arial" w:eastAsia="Arial" w:hAnsi="Arial"/>
                <w:sz w:val="18"/>
                <w:szCs w:val="18"/>
                <w:color w:val="0000FF"/>
              </w:rPr>
              <w:t>19103-2838</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33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 Underlying</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190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8"/>
              </w:rPr>
              <w:t>Derivative Security (Instr. 4)</w:t>
            </w:r>
          </w:p>
        </w:tc>
        <w:tc>
          <w:tcPr>
            <w:tcW w:w="1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0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900" w:type="dxa"/>
            <w:vAlign w:val="bottom"/>
          </w:tcPr>
          <w:p>
            <w:pPr>
              <w:spacing w:after="0"/>
              <w:rPr>
                <w:sz w:val="12"/>
                <w:szCs w:val="12"/>
                <w:color w:val="auto"/>
              </w:rPr>
            </w:pPr>
          </w:p>
        </w:tc>
        <w:tc>
          <w:tcPr>
            <w:tcW w:w="14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Amount or Number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440" w:type="dxa"/>
            <w:vAlign w:val="bottom"/>
          </w:tcPr>
          <w:p>
            <w:pPr>
              <w:ind w:left="4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0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 p/v</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00" w:type="dxa"/>
            <w:vAlign w:val="bottom"/>
          </w:tcPr>
          <w:p>
            <w:pPr>
              <w:ind w:left="80"/>
              <w:spacing w:after="0"/>
              <w:rPr>
                <w:sz w:val="20"/>
                <w:szCs w:val="20"/>
                <w:color w:val="auto"/>
              </w:rPr>
            </w:pPr>
            <w:r>
              <w:rPr>
                <w:rFonts w:ascii="Arial" w:cs="Arial" w:eastAsia="Arial" w:hAnsi="Arial"/>
                <w:sz w:val="18"/>
                <w:szCs w:val="18"/>
                <w:color w:val="0000FF"/>
                <w:w w:val="92"/>
              </w:rPr>
              <w:t>Class A Common Stock,</w:t>
            </w:r>
          </w:p>
        </w:tc>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060" w:type="dxa"/>
            <w:vAlign w:val="bottom"/>
            <w:vMerge w:val="continue"/>
          </w:tcPr>
          <w:p>
            <w:pPr>
              <w:spacing w:after="0"/>
              <w:rPr>
                <w:sz w:val="9"/>
                <w:szCs w:val="9"/>
                <w:color w:val="auto"/>
              </w:rPr>
            </w:pP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0000FF"/>
                <w:w w:val="87"/>
              </w:rPr>
              <w:t>p/v $0.0001/share, of</w:t>
            </w:r>
          </w:p>
        </w:tc>
        <w:tc>
          <w:tcPr>
            <w:tcW w:w="1440" w:type="dxa"/>
            <w:vAlign w:val="bottom"/>
            <w:vMerge w:val="restart"/>
          </w:tcPr>
          <w:p>
            <w:pPr>
              <w:ind w:left="60"/>
              <w:spacing w:after="0" w:line="216" w:lineRule="exact"/>
              <w:rPr>
                <w:sz w:val="20"/>
                <w:szCs w:val="20"/>
                <w:color w:val="auto"/>
              </w:rPr>
            </w:pPr>
            <w:r>
              <w:rPr>
                <w:rFonts w:ascii="Arial" w:cs="Arial" w:eastAsia="Arial" w:hAnsi="Arial"/>
                <w:sz w:val="25"/>
                <w:szCs w:val="25"/>
                <w:color w:val="0000FF"/>
                <w:vertAlign w:val="subscript"/>
              </w:rPr>
              <w:t>52,500,000</w:t>
            </w:r>
            <w:r>
              <w:rPr>
                <w:rFonts w:ascii="Arial" w:cs="Arial" w:eastAsia="Arial" w:hAnsi="Arial"/>
                <w:sz w:val="10"/>
                <w:szCs w:val="10"/>
                <w:color w:val="008000"/>
              </w:rPr>
              <w:t>(1)(2)(4)(5)</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540" w:type="dxa"/>
            <w:vAlign w:val="bottom"/>
            <w:vMerge w:val="restart"/>
          </w:tcPr>
          <w:p>
            <w:pPr>
              <w:ind w:left="80"/>
              <w:spacing w:after="0" w:line="217" w:lineRule="exact"/>
              <w:rPr>
                <w:sz w:val="20"/>
                <w:szCs w:val="20"/>
                <w:color w:val="auto"/>
              </w:rPr>
            </w:pPr>
            <w:r>
              <w:rPr>
                <w:rFonts w:ascii="Arial" w:cs="Arial" w:eastAsia="Arial" w:hAnsi="Arial"/>
                <w:sz w:val="18"/>
                <w:szCs w:val="18"/>
                <w:color w:val="0000FF"/>
                <w:w w:val="90"/>
              </w:rPr>
              <w:t>See foonotes</w:t>
            </w:r>
            <w:r>
              <w:rPr>
                <w:rFonts w:ascii="Arial" w:cs="Arial" w:eastAsia="Arial" w:hAnsi="Arial"/>
                <w:sz w:val="22"/>
                <w:szCs w:val="22"/>
                <w:color w:val="008000"/>
                <w:w w:val="90"/>
                <w:vertAlign w:val="superscript"/>
              </w:rPr>
              <w:t>(1)(2)(5)</w:t>
            </w:r>
          </w:p>
        </w:tc>
        <w:tc>
          <w:tcPr>
            <w:tcW w:w="0" w:type="dxa"/>
            <w:vAlign w:val="bottom"/>
          </w:tcPr>
          <w:p>
            <w:pPr>
              <w:spacing w:after="0"/>
              <w:rPr>
                <w:sz w:val="1"/>
                <w:szCs w:val="1"/>
                <w:color w:val="auto"/>
              </w:rPr>
            </w:pPr>
          </w:p>
        </w:tc>
      </w:tr>
      <w:tr>
        <w:trPr>
          <w:trHeight w:val="108"/>
        </w:trPr>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$0.0001/share, of Clearwire Corp</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0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color w:val="0000FF"/>
                <w:w w:val="89"/>
              </w:rPr>
              <w:t>Clearwire Corp</w:t>
            </w:r>
          </w:p>
        </w:tc>
        <w:tc>
          <w:tcPr>
            <w:tcW w:w="1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0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Class B Common Units of Clearwire</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00" w:type="dxa"/>
            <w:vAlign w:val="bottom"/>
          </w:tcPr>
          <w:p>
            <w:pPr>
              <w:ind w:left="80"/>
              <w:spacing w:after="0"/>
              <w:rPr>
                <w:sz w:val="20"/>
                <w:szCs w:val="20"/>
                <w:color w:val="auto"/>
              </w:rPr>
            </w:pPr>
            <w:r>
              <w:rPr>
                <w:rFonts w:ascii="Arial" w:cs="Arial" w:eastAsia="Arial" w:hAnsi="Arial"/>
                <w:sz w:val="18"/>
                <w:szCs w:val="18"/>
                <w:color w:val="0000FF"/>
                <w:w w:val="92"/>
              </w:rPr>
              <w:t>Class A Common Stock,</w:t>
            </w:r>
          </w:p>
        </w:tc>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060" w:type="dxa"/>
            <w:vAlign w:val="bottom"/>
            <w:vMerge w:val="continue"/>
          </w:tcPr>
          <w:p>
            <w:pPr>
              <w:spacing w:after="0"/>
              <w:rPr>
                <w:sz w:val="9"/>
                <w:szCs w:val="9"/>
                <w:color w:val="auto"/>
              </w:rPr>
            </w:pP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0000FF"/>
                <w:w w:val="87"/>
              </w:rPr>
              <w:t>p/v $0.0001/share, of</w:t>
            </w:r>
          </w:p>
        </w:tc>
        <w:tc>
          <w:tcPr>
            <w:tcW w:w="1440" w:type="dxa"/>
            <w:vAlign w:val="bottom"/>
            <w:vMerge w:val="restart"/>
          </w:tcPr>
          <w:p>
            <w:pPr>
              <w:ind w:left="60"/>
              <w:spacing w:after="0" w:line="216" w:lineRule="exact"/>
              <w:rPr>
                <w:sz w:val="20"/>
                <w:szCs w:val="20"/>
                <w:color w:val="auto"/>
              </w:rPr>
            </w:pPr>
            <w:r>
              <w:rPr>
                <w:rFonts w:ascii="Arial" w:cs="Arial" w:eastAsia="Arial" w:hAnsi="Arial"/>
                <w:sz w:val="25"/>
                <w:szCs w:val="25"/>
                <w:color w:val="0000FF"/>
                <w:vertAlign w:val="subscript"/>
              </w:rPr>
              <w:t>52,500,000</w:t>
            </w:r>
            <w:r>
              <w:rPr>
                <w:rFonts w:ascii="Arial" w:cs="Arial" w:eastAsia="Arial" w:hAnsi="Arial"/>
                <w:sz w:val="10"/>
                <w:szCs w:val="10"/>
                <w:color w:val="008000"/>
              </w:rPr>
              <w:t>(1)(2)(4)(5)</w:t>
            </w:r>
          </w:p>
        </w:tc>
        <w:tc>
          <w:tcPr>
            <w:tcW w:w="88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540" w:type="dxa"/>
            <w:vAlign w:val="bottom"/>
            <w:vMerge w:val="restart"/>
          </w:tcPr>
          <w:p>
            <w:pPr>
              <w:ind w:left="80"/>
              <w:spacing w:after="0" w:line="217" w:lineRule="exact"/>
              <w:rPr>
                <w:sz w:val="20"/>
                <w:szCs w:val="20"/>
                <w:color w:val="auto"/>
              </w:rPr>
            </w:pPr>
            <w:r>
              <w:rPr>
                <w:rFonts w:ascii="Arial" w:cs="Arial" w:eastAsia="Arial" w:hAnsi="Arial"/>
                <w:sz w:val="18"/>
                <w:szCs w:val="18"/>
                <w:color w:val="0000FF"/>
                <w:w w:val="87"/>
              </w:rPr>
              <w:t>See footnotes</w:t>
            </w:r>
            <w:r>
              <w:rPr>
                <w:rFonts w:ascii="Arial" w:cs="Arial" w:eastAsia="Arial" w:hAnsi="Arial"/>
                <w:sz w:val="22"/>
                <w:szCs w:val="22"/>
                <w:color w:val="008000"/>
                <w:w w:val="87"/>
                <w:vertAlign w:val="superscript"/>
              </w:rPr>
              <w:t>(1)(2)(5)</w:t>
            </w:r>
          </w:p>
        </w:tc>
        <w:tc>
          <w:tcPr>
            <w:tcW w:w="0" w:type="dxa"/>
            <w:vAlign w:val="bottom"/>
          </w:tcPr>
          <w:p>
            <w:pPr>
              <w:spacing w:after="0"/>
              <w:rPr>
                <w:sz w:val="1"/>
                <w:szCs w:val="1"/>
                <w:color w:val="auto"/>
              </w:rPr>
            </w:pPr>
          </w:p>
        </w:tc>
      </w:tr>
      <w:tr>
        <w:trPr>
          <w:trHeight w:val="108"/>
        </w:trPr>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Communications, LLC</w:t>
            </w: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0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00" w:type="dxa"/>
            <w:vAlign w:val="bottom"/>
            <w:vMerge w:val="restart"/>
          </w:tcPr>
          <w:p>
            <w:pPr>
              <w:jc w:val="center"/>
              <w:spacing w:after="0"/>
              <w:rPr>
                <w:sz w:val="20"/>
                <w:szCs w:val="20"/>
                <w:color w:val="auto"/>
              </w:rPr>
            </w:pPr>
            <w:r>
              <w:rPr>
                <w:rFonts w:ascii="Arial" w:cs="Arial" w:eastAsia="Arial" w:hAnsi="Arial"/>
                <w:sz w:val="18"/>
                <w:szCs w:val="18"/>
                <w:color w:val="0000FF"/>
                <w:w w:val="89"/>
              </w:rPr>
              <w:t>Clearwire Corp</w:t>
            </w:r>
          </w:p>
        </w:tc>
        <w:tc>
          <w:tcPr>
            <w:tcW w:w="1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Certain wholly owned subsidiaries of Comcast Corporation ("Comcast") have entered into an Equityholders' Agreement dated as of November 28, 2008 (the "Equityholders' Agreement") with Clearwire Corporation (the "Issuer") and the other parties thereto (collectively, the "Unaffiliated Stockholders").</w:t>
      </w:r>
    </w:p>
    <w:p>
      <w:pPr>
        <w:spacing w:after="0" w:line="30" w:lineRule="exact"/>
        <w:rPr>
          <w:rFonts w:ascii="Arial" w:cs="Arial" w:eastAsia="Arial" w:hAnsi="Arial"/>
          <w:sz w:val="14"/>
          <w:szCs w:val="14"/>
          <w:color w:val="008000"/>
        </w:rPr>
      </w:pPr>
    </w:p>
    <w:p>
      <w:pPr>
        <w:ind w:left="40" w:right="8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By virtue of the Equityholders' Agreement, Comcast and the Unaffiliated Stockholders may be deemed to be members of a group under Section 13(d) of the Securities Exchange Act of 1934, as amended, that, in the aggregate, beneficially owns more than 10% of the Issuer's outstanding shares of Class A Common Stock. The number securities of the Issuer and Clearwire Communications, LLC, a subsidiary of the Issuer ("Clearwire LLC"), beneficially owned by Comcast as reported herein does not include the holdings of any Unaffiliated Stockholders. Comcast does not have any "pecuniary interest" in the securities of the Issuer or any of its subsidiaries owned by the Unaffiliated Stockholders.</w:t>
      </w:r>
    </w:p>
    <w:p>
      <w:pPr>
        <w:spacing w:after="0" w:line="31" w:lineRule="exact"/>
        <w:rPr>
          <w:rFonts w:ascii="Arial" w:cs="Arial" w:eastAsia="Arial" w:hAnsi="Arial"/>
          <w:sz w:val="14"/>
          <w:szCs w:val="14"/>
          <w:color w:val="008000"/>
        </w:rPr>
      </w:pPr>
    </w:p>
    <w:p>
      <w:pPr>
        <w:ind w:left="40" w:right="1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Subject to certain limited exceptions, beginning on the date that is 181 days after the closing (the "Closing") of the transactions contemplated by that certain Transaction Agreement and Plan of Merger dated as of May 7, 2008 among Comcast and the other parties thereto (the "Transaction Agreement"), each share of Class B Common Stock of the Issuer, together with one Class B Common Unit of Clearwire LLC (a "Class B Common Unit"), is exchangeable at any time, at the option of the holder, into one fully paid and nonassessable share of Class A Common Stock of the Issuer and has no expiration date.</w:t>
      </w:r>
    </w:p>
    <w:p>
      <w:pPr>
        <w:spacing w:after="0" w:line="2" w:lineRule="exact"/>
        <w:rPr>
          <w:rFonts w:ascii="Arial" w:cs="Arial" w:eastAsia="Arial" w:hAnsi="Arial"/>
          <w:sz w:val="12"/>
          <w:szCs w:val="12"/>
          <w:color w:val="008000"/>
        </w:rPr>
      </w:pPr>
    </w:p>
    <w:p>
      <w:pPr>
        <w:ind w:left="40" w:right="12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Comcast received the shares of Class B Common Stock and Class B Common Units reported in Table II pursuant to the Transaction Agreement in exchange for a $1.05 billion investment in Clearwire LLC and based upon a purchase price of $20.00 per share. The number of shares of Class B Common Stock and Class B Common Units that Comcast is entitled to receive pursuant to the Transaction Agreement is subject to a post-closing adjustment based upon the trading price of Class A Common Stock on NASDAQ over 15 randomly-selected trading days during the 30-day trading period ending on the 90th day after the Closing. The aggregate number of shares of Class B Common Stock and Class B Common Units that Comcast ultimately receives for its investment will be equal to its investment amount divided by the volume weighted average price on those randomly selected days. The volume-weighted price is subject to a cap of $23.00 per share and a floor of $17.00 per share.</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of Class B Common Stock and Class B Common Units reported in Table II are owned indirectly by Comcast through wholly owned subsidiaries.</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Arthur R. Block, Senior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014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01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Vice President of Comcast</w:t>
      </w:r>
      <w:r>
        <w:rPr>
          <w:sz w:val="20"/>
          <w:szCs w:val="20"/>
          <w:color w:val="auto"/>
        </w:rPr>
        <w:tab/>
      </w:r>
      <w:r>
        <w:rPr>
          <w:rFonts w:ascii="Arial" w:cs="Arial" w:eastAsia="Arial" w:hAnsi="Arial"/>
          <w:sz w:val="15"/>
          <w:szCs w:val="15"/>
          <w:color w:val="0000FF"/>
        </w:rPr>
        <w:t>11/28/2008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38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384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66691" TargetMode="External"/><Relationship Id="rId12" Type="http://schemas.openxmlformats.org/officeDocument/2006/relationships/hyperlink" Target="http://www.sec.gov/cgi-bin/browse-edgar?action=getcompany&amp;CIK=00012855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2019-12-15T07:21:14Z</dcterms:created>
  <dcterms:modified xsi:type="dcterms:W3CDTF">2019-12-15T07:21:14Z</dcterms:modified>
</cp:coreProperties>
</file>