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13)*</w:t>
      </w: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ION MEDIA NETWORKS, INC.</w:t>
      </w:r>
    </w:p>
    <w:p>
      <w:pPr>
        <w:spacing w:after="0" w:line="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46205A103</w:t>
      </w:r>
    </w:p>
    <w:p>
      <w:pPr>
        <w:spacing w:after="0" w:line="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Richard Cotton, Vice President and General Counsel</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NBC Universal, Inc.</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30 Rockefeller Plaza, New York, NY 10112</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(212) 664-7024</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Receive Notices and Communications)</w:t>
      </w:r>
    </w:p>
    <w:p>
      <w:pPr>
        <w:spacing w:after="0" w:line="3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January 11, 2008</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4"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Note:Schedules filed in paper format shall include a signed original and five copies of the schedule, including all exhibits. See § 240.13d-7 for other parties to whom copies are to be sent.</w:t>
      </w:r>
    </w:p>
    <w:p>
      <w:pPr>
        <w:spacing w:after="0" w:line="174" w:lineRule="exact"/>
        <w:rPr>
          <w:sz w:val="24"/>
          <w:szCs w:val="24"/>
          <w:color w:val="auto"/>
        </w:rPr>
      </w:pPr>
    </w:p>
    <w:p>
      <w:pPr>
        <w:ind w:left="220" w:hanging="212"/>
        <w:spacing w:after="0" w:line="275"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4" w:lineRule="exact"/>
        <w:rPr>
          <w:sz w:val="24"/>
          <w:szCs w:val="24"/>
          <w:color w:val="auto"/>
        </w:rPr>
      </w:pPr>
    </w:p>
    <w:p>
      <w:pPr>
        <w:ind w:right="180"/>
        <w:spacing w:after="0" w:line="375" w:lineRule="auto"/>
        <w:rPr>
          <w:sz w:val="20"/>
          <w:szCs w:val="20"/>
          <w:color w:val="auto"/>
        </w:rPr>
      </w:pPr>
      <w:r>
        <w:rPr>
          <w:rFonts w:ascii="Times New Roman" w:cs="Times New Roman" w:eastAsia="Times New Roman" w:hAnsi="Times New Roman"/>
          <w:sz w:val="16"/>
          <w:szCs w:val="16"/>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 xml:space="preserve">”) or otherwise subject to the liabilities of that section of the Act but shall be subject to all other provisions of the Act (however,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Notes</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231" w:right="319" w:bottom="1440" w:gutter="0" w:footer="0" w:header="0"/>
        </w:sectPr>
      </w:pPr>
    </w:p>
    <w:bookmarkStart w:id="1" w:name="page2"/>
    <w:bookmarkEnd w:id="1"/>
    <w:p>
      <w:pPr>
        <w:ind w:right="60" w:firstLine="972"/>
        <w:spacing w:after="0" w:line="254" w:lineRule="auto"/>
        <w:rPr>
          <w:sz w:val="20"/>
          <w:szCs w:val="20"/>
          <w:color w:val="auto"/>
        </w:rPr>
      </w:pPr>
      <w:r>
        <w:rPr>
          <w:rFonts w:ascii="Times New Roman" w:cs="Times New Roman" w:eastAsia="Times New Roman" w:hAnsi="Times New Roman"/>
          <w:sz w:val="18"/>
          <w:szCs w:val="18"/>
          <w:color w:val="auto"/>
        </w:rPr>
        <w:t>This Amendment No. 13 to Schedule 13D (“</w:t>
      </w:r>
      <w:r>
        <w:rPr>
          <w:rFonts w:ascii="Times New Roman" w:cs="Times New Roman" w:eastAsia="Times New Roman" w:hAnsi="Times New Roman"/>
          <w:sz w:val="18"/>
          <w:szCs w:val="18"/>
          <w:u w:val="single" w:color="auto"/>
          <w:color w:val="auto"/>
        </w:rPr>
        <w:t>Amendment No. 13</w:t>
      </w:r>
      <w:r>
        <w:rPr>
          <w:rFonts w:ascii="Times New Roman" w:cs="Times New Roman" w:eastAsia="Times New Roman" w:hAnsi="Times New Roman"/>
          <w:sz w:val="18"/>
          <w:szCs w:val="18"/>
          <w:color w:val="auto"/>
        </w:rPr>
        <w:t>”) amends the Schedule 13D filed on September 27, 1999 (the “</w:t>
      </w:r>
      <w:r>
        <w:rPr>
          <w:rFonts w:ascii="Times New Roman" w:cs="Times New Roman" w:eastAsia="Times New Roman" w:hAnsi="Times New Roman"/>
          <w:sz w:val="18"/>
          <w:szCs w:val="18"/>
          <w:u w:val="single" w:color="auto"/>
          <w:color w:val="auto"/>
        </w:rPr>
        <w:t>Initial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13D</w:t>
      </w:r>
      <w:r>
        <w:rPr>
          <w:rFonts w:ascii="Times New Roman" w:cs="Times New Roman" w:eastAsia="Times New Roman" w:hAnsi="Times New Roman"/>
          <w:sz w:val="18"/>
          <w:szCs w:val="18"/>
          <w:color w:val="auto"/>
        </w:rPr>
        <w:t>”), as amended by Amendment No. 1 filed on February 14, 2003, Amendment No. 2 filed on November 9, 2005, Amendment No. 3 filed on January 18, 2007, Amendment No. 4 filed on February 23, 2007, Amendment No. 5 filed on March 15, 2007, Amendment No. 6 filed on March 30, 2007, Amendment No. 7 filed on April 11, 2007, Amendment No. 8 filed on April 12, 2007, Amendment No. 9 filed on April 30, 2007, Amendment No. 10 filed on May 8, 2007, Amendment No. 11 filed on June 11, 2007 and Amendment No. 12 filed on August 23, 2007 (together with the Initial Schedule 13D,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which relates to shares of Class A Common Stock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par value $0.001 per share, of ION Media Networks,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but not defined herein shall have the meanings attributed to them in the Schedule 13D. All items or responses not described herein remain as previously reported in the Schedule 13D.</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Purpose of Transaction.</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immediately after the last paragraph thereof:</w:t>
      </w:r>
    </w:p>
    <w:p>
      <w:pPr>
        <w:spacing w:after="0" w:line="225" w:lineRule="exact"/>
        <w:rPr>
          <w:sz w:val="20"/>
          <w:szCs w:val="20"/>
          <w:color w:val="auto"/>
        </w:rPr>
      </w:pPr>
    </w:p>
    <w:p>
      <w:pPr>
        <w:ind w:right="20" w:firstLine="972"/>
        <w:spacing w:after="0" w:line="262" w:lineRule="auto"/>
        <w:rPr>
          <w:sz w:val="20"/>
          <w:szCs w:val="20"/>
          <w:color w:val="auto"/>
        </w:rPr>
      </w:pPr>
      <w:r>
        <w:rPr>
          <w:rFonts w:ascii="Times New Roman" w:cs="Times New Roman" w:eastAsia="Times New Roman" w:hAnsi="Times New Roman"/>
          <w:sz w:val="18"/>
          <w:szCs w:val="18"/>
          <w:color w:val="auto"/>
        </w:rPr>
        <w:t>“On January 11, 2008, the NBCU Entities, the Company and CM entered into an amendment to the Master Agreement (the “</w:t>
      </w:r>
      <w:r>
        <w:rPr>
          <w:rFonts w:ascii="Times New Roman" w:cs="Times New Roman" w:eastAsia="Times New Roman" w:hAnsi="Times New Roman"/>
          <w:sz w:val="18"/>
          <w:szCs w:val="18"/>
          <w:u w:val="single" w:color="auto"/>
          <w:color w:val="auto"/>
        </w:rPr>
        <w:t>January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address certain matters, including matters related to the approval of the reverse stock split and the terms applicable to the exchange of Series A-2 Preferred Stock into Series C Convertible Preferred Stock.</w:t>
      </w:r>
    </w:p>
    <w:p>
      <w:pPr>
        <w:spacing w:after="0" w:line="186" w:lineRule="exact"/>
        <w:rPr>
          <w:sz w:val="20"/>
          <w:szCs w:val="20"/>
          <w:color w:val="auto"/>
        </w:rPr>
      </w:pPr>
    </w:p>
    <w:p>
      <w:pPr>
        <w:ind w:right="100" w:firstLine="972"/>
        <w:spacing w:after="0" w:line="275" w:lineRule="auto"/>
        <w:rPr>
          <w:sz w:val="20"/>
          <w:szCs w:val="20"/>
          <w:color w:val="auto"/>
        </w:rPr>
      </w:pPr>
      <w:r>
        <w:rPr>
          <w:rFonts w:ascii="Times New Roman" w:cs="Times New Roman" w:eastAsia="Times New Roman" w:hAnsi="Times New Roman"/>
          <w:sz w:val="18"/>
          <w:szCs w:val="18"/>
          <w:color w:val="auto"/>
        </w:rPr>
        <w:t>This description of the January 11 Amendment is not complete and is subject to the terms of the January 11 Amendment, attached hereto as Exhibit 39 and incorporated herein by reference.</w:t>
      </w:r>
    </w:p>
    <w:p>
      <w:pPr>
        <w:spacing w:after="0" w:line="174" w:lineRule="exact"/>
        <w:rPr>
          <w:sz w:val="20"/>
          <w:szCs w:val="20"/>
          <w:color w:val="auto"/>
        </w:rPr>
      </w:pPr>
    </w:p>
    <w:p>
      <w:pPr>
        <w:ind w:right="60" w:firstLine="972"/>
        <w:spacing w:after="0" w:line="275" w:lineRule="auto"/>
        <w:rPr>
          <w:sz w:val="20"/>
          <w:szCs w:val="20"/>
          <w:color w:val="auto"/>
        </w:rPr>
      </w:pPr>
      <w:r>
        <w:rPr>
          <w:rFonts w:ascii="Times New Roman" w:cs="Times New Roman" w:eastAsia="Times New Roman" w:hAnsi="Times New Roman"/>
          <w:sz w:val="18"/>
          <w:szCs w:val="18"/>
          <w:color w:val="auto"/>
        </w:rPr>
        <w:t>Except as set forth herein, in the Schedule 13D, and in the exhibits hereto and thereto, the Reporting Persons have no present plans or proposals that would result in or relate to any of the transactions or changes listed in Items 4(a) through 4(j) of the form of Schedule 13D.”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Materials to be Filed as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7"/>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39</w:t>
            </w:r>
          </w:p>
        </w:tc>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letter, dated January 11, 2008, from CIG Media LLC to ION Media Networks,</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 NBC Universal, Inc., NBC Palm Beach Investment I, Inc. and NBC Palm Beach</w:t>
            </w:r>
          </w:p>
        </w:tc>
      </w:tr>
      <w:tr>
        <w:trPr>
          <w:trHeight w:val="228"/>
        </w:trPr>
        <w:tc>
          <w:tcPr>
            <w:tcW w:w="1600" w:type="dxa"/>
            <w:vAlign w:val="bottom"/>
          </w:tcPr>
          <w:p>
            <w:pPr>
              <w:spacing w:after="0"/>
              <w:rPr>
                <w:sz w:val="19"/>
                <w:szCs w:val="19"/>
                <w:color w:val="auto"/>
              </w:rPr>
            </w:pPr>
          </w:p>
        </w:tc>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II, Inc.</w:t>
            </w:r>
          </w:p>
        </w:tc>
      </w:tr>
      <w:tr>
        <w:trPr>
          <w:trHeight w:val="607"/>
        </w:trPr>
        <w:tc>
          <w:tcPr>
            <w:tcW w:w="160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0" w:lineRule="exact"/>
        <w:rPr>
          <w:sz w:val="20"/>
          <w:szCs w:val="20"/>
          <w:color w:val="auto"/>
        </w:rPr>
      </w:pPr>
    </w:p>
    <w:p>
      <w:pPr>
        <w:spacing w:after="0" w:line="28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GENERAL ELECTRIC COMPANY</w:t>
      </w:r>
    </w:p>
    <w:p>
      <w:pPr>
        <w:spacing w:after="0" w:line="293" w:lineRule="exact"/>
        <w:rPr>
          <w:sz w:val="20"/>
          <w:szCs w:val="20"/>
          <w:color w:val="auto"/>
        </w:rPr>
      </w:pPr>
    </w:p>
    <w:tbl>
      <w:tblPr>
        <w:tblLayout w:type="fixed"/>
        <w:tblInd w:w="5320" w:type="dxa"/>
        <w:tblCellMar>
          <w:top w:w="0" w:type="dxa"/>
          <w:left w:w="0" w:type="dxa"/>
          <w:bottom w:w="0" w:type="dxa"/>
          <w:right w:w="0" w:type="dxa"/>
        </w:tblCellMar>
      </w:tblPr>
      <w:tr>
        <w:trPr>
          <w:trHeight w:val="229"/>
        </w:trPr>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Lynn A. Calpeter</w:t>
            </w:r>
          </w:p>
        </w:tc>
      </w:tr>
      <w:tr>
        <w:trPr>
          <w:trHeight w:val="210"/>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Lynn A. Calpeter</w:t>
            </w:r>
          </w:p>
        </w:tc>
      </w:tr>
      <w:tr>
        <w:trPr>
          <w:trHeight w:val="228"/>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3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NATIONAL BROADCASTING COMPANY HOLDING, INC.</w:t>
      </w:r>
    </w:p>
    <w:p>
      <w:pPr>
        <w:spacing w:after="0" w:line="279" w:lineRule="exact"/>
        <w:rPr>
          <w:sz w:val="20"/>
          <w:szCs w:val="20"/>
          <w:color w:val="auto"/>
        </w:rPr>
      </w:pPr>
    </w:p>
    <w:tbl>
      <w:tblPr>
        <w:tblLayout w:type="fixed"/>
        <w:tblInd w:w="5320" w:type="dxa"/>
        <w:tblCellMar>
          <w:top w:w="0" w:type="dxa"/>
          <w:left w:w="0" w:type="dxa"/>
          <w:bottom w:w="0" w:type="dxa"/>
          <w:right w:w="0" w:type="dxa"/>
        </w:tblCellMar>
      </w:tblPr>
      <w:tr>
        <w:trPr>
          <w:trHeight w:val="228"/>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W. Scott Seeley</w:t>
            </w:r>
          </w:p>
        </w:tc>
      </w:tr>
      <w:tr>
        <w:trPr>
          <w:trHeight w:val="43"/>
        </w:trPr>
        <w:tc>
          <w:tcPr>
            <w:tcW w:w="7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 Scott Seeley</w:t>
            </w:r>
          </w:p>
        </w:tc>
      </w:tr>
      <w:tr>
        <w:trPr>
          <w:trHeight w:val="228"/>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72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 UNIVERSAL, INC.</w:t>
            </w:r>
          </w:p>
        </w:tc>
      </w:tr>
      <w:tr>
        <w:trPr>
          <w:trHeight w:val="486"/>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W. Scott Seeley</w:t>
            </w:r>
          </w:p>
        </w:tc>
      </w:tr>
      <w:tr>
        <w:trPr>
          <w:trHeight w:val="43"/>
        </w:trPr>
        <w:tc>
          <w:tcPr>
            <w:tcW w:w="7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 Scott Seeley</w:t>
            </w:r>
          </w:p>
        </w:tc>
      </w:tr>
      <w:tr>
        <w:trPr>
          <w:trHeight w:val="228"/>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3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NBC PALM BEACH Investment I, INC.</w:t>
      </w:r>
    </w:p>
    <w:p>
      <w:pPr>
        <w:spacing w:after="0" w:line="279" w:lineRule="exact"/>
        <w:rPr>
          <w:sz w:val="20"/>
          <w:szCs w:val="20"/>
          <w:color w:val="auto"/>
        </w:rPr>
      </w:pPr>
    </w:p>
    <w:tbl>
      <w:tblPr>
        <w:tblLayout w:type="fixed"/>
        <w:tblInd w:w="5320" w:type="dxa"/>
        <w:tblCellMar>
          <w:top w:w="0" w:type="dxa"/>
          <w:left w:w="0" w:type="dxa"/>
          <w:bottom w:w="0" w:type="dxa"/>
          <w:right w:w="0" w:type="dxa"/>
        </w:tblCellMar>
      </w:tblPr>
      <w:tr>
        <w:trPr>
          <w:trHeight w:val="228"/>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W. Scott Seeley</w:t>
            </w:r>
          </w:p>
        </w:tc>
      </w:tr>
      <w:tr>
        <w:trPr>
          <w:trHeight w:val="43"/>
        </w:trPr>
        <w:tc>
          <w:tcPr>
            <w:tcW w:w="7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 Scott Seeley</w:t>
            </w:r>
          </w:p>
        </w:tc>
      </w:tr>
      <w:tr>
        <w:trPr>
          <w:trHeight w:val="228"/>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3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NBC PALM BEACH Investment II, INC.</w:t>
      </w:r>
    </w:p>
    <w:p>
      <w:pPr>
        <w:spacing w:after="0" w:line="279" w:lineRule="exact"/>
        <w:rPr>
          <w:sz w:val="20"/>
          <w:szCs w:val="20"/>
          <w:color w:val="auto"/>
        </w:rPr>
      </w:pPr>
    </w:p>
    <w:tbl>
      <w:tblPr>
        <w:tblLayout w:type="fixed"/>
        <w:tblInd w:w="5320" w:type="dxa"/>
        <w:tblCellMar>
          <w:top w:w="0" w:type="dxa"/>
          <w:left w:w="0" w:type="dxa"/>
          <w:bottom w:w="0" w:type="dxa"/>
          <w:right w:w="0" w:type="dxa"/>
        </w:tblCellMar>
      </w:tblPr>
      <w:tr>
        <w:trPr>
          <w:trHeight w:val="228"/>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W. Scott Seeley</w:t>
            </w:r>
          </w:p>
        </w:tc>
      </w:tr>
      <w:tr>
        <w:trPr>
          <w:trHeight w:val="29"/>
        </w:trPr>
        <w:tc>
          <w:tcPr>
            <w:tcW w:w="7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22"/>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 Scott Seeley</w:t>
            </w:r>
          </w:p>
        </w:tc>
      </w:tr>
      <w:tr>
        <w:trPr>
          <w:trHeight w:val="229"/>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123"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9340" w:type="dxa"/>
            <w:vAlign w:val="bottom"/>
            <w:gridSpan w:val="3"/>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21"/>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6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r>
      <w:tr>
        <w:trPr>
          <w:trHeight w:val="44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39</w:t>
            </w:r>
          </w:p>
        </w:tc>
        <w:tc>
          <w:tcPr>
            <w:tcW w:w="93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7"/>
              </w:rPr>
              <w:t>Amendment letter, dated January 11, 2008, from CIG Media LLC to ION Media Networks, Inc., NBC Universal, Inc., NBC</w:t>
            </w:r>
          </w:p>
        </w:tc>
      </w:tr>
      <w:tr>
        <w:trPr>
          <w:trHeight w:val="228"/>
        </w:trPr>
        <w:tc>
          <w:tcPr>
            <w:tcW w:w="1500" w:type="dxa"/>
            <w:vAlign w:val="bottom"/>
          </w:tcPr>
          <w:p>
            <w:pPr>
              <w:spacing w:after="0"/>
              <w:rPr>
                <w:sz w:val="19"/>
                <w:szCs w:val="19"/>
                <w:color w:val="auto"/>
              </w:rPr>
            </w:pPr>
          </w:p>
        </w:tc>
        <w:tc>
          <w:tcPr>
            <w:tcW w:w="93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Palm Beach Investment I, Inc. and NBC Palm Beach Investment II, Inc.</w:t>
            </w:r>
          </w:p>
        </w:tc>
      </w:tr>
    </w:tbl>
    <w:p>
      <w:pPr>
        <w:sectPr>
          <w:pgSz w:w="11900" w:h="16838" w:orient="portrait"/>
          <w:cols w:equalWidth="0" w:num="1">
            <w:col w:w="10840"/>
          </w:cols>
          <w:pgMar w:left="340" w:top="108" w:right="7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39</w:t>
      </w:r>
    </w:p>
    <w:p>
      <w:pPr>
        <w:spacing w:after="0" w:line="19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AMENDMENT TO</w:t>
      </w:r>
    </w:p>
    <w:p>
      <w:pPr>
        <w:ind w:left="4740"/>
        <w:spacing w:after="0"/>
        <w:rPr>
          <w:sz w:val="20"/>
          <w:szCs w:val="20"/>
          <w:color w:val="auto"/>
        </w:rPr>
      </w:pPr>
      <w:r>
        <w:rPr>
          <w:rFonts w:ascii="Times New Roman" w:cs="Times New Roman" w:eastAsia="Times New Roman" w:hAnsi="Times New Roman"/>
          <w:sz w:val="18"/>
          <w:szCs w:val="18"/>
          <w:b w:val="1"/>
          <w:bCs w:val="1"/>
          <w:color w:val="auto"/>
        </w:rPr>
        <w:t>MASTER AGREEMENT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11, 2008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ION Media Networks,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Clearwater Park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Palm Beach, FL 33401-6233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NBC Universal,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NBC Palm Beach Investment I,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NBC Palm Beach Investment II,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ind w:right="240" w:firstLine="648"/>
        <w:spacing w:after="0" w:line="285" w:lineRule="auto"/>
        <w:rPr>
          <w:sz w:val="20"/>
          <w:szCs w:val="20"/>
          <w:color w:val="auto"/>
        </w:rPr>
      </w:pPr>
      <w:r>
        <w:rPr>
          <w:rFonts w:ascii="Times New Roman" w:cs="Times New Roman" w:eastAsia="Times New Roman" w:hAnsi="Times New Roman"/>
          <w:sz w:val="16"/>
          <w:szCs w:val="16"/>
          <w:color w:val="auto"/>
        </w:rPr>
        <w:t>Reference is hereby made to the Master Transaction Agreement, dated as of May 3, 2007, by and among ION Media Networks,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NBC Universal, Inc., a Delaware corporation (“</w:t>
      </w:r>
      <w:r>
        <w:rPr>
          <w:rFonts w:ascii="Times New Roman" w:cs="Times New Roman" w:eastAsia="Times New Roman" w:hAnsi="Times New Roman"/>
          <w:sz w:val="16"/>
          <w:szCs w:val="16"/>
          <w:u w:val="single" w:color="auto"/>
          <w:color w:val="auto"/>
        </w:rPr>
        <w:t>NBCU</w:t>
      </w:r>
      <w:r>
        <w:rPr>
          <w:rFonts w:ascii="Times New Roman" w:cs="Times New Roman" w:eastAsia="Times New Roman" w:hAnsi="Times New Roman"/>
          <w:sz w:val="16"/>
          <w:szCs w:val="16"/>
          <w:color w:val="auto"/>
        </w:rPr>
        <w:t>”), NBC Palm Beach Investment I, Inc., a California corporation (“</w:t>
      </w:r>
      <w:r>
        <w:rPr>
          <w:rFonts w:ascii="Times New Roman" w:cs="Times New Roman" w:eastAsia="Times New Roman" w:hAnsi="Times New Roman"/>
          <w:sz w:val="16"/>
          <w:szCs w:val="16"/>
          <w:u w:val="single" w:color="auto"/>
          <w:color w:val="auto"/>
        </w:rPr>
        <w:t>NBC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Palm Beach I</w:t>
      </w:r>
      <w:r>
        <w:rPr>
          <w:rFonts w:ascii="Times New Roman" w:cs="Times New Roman" w:eastAsia="Times New Roman" w:hAnsi="Times New Roman"/>
          <w:sz w:val="16"/>
          <w:szCs w:val="16"/>
          <w:color w:val="auto"/>
        </w:rPr>
        <w:t>”), NBC Palm Beach Investment II, Inc., a California corporation (“</w:t>
      </w:r>
      <w:r>
        <w:rPr>
          <w:rFonts w:ascii="Times New Roman" w:cs="Times New Roman" w:eastAsia="Times New Roman" w:hAnsi="Times New Roman"/>
          <w:sz w:val="16"/>
          <w:szCs w:val="16"/>
          <w:u w:val="single" w:color="auto"/>
          <w:color w:val="auto"/>
        </w:rPr>
        <w:t>NBC Palm Beach II</w:t>
      </w:r>
      <w:r>
        <w:rPr>
          <w:rFonts w:ascii="Times New Roman" w:cs="Times New Roman" w:eastAsia="Times New Roman" w:hAnsi="Times New Roman"/>
          <w:sz w:val="16"/>
          <w:szCs w:val="16"/>
          <w:color w:val="auto"/>
        </w:rPr>
        <w:t>” and, together with NBCU and NBC Palm Beach I, the “</w:t>
      </w:r>
      <w:r>
        <w:rPr>
          <w:rFonts w:ascii="Times New Roman" w:cs="Times New Roman" w:eastAsia="Times New Roman" w:hAnsi="Times New Roman"/>
          <w:sz w:val="16"/>
          <w:szCs w:val="16"/>
          <w:u w:val="single" w:color="auto"/>
          <w:color w:val="auto"/>
        </w:rPr>
        <w:t>NBCU Entities</w:t>
      </w:r>
      <w:r>
        <w:rPr>
          <w:rFonts w:ascii="Times New Roman" w:cs="Times New Roman" w:eastAsia="Times New Roman" w:hAnsi="Times New Roman"/>
          <w:sz w:val="16"/>
          <w:szCs w:val="16"/>
          <w:color w:val="auto"/>
        </w:rPr>
        <w:t>”), and CIG Media LLC, a Delaware limited liability company (“</w:t>
      </w:r>
      <w:r>
        <w:rPr>
          <w:rFonts w:ascii="Times New Roman" w:cs="Times New Roman" w:eastAsia="Times New Roman" w:hAnsi="Times New Roman"/>
          <w:sz w:val="16"/>
          <w:szCs w:val="16"/>
          <w:u w:val="single" w:color="auto"/>
          <w:color w:val="auto"/>
        </w:rPr>
        <w:t>CIG Media</w:t>
      </w:r>
      <w:r>
        <w:rPr>
          <w:rFonts w:ascii="Times New Roman" w:cs="Times New Roman" w:eastAsia="Times New Roman" w:hAnsi="Times New Roman"/>
          <w:sz w:val="16"/>
          <w:szCs w:val="16"/>
          <w:color w:val="auto"/>
        </w:rPr>
        <w:t>”), as amended by the Amendment to the Master Agreement dated</w:t>
      </w:r>
    </w:p>
    <w:p>
      <w:pPr>
        <w:spacing w:after="0" w:line="3" w:lineRule="exact"/>
        <w:rPr>
          <w:sz w:val="20"/>
          <w:szCs w:val="20"/>
          <w:color w:val="auto"/>
        </w:rPr>
      </w:pPr>
    </w:p>
    <w:p>
      <w:pPr>
        <w:ind w:right="360"/>
        <w:spacing w:after="0" w:line="209" w:lineRule="auto"/>
        <w:rPr>
          <w:sz w:val="20"/>
          <w:szCs w:val="20"/>
          <w:color w:val="auto"/>
        </w:rPr>
      </w:pPr>
      <w:r>
        <w:rPr>
          <w:rFonts w:ascii="Times New Roman" w:cs="Times New Roman" w:eastAsia="Times New Roman" w:hAnsi="Times New Roman"/>
          <w:sz w:val="18"/>
          <w:szCs w:val="18"/>
          <w:color w:val="auto"/>
        </w:rPr>
        <w:t>June 8, 2007 and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Amendment to the Master Agreement dated August 21, 2007 (together, the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All capitalized terms used but not otherwise defined herein shall have the meanings given to them in the Master Agreement.</w:t>
      </w:r>
    </w:p>
    <w:p>
      <w:pPr>
        <w:spacing w:after="0" w:line="260" w:lineRule="exact"/>
        <w:rPr>
          <w:sz w:val="20"/>
          <w:szCs w:val="20"/>
          <w:color w:val="auto"/>
        </w:rPr>
      </w:pPr>
    </w:p>
    <w:p>
      <w:pPr>
        <w:ind w:right="220" w:firstLine="648"/>
        <w:spacing w:after="0" w:line="275" w:lineRule="auto"/>
        <w:rPr>
          <w:sz w:val="20"/>
          <w:szCs w:val="20"/>
          <w:color w:val="auto"/>
        </w:rPr>
      </w:pPr>
      <w:r>
        <w:rPr>
          <w:rFonts w:ascii="Times New Roman" w:cs="Times New Roman" w:eastAsia="Times New Roman" w:hAnsi="Times New Roman"/>
          <w:sz w:val="18"/>
          <w:szCs w:val="18"/>
          <w:color w:val="auto"/>
        </w:rPr>
        <w:t>The parties to the Master Agreement wish to amend the Master Agreement as set forth in this letter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of the Master Agreement, the Company, the NBCU Entities and CIG Media hereby amend the Master Agreement as follows:</w:t>
      </w:r>
    </w:p>
    <w:p>
      <w:pPr>
        <w:spacing w:after="0" w:line="228" w:lineRule="exact"/>
        <w:rPr>
          <w:sz w:val="20"/>
          <w:szCs w:val="20"/>
          <w:color w:val="auto"/>
        </w:rPr>
      </w:pPr>
    </w:p>
    <w:p>
      <w:pPr>
        <w:ind w:left="1240" w:hanging="584"/>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 xml:space="preserve"> of the Master Agreement is hereby amended by deleting it in its entirety and replacing it with the following:</w:t>
      </w:r>
    </w:p>
    <w:p>
      <w:pPr>
        <w:spacing w:after="0" w:line="252" w:lineRule="exact"/>
        <w:rPr>
          <w:sz w:val="20"/>
          <w:szCs w:val="20"/>
          <w:color w:val="auto"/>
        </w:rPr>
      </w:pPr>
    </w:p>
    <w:p>
      <w:pPr>
        <w:ind w:left="660" w:right="280"/>
        <w:spacing w:after="0" w:line="256" w:lineRule="auto"/>
        <w:rPr>
          <w:sz w:val="20"/>
          <w:szCs w:val="20"/>
          <w:color w:val="auto"/>
        </w:rPr>
      </w:pPr>
      <w:r>
        <w:rPr>
          <w:rFonts w:ascii="Times New Roman" w:cs="Times New Roman" w:eastAsia="Times New Roman" w:hAnsi="Times New Roman"/>
          <w:sz w:val="18"/>
          <w:szCs w:val="18"/>
          <w:color w:val="auto"/>
        </w:rPr>
        <w:t>The Company, acting through the Board, shall, in accordance with applicable Law and the Company’s Certificate of Incorporation and By-laws, duly call, give notice of, convene and hold an annual or special meeting of its stockholders as promptly as practicable following the Call Closing for the purpose of considering and taking action on the Restated Certificate of Incorporation necessary to effect the Reverse Stock Split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The Company shall (A) include in the Proxy Statement, and not subsequently withdraw or modify in any manner adverse to CIG, the declaration of the Board that the Restated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660" w:right="100"/>
        <w:spacing w:after="0" w:line="288" w:lineRule="auto"/>
        <w:rPr>
          <w:sz w:val="20"/>
          <w:szCs w:val="20"/>
          <w:color w:val="auto"/>
        </w:rPr>
      </w:pPr>
      <w:r>
        <w:rPr>
          <w:rFonts w:ascii="Times New Roman" w:cs="Times New Roman" w:eastAsia="Times New Roman" w:hAnsi="Times New Roman"/>
          <w:sz w:val="16"/>
          <w:szCs w:val="16"/>
          <w:color w:val="auto"/>
        </w:rPr>
        <w:t xml:space="preserve">of Incorporation is advisable and (B) use its best efforts to obtain approval of the Restated Certificate of Incorporation;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declaration may be withdrawn or modified by the Board without the prior written consent of CIG and the NBCU Entities to the extent that the Board determines in the good faith exercise of its reasonable business judgment, after receiving the advice of outside counsel, that such declaration would no longer be consistent with its fiduciary duties to the Company’s stockholders under applicable Law, in which event notwithstanding such withdrawal or modification of such declaration, the Company’s obligation to duly call, give notice of, convene and hold the Stockholders’ Meeting pursuant to this Section 10.01(b) shall not be affected. At the Stockholders’ Meeting, CIG shall vote (or cause to be voted) all shares of Voting Stock that it or its subsidiaries has the power to vote on the record date for the Stockholders’ Meeting, in favor of the Restated Certificate of Incorporation necessary to effect the Reverse Stock Split. Notwithstanding the foregoing, if CIG shall sign a consent in writing approving the matters set forth in the first sentence of this Section 10.01(b), and duly deliver such written consent to the Company in the manner provided in the Certificate of Incorporation of the Company following the Call Closing, the Company shall no longer be obligated to duly call, give notice of, convene or hold the Stockholders’ Meeting.</w:t>
      </w:r>
    </w:p>
    <w:p>
      <w:pPr>
        <w:spacing w:after="0" w:line="223" w:lineRule="exact"/>
        <w:rPr>
          <w:sz w:val="20"/>
          <w:szCs w:val="20"/>
          <w:color w:val="auto"/>
        </w:rPr>
      </w:pPr>
    </w:p>
    <w:p>
      <w:pPr>
        <w:ind w:left="1240" w:hanging="584"/>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of the Master Agreement is hereby amended by deleting it in its entirety and replacing it with the following:</w:t>
      </w:r>
    </w:p>
    <w:p>
      <w:pPr>
        <w:spacing w:after="0" w:line="279"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Exchange of Series A-2 Preferred Stock Following the Call Closing</w:t>
      </w:r>
      <w:r>
        <w:rPr>
          <w:rFonts w:ascii="Times New Roman" w:cs="Times New Roman" w:eastAsia="Times New Roman" w:hAnsi="Times New Roman"/>
          <w:sz w:val="18"/>
          <w:szCs w:val="18"/>
          <w:color w:val="auto"/>
        </w:rPr>
        <w:t>. At any time on or prior to the second anniversary of the Call Closing, CIG shall have the right to surrender and deliver to the Company one or more certificates representing the Series A-2 Preferred Stock that CIG received pursuant to Section 10.11 in exchange for Series C Convertible Preferred with an equal aggregate stated liquidation preference. CIG shall be required to surrender and deliver to the Company the certificates representing the Series A-2 Preferred Stock that CIG received pursuant to Section 10.11 in exchange for Series C Convertible Preferred with an equal aggregate stated liquidation preference immediately prior to a Mandatory Conversion Event (as such term is defined in the Series C Convertible Preferred Certificate of Designation) which occurs on or prior to the second anniversary of the Call Closing. Immediately following receipt of the certificate or certificates representing the Series A-2 Preferred Stock surrendered by CIG, the Company shall cancel such certificate or certificates and issue to CIG one or more certificates representing Series C Convertible Preferred with an equal aggregate stated liquidation preference.</w:t>
      </w:r>
    </w:p>
    <w:p>
      <w:pPr>
        <w:spacing w:after="0" w:line="251" w:lineRule="exact"/>
        <w:rPr>
          <w:sz w:val="20"/>
          <w:szCs w:val="20"/>
          <w:color w:val="auto"/>
        </w:rPr>
      </w:pPr>
    </w:p>
    <w:p>
      <w:pPr>
        <w:ind w:right="320" w:firstLine="656"/>
        <w:spacing w:after="0" w:line="275" w:lineRule="auto"/>
        <w:tabs>
          <w:tab w:leader="none" w:pos="11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“Series C Convertible Preferred Certificate of Designation”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Master Agreement is hereby amended by deleting such definition in its entirety and replacing it with the following:</w:t>
      </w:r>
    </w:p>
    <w:p>
      <w:pPr>
        <w:spacing w:after="0" w:line="201" w:lineRule="exact"/>
        <w:rPr>
          <w:sz w:val="20"/>
          <w:szCs w:val="20"/>
          <w:color w:val="auto"/>
        </w:rPr>
      </w:pPr>
    </w:p>
    <w:p>
      <w:pPr>
        <w:ind w:right="220" w:firstLine="64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Convertible Preferred Certificate of Designation</w:t>
      </w:r>
      <w:r>
        <w:rPr>
          <w:rFonts w:ascii="Times New Roman" w:cs="Times New Roman" w:eastAsia="Times New Roman" w:hAnsi="Times New Roman"/>
          <w:sz w:val="18"/>
          <w:szCs w:val="18"/>
          <w:color w:val="auto"/>
        </w:rPr>
        <w:t>” means the Certificate of Designation of Series C Convertible Preferred to be executed and filed with the Secretary of State of the State of Delaware promptly following the Call Closing which shall have become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effective and shall be in full force and effect upon filing with the Secretary of State of the State of Delaware, in the form of Exhibit J-1 attached hereto.</w:t>
      </w:r>
    </w:p>
    <w:p>
      <w:pPr>
        <w:spacing w:after="0" w:line="252" w:lineRule="exact"/>
        <w:rPr>
          <w:sz w:val="20"/>
          <w:szCs w:val="20"/>
          <w:color w:val="auto"/>
        </w:rPr>
      </w:pPr>
    </w:p>
    <w:p>
      <w:pPr>
        <w:ind w:firstLine="656"/>
        <w:spacing w:after="0" w:line="258" w:lineRule="auto"/>
        <w:tabs>
          <w:tab w:leader="none" w:pos="11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the laws of the State of New York. This Amendment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 This Amendment may only be modified, amended or supplemented by written instrument duly executed by the parties hereto.</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set forth in this Amendment, the Master Agreement shall remain in full force and effect.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on Next Page]</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7"/>
          <w:szCs w:val="17"/>
          <w:color w:val="auto"/>
        </w:rPr>
        <w:t>Please acknowledge your agreement to and acceptance of the terms of this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Amendment by countersigning and returning the enclosed copy of this</w:t>
      </w:r>
    </w:p>
    <w:p>
      <w:pPr>
        <w:spacing w:after="0"/>
        <w:rPr>
          <w:sz w:val="20"/>
          <w:szCs w:val="20"/>
          <w:color w:val="auto"/>
        </w:rPr>
      </w:pPr>
      <w:r>
        <w:rPr>
          <w:rFonts w:ascii="Times New Roman" w:cs="Times New Roman" w:eastAsia="Times New Roman" w:hAnsi="Times New Roman"/>
          <w:sz w:val="18"/>
          <w:szCs w:val="18"/>
          <w:color w:val="auto"/>
        </w:rPr>
        <w:t>letter.</w:t>
      </w:r>
    </w:p>
    <w:p>
      <w:pPr>
        <w:spacing w:after="0" w:line="25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CIG MEDIA LLC</w:t>
      </w:r>
    </w:p>
    <w:p>
      <w:pPr>
        <w:spacing w:after="0" w:line="36" w:lineRule="exact"/>
        <w:rPr>
          <w:sz w:val="20"/>
          <w:szCs w:val="20"/>
          <w:color w:val="auto"/>
        </w:rPr>
      </w:pPr>
    </w:p>
    <w:p>
      <w:pPr>
        <w:ind w:left="580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Citadel Limited Partnership,</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its Manager</w:t>
      </w:r>
    </w:p>
    <w:p>
      <w:pPr>
        <w:spacing w:after="0" w:line="36" w:lineRule="exact"/>
        <w:rPr>
          <w:sz w:val="20"/>
          <w:szCs w:val="20"/>
          <w:color w:val="auto"/>
        </w:rPr>
      </w:pPr>
    </w:p>
    <w:p>
      <w:pPr>
        <w:ind w:left="580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Citadel Investment Group, L.L.C.,</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93" w:lineRule="exact"/>
        <w:rPr>
          <w:sz w:val="20"/>
          <w:szCs w:val="20"/>
          <w:color w:val="auto"/>
        </w:rPr>
      </w:pPr>
    </w:p>
    <w:tbl>
      <w:tblPr>
        <w:tblLayout w:type="fixed"/>
        <w:tblInd w:w="5800" w:type="dxa"/>
        <w:tblCellMar>
          <w:top w:w="0" w:type="dxa"/>
          <w:left w:w="0" w:type="dxa"/>
          <w:bottom w:w="0" w:type="dxa"/>
          <w:right w:w="0" w:type="dxa"/>
        </w:tblCellMar>
      </w:tblPr>
      <w:tr>
        <w:trPr>
          <w:trHeight w:val="22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19"/>
                <w:szCs w:val="19"/>
                <w:color w:val="auto"/>
              </w:rPr>
            </w:pPr>
          </w:p>
        </w:tc>
        <w:tc>
          <w:tcPr>
            <w:tcW w:w="37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 Matthew Hinerfeld</w:t>
            </w:r>
          </w:p>
        </w:tc>
      </w:tr>
      <w:tr>
        <w:trPr>
          <w:trHeight w:val="224"/>
        </w:trPr>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Name: Matthew Hinerfeld</w:t>
            </w:r>
          </w:p>
        </w:tc>
      </w:tr>
      <w:tr>
        <w:trPr>
          <w:trHeight w:val="431"/>
        </w:trPr>
        <w:tc>
          <w:tcPr>
            <w:tcW w:w="340" w:type="dxa"/>
            <w:vAlign w:val="bottom"/>
          </w:tcPr>
          <w:p>
            <w:pPr>
              <w:spacing w:after="0"/>
              <w:rPr>
                <w:sz w:val="24"/>
                <w:szCs w:val="24"/>
                <w:color w:val="auto"/>
              </w:rPr>
            </w:pPr>
          </w:p>
        </w:tc>
        <w:tc>
          <w:tcPr>
            <w:tcW w:w="3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as of January 11, 2008:</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ION MEDIA NETWORKS, INC.</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Brandon Burgess</w:t>
            </w:r>
          </w:p>
        </w:tc>
      </w:tr>
      <w:tr>
        <w:trPr>
          <w:trHeight w:val="223"/>
        </w:trPr>
        <w:tc>
          <w:tcPr>
            <w:tcW w:w="420" w:type="dxa"/>
            <w:vAlign w:val="bottom"/>
          </w:tcPr>
          <w:p>
            <w:pPr>
              <w:spacing w:after="0"/>
              <w:rPr>
                <w:sz w:val="19"/>
                <w:szCs w:val="19"/>
                <w:color w:val="auto"/>
              </w:rPr>
            </w:pPr>
          </w:p>
        </w:tc>
        <w:tc>
          <w:tcPr>
            <w:tcW w:w="3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 Brandon Burgess</w:t>
            </w:r>
          </w:p>
        </w:tc>
      </w:tr>
      <w:tr>
        <w:trPr>
          <w:trHeight w:val="458"/>
        </w:trPr>
        <w:tc>
          <w:tcPr>
            <w:tcW w:w="4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Title:</w:t>
            </w: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NBC UNIVERSAL, INC.</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W. Scott Seeley</w:t>
            </w:r>
          </w:p>
        </w:tc>
      </w:tr>
      <w:tr>
        <w:trPr>
          <w:trHeight w:val="223"/>
        </w:trPr>
        <w:tc>
          <w:tcPr>
            <w:tcW w:w="420" w:type="dxa"/>
            <w:vAlign w:val="bottom"/>
          </w:tcPr>
          <w:p>
            <w:pPr>
              <w:spacing w:after="0"/>
              <w:rPr>
                <w:sz w:val="19"/>
                <w:szCs w:val="19"/>
                <w:color w:val="auto"/>
              </w:rPr>
            </w:pPr>
          </w:p>
        </w:tc>
        <w:tc>
          <w:tcPr>
            <w:tcW w:w="3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 W. Scott Seeley</w:t>
            </w:r>
          </w:p>
        </w:tc>
      </w:tr>
      <w:tr>
        <w:trPr>
          <w:trHeight w:val="472"/>
        </w:trPr>
        <w:tc>
          <w:tcPr>
            <w:tcW w:w="4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Title:</w:t>
            </w: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w:t>
            </w:r>
          </w:p>
        </w:tc>
      </w:tr>
    </w:tbl>
    <w:p>
      <w:pPr>
        <w:ind w:left="960"/>
        <w:spacing w:after="0"/>
        <w:rPr>
          <w:sz w:val="20"/>
          <w:szCs w:val="20"/>
          <w:color w:val="auto"/>
        </w:rPr>
      </w:pPr>
      <w:r>
        <w:rPr>
          <w:rFonts w:ascii="Times New Roman" w:cs="Times New Roman" w:eastAsia="Times New Roman" w:hAnsi="Times New Roman"/>
          <w:sz w:val="18"/>
          <w:szCs w:val="18"/>
          <w:color w:val="auto"/>
        </w:rPr>
        <w:t>Corporate and Transactions Law</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NBC PALM BEACH INVESTMENT I, INC.</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W. Scott Seeley</w:t>
            </w:r>
          </w:p>
        </w:tc>
      </w:tr>
      <w:tr>
        <w:trPr>
          <w:trHeight w:val="223"/>
        </w:trPr>
        <w:tc>
          <w:tcPr>
            <w:tcW w:w="420" w:type="dxa"/>
            <w:vAlign w:val="bottom"/>
          </w:tcPr>
          <w:p>
            <w:pPr>
              <w:spacing w:after="0"/>
              <w:rPr>
                <w:sz w:val="19"/>
                <w:szCs w:val="19"/>
                <w:color w:val="auto"/>
              </w:rPr>
            </w:pPr>
          </w:p>
        </w:tc>
        <w:tc>
          <w:tcPr>
            <w:tcW w:w="3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 W. Scott Seeley</w:t>
            </w:r>
          </w:p>
        </w:tc>
      </w:tr>
      <w:tr>
        <w:trPr>
          <w:trHeight w:val="472"/>
        </w:trPr>
        <w:tc>
          <w:tcPr>
            <w:tcW w:w="4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Title:</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NBC PALM BEACH INVESTMENT II, INC.</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W. Scott Seeley</w:t>
            </w:r>
          </w:p>
        </w:tc>
      </w:tr>
      <w:tr>
        <w:trPr>
          <w:trHeight w:val="223"/>
        </w:trPr>
        <w:tc>
          <w:tcPr>
            <w:tcW w:w="420" w:type="dxa"/>
            <w:vAlign w:val="bottom"/>
          </w:tcPr>
          <w:p>
            <w:pPr>
              <w:spacing w:after="0"/>
              <w:rPr>
                <w:sz w:val="19"/>
                <w:szCs w:val="19"/>
                <w:color w:val="auto"/>
              </w:rPr>
            </w:pPr>
          </w:p>
        </w:tc>
        <w:tc>
          <w:tcPr>
            <w:tcW w:w="3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 W. Scott Seeley</w:t>
            </w:r>
          </w:p>
        </w:tc>
      </w:tr>
      <w:tr>
        <w:trPr>
          <w:trHeight w:val="472"/>
        </w:trPr>
        <w:tc>
          <w:tcPr>
            <w:tcW w:w="4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Title:</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[Signature Page to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Amendment]</w:t>
      </w:r>
    </w:p>
    <w:sectPr>
      <w:pgSz w:w="11900" w:h="16838" w:orient="portrait"/>
      <w:cols w:equalWidth="0" w:num="1">
        <w:col w:w="11120"/>
      </w:cols>
      <w:pgMar w:left="240" w:top="8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2019-12-16T10:44:59Z</dcterms:created>
  <dcterms:modified xsi:type="dcterms:W3CDTF">2019-12-16T10:44:59Z</dcterms:modified>
</cp:coreProperties>
</file>