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208280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The Securities Exchange Act of 1934</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April 25, 2019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Comcast Corporation</w:t>
      </w:r>
    </w:p>
    <w:p>
      <w:pPr>
        <w:spacing w:after="0" w:line="17"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(Exact Name of Registrant</w:t>
      </w:r>
    </w:p>
    <w:p>
      <w:pPr>
        <w:ind w:left="4940"/>
        <w:spacing w:after="0"/>
        <w:rPr>
          <w:sz w:val="20"/>
          <w:szCs w:val="20"/>
          <w:color w:val="auto"/>
        </w:rPr>
      </w:pPr>
      <w:r>
        <w:rPr>
          <w:rFonts w:ascii="Arial" w:cs="Arial" w:eastAsia="Arial" w:hAnsi="Arial"/>
          <w:sz w:val="14"/>
          <w:szCs w:val="14"/>
          <w:color w:val="auto"/>
        </w:rPr>
        <w:t>as Specified in its Charter)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(State or Other Jurisdiction of Incorporation)</w:t>
      </w:r>
    </w:p>
    <w:p>
      <w:pPr>
        <w:spacing w:after="0" w:line="192"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160" w:type="dxa"/>
            <w:vAlign w:val="bottom"/>
          </w:tcPr>
          <w:p>
            <w:pPr>
              <w:jc w:val="center"/>
              <w:ind w:right="1737"/>
              <w:spacing w:after="0"/>
              <w:rPr>
                <w:sz w:val="20"/>
                <w:szCs w:val="20"/>
                <w:color w:val="auto"/>
              </w:rPr>
            </w:pPr>
            <w:r>
              <w:rPr>
                <w:rFonts w:ascii="Arial" w:cs="Arial" w:eastAsia="Arial" w:hAnsi="Arial"/>
                <w:sz w:val="18"/>
                <w:szCs w:val="18"/>
                <w:b w:val="1"/>
                <w:bCs w:val="1"/>
                <w:color w:val="auto"/>
                <w:w w:val="90"/>
              </w:rPr>
              <w:t>001-32871</w:t>
            </w:r>
          </w:p>
        </w:tc>
        <w:tc>
          <w:tcPr>
            <w:tcW w:w="3820" w:type="dxa"/>
            <w:vAlign w:val="bottom"/>
          </w:tcPr>
          <w:p>
            <w:pPr>
              <w:jc w:val="center"/>
              <w:ind w:left="1739"/>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4160" w:type="dxa"/>
            <w:vAlign w:val="bottom"/>
          </w:tcPr>
          <w:p>
            <w:pPr>
              <w:jc w:val="center"/>
              <w:ind w:right="1737"/>
              <w:spacing w:after="0"/>
              <w:rPr>
                <w:sz w:val="20"/>
                <w:szCs w:val="20"/>
                <w:color w:val="auto"/>
              </w:rPr>
            </w:pPr>
            <w:r>
              <w:rPr>
                <w:rFonts w:ascii="Arial" w:cs="Arial" w:eastAsia="Arial" w:hAnsi="Arial"/>
                <w:sz w:val="14"/>
                <w:szCs w:val="14"/>
                <w:color w:val="auto"/>
                <w:w w:val="94"/>
              </w:rPr>
              <w:t>(Commission File Number)</w:t>
            </w:r>
          </w:p>
        </w:tc>
        <w:tc>
          <w:tcPr>
            <w:tcW w:w="3820" w:type="dxa"/>
            <w:vAlign w:val="bottom"/>
          </w:tcPr>
          <w:p>
            <w:pPr>
              <w:jc w:val="center"/>
              <w:ind w:left="1759"/>
              <w:spacing w:after="0"/>
              <w:rPr>
                <w:sz w:val="20"/>
                <w:szCs w:val="20"/>
                <w:color w:val="auto"/>
              </w:rPr>
            </w:pPr>
            <w:r>
              <w:rPr>
                <w:rFonts w:ascii="Arial" w:cs="Arial" w:eastAsia="Arial" w:hAnsi="Arial"/>
                <w:sz w:val="14"/>
                <w:szCs w:val="14"/>
                <w:color w:val="auto"/>
                <w:w w:val="97"/>
              </w:rPr>
              <w:t>(IRS Employer Identification No.)</w:t>
            </w:r>
          </w:p>
        </w:tc>
      </w:tr>
      <w:tr>
        <w:trPr>
          <w:trHeight w:val="399"/>
        </w:trPr>
        <w:tc>
          <w:tcPr>
            <w:tcW w:w="4160" w:type="dxa"/>
            <w:vAlign w:val="bottom"/>
          </w:tcPr>
          <w:p>
            <w:pPr>
              <w:jc w:val="center"/>
              <w:ind w:right="1737"/>
              <w:spacing w:after="0"/>
              <w:rPr>
                <w:sz w:val="20"/>
                <w:szCs w:val="20"/>
                <w:color w:val="auto"/>
              </w:rPr>
            </w:pPr>
            <w:r>
              <w:rPr>
                <w:rFonts w:ascii="Arial" w:cs="Arial" w:eastAsia="Arial" w:hAnsi="Arial"/>
                <w:sz w:val="18"/>
                <w:szCs w:val="18"/>
                <w:b w:val="1"/>
                <w:bCs w:val="1"/>
                <w:color w:val="auto"/>
                <w:w w:val="90"/>
              </w:rPr>
              <w:t>One Comcast Center</w:t>
            </w:r>
          </w:p>
        </w:tc>
        <w:tc>
          <w:tcPr>
            <w:tcW w:w="3820" w:type="dxa"/>
            <w:vAlign w:val="bottom"/>
          </w:tcPr>
          <w:p>
            <w:pPr>
              <w:spacing w:after="0"/>
              <w:rPr>
                <w:sz w:val="24"/>
                <w:szCs w:val="24"/>
                <w:color w:val="auto"/>
              </w:rPr>
            </w:pPr>
          </w:p>
        </w:tc>
      </w:tr>
      <w:tr>
        <w:trPr>
          <w:trHeight w:val="216"/>
        </w:trPr>
        <w:tc>
          <w:tcPr>
            <w:tcW w:w="4160" w:type="dxa"/>
            <w:vAlign w:val="bottom"/>
          </w:tcPr>
          <w:p>
            <w:pPr>
              <w:jc w:val="center"/>
              <w:ind w:right="1737"/>
              <w:spacing w:after="0"/>
              <w:rPr>
                <w:sz w:val="20"/>
                <w:szCs w:val="20"/>
                <w:color w:val="auto"/>
              </w:rPr>
            </w:pPr>
            <w:r>
              <w:rPr>
                <w:rFonts w:ascii="Arial" w:cs="Arial" w:eastAsia="Arial" w:hAnsi="Arial"/>
                <w:sz w:val="18"/>
                <w:szCs w:val="18"/>
                <w:b w:val="1"/>
                <w:bCs w:val="1"/>
                <w:color w:val="auto"/>
                <w:w w:val="92"/>
              </w:rPr>
              <w:t>Philadelphia, PA</w:t>
            </w:r>
          </w:p>
        </w:tc>
        <w:tc>
          <w:tcPr>
            <w:tcW w:w="3820" w:type="dxa"/>
            <w:vAlign w:val="bottom"/>
          </w:tcPr>
          <w:p>
            <w:pPr>
              <w:jc w:val="center"/>
              <w:ind w:left="1739"/>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4160" w:type="dxa"/>
            <w:vAlign w:val="bottom"/>
          </w:tcPr>
          <w:p>
            <w:pPr>
              <w:jc w:val="center"/>
              <w:ind w:right="1737"/>
              <w:spacing w:after="0"/>
              <w:rPr>
                <w:sz w:val="20"/>
                <w:szCs w:val="20"/>
                <w:color w:val="auto"/>
              </w:rPr>
            </w:pPr>
            <w:r>
              <w:rPr>
                <w:rFonts w:ascii="Arial" w:cs="Arial" w:eastAsia="Arial" w:hAnsi="Arial"/>
                <w:sz w:val="14"/>
                <w:szCs w:val="14"/>
                <w:color w:val="auto"/>
                <w:w w:val="95"/>
              </w:rPr>
              <w:t>(Address of Principal Executive Offices)</w:t>
            </w:r>
          </w:p>
        </w:tc>
        <w:tc>
          <w:tcPr>
            <w:tcW w:w="3820" w:type="dxa"/>
            <w:vAlign w:val="bottom"/>
          </w:tcPr>
          <w:p>
            <w:pPr>
              <w:jc w:val="center"/>
              <w:ind w:left="1739"/>
              <w:spacing w:after="0"/>
              <w:rPr>
                <w:sz w:val="20"/>
                <w:szCs w:val="20"/>
                <w:color w:val="auto"/>
              </w:rPr>
            </w:pPr>
            <w:r>
              <w:rPr>
                <w:rFonts w:ascii="Arial" w:cs="Arial" w:eastAsia="Arial" w:hAnsi="Arial"/>
                <w:sz w:val="14"/>
                <w:szCs w:val="14"/>
                <w:color w:val="auto"/>
                <w:w w:val="96"/>
              </w:rPr>
              <w:t>(Zip Code)</w:t>
            </w: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8" w:lineRule="exact"/>
        <w:rPr>
          <w:sz w:val="24"/>
          <w:szCs w:val="24"/>
          <w:color w:val="auto"/>
        </w:rPr>
      </w:pPr>
    </w:p>
    <w:p>
      <w:pPr>
        <w:ind w:right="48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6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405765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25, 2019, Comcast Corporation (“Comcast”) issued a press release reporting the results of its operations for the three months ended March 31, 2019.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80"/>
        <w:spacing w:after="0"/>
        <w:tabs>
          <w:tab w:leader="none" w:pos="144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11" w:lineRule="exact"/>
        <w:rPr>
          <w:sz w:val="20"/>
          <w:szCs w:val="20"/>
          <w:color w:val="auto"/>
        </w:rPr>
      </w:pPr>
    </w:p>
    <w:p>
      <w:pPr>
        <w:ind w:left="640"/>
        <w:spacing w:after="0"/>
        <w:tabs>
          <w:tab w:leader="none" w:pos="14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16"/>
            <w:szCs w:val="16"/>
            <w:u w:val="single" w:color="auto"/>
            <w:color w:val="0000EE"/>
          </w:rPr>
          <w:t>Comcast Corporation press release dated April 25, 2019.</w:t>
        </w:r>
      </w:hyperlink>
    </w:p>
    <w:p>
      <w:pPr>
        <w:spacing w:after="0" w:line="23" w:lineRule="exact"/>
        <w:rPr>
          <w:sz w:val="20"/>
          <w:szCs w:val="20"/>
          <w:color w:val="auto"/>
        </w:rPr>
      </w:pPr>
    </w:p>
    <w:p>
      <w:pPr>
        <w:ind w:left="640"/>
        <w:spacing w:after="0"/>
        <w:tabs>
          <w:tab w:leader="none" w:pos="144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19">
        <w:r>
          <w:rPr>
            <w:rFonts w:ascii="Arial" w:cs="Arial" w:eastAsia="Arial" w:hAnsi="Arial"/>
            <w:sz w:val="16"/>
            <w:szCs w:val="16"/>
            <w:u w:val="single" w:color="auto"/>
            <w:color w:val="0000EE"/>
          </w:rPr>
          <w:t>Explanation of Non-GAAP and Other Financial Measures.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980" w:type="dxa"/>
            <w:vAlign w:val="bottom"/>
            <w:gridSpan w:val="2"/>
          </w:tcPr>
          <w:p>
            <w:pPr>
              <w:ind w:left="1760"/>
              <w:spacing w:after="0"/>
              <w:rPr>
                <w:sz w:val="20"/>
                <w:szCs w:val="20"/>
                <w:color w:val="auto"/>
              </w:rPr>
            </w:pPr>
            <w:r>
              <w:rPr>
                <w:rFonts w:ascii="Arial" w:cs="Arial" w:eastAsia="Arial" w:hAnsi="Arial"/>
                <w:sz w:val="18"/>
                <w:szCs w:val="18"/>
                <w:b w:val="1"/>
                <w:bCs w:val="1"/>
                <w:color w:val="auto"/>
              </w:rPr>
              <w:t>COMCAST CORPORATION</w:t>
            </w:r>
          </w:p>
        </w:tc>
        <w:tc>
          <w:tcPr>
            <w:tcW w:w="40" w:type="dxa"/>
            <w:vAlign w:val="bottom"/>
          </w:tcPr>
          <w:p>
            <w:pPr>
              <w:spacing w:after="0"/>
              <w:rPr>
                <w:sz w:val="20"/>
                <w:szCs w:val="20"/>
                <w:color w:val="auto"/>
              </w:rPr>
            </w:pP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April 25, 2019</w:t>
            </w:r>
          </w:p>
        </w:tc>
        <w:tc>
          <w:tcPr>
            <w:tcW w:w="7980" w:type="dxa"/>
            <w:vAlign w:val="bottom"/>
            <w:gridSpan w:val="2"/>
          </w:tcPr>
          <w:p>
            <w:pPr>
              <w:ind w:left="1760"/>
              <w:spacing w:after="0"/>
              <w:rPr>
                <w:sz w:val="20"/>
                <w:szCs w:val="20"/>
                <w:color w:val="auto"/>
              </w:rPr>
            </w:pPr>
            <w:r>
              <w:rPr>
                <w:rFonts w:ascii="Arial" w:cs="Arial" w:eastAsia="Arial" w:hAnsi="Arial"/>
                <w:sz w:val="18"/>
                <w:szCs w:val="18"/>
                <w:color w:val="auto"/>
              </w:rPr>
              <w:t>By:   /s/ Daniel C. Murdock</w:t>
            </w:r>
          </w:p>
        </w:tc>
        <w:tc>
          <w:tcPr>
            <w:tcW w:w="40" w:type="dxa"/>
            <w:vAlign w:val="bottom"/>
          </w:tcPr>
          <w:p>
            <w:pPr>
              <w:spacing w:after="0"/>
              <w:rPr>
                <w:sz w:val="24"/>
                <w:szCs w:val="24"/>
                <w:color w:val="auto"/>
              </w:rPr>
            </w:pPr>
          </w:p>
        </w:tc>
      </w:tr>
      <w:tr>
        <w:trPr>
          <w:trHeight w:val="195"/>
        </w:trPr>
        <w:tc>
          <w:tcPr>
            <w:tcW w:w="3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C. Murdock</w:t>
            </w:r>
          </w:p>
        </w:tc>
        <w:tc>
          <w:tcPr>
            <w:tcW w:w="40" w:type="dxa"/>
            <w:vAlign w:val="bottom"/>
          </w:tcPr>
          <w:p>
            <w:pPr>
              <w:spacing w:after="0"/>
              <w:rPr>
                <w:sz w:val="16"/>
                <w:szCs w:val="16"/>
                <w:color w:val="auto"/>
              </w:rPr>
            </w:pPr>
          </w:p>
        </w:tc>
      </w:tr>
      <w:tr>
        <w:trPr>
          <w:trHeight w:val="216"/>
        </w:trPr>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Senior Vice President, Chief Accounting Officer and Controller</w:t>
            </w:r>
          </w:p>
        </w:tc>
        <w:tc>
          <w:tcPr>
            <w:tcW w:w="4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44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5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165735</wp:posOffset>
            </wp:positionV>
            <wp:extent cx="1526540" cy="600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26540" cy="60007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8700"/>
        <w:spacing w:after="0"/>
        <w:rPr>
          <w:sz w:val="20"/>
          <w:szCs w:val="20"/>
          <w:color w:val="auto"/>
        </w:rPr>
      </w:pPr>
      <w:r>
        <w:rPr>
          <w:rFonts w:ascii="Arial" w:cs="Arial" w:eastAsia="Arial" w:hAnsi="Arial"/>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3060"/>
        <w:spacing w:after="0"/>
        <w:rPr>
          <w:sz w:val="20"/>
          <w:szCs w:val="20"/>
          <w:color w:val="auto"/>
        </w:rPr>
      </w:pPr>
      <w:r>
        <w:rPr>
          <w:rFonts w:ascii="Arial" w:cs="Arial" w:eastAsia="Arial" w:hAnsi="Arial"/>
          <w:sz w:val="22"/>
          <w:szCs w:val="22"/>
          <w:b w:val="1"/>
          <w:bCs w:val="1"/>
          <w:u w:val="single" w:color="auto"/>
          <w:color w:val="auto"/>
        </w:rPr>
        <w:t>COMCAST REPORTS 1st QUARTER 2019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1st Quarter 2019 Highlights:</w:t>
      </w:r>
    </w:p>
    <w:p>
      <w:pPr>
        <w:spacing w:after="0" w:line="220" w:lineRule="exact"/>
        <w:rPr>
          <w:sz w:val="20"/>
          <w:szCs w:val="20"/>
          <w:color w:val="auto"/>
        </w:rPr>
      </w:pPr>
    </w:p>
    <w:p>
      <w:pPr>
        <w:ind w:left="660" w:hanging="328"/>
        <w:spacing w:after="0" w:line="262" w:lineRule="auto"/>
        <w:tabs>
          <w:tab w:leader="none" w:pos="691"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Revenue Increased 17.9%; Net Income Attributable to Comcast Increased 14.0%; Adjusted EBITDA Increased 18.1%, Each Reflecting the Inclusion of Sky Results in the First Quarter of 2019</w:t>
      </w:r>
    </w:p>
    <w:p>
      <w:pPr>
        <w:spacing w:after="0" w:line="169" w:lineRule="exact"/>
        <w:rPr>
          <w:rFonts w:ascii="Arial" w:cs="Arial" w:eastAsia="Arial" w:hAnsi="Arial"/>
          <w:sz w:val="18"/>
          <w:szCs w:val="18"/>
          <w:color w:val="auto"/>
        </w:rPr>
      </w:pPr>
    </w:p>
    <w:p>
      <w:pPr>
        <w:ind w:left="600" w:hanging="268"/>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 was $7.2 Billion; Free Cash Flow was $4.6 Billion</w:t>
      </w:r>
    </w:p>
    <w:p>
      <w:pPr>
        <w:spacing w:after="0" w:line="211" w:lineRule="exact"/>
        <w:rPr>
          <w:rFonts w:ascii="Arial" w:cs="Arial" w:eastAsia="Arial" w:hAnsi="Arial"/>
          <w:sz w:val="18"/>
          <w:szCs w:val="18"/>
          <w:color w:val="auto"/>
        </w:rPr>
      </w:pPr>
    </w:p>
    <w:p>
      <w:pPr>
        <w:ind w:left="600" w:hanging="268"/>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Earnings per Share Increased 16.7% to $0.77; On an Adjusted Basis, Earnings per Share Increased 16.9% to $0.76</w:t>
      </w:r>
    </w:p>
    <w:p>
      <w:pPr>
        <w:spacing w:after="0" w:line="211" w:lineRule="exact"/>
        <w:rPr>
          <w:rFonts w:ascii="Arial" w:cs="Arial" w:eastAsia="Arial" w:hAnsi="Arial"/>
          <w:sz w:val="18"/>
          <w:szCs w:val="18"/>
          <w:color w:val="auto"/>
        </w:rPr>
      </w:pPr>
    </w:p>
    <w:p>
      <w:pPr>
        <w:ind w:left="600" w:hanging="268"/>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Dividends Paid Totaled $869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1st Quarter 2019 Highlights:</w:t>
      </w:r>
    </w:p>
    <w:p>
      <w:pPr>
        <w:spacing w:after="0" w:line="220" w:lineRule="exact"/>
        <w:rPr>
          <w:sz w:val="20"/>
          <w:szCs w:val="20"/>
          <w:color w:val="auto"/>
        </w:rPr>
      </w:pPr>
    </w:p>
    <w:p>
      <w:pPr>
        <w:ind w:left="660" w:hanging="328"/>
        <w:spacing w:after="0" w:line="262" w:lineRule="auto"/>
        <w:tabs>
          <w:tab w:leader="none" w:pos="637" w:val="left"/>
        </w:tabs>
        <w:numPr>
          <w:ilvl w:val="0"/>
          <w:numId w:val="3"/>
        </w:numPr>
        <w:rPr>
          <w:rFonts w:ascii="Arial" w:cs="Arial" w:eastAsia="Arial" w:hAnsi="Arial"/>
          <w:sz w:val="18"/>
          <w:szCs w:val="18"/>
          <w:color w:val="auto"/>
        </w:rPr>
      </w:pPr>
      <w:r>
        <w:rPr>
          <w:rFonts w:ascii="Arial" w:cs="Arial" w:eastAsia="Arial" w:hAnsi="Arial"/>
          <w:sz w:val="18"/>
          <w:szCs w:val="18"/>
          <w:color w:val="auto"/>
        </w:rPr>
        <w:t>Cable Communications Revenue Increased 4.2%; Adjusted EBITDA Increased 9.8% and Adjusted EBITDA per Customer Relationship Increased 6.0%</w:t>
      </w:r>
    </w:p>
    <w:p>
      <w:pPr>
        <w:spacing w:after="0" w:line="169" w:lineRule="exact"/>
        <w:rPr>
          <w:rFonts w:ascii="Arial" w:cs="Arial" w:eastAsia="Arial" w:hAnsi="Arial"/>
          <w:sz w:val="18"/>
          <w:szCs w:val="18"/>
          <w:color w:val="auto"/>
        </w:rPr>
      </w:pPr>
    </w:p>
    <w:p>
      <w:pPr>
        <w:ind w:left="660" w:hanging="328"/>
        <w:spacing w:after="0" w:line="262" w:lineRule="auto"/>
        <w:tabs>
          <w:tab w:leader="none" w:pos="745"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Customer Relationships Increased 3.6% Year-Over-Year to 30.7 Million, Including Net Additions of 300,000 in the Quarter, a 19,000 Improvement from the First Quarter of 2018</w:t>
      </w:r>
    </w:p>
    <w:p>
      <w:pPr>
        <w:spacing w:after="0" w:line="169" w:lineRule="exact"/>
        <w:rPr>
          <w:rFonts w:ascii="Arial" w:cs="Arial" w:eastAsia="Arial" w:hAnsi="Arial"/>
          <w:sz w:val="18"/>
          <w:szCs w:val="18"/>
          <w:color w:val="auto"/>
        </w:rPr>
      </w:pPr>
    </w:p>
    <w:p>
      <w:pPr>
        <w:ind w:left="660" w:right="20" w:hanging="328"/>
        <w:spacing w:after="0" w:line="262" w:lineRule="auto"/>
        <w:tabs>
          <w:tab w:leader="none" w:pos="705"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High-Speed Internet Residential Revenue Increased 10.1%; Business Services Revenue Increased 9.5%; Total High-Speed Internet Customers Increased by 375,000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1st Quarter 2019 Highlights:</w:t>
      </w:r>
    </w:p>
    <w:p>
      <w:pPr>
        <w:spacing w:after="0" w:line="220" w:lineRule="exact"/>
        <w:rPr>
          <w:sz w:val="20"/>
          <w:szCs w:val="20"/>
          <w:color w:val="auto"/>
        </w:rPr>
      </w:pPr>
    </w:p>
    <w:p>
      <w:pPr>
        <w:ind w:left="600" w:hanging="268"/>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NBCUniversal Revenue Decreased 12.5%; Adjusted EBITDA Increased 2.9%</w:t>
      </w:r>
    </w:p>
    <w:p>
      <w:pPr>
        <w:spacing w:after="0" w:line="211" w:lineRule="exact"/>
        <w:rPr>
          <w:rFonts w:ascii="Arial" w:cs="Arial" w:eastAsia="Arial" w:hAnsi="Arial"/>
          <w:sz w:val="18"/>
          <w:szCs w:val="18"/>
          <w:color w:val="auto"/>
        </w:rPr>
      </w:pPr>
    </w:p>
    <w:p>
      <w:pPr>
        <w:jc w:val="both"/>
        <w:ind w:left="660" w:hanging="328"/>
        <w:spacing w:after="0" w:line="248" w:lineRule="auto"/>
        <w:tabs>
          <w:tab w:leader="none" w:pos="759" w:val="left"/>
        </w:tabs>
        <w:numPr>
          <w:ilvl w:val="0"/>
          <w:numId w:val="4"/>
        </w:numPr>
        <w:rPr>
          <w:rFonts w:ascii="Arial" w:cs="Arial" w:eastAsia="Arial" w:hAnsi="Arial"/>
          <w:sz w:val="18"/>
          <w:szCs w:val="18"/>
          <w:color w:val="auto"/>
        </w:rPr>
      </w:pPr>
      <w:r>
        <w:rPr>
          <w:rFonts w:ascii="Arial" w:cs="Arial" w:eastAsia="Arial" w:hAnsi="Arial"/>
          <w:sz w:val="18"/>
          <w:szCs w:val="18"/>
          <w:color w:val="auto"/>
        </w:rPr>
        <w:t>Cable Networks and Broadcast Television Revenue Collectively Decreased 19.8%; Excluding $1.6 Billion of Incremental Revenue Generated by Last Year’s Successful Broadcasts of the 2018 PyeongChang Olympics and the NFL’s Super Bowl LII, Revenue Increased 5.0%</w:t>
      </w:r>
    </w:p>
    <w:p>
      <w:pPr>
        <w:spacing w:after="0" w:line="164" w:lineRule="exact"/>
        <w:rPr>
          <w:rFonts w:ascii="Arial" w:cs="Arial" w:eastAsia="Arial" w:hAnsi="Arial"/>
          <w:sz w:val="18"/>
          <w:szCs w:val="18"/>
          <w:color w:val="auto"/>
        </w:rPr>
      </w:pPr>
    </w:p>
    <w:p>
      <w:pPr>
        <w:ind w:left="660" w:hanging="328"/>
        <w:spacing w:after="0" w:line="282" w:lineRule="auto"/>
        <w:tabs>
          <w:tab w:leader="none" w:pos="678"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Filmed Entertainment Revenue Increased 7.4%, Including the Successful Theatrical Performances of </w:t>
      </w:r>
      <w:r>
        <w:rPr>
          <w:rFonts w:ascii="Arial" w:cs="Arial" w:eastAsia="Arial" w:hAnsi="Arial"/>
          <w:sz w:val="18"/>
          <w:szCs w:val="18"/>
          <w:i w:val="1"/>
          <w:iCs w:val="1"/>
          <w:color w:val="auto"/>
        </w:rPr>
        <w:t>How to Train Your Dragon: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Hidden World </w:t>
      </w:r>
      <w:r>
        <w:rPr>
          <w:rFonts w:ascii="Arial" w:cs="Arial" w:eastAsia="Arial" w:hAnsi="Arial"/>
          <w:sz w:val="18"/>
          <w:szCs w:val="18"/>
          <w:color w:val="auto"/>
        </w:rPr>
        <w:t>and</w:t>
      </w:r>
      <w:r>
        <w:rPr>
          <w:rFonts w:ascii="Arial" w:cs="Arial" w:eastAsia="Arial" w:hAnsi="Arial"/>
          <w:sz w:val="18"/>
          <w:szCs w:val="18"/>
          <w:i w:val="1"/>
          <w:iCs w:val="1"/>
          <w:color w:val="auto"/>
        </w:rPr>
        <w:t xml:space="preserve"> Us </w:t>
      </w:r>
      <w:r>
        <w:rPr>
          <w:rFonts w:ascii="Arial" w:cs="Arial" w:eastAsia="Arial" w:hAnsi="Arial"/>
          <w:sz w:val="18"/>
          <w:szCs w:val="18"/>
          <w:color w:val="auto"/>
        </w:rPr>
        <w:t>in the Quarter; Adjusted EBITDA Increased 78.7%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 1st Quarter 2019 Highlights:</w:t>
      </w:r>
    </w:p>
    <w:p>
      <w:pPr>
        <w:spacing w:after="0" w:line="220" w:lineRule="exact"/>
        <w:rPr>
          <w:sz w:val="20"/>
          <w:szCs w:val="20"/>
          <w:color w:val="auto"/>
        </w:rPr>
      </w:pPr>
    </w:p>
    <w:p>
      <w:pPr>
        <w:jc w:val="both"/>
        <w:ind w:left="660" w:hanging="328"/>
        <w:spacing w:after="0" w:line="248" w:lineRule="auto"/>
        <w:tabs>
          <w:tab w:leader="none" w:pos="732" w:val="left"/>
        </w:tabs>
        <w:numPr>
          <w:ilvl w:val="0"/>
          <w:numId w:val="5"/>
        </w:numPr>
        <w:rPr>
          <w:rFonts w:ascii="Arial" w:cs="Arial" w:eastAsia="Arial" w:hAnsi="Arial"/>
          <w:sz w:val="18"/>
          <w:szCs w:val="18"/>
          <w:color w:val="auto"/>
        </w:rPr>
      </w:pPr>
      <w:r>
        <w:rPr>
          <w:rFonts w:ascii="Arial" w:cs="Arial" w:eastAsia="Arial" w:hAnsi="Arial"/>
          <w:sz w:val="18"/>
          <w:szCs w:val="18"/>
          <w:color w:val="auto"/>
        </w:rPr>
        <w:t>Sky Revenue Decreased 5.0% and Adjusted EBITDA Decreased 17.0% on a Pro Forma Basis; Excluding the Impact of Currency, Revenue Increased 1.9% and Adjusted EBITDA Decreased 11.3% on a Pro Forma Basis, Reflecting New Contracts for Soccer Rights in Italy and Germany</w:t>
      </w:r>
    </w:p>
    <w:p>
      <w:pPr>
        <w:spacing w:after="0" w:line="182" w:lineRule="exact"/>
        <w:rPr>
          <w:rFonts w:ascii="Arial" w:cs="Arial" w:eastAsia="Arial" w:hAnsi="Arial"/>
          <w:sz w:val="18"/>
          <w:szCs w:val="18"/>
          <w:color w:val="auto"/>
        </w:rPr>
      </w:pPr>
    </w:p>
    <w:p>
      <w:pPr>
        <w:ind w:left="660" w:hanging="328"/>
        <w:spacing w:after="0" w:line="262" w:lineRule="auto"/>
        <w:tabs>
          <w:tab w:leader="none" w:pos="74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Customer Relationships Increased 3.5% Year-Over-Year to 23.7 Million, Including Net Additions of 112,000 in the Quarter, a 74,000 Improvement from the First Quarter of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PHILADELPHIA - April 25, 2019… Comcast Corporation (NASDAQ: CMCSA) today reported results for the quarter ended March 31, 2019.</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Brian L. Roberts, Chairman and Chief Executive Officer of Comcast Corporation, said, “Comcast is off to a terrific start in 2019, financially, operationally and strategically. In the first quarter, we delivered strong EBITDA and earnings per share growth, as well as robust free cash flow. Comcast Cable had the best quarterly EBITDA growth in over a decade, while NBCUniversal again posted favorable results. We also continued to strengthen our leadership position in valuable customer relationships and premium content. Now with the inclusion of Sky, we grew customer relationships by 3.6% year-over-year, including 400,000 net additions in the first quarter, reaching over 54 million relationships in total. Across all parts of the company, our teams are executing at a high level and collaborating to drive growth and innovation. I’m excited about this quarter’s results and the opportunities ahead.”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00" w:type="dxa"/>
            <w:vAlign w:val="bottom"/>
            <w:tcBorders>
              <w:top w:val="single" w:sz="8" w:color="0050B9"/>
            </w:tcBorders>
          </w:tcPr>
          <w:p>
            <w:pPr>
              <w:spacing w:after="0"/>
              <w:rPr>
                <w:sz w:val="18"/>
                <w:szCs w:val="18"/>
                <w:color w:val="auto"/>
              </w:rPr>
            </w:pPr>
          </w:p>
        </w:tc>
        <w:tc>
          <w:tcPr>
            <w:tcW w:w="3680" w:type="dxa"/>
            <w:vAlign w:val="bottom"/>
            <w:tcBorders>
              <w:top w:val="single" w:sz="8" w:color="0050B9"/>
            </w:tcBorders>
            <w:vMerge w:val="restart"/>
          </w:tcPr>
          <w:p>
            <w:pPr>
              <w:jc w:val="right"/>
              <w:ind w:right="248"/>
              <w:spacing w:after="0"/>
              <w:rPr>
                <w:sz w:val="20"/>
                <w:szCs w:val="20"/>
                <w:color w:val="auto"/>
              </w:rPr>
            </w:pPr>
            <w:r>
              <w:rPr>
                <w:rFonts w:ascii="Arial" w:cs="Arial" w:eastAsia="Arial" w:hAnsi="Arial"/>
                <w:sz w:val="14"/>
                <w:szCs w:val="14"/>
                <w:color w:val="auto"/>
              </w:rPr>
              <w:t xml:space="preserve">2018 </w:t>
            </w:r>
            <w:r>
              <w:rPr>
                <w:rFonts w:ascii="Arial" w:cs="Arial" w:eastAsia="Arial" w:hAnsi="Arial"/>
                <w:sz w:val="21"/>
                <w:szCs w:val="21"/>
                <w:color w:val="auto"/>
                <w:vertAlign w:val="superscript"/>
              </w:rPr>
              <w:t>4</w:t>
            </w:r>
          </w:p>
        </w:tc>
        <w:tc>
          <w:tcPr>
            <w:tcW w:w="1480" w:type="dxa"/>
            <w:vAlign w:val="bottom"/>
            <w:tcBorders>
              <w:top w:val="single" w:sz="8" w:color="0050B9"/>
            </w:tcBorders>
          </w:tcPr>
          <w:p>
            <w:pPr>
              <w:jc w:val="right"/>
              <w:ind w:right="368"/>
              <w:spacing w:after="0"/>
              <w:rPr>
                <w:sz w:val="20"/>
                <w:szCs w:val="20"/>
                <w:color w:val="auto"/>
              </w:rPr>
            </w:pPr>
            <w:r>
              <w:rPr>
                <w:rFonts w:ascii="Arial" w:cs="Arial" w:eastAsia="Arial" w:hAnsi="Arial"/>
                <w:sz w:val="14"/>
                <w:szCs w:val="14"/>
                <w:color w:val="auto"/>
              </w:rPr>
              <w:t>1st Quarter</w:t>
            </w:r>
          </w:p>
        </w:tc>
        <w:tc>
          <w:tcPr>
            <w:tcW w:w="960" w:type="dxa"/>
            <w:vAlign w:val="bottom"/>
            <w:tcBorders>
              <w:top w:val="single" w:sz="8" w:color="0050B9"/>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1"/>
                <w:szCs w:val="11"/>
                <w:i w:val="1"/>
                <w:iCs w:val="1"/>
                <w:color w:val="auto"/>
              </w:rPr>
              <w:t>($ in millions)</w:t>
            </w:r>
          </w:p>
        </w:tc>
        <w:tc>
          <w:tcPr>
            <w:tcW w:w="368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189"/>
        </w:trPr>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Revenue</w:t>
            </w:r>
          </w:p>
        </w:tc>
        <w:tc>
          <w:tcPr>
            <w:tcW w:w="36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$22,791</w:t>
            </w:r>
          </w:p>
        </w:tc>
        <w:tc>
          <w:tcPr>
            <w:tcW w:w="14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$26,859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83"/>
        </w:trPr>
        <w:tc>
          <w:tcPr>
            <w:tcW w:w="53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Net Income Attributable to Comcast</w:t>
            </w:r>
          </w:p>
        </w:tc>
        <w:tc>
          <w:tcPr>
            <w:tcW w:w="36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$3,118</w:t>
            </w:r>
          </w:p>
        </w:tc>
        <w:tc>
          <w:tcPr>
            <w:tcW w:w="14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$3,553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83"/>
        </w:trPr>
        <w:tc>
          <w:tcPr>
            <w:tcW w:w="530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4"/>
                <w:szCs w:val="14"/>
                <w:color w:val="auto"/>
              </w:rPr>
              <w:t>Adjusted EBITDA</w:t>
            </w:r>
            <w:r>
              <w:rPr>
                <w:rFonts w:ascii="Arial" w:cs="Arial" w:eastAsia="Arial" w:hAnsi="Arial"/>
                <w:sz w:val="21"/>
                <w:szCs w:val="21"/>
                <w:color w:val="auto"/>
                <w:vertAlign w:val="superscript"/>
              </w:rPr>
              <w:t>1</w:t>
            </w:r>
          </w:p>
        </w:tc>
        <w:tc>
          <w:tcPr>
            <w:tcW w:w="36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$7,244</w:t>
            </w:r>
          </w:p>
        </w:tc>
        <w:tc>
          <w:tcPr>
            <w:tcW w:w="14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$8,553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79"/>
        </w:trPr>
        <w:tc>
          <w:tcPr>
            <w:tcW w:w="5300" w:type="dxa"/>
            <w:vAlign w:val="bottom"/>
          </w:tcPr>
          <w:p>
            <w:pPr>
              <w:ind w:left="80"/>
              <w:spacing w:after="0" w:line="180" w:lineRule="exact"/>
              <w:rPr>
                <w:sz w:val="20"/>
                <w:szCs w:val="20"/>
                <w:color w:val="auto"/>
              </w:rPr>
            </w:pPr>
            <w:r>
              <w:rPr>
                <w:rFonts w:ascii="Arial" w:cs="Arial" w:eastAsia="Arial" w:hAnsi="Arial"/>
                <w:sz w:val="14"/>
                <w:szCs w:val="14"/>
                <w:color w:val="auto"/>
              </w:rPr>
              <w:t>Earnings per Share</w:t>
            </w:r>
            <w:r>
              <w:rPr>
                <w:rFonts w:ascii="Arial" w:cs="Arial" w:eastAsia="Arial" w:hAnsi="Arial"/>
                <w:sz w:val="20"/>
                <w:szCs w:val="20"/>
                <w:color w:val="auto"/>
                <w:vertAlign w:val="superscript"/>
              </w:rPr>
              <w:t>2</w:t>
            </w:r>
          </w:p>
        </w:tc>
        <w:tc>
          <w:tcPr>
            <w:tcW w:w="3680" w:type="dxa"/>
            <w:vAlign w:val="bottom"/>
          </w:tcPr>
          <w:p>
            <w:pPr>
              <w:jc w:val="right"/>
              <w:ind w:right="248"/>
              <w:spacing w:after="0"/>
              <w:rPr>
                <w:sz w:val="20"/>
                <w:szCs w:val="20"/>
                <w:color w:val="auto"/>
              </w:rPr>
            </w:pPr>
            <w:r>
              <w:rPr>
                <w:rFonts w:ascii="Arial" w:cs="Arial" w:eastAsia="Arial" w:hAnsi="Arial"/>
                <w:sz w:val="14"/>
                <w:szCs w:val="14"/>
                <w:color w:val="auto"/>
              </w:rPr>
              <w:t>$0.66</w:t>
            </w:r>
          </w:p>
        </w:tc>
        <w:tc>
          <w:tcPr>
            <w:tcW w:w="1480" w:type="dxa"/>
            <w:vAlign w:val="bottom"/>
          </w:tcPr>
          <w:p>
            <w:pPr>
              <w:jc w:val="right"/>
              <w:ind w:right="368"/>
              <w:spacing w:after="0"/>
              <w:rPr>
                <w:sz w:val="20"/>
                <w:szCs w:val="20"/>
                <w:color w:val="auto"/>
              </w:rPr>
            </w:pPr>
            <w:r>
              <w:rPr>
                <w:rFonts w:ascii="Arial" w:cs="Arial" w:eastAsia="Arial" w:hAnsi="Arial"/>
                <w:sz w:val="14"/>
                <w:szCs w:val="14"/>
                <w:color w:val="auto"/>
              </w:rPr>
              <w:t>$0.77</w:t>
            </w:r>
          </w:p>
        </w:tc>
        <w:tc>
          <w:tcPr>
            <w:tcW w:w="96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65"/>
        </w:trPr>
        <w:tc>
          <w:tcPr>
            <w:tcW w:w="5300" w:type="dxa"/>
            <w:vAlign w:val="bottom"/>
          </w:tcPr>
          <w:p>
            <w:pPr>
              <w:ind w:left="80"/>
              <w:spacing w:after="0"/>
              <w:rPr>
                <w:sz w:val="20"/>
                <w:szCs w:val="20"/>
                <w:color w:val="auto"/>
              </w:rPr>
            </w:pPr>
            <w:r>
              <w:rPr>
                <w:rFonts w:ascii="Arial" w:cs="Arial" w:eastAsia="Arial" w:hAnsi="Arial"/>
                <w:sz w:val="14"/>
                <w:szCs w:val="14"/>
                <w:i w:val="1"/>
                <w:iCs w:val="1"/>
                <w:color w:val="auto"/>
              </w:rPr>
              <w:t>Excluding Adjustments</w:t>
            </w:r>
            <w:r>
              <w:rPr>
                <w:rFonts w:ascii="Arial" w:cs="Arial" w:eastAsia="Arial" w:hAnsi="Arial"/>
                <w:sz w:val="21"/>
                <w:szCs w:val="21"/>
                <w:color w:val="auto"/>
                <w:vertAlign w:val="superscript"/>
              </w:rPr>
              <w:t>3</w:t>
            </w:r>
            <w:r>
              <w:rPr>
                <w:rFonts w:ascii="Arial" w:cs="Arial" w:eastAsia="Arial" w:hAnsi="Arial"/>
                <w:sz w:val="14"/>
                <w:szCs w:val="14"/>
                <w:i w:val="1"/>
                <w:iCs w:val="1"/>
                <w:color w:val="auto"/>
              </w:rPr>
              <w:t xml:space="preserve"> (see Table 5)</w:t>
            </w:r>
          </w:p>
        </w:tc>
        <w:tc>
          <w:tcPr>
            <w:tcW w:w="3680" w:type="dxa"/>
            <w:vAlign w:val="bottom"/>
          </w:tcPr>
          <w:p>
            <w:pPr>
              <w:jc w:val="right"/>
              <w:ind w:right="248"/>
              <w:spacing w:after="0"/>
              <w:rPr>
                <w:sz w:val="20"/>
                <w:szCs w:val="20"/>
                <w:color w:val="auto"/>
              </w:rPr>
            </w:pPr>
            <w:r>
              <w:rPr>
                <w:rFonts w:ascii="Arial" w:cs="Arial" w:eastAsia="Arial" w:hAnsi="Arial"/>
                <w:sz w:val="14"/>
                <w:szCs w:val="14"/>
                <w:i w:val="1"/>
                <w:iCs w:val="1"/>
                <w:color w:val="auto"/>
              </w:rPr>
              <w:t>$0.65</w:t>
            </w:r>
          </w:p>
        </w:tc>
        <w:tc>
          <w:tcPr>
            <w:tcW w:w="1480" w:type="dxa"/>
            <w:vAlign w:val="bottom"/>
          </w:tcPr>
          <w:p>
            <w:pPr>
              <w:jc w:val="right"/>
              <w:ind w:right="368"/>
              <w:spacing w:after="0"/>
              <w:rPr>
                <w:sz w:val="20"/>
                <w:szCs w:val="20"/>
                <w:color w:val="auto"/>
              </w:rPr>
            </w:pPr>
            <w:r>
              <w:rPr>
                <w:rFonts w:ascii="Arial" w:cs="Arial" w:eastAsia="Arial" w:hAnsi="Arial"/>
                <w:sz w:val="14"/>
                <w:szCs w:val="14"/>
                <w:i w:val="1"/>
                <w:iCs w:val="1"/>
                <w:color w:val="auto"/>
              </w:rPr>
              <w:t>$0.76</w:t>
            </w:r>
          </w:p>
        </w:tc>
        <w:tc>
          <w:tcPr>
            <w:tcW w:w="960" w:type="dxa"/>
            <w:vAlign w:val="bottom"/>
          </w:tcPr>
          <w:p>
            <w:pPr>
              <w:jc w:val="right"/>
              <w:spacing w:after="0"/>
              <w:rPr>
                <w:sz w:val="20"/>
                <w:szCs w:val="20"/>
                <w:color w:val="auto"/>
              </w:rPr>
            </w:pPr>
            <w:r>
              <w:rPr>
                <w:rFonts w:ascii="Arial" w:cs="Arial" w:eastAsia="Arial" w:hAnsi="Arial"/>
                <w:sz w:val="14"/>
                <w:szCs w:val="14"/>
                <w:i w:val="1"/>
                <w:iCs w:val="1"/>
                <w:color w:val="auto"/>
              </w:rPr>
              <w:t>16.9%</w:t>
            </w:r>
          </w:p>
        </w:tc>
        <w:tc>
          <w:tcPr>
            <w:tcW w:w="0" w:type="dxa"/>
            <w:vAlign w:val="bottom"/>
          </w:tcPr>
          <w:p>
            <w:pPr>
              <w:spacing w:after="0"/>
              <w:rPr>
                <w:sz w:val="1"/>
                <w:szCs w:val="1"/>
                <w:color w:val="auto"/>
              </w:rPr>
            </w:pPr>
          </w:p>
        </w:tc>
      </w:tr>
    </w:tbl>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comparability of our consolidated results was impacted by the fourth quarter 2018 Sky transaction. Sky’s results of operations are included in our consolidated financial statements following the acquisition date.</w:t>
      </w:r>
    </w:p>
    <w:p>
      <w:pPr>
        <w:spacing w:after="0" w:line="1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first quarter of 2019 increased 17.9% to $26.9 billion.</w:t>
      </w:r>
      <w:r>
        <w:rPr>
          <w:rFonts w:ascii="Arial" w:cs="Arial" w:eastAsia="Arial" w:hAnsi="Arial"/>
          <w:sz w:val="18"/>
          <w:szCs w:val="18"/>
          <w:b w:val="1"/>
          <w:bCs w:val="1"/>
          <w:i w:val="1"/>
          <w:iCs w:val="1"/>
          <w:color w:val="auto"/>
        </w:rPr>
        <w:t xml:space="preserve"> Consolidated Net Income Attributable to Comcast </w:t>
      </w:r>
      <w:r>
        <w:rPr>
          <w:rFonts w:ascii="Arial" w:cs="Arial" w:eastAsia="Arial" w:hAnsi="Arial"/>
          <w:sz w:val="18"/>
          <w:szCs w:val="18"/>
          <w:color w:val="auto"/>
        </w:rPr>
        <w:t xml:space="preserve">increased 14.0% to $3.6 billion. </w:t>
      </w:r>
      <w:r>
        <w:rPr>
          <w:rFonts w:ascii="Arial" w:cs="Arial" w:eastAsia="Arial" w:hAnsi="Arial"/>
          <w:sz w:val="18"/>
          <w:szCs w:val="18"/>
          <w:b w:val="1"/>
          <w:bCs w:val="1"/>
          <w:i w:val="1"/>
          <w:iCs w:val="1"/>
          <w:color w:val="auto"/>
        </w:rPr>
        <w:t>Consolidated Adjusted EBITDA</w:t>
      </w:r>
      <w:r>
        <w:rPr>
          <w:rFonts w:ascii="Arial" w:cs="Arial" w:eastAsia="Arial" w:hAnsi="Arial"/>
          <w:sz w:val="18"/>
          <w:szCs w:val="18"/>
          <w:color w:val="auto"/>
        </w:rPr>
        <w:t xml:space="preserve"> increased 18.1% to $8.6 billion.</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first quarter of 2019 was $0.77, an increase of 16.7% compared to the first quarter of 2018. On an adjusted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EPS increased 16.9% to $0.76 (see Table 5).</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6.0% to $2.1 billion in the first quarter of 2019. Cable Communications’ capital expenditures decreased 19.4%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$1.4 billion in the first quarter of 2019, reflecting a lower level of spending on customer premise equipment and scalable infrastructure. Cable capital expenditures represented 9.5% of Cable revenue in the first quarter of 2019 compared to 12.3% in last year’s first quarter. NBCUniversal’s capital expenditures of $453 million increased 68.2%, reflecting continued investment at Theme Parks. Sky had capital expenditures of $259 million, primarily reflecting investment in customer premise equipment, including continued deployment of Sky 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was $7.2 billion in the first quarter of 2019.</w:t>
      </w:r>
      <w:r>
        <w:rPr>
          <w:rFonts w:ascii="Arial" w:cs="Arial" w:eastAsia="Arial" w:hAnsi="Arial"/>
          <w:sz w:val="18"/>
          <w:szCs w:val="18"/>
          <w:b w:val="1"/>
          <w:bCs w:val="1"/>
          <w:i w:val="1"/>
          <w:iCs w:val="1"/>
          <w:color w:val="auto"/>
        </w:rPr>
        <w:t xml:space="preserve"> Free Cash Flow</w:t>
      </w:r>
      <w:r>
        <w:rPr>
          <w:rFonts w:ascii="Arial" w:cs="Arial" w:eastAsia="Arial" w:hAnsi="Arial"/>
          <w:sz w:val="18"/>
          <w:szCs w:val="18"/>
          <w:b w:val="1"/>
          <w:bCs w:val="1"/>
          <w:i w:val="1"/>
          <w:iCs w:val="1"/>
          <w:color w:val="auto"/>
          <w:vertAlign w:val="superscript"/>
        </w:rPr>
        <w:t>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$4.6 billion (see Table 4).</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During the first quarter of 2019, Comcast paid dividends totaling $869 million.</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Pro Forma Financial Results</w:t>
      </w:r>
    </w:p>
    <w:p>
      <w:pPr>
        <w:spacing w:after="0" w:line="2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Pro forma results are presented as if the Sky transaction occurred on January 1, 2017. The pro forma amounts are primarily based on historical results of operations, adjusted for the allocation of purchase price and excluding costs directly related to the transaction. These amounts are not necessarily indicative of what our results would have been had we operated Sky since January 1, 2017 (see Table 7 for reconciliations of pro forma financial data).</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Consolidated Pro Forma Revenue </w:t>
      </w:r>
      <w:r>
        <w:rPr>
          <w:rFonts w:ascii="Arial" w:cs="Arial" w:eastAsia="Arial" w:hAnsi="Arial"/>
          <w:sz w:val="18"/>
          <w:szCs w:val="18"/>
          <w:color w:val="auto"/>
        </w:rPr>
        <w:t>for the first quarter of 2019 decreased 3.3% to $26.9 billion.</w:t>
      </w:r>
      <w:r>
        <w:rPr>
          <w:rFonts w:ascii="Arial" w:cs="Arial" w:eastAsia="Arial" w:hAnsi="Arial"/>
          <w:sz w:val="18"/>
          <w:szCs w:val="18"/>
          <w:b w:val="1"/>
          <w:bCs w:val="1"/>
          <w:i w:val="1"/>
          <w:iCs w:val="1"/>
          <w:color w:val="auto"/>
        </w:rPr>
        <w:t xml:space="preserve"> Consolidated Pro Forma Adjusted EBITDA </w:t>
      </w:r>
      <w:r>
        <w:rPr>
          <w:rFonts w:ascii="Arial" w:cs="Arial" w:eastAsia="Arial" w:hAnsi="Arial"/>
          <w:sz w:val="18"/>
          <w:szCs w:val="18"/>
          <w:color w:val="auto"/>
        </w:rPr>
        <w:t>increased 6.4% to $8.6 billion.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Cable Communications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720" w:type="dxa"/>
            <w:vAlign w:val="bottom"/>
            <w:tcBorders>
              <w:top w:val="single" w:sz="8" w:color="C9C9C9"/>
            </w:tcBorders>
          </w:tcPr>
          <w:p>
            <w:pPr>
              <w:spacing w:after="0"/>
              <w:rPr>
                <w:sz w:val="18"/>
                <w:szCs w:val="18"/>
                <w:color w:val="auto"/>
              </w:rPr>
            </w:pPr>
          </w:p>
        </w:tc>
        <w:tc>
          <w:tcPr>
            <w:tcW w:w="3420" w:type="dxa"/>
            <w:vAlign w:val="bottom"/>
            <w:tcBorders>
              <w:top w:val="single" w:sz="8" w:color="C9C9C9"/>
            </w:tcBorders>
            <w:vMerge w:val="restart"/>
          </w:tcPr>
          <w:p>
            <w:pPr>
              <w:jc w:val="right"/>
              <w:ind w:right="108"/>
              <w:spacing w:after="0"/>
              <w:rPr>
                <w:sz w:val="20"/>
                <w:szCs w:val="20"/>
                <w:color w:val="auto"/>
              </w:rPr>
            </w:pPr>
            <w:r>
              <w:rPr>
                <w:rFonts w:ascii="Arial" w:cs="Arial" w:eastAsia="Arial" w:hAnsi="Arial"/>
                <w:sz w:val="14"/>
                <w:szCs w:val="14"/>
                <w:color w:val="auto"/>
              </w:rPr>
              <w:t xml:space="preserve">2018 </w:t>
            </w:r>
            <w:r>
              <w:rPr>
                <w:rFonts w:ascii="Arial" w:cs="Arial" w:eastAsia="Arial" w:hAnsi="Arial"/>
                <w:sz w:val="21"/>
                <w:szCs w:val="21"/>
                <w:color w:val="auto"/>
                <w:vertAlign w:val="superscript"/>
              </w:rPr>
              <w:t>6</w:t>
            </w:r>
          </w:p>
        </w:tc>
        <w:tc>
          <w:tcPr>
            <w:tcW w:w="1360" w:type="dxa"/>
            <w:vAlign w:val="bottom"/>
            <w:tcBorders>
              <w:top w:val="single" w:sz="8" w:color="C9C9C9"/>
            </w:tcBorders>
          </w:tcPr>
          <w:p>
            <w:pPr>
              <w:jc w:val="right"/>
              <w:ind w:right="408"/>
              <w:spacing w:after="0"/>
              <w:rPr>
                <w:sz w:val="20"/>
                <w:szCs w:val="20"/>
                <w:color w:val="auto"/>
              </w:rPr>
            </w:pPr>
            <w:r>
              <w:rPr>
                <w:rFonts w:ascii="Arial" w:cs="Arial" w:eastAsia="Arial" w:hAnsi="Arial"/>
                <w:sz w:val="14"/>
                <w:szCs w:val="14"/>
                <w:color w:val="auto"/>
              </w:rPr>
              <w:t>1st Quarter</w:t>
            </w:r>
          </w:p>
        </w:tc>
        <w:tc>
          <w:tcPr>
            <w:tcW w:w="920" w:type="dxa"/>
            <w:vAlign w:val="bottom"/>
            <w:tcBorders>
              <w:top w:val="single" w:sz="8" w:color="C9C9C9"/>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720" w:type="dxa"/>
            <w:vAlign w:val="bottom"/>
          </w:tcPr>
          <w:p>
            <w:pPr>
              <w:ind w:left="60"/>
              <w:spacing w:after="0"/>
              <w:rPr>
                <w:sz w:val="20"/>
                <w:szCs w:val="20"/>
                <w:color w:val="auto"/>
              </w:rPr>
            </w:pPr>
            <w:r>
              <w:rPr>
                <w:rFonts w:ascii="Arial" w:cs="Arial" w:eastAsia="Arial" w:hAnsi="Arial"/>
                <w:sz w:val="11"/>
                <w:szCs w:val="11"/>
                <w:i w:val="1"/>
                <w:iCs w:val="1"/>
                <w:color w:val="auto"/>
              </w:rPr>
              <w:t>($ in millions)</w:t>
            </w:r>
          </w:p>
        </w:tc>
        <w:tc>
          <w:tcPr>
            <w:tcW w:w="3420" w:type="dxa"/>
            <w:vAlign w:val="bottom"/>
            <w:vMerge w:val="continue"/>
          </w:tcPr>
          <w:p>
            <w:pPr>
              <w:spacing w:after="0"/>
              <w:rPr>
                <w:sz w:val="16"/>
                <w:szCs w:val="16"/>
                <w:color w:val="auto"/>
              </w:rPr>
            </w:pPr>
          </w:p>
        </w:tc>
        <w:tc>
          <w:tcPr>
            <w:tcW w:w="1360" w:type="dxa"/>
            <w:vAlign w:val="bottom"/>
          </w:tcPr>
          <w:p>
            <w:pPr>
              <w:jc w:val="right"/>
              <w:ind w:right="328"/>
              <w:spacing w:after="0"/>
              <w:rPr>
                <w:sz w:val="20"/>
                <w:szCs w:val="20"/>
                <w:color w:val="auto"/>
              </w:rPr>
            </w:pPr>
            <w:r>
              <w:rPr>
                <w:rFonts w:ascii="Arial" w:cs="Arial" w:eastAsia="Arial" w:hAnsi="Arial"/>
                <w:sz w:val="14"/>
                <w:szCs w:val="14"/>
                <w:color w:val="auto"/>
              </w:rPr>
              <w:t>2019</w:t>
            </w: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162"/>
        </w:trPr>
        <w:tc>
          <w:tcPr>
            <w:tcW w:w="57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Cable Communications Revenue</w:t>
            </w:r>
          </w:p>
        </w:tc>
        <w:tc>
          <w:tcPr>
            <w:tcW w:w="34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2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High-Speed Internet</w:t>
            </w:r>
          </w:p>
        </w:tc>
        <w:tc>
          <w:tcPr>
            <w:tcW w:w="34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$4,157</w:t>
            </w:r>
          </w:p>
        </w:tc>
        <w:tc>
          <w:tcPr>
            <w:tcW w:w="13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color w:val="auto"/>
              </w:rPr>
              <w:t>$4,577</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Video</w:t>
            </w:r>
          </w:p>
        </w:tc>
        <w:tc>
          <w:tcPr>
            <w:tcW w:w="34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5,659</w:t>
            </w:r>
          </w:p>
        </w:tc>
        <w:tc>
          <w:tcPr>
            <w:tcW w:w="13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color w:val="auto"/>
              </w:rPr>
              <w:t>5,628</w:t>
            </w:r>
          </w:p>
        </w:tc>
        <w:tc>
          <w:tcPr>
            <w:tcW w:w="9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56"/>
        </w:trPr>
        <w:tc>
          <w:tcPr>
            <w:tcW w:w="5720" w:type="dxa"/>
            <w:vAlign w:val="bottom"/>
          </w:tcPr>
          <w:p>
            <w:pPr>
              <w:ind w:left="60"/>
              <w:spacing w:after="0" w:line="155" w:lineRule="exact"/>
              <w:rPr>
                <w:sz w:val="20"/>
                <w:szCs w:val="20"/>
                <w:color w:val="auto"/>
              </w:rPr>
            </w:pPr>
            <w:r>
              <w:rPr>
                <w:rFonts w:ascii="Arial" w:cs="Arial" w:eastAsia="Arial" w:hAnsi="Arial"/>
                <w:sz w:val="14"/>
                <w:szCs w:val="14"/>
                <w:color w:val="auto"/>
              </w:rPr>
              <w:t>Voice</w:t>
            </w:r>
          </w:p>
        </w:tc>
        <w:tc>
          <w:tcPr>
            <w:tcW w:w="342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1,006</w:t>
            </w:r>
          </w:p>
        </w:tc>
        <w:tc>
          <w:tcPr>
            <w:tcW w:w="1360" w:type="dxa"/>
            <w:vAlign w:val="bottom"/>
          </w:tcPr>
          <w:p>
            <w:pPr>
              <w:jc w:val="right"/>
              <w:ind w:right="468"/>
              <w:spacing w:after="0" w:line="155" w:lineRule="exact"/>
              <w:rPr>
                <w:sz w:val="20"/>
                <w:szCs w:val="20"/>
                <w:color w:val="auto"/>
              </w:rPr>
            </w:pPr>
            <w:r>
              <w:rPr>
                <w:rFonts w:ascii="Arial" w:cs="Arial" w:eastAsia="Arial" w:hAnsi="Arial"/>
                <w:sz w:val="14"/>
                <w:szCs w:val="14"/>
                <w:color w:val="auto"/>
              </w:rPr>
              <w:t>990</w:t>
            </w: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56"/>
        </w:trPr>
        <w:tc>
          <w:tcPr>
            <w:tcW w:w="572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Wireless</w:t>
            </w:r>
          </w:p>
        </w:tc>
        <w:tc>
          <w:tcPr>
            <w:tcW w:w="342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185</w:t>
            </w:r>
          </w:p>
        </w:tc>
        <w:tc>
          <w:tcPr>
            <w:tcW w:w="1360" w:type="dxa"/>
            <w:vAlign w:val="bottom"/>
            <w:tcBorders>
              <w:top w:val="single" w:sz="8" w:color="auto"/>
              <w:bottom w:val="single" w:sz="8" w:color="auto"/>
            </w:tcBorders>
          </w:tcPr>
          <w:p>
            <w:pPr>
              <w:jc w:val="right"/>
              <w:ind w:right="468"/>
              <w:spacing w:after="0" w:line="155" w:lineRule="exact"/>
              <w:rPr>
                <w:sz w:val="20"/>
                <w:szCs w:val="20"/>
                <w:color w:val="auto"/>
              </w:rPr>
            </w:pPr>
            <w:r>
              <w:rPr>
                <w:rFonts w:ascii="Arial" w:cs="Arial" w:eastAsia="Arial" w:hAnsi="Arial"/>
                <w:sz w:val="14"/>
                <w:szCs w:val="14"/>
                <w:color w:val="auto"/>
              </w:rPr>
              <w:t>225</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Business Services</w:t>
            </w:r>
          </w:p>
        </w:tc>
        <w:tc>
          <w:tcPr>
            <w:tcW w:w="34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1,726</w:t>
            </w:r>
          </w:p>
        </w:tc>
        <w:tc>
          <w:tcPr>
            <w:tcW w:w="1360" w:type="dxa"/>
            <w:vAlign w:val="bottom"/>
            <w:tcBorders>
              <w:bottom w:val="single" w:sz="8" w:color="auto"/>
            </w:tcBorders>
          </w:tcPr>
          <w:p>
            <w:pPr>
              <w:jc w:val="right"/>
              <w:ind w:right="468"/>
              <w:spacing w:after="0" w:line="155" w:lineRule="exact"/>
              <w:rPr>
                <w:sz w:val="20"/>
                <w:szCs w:val="20"/>
                <w:color w:val="auto"/>
              </w:rPr>
            </w:pPr>
            <w:r>
              <w:rPr>
                <w:rFonts w:ascii="Arial" w:cs="Arial" w:eastAsia="Arial" w:hAnsi="Arial"/>
                <w:sz w:val="14"/>
                <w:szCs w:val="14"/>
                <w:color w:val="auto"/>
              </w:rPr>
              <w:t>1,891</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tcPr>
          <w:p>
            <w:pPr>
              <w:ind w:left="60"/>
              <w:spacing w:after="0" w:line="155" w:lineRule="exact"/>
              <w:rPr>
                <w:sz w:val="20"/>
                <w:szCs w:val="20"/>
                <w:color w:val="auto"/>
              </w:rPr>
            </w:pPr>
            <w:r>
              <w:rPr>
                <w:rFonts w:ascii="Arial" w:cs="Arial" w:eastAsia="Arial" w:hAnsi="Arial"/>
                <w:sz w:val="14"/>
                <w:szCs w:val="14"/>
                <w:color w:val="auto"/>
              </w:rPr>
              <w:t>Advertising</w:t>
            </w:r>
          </w:p>
        </w:tc>
        <w:tc>
          <w:tcPr>
            <w:tcW w:w="3420" w:type="dxa"/>
            <w:vAlign w:val="bottom"/>
          </w:tcPr>
          <w:p>
            <w:pPr>
              <w:jc w:val="right"/>
              <w:ind w:right="248"/>
              <w:spacing w:after="0" w:line="155" w:lineRule="exact"/>
              <w:rPr>
                <w:sz w:val="20"/>
                <w:szCs w:val="20"/>
                <w:color w:val="auto"/>
              </w:rPr>
            </w:pPr>
            <w:r>
              <w:rPr>
                <w:rFonts w:ascii="Arial" w:cs="Arial" w:eastAsia="Arial" w:hAnsi="Arial"/>
                <w:sz w:val="14"/>
                <w:szCs w:val="14"/>
                <w:color w:val="auto"/>
              </w:rPr>
              <w:t>582</w:t>
            </w:r>
          </w:p>
        </w:tc>
        <w:tc>
          <w:tcPr>
            <w:tcW w:w="1360" w:type="dxa"/>
            <w:vAlign w:val="bottom"/>
          </w:tcPr>
          <w:p>
            <w:pPr>
              <w:jc w:val="right"/>
              <w:ind w:right="468"/>
              <w:spacing w:after="0" w:line="155" w:lineRule="exact"/>
              <w:rPr>
                <w:sz w:val="20"/>
                <w:szCs w:val="20"/>
                <w:color w:val="auto"/>
              </w:rPr>
            </w:pPr>
            <w:r>
              <w:rPr>
                <w:rFonts w:ascii="Arial" w:cs="Arial" w:eastAsia="Arial" w:hAnsi="Arial"/>
                <w:sz w:val="14"/>
                <w:szCs w:val="14"/>
                <w:color w:val="auto"/>
              </w:rPr>
              <w:t>556</w:t>
            </w:r>
          </w:p>
        </w:tc>
        <w:tc>
          <w:tcPr>
            <w:tcW w:w="9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3"/>
        </w:trPr>
        <w:tc>
          <w:tcPr>
            <w:tcW w:w="572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Other</w:t>
            </w:r>
          </w:p>
        </w:tc>
        <w:tc>
          <w:tcPr>
            <w:tcW w:w="342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388</w:t>
            </w:r>
          </w:p>
        </w:tc>
        <w:tc>
          <w:tcPr>
            <w:tcW w:w="1360" w:type="dxa"/>
            <w:vAlign w:val="bottom"/>
            <w:tcBorders>
              <w:top w:val="single" w:sz="8" w:color="auto"/>
              <w:bottom w:val="single" w:sz="8" w:color="auto"/>
            </w:tcBorders>
          </w:tcPr>
          <w:p>
            <w:pPr>
              <w:jc w:val="right"/>
              <w:ind w:right="468"/>
              <w:spacing w:after="0" w:line="155" w:lineRule="exact"/>
              <w:rPr>
                <w:sz w:val="20"/>
                <w:szCs w:val="20"/>
                <w:color w:val="auto"/>
              </w:rPr>
            </w:pPr>
            <w:r>
              <w:rPr>
                <w:rFonts w:ascii="Arial" w:cs="Arial" w:eastAsia="Arial" w:hAnsi="Arial"/>
                <w:sz w:val="14"/>
                <w:szCs w:val="14"/>
                <w:color w:val="auto"/>
              </w:rPr>
              <w:t>413</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720" w:type="dxa"/>
            <w:vAlign w:val="bottom"/>
          </w:tcPr>
          <w:p>
            <w:pPr>
              <w:ind w:left="60"/>
              <w:spacing w:after="0"/>
              <w:rPr>
                <w:sz w:val="20"/>
                <w:szCs w:val="20"/>
                <w:color w:val="auto"/>
              </w:rPr>
            </w:pPr>
            <w:r>
              <w:rPr>
                <w:rFonts w:ascii="Arial" w:cs="Arial" w:eastAsia="Arial" w:hAnsi="Arial"/>
                <w:sz w:val="14"/>
                <w:szCs w:val="14"/>
                <w:b w:val="1"/>
                <w:bCs w:val="1"/>
                <w:color w:val="auto"/>
              </w:rPr>
              <w:t>Cable Communications Revenue</w:t>
            </w:r>
          </w:p>
        </w:tc>
        <w:tc>
          <w:tcPr>
            <w:tcW w:w="3420" w:type="dxa"/>
            <w:vAlign w:val="bottom"/>
          </w:tcPr>
          <w:p>
            <w:pPr>
              <w:jc w:val="right"/>
              <w:ind w:right="248"/>
              <w:spacing w:after="0"/>
              <w:rPr>
                <w:sz w:val="20"/>
                <w:szCs w:val="20"/>
                <w:color w:val="auto"/>
              </w:rPr>
            </w:pPr>
            <w:r>
              <w:rPr>
                <w:rFonts w:ascii="Arial" w:cs="Arial" w:eastAsia="Arial" w:hAnsi="Arial"/>
                <w:sz w:val="14"/>
                <w:szCs w:val="14"/>
                <w:b w:val="1"/>
                <w:bCs w:val="1"/>
                <w:color w:val="auto"/>
              </w:rPr>
              <w:t>$13,703</w:t>
            </w:r>
          </w:p>
        </w:tc>
        <w:tc>
          <w:tcPr>
            <w:tcW w:w="1360" w:type="dxa"/>
            <w:vAlign w:val="bottom"/>
          </w:tcPr>
          <w:p>
            <w:pPr>
              <w:jc w:val="right"/>
              <w:ind w:right="468"/>
              <w:spacing w:after="0"/>
              <w:rPr>
                <w:sz w:val="20"/>
                <w:szCs w:val="20"/>
                <w:color w:val="auto"/>
              </w:rPr>
            </w:pPr>
            <w:r>
              <w:rPr>
                <w:rFonts w:ascii="Arial" w:cs="Arial" w:eastAsia="Arial" w:hAnsi="Arial"/>
                <w:sz w:val="14"/>
                <w:szCs w:val="14"/>
                <w:b w:val="1"/>
                <w:bCs w:val="1"/>
                <w:color w:val="auto"/>
              </w:rPr>
              <w:t>$14,280</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72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Cable Communications Adjusted EBITDA</w:t>
            </w:r>
          </w:p>
        </w:tc>
        <w:tc>
          <w:tcPr>
            <w:tcW w:w="3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$5,217</w:t>
            </w: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$5,728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20" w:type="dxa"/>
            <w:vAlign w:val="bottom"/>
          </w:tcPr>
          <w:p>
            <w:pPr>
              <w:ind w:left="60"/>
              <w:spacing w:after="0"/>
              <w:rPr>
                <w:sz w:val="20"/>
                <w:szCs w:val="20"/>
                <w:color w:val="auto"/>
              </w:rPr>
            </w:pPr>
            <w:r>
              <w:rPr>
                <w:rFonts w:ascii="Arial" w:cs="Arial" w:eastAsia="Arial" w:hAnsi="Arial"/>
                <w:sz w:val="14"/>
                <w:szCs w:val="14"/>
                <w:i w:val="1"/>
                <w:iCs w:val="1"/>
                <w:color w:val="auto"/>
              </w:rPr>
              <w:t>Adjusted EBITDA Margin</w:t>
            </w:r>
          </w:p>
        </w:tc>
        <w:tc>
          <w:tcPr>
            <w:tcW w:w="3420" w:type="dxa"/>
            <w:vAlign w:val="bottom"/>
          </w:tcPr>
          <w:p>
            <w:pPr>
              <w:jc w:val="right"/>
              <w:ind w:right="128"/>
              <w:spacing w:after="0"/>
              <w:rPr>
                <w:sz w:val="20"/>
                <w:szCs w:val="20"/>
                <w:color w:val="auto"/>
              </w:rPr>
            </w:pPr>
            <w:r>
              <w:rPr>
                <w:rFonts w:ascii="Arial" w:cs="Arial" w:eastAsia="Arial" w:hAnsi="Arial"/>
                <w:sz w:val="14"/>
                <w:szCs w:val="14"/>
                <w:i w:val="1"/>
                <w:iCs w:val="1"/>
                <w:color w:val="auto"/>
              </w:rPr>
              <w:t>38.1%</w:t>
            </w:r>
          </w:p>
        </w:tc>
        <w:tc>
          <w:tcPr>
            <w:tcW w:w="1360" w:type="dxa"/>
            <w:vAlign w:val="bottom"/>
          </w:tcPr>
          <w:p>
            <w:pPr>
              <w:jc w:val="right"/>
              <w:ind w:right="348"/>
              <w:spacing w:after="0"/>
              <w:rPr>
                <w:sz w:val="20"/>
                <w:szCs w:val="20"/>
                <w:color w:val="auto"/>
              </w:rPr>
            </w:pPr>
            <w:r>
              <w:rPr>
                <w:rFonts w:ascii="Arial" w:cs="Arial" w:eastAsia="Arial" w:hAnsi="Arial"/>
                <w:sz w:val="14"/>
                <w:szCs w:val="14"/>
                <w:i w:val="1"/>
                <w:iCs w:val="1"/>
                <w:color w:val="auto"/>
              </w:rPr>
              <w:t>40.1%</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7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Cable Communications Capital Expenditures</w:t>
            </w:r>
          </w:p>
        </w:tc>
        <w:tc>
          <w:tcPr>
            <w:tcW w:w="3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$1,691</w:t>
            </w:r>
          </w:p>
        </w:tc>
        <w:tc>
          <w:tcPr>
            <w:tcW w:w="13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$1,363</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2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i w:val="1"/>
                <w:iCs w:val="1"/>
                <w:color w:val="auto"/>
              </w:rPr>
              <w:t>Percent of Cable Communications Revenue</w:t>
            </w:r>
          </w:p>
        </w:tc>
        <w:tc>
          <w:tcPr>
            <w:tcW w:w="34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i w:val="1"/>
                <w:iCs w:val="1"/>
                <w:color w:val="auto"/>
              </w:rPr>
              <w:t>12.3%</w:t>
            </w:r>
          </w:p>
        </w:tc>
        <w:tc>
          <w:tcPr>
            <w:tcW w:w="136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i w:val="1"/>
                <w:iCs w:val="1"/>
                <w:color w:val="auto"/>
              </w:rPr>
              <w:t>9.5%</w:t>
            </w:r>
          </w:p>
        </w:tc>
        <w:tc>
          <w:tcPr>
            <w:tcW w:w="9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Beginning in the first quarter of 2019, Cable Communications results include our wireless phone service and certain other business development initiatives which were previously presented in Corporate and Other. Prior periods have been adjusted to reflect this presentation.</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4.2% to $14.3 billion in the first quarter of 2019, driven primarily by increases in high-speed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internet and business services revenue. High-speed internet revenue increased 10.1%, driven by an increase in the number of residential high-speed internet customers and rate adjustments. Business services revenue increased 9.5%, due to an increase in the number of customers receiving our services and rate adjustments. Wireless revenue increased 21.4%, reflecting an increase in the number of customer lines, partially offset by lower device sales as more customers bring their own device. Other revenue increased 7.0%, primarily driven by increases in revenue from our X1 licensing agreements and our security and automation services. Video revenue decreased 0.5%, due to a decline in the number of residential customers, partially offset by rate adjustments. Advertising revenue decreased 4.5%, primarily due to a decline in political advertising revenue. Voice revenue decreased 1.6%, reflecting a decrease in the number of residential voice customers.</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Total Customer Relationships </w:t>
      </w:r>
      <w:r>
        <w:rPr>
          <w:rFonts w:ascii="Arial" w:cs="Arial" w:eastAsia="Arial" w:hAnsi="Arial"/>
          <w:sz w:val="18"/>
          <w:szCs w:val="18"/>
          <w:color w:val="auto"/>
        </w:rPr>
        <w:t>increased by 300,000 to 30.7 million in the first quarter of 2019. Residential customer relationships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276,000 and business customer relationships increased by 25,000. At the end of the first quarter, 67.3% of our residential customers received at least two Xfinity products. Total high-speed internet customer net additions were 375,000, total video customer net losses were 121,000, total voice customer net losses were 53,000 and total security and automation customer net additions were 17,000. In addition, Cable Communications added 170,000 wireless lines in the quarter.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5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color w:val="auto"/>
              </w:rPr>
              <w:t>Net Additions</w:t>
            </w:r>
          </w:p>
        </w:tc>
      </w:tr>
      <w:tr>
        <w:trPr>
          <w:trHeight w:val="208"/>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2680" w:type="dxa"/>
            <w:vAlign w:val="bottom"/>
            <w:tcBorders>
              <w:bottom w:val="single" w:sz="8" w:color="auto"/>
            </w:tcBorders>
          </w:tcPr>
          <w:p>
            <w:pPr>
              <w:jc w:val="right"/>
              <w:ind w:right="208"/>
              <w:spacing w:after="0" w:line="201" w:lineRule="exact"/>
              <w:rPr>
                <w:sz w:val="20"/>
                <w:szCs w:val="20"/>
                <w:color w:val="auto"/>
              </w:rPr>
            </w:pPr>
            <w:r>
              <w:rPr>
                <w:rFonts w:ascii="Arial" w:cs="Arial" w:eastAsia="Arial" w:hAnsi="Arial"/>
                <w:sz w:val="14"/>
                <w:szCs w:val="14"/>
                <w:color w:val="auto"/>
              </w:rPr>
              <w:t xml:space="preserve">1Q18 </w:t>
            </w:r>
            <w:r>
              <w:rPr>
                <w:rFonts w:ascii="Arial" w:cs="Arial" w:eastAsia="Arial" w:hAnsi="Arial"/>
                <w:sz w:val="21"/>
                <w:szCs w:val="21"/>
                <w:color w:val="auto"/>
                <w:vertAlign w:val="superscript"/>
              </w:rPr>
              <w:t>6</w:t>
            </w:r>
          </w:p>
        </w:tc>
        <w:tc>
          <w:tcPr>
            <w:tcW w:w="14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1Q19</w:t>
            </w:r>
          </w:p>
        </w:tc>
        <w:tc>
          <w:tcPr>
            <w:tcW w:w="1380" w:type="dxa"/>
            <w:vAlign w:val="bottom"/>
            <w:tcBorders>
              <w:bottom w:val="single" w:sz="8" w:color="auto"/>
            </w:tcBorders>
          </w:tcPr>
          <w:p>
            <w:pPr>
              <w:jc w:val="right"/>
              <w:ind w:right="108"/>
              <w:spacing w:after="0" w:line="201" w:lineRule="exact"/>
              <w:rPr>
                <w:sz w:val="20"/>
                <w:szCs w:val="20"/>
                <w:color w:val="auto"/>
              </w:rPr>
            </w:pPr>
            <w:r>
              <w:rPr>
                <w:rFonts w:ascii="Arial" w:cs="Arial" w:eastAsia="Arial" w:hAnsi="Arial"/>
                <w:sz w:val="14"/>
                <w:szCs w:val="14"/>
                <w:color w:val="auto"/>
              </w:rPr>
              <w:t xml:space="preserve">1Q18 </w:t>
            </w:r>
            <w:r>
              <w:rPr>
                <w:rFonts w:ascii="Arial" w:cs="Arial" w:eastAsia="Arial" w:hAnsi="Arial"/>
                <w:sz w:val="21"/>
                <w:szCs w:val="21"/>
                <w:color w:val="auto"/>
                <w:vertAlign w:val="superscript"/>
              </w:rPr>
              <w:t>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1Q19</w:t>
            </w:r>
          </w:p>
        </w:tc>
      </w:tr>
      <w:tr>
        <w:trPr>
          <w:trHeight w:val="204"/>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Customer Relationships</w:t>
            </w:r>
          </w:p>
        </w:tc>
        <w:tc>
          <w:tcPr>
            <w:tcW w:w="2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74"/>
        </w:trPr>
        <w:tc>
          <w:tcPr>
            <w:tcW w:w="53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Residential Customer Relationships</w:t>
            </w:r>
          </w:p>
        </w:tc>
        <w:tc>
          <w:tcPr>
            <w:tcW w:w="2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27,436</w:t>
            </w:r>
          </w:p>
        </w:tc>
        <w:tc>
          <w:tcPr>
            <w:tcW w:w="14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28,385</w:t>
            </w: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w:t>
            </w:r>
          </w:p>
        </w:tc>
      </w:tr>
      <w:tr>
        <w:trPr>
          <w:trHeight w:val="190"/>
        </w:trPr>
        <w:tc>
          <w:tcPr>
            <w:tcW w:w="5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Business Services Customer Relationships</w:t>
            </w:r>
          </w:p>
        </w:tc>
        <w:tc>
          <w:tcPr>
            <w:tcW w:w="2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2,208</w:t>
            </w:r>
          </w:p>
        </w:tc>
        <w:tc>
          <w:tcPr>
            <w:tcW w:w="14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2,327</w:t>
            </w: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196"/>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Customer Relationships</w:t>
            </w:r>
          </w:p>
        </w:tc>
        <w:tc>
          <w:tcPr>
            <w:tcW w:w="2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29,645</w:t>
            </w:r>
          </w:p>
        </w:tc>
        <w:tc>
          <w:tcPr>
            <w:tcW w:w="14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30,712</w:t>
            </w: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281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300</w:t>
            </w:r>
          </w:p>
        </w:tc>
      </w:tr>
      <w:tr>
        <w:trPr>
          <w:trHeight w:val="237"/>
        </w:trPr>
        <w:tc>
          <w:tcPr>
            <w:tcW w:w="53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04"/>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Residential Customer Relationships Mix</w:t>
            </w:r>
          </w:p>
        </w:tc>
        <w:tc>
          <w:tcPr>
            <w:tcW w:w="2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74"/>
        </w:trPr>
        <w:tc>
          <w:tcPr>
            <w:tcW w:w="53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One Product Residential Customers</w:t>
            </w:r>
          </w:p>
        </w:tc>
        <w:tc>
          <w:tcPr>
            <w:tcW w:w="2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8,390</w:t>
            </w:r>
          </w:p>
        </w:tc>
        <w:tc>
          <w:tcPr>
            <w:tcW w:w="14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9,295</w:t>
            </w: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215</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w:t>
            </w:r>
          </w:p>
        </w:tc>
      </w:tr>
      <w:tr>
        <w:trPr>
          <w:trHeight w:val="183"/>
        </w:trPr>
        <w:tc>
          <w:tcPr>
            <w:tcW w:w="53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Two Product Residential Customers</w:t>
            </w:r>
          </w:p>
        </w:tc>
        <w:tc>
          <w:tcPr>
            <w:tcW w:w="2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9,060</w:t>
            </w:r>
          </w:p>
        </w:tc>
        <w:tc>
          <w:tcPr>
            <w:tcW w:w="14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9,009</w:t>
            </w: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190"/>
        </w:trPr>
        <w:tc>
          <w:tcPr>
            <w:tcW w:w="53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Three or More Product Residential Customers</w:t>
            </w:r>
          </w:p>
        </w:tc>
        <w:tc>
          <w:tcPr>
            <w:tcW w:w="2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9,987</w:t>
            </w:r>
          </w:p>
        </w:tc>
        <w:tc>
          <w:tcPr>
            <w:tcW w:w="14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10,081</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r>
      <w:tr>
        <w:trPr>
          <w:trHeight w:val="237"/>
        </w:trPr>
        <w:tc>
          <w:tcPr>
            <w:tcW w:w="53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189"/>
        </w:trPr>
        <w:tc>
          <w:tcPr>
            <w:tcW w:w="5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Residential High-Speed Internet Customers</w:t>
            </w:r>
          </w:p>
        </w:tc>
        <w:tc>
          <w:tcPr>
            <w:tcW w:w="2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24,214</w:t>
            </w:r>
          </w:p>
        </w:tc>
        <w:tc>
          <w:tcPr>
            <w:tcW w:w="14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25,449</w:t>
            </w: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w:t>
            </w:r>
          </w:p>
        </w:tc>
      </w:tr>
      <w:tr>
        <w:trPr>
          <w:trHeight w:val="190"/>
        </w:trPr>
        <w:tc>
          <w:tcPr>
            <w:tcW w:w="5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Business Services High-Speed Internet Customers</w:t>
            </w:r>
          </w:p>
        </w:tc>
        <w:tc>
          <w:tcPr>
            <w:tcW w:w="2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2,034</w:t>
            </w:r>
          </w:p>
        </w:tc>
        <w:tc>
          <w:tcPr>
            <w:tcW w:w="14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2,148</w:t>
            </w: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189"/>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High-Speed Internet Customers</w:t>
            </w:r>
          </w:p>
        </w:tc>
        <w:tc>
          <w:tcPr>
            <w:tcW w:w="2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26,249</w:t>
            </w:r>
          </w:p>
        </w:tc>
        <w:tc>
          <w:tcPr>
            <w:tcW w:w="14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27,598</w:t>
            </w: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379</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375</w:t>
            </w:r>
          </w:p>
        </w:tc>
      </w:tr>
      <w:tr>
        <w:trPr>
          <w:trHeight w:val="183"/>
        </w:trPr>
        <w:tc>
          <w:tcPr>
            <w:tcW w:w="5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Residential Video Customers</w:t>
            </w:r>
          </w:p>
        </w:tc>
        <w:tc>
          <w:tcPr>
            <w:tcW w:w="2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21,210</w:t>
            </w:r>
          </w:p>
        </w:tc>
        <w:tc>
          <w:tcPr>
            <w:tcW w:w="14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20,852</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r>
      <w:tr>
        <w:trPr>
          <w:trHeight w:val="190"/>
        </w:trPr>
        <w:tc>
          <w:tcPr>
            <w:tcW w:w="5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Business Services Video Customers</w:t>
            </w:r>
          </w:p>
        </w:tc>
        <w:tc>
          <w:tcPr>
            <w:tcW w:w="2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1,051</w:t>
            </w:r>
          </w:p>
        </w:tc>
        <w:tc>
          <w:tcPr>
            <w:tcW w:w="14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1,014</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189"/>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Video Customers</w:t>
            </w:r>
          </w:p>
        </w:tc>
        <w:tc>
          <w:tcPr>
            <w:tcW w:w="2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22,261</w:t>
            </w:r>
          </w:p>
        </w:tc>
        <w:tc>
          <w:tcPr>
            <w:tcW w:w="14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21,865</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w:t>
            </w:r>
          </w:p>
        </w:tc>
      </w:tr>
      <w:tr>
        <w:trPr>
          <w:trHeight w:val="183"/>
        </w:trPr>
        <w:tc>
          <w:tcPr>
            <w:tcW w:w="5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Residential Voice Customers</w:t>
            </w:r>
          </w:p>
        </w:tc>
        <w:tc>
          <w:tcPr>
            <w:tcW w:w="2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10,245</w:t>
            </w:r>
          </w:p>
        </w:tc>
        <w:tc>
          <w:tcPr>
            <w:tcW w:w="14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10,089</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r>
      <w:tr>
        <w:trPr>
          <w:trHeight w:val="190"/>
        </w:trPr>
        <w:tc>
          <w:tcPr>
            <w:tcW w:w="5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Business Services Voice Customers</w:t>
            </w:r>
          </w:p>
        </w:tc>
        <w:tc>
          <w:tcPr>
            <w:tcW w:w="2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1,253</w:t>
            </w:r>
          </w:p>
        </w:tc>
        <w:tc>
          <w:tcPr>
            <w:tcW w:w="14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1,307</w:t>
            </w: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Voice Customers</w:t>
            </w:r>
          </w:p>
        </w:tc>
        <w:tc>
          <w:tcPr>
            <w:tcW w:w="2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11,498</w:t>
            </w:r>
          </w:p>
        </w:tc>
        <w:tc>
          <w:tcPr>
            <w:tcW w:w="14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11,396</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(54)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r>
      <w:tr>
        <w:trPr>
          <w:trHeight w:val="196"/>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 Security and Automation Customers</w:t>
            </w:r>
          </w:p>
        </w:tc>
        <w:tc>
          <w:tcPr>
            <w:tcW w:w="2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1,176</w:t>
            </w:r>
          </w:p>
        </w:tc>
        <w:tc>
          <w:tcPr>
            <w:tcW w:w="14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1,333</w:t>
            </w:r>
          </w:p>
        </w:tc>
        <w:tc>
          <w:tcPr>
            <w:tcW w:w="13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46</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r>
      <w:tr>
        <w:trPr>
          <w:trHeight w:val="204"/>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Total Wireless Lines</w:t>
            </w:r>
          </w:p>
        </w:tc>
        <w:tc>
          <w:tcPr>
            <w:tcW w:w="2680" w:type="dxa"/>
            <w:vAlign w:val="bottom"/>
          </w:tcPr>
          <w:p>
            <w:pPr>
              <w:jc w:val="right"/>
              <w:ind w:right="208"/>
              <w:spacing w:after="0"/>
              <w:rPr>
                <w:sz w:val="20"/>
                <w:szCs w:val="20"/>
                <w:color w:val="auto"/>
              </w:rPr>
            </w:pPr>
            <w:r>
              <w:rPr>
                <w:rFonts w:ascii="Arial" w:cs="Arial" w:eastAsia="Arial" w:hAnsi="Arial"/>
                <w:sz w:val="14"/>
                <w:szCs w:val="14"/>
                <w:b w:val="1"/>
                <w:bCs w:val="1"/>
                <w:color w:val="auto"/>
              </w:rPr>
              <w:t>577</w:t>
            </w:r>
          </w:p>
        </w:tc>
        <w:tc>
          <w:tcPr>
            <w:tcW w:w="1440" w:type="dxa"/>
            <w:vAlign w:val="bottom"/>
          </w:tcPr>
          <w:p>
            <w:pPr>
              <w:jc w:val="right"/>
              <w:ind w:right="648"/>
              <w:spacing w:after="0"/>
              <w:rPr>
                <w:sz w:val="20"/>
                <w:szCs w:val="20"/>
                <w:color w:val="auto"/>
              </w:rPr>
            </w:pPr>
            <w:r>
              <w:rPr>
                <w:rFonts w:ascii="Arial" w:cs="Arial" w:eastAsia="Arial" w:hAnsi="Arial"/>
                <w:sz w:val="14"/>
                <w:szCs w:val="14"/>
                <w:b w:val="1"/>
                <w:bCs w:val="1"/>
                <w:color w:val="auto"/>
              </w:rPr>
              <w:t>1,405</w:t>
            </w: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auto"/>
              </w:rPr>
              <w:t>196</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170</w:t>
            </w:r>
          </w:p>
        </w:tc>
      </w:tr>
    </w:tbl>
    <w:p>
      <w:pPr>
        <w:spacing w:after="0" w:line="27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for Cable Communications increased 9.8% to $5.7 billion in the first quarter of 2019, reflecting higher revenue,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a 0.8% increase in operating expenses. Video programming costs increased 2.8%, primarily reflecting higher sports programming costs and retransmission consent fees. Non-programming expenses decreased 0.5%, reflecting decreases in other operating costs, customer service expenses, franchise and regulatory fees and advertising, marketing and promotion costs, partially offset by an increase in technical and product support expenses. This quarter’s Adjusted EBITDA per customer relationship increased 6.0%, and Adjusted EBITDA margin was 40.1%, compared to 38.1% in the first quarter of 2018. Cable Communications results include a loss of $103 million from our wireless business, compared to a loss of $189 million in the prior period.</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80" w:type="dxa"/>
            <w:vAlign w:val="bottom"/>
          </w:tcPr>
          <w:p>
            <w:pPr>
              <w:spacing w:after="0"/>
              <w:rPr>
                <w:sz w:val="14"/>
                <w:szCs w:val="14"/>
                <w:color w:val="auto"/>
              </w:rPr>
            </w:pPr>
          </w:p>
        </w:tc>
        <w:tc>
          <w:tcPr>
            <w:tcW w:w="3480" w:type="dxa"/>
            <w:vAlign w:val="bottom"/>
            <w:vMerge w:val="restart"/>
          </w:tcPr>
          <w:p>
            <w:pPr>
              <w:jc w:val="right"/>
              <w:ind w:right="28"/>
              <w:spacing w:after="0"/>
              <w:rPr>
                <w:sz w:val="20"/>
                <w:szCs w:val="20"/>
                <w:color w:val="auto"/>
              </w:rPr>
            </w:pPr>
            <w:r>
              <w:rPr>
                <w:rFonts w:ascii="Arial" w:cs="Arial" w:eastAsia="Arial" w:hAnsi="Arial"/>
                <w:sz w:val="14"/>
                <w:szCs w:val="14"/>
                <w:color w:val="auto"/>
              </w:rPr>
              <w:t xml:space="preserve">2018 </w:t>
            </w:r>
            <w:r>
              <w:rPr>
                <w:rFonts w:ascii="Arial" w:cs="Arial" w:eastAsia="Arial" w:hAnsi="Arial"/>
                <w:sz w:val="21"/>
                <w:szCs w:val="21"/>
                <w:color w:val="auto"/>
                <w:vertAlign w:val="superscript"/>
              </w:rPr>
              <w:t>6</w:t>
            </w:r>
          </w:p>
        </w:tc>
        <w:tc>
          <w:tcPr>
            <w:tcW w:w="1040" w:type="dxa"/>
            <w:vAlign w:val="bottom"/>
          </w:tcPr>
          <w:p>
            <w:pPr>
              <w:jc w:val="right"/>
              <w:ind w:right="208"/>
              <w:spacing w:after="0"/>
              <w:rPr>
                <w:sz w:val="20"/>
                <w:szCs w:val="20"/>
                <w:color w:val="auto"/>
              </w:rPr>
            </w:pPr>
            <w:r>
              <w:rPr>
                <w:rFonts w:ascii="Arial" w:cs="Arial" w:eastAsia="Arial" w:hAnsi="Arial"/>
                <w:sz w:val="14"/>
                <w:szCs w:val="14"/>
                <w:color w:val="auto"/>
              </w:rPr>
              <w:t>1st Quarter</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34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189"/>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3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180" w:type="dxa"/>
            <w:vAlign w:val="bottom"/>
          </w:tcPr>
          <w:p>
            <w:pPr>
              <w:ind w:left="40"/>
              <w:spacing w:after="0"/>
              <w:rPr>
                <w:sz w:val="20"/>
                <w:szCs w:val="20"/>
                <w:color w:val="auto"/>
              </w:rPr>
            </w:pPr>
            <w:r>
              <w:rPr>
                <w:rFonts w:ascii="Arial" w:cs="Arial" w:eastAsia="Arial" w:hAnsi="Arial"/>
                <w:sz w:val="14"/>
                <w:szCs w:val="14"/>
                <w:color w:val="auto"/>
              </w:rPr>
              <w:t>Cable Networks</w:t>
            </w:r>
          </w:p>
        </w:tc>
        <w:tc>
          <w:tcPr>
            <w:tcW w:w="3480" w:type="dxa"/>
            <w:vAlign w:val="bottom"/>
          </w:tcPr>
          <w:p>
            <w:pPr>
              <w:jc w:val="right"/>
              <w:ind w:right="28"/>
              <w:spacing w:after="0"/>
              <w:rPr>
                <w:sz w:val="20"/>
                <w:szCs w:val="20"/>
                <w:color w:val="auto"/>
              </w:rPr>
            </w:pPr>
            <w:r>
              <w:rPr>
                <w:rFonts w:ascii="Arial" w:cs="Arial" w:eastAsia="Arial" w:hAnsi="Arial"/>
                <w:sz w:val="14"/>
                <w:szCs w:val="14"/>
                <w:color w:val="auto"/>
              </w:rPr>
              <w:t>$3,157</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$2,868</w:t>
            </w:r>
          </w:p>
        </w:tc>
        <w:tc>
          <w:tcPr>
            <w:tcW w:w="72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74"/>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 (see Table 6)</w:t>
            </w:r>
          </w:p>
        </w:tc>
        <w:tc>
          <w:tcPr>
            <w:tcW w:w="3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i w:val="1"/>
                <w:iCs w:val="1"/>
                <w:color w:val="auto"/>
              </w:rPr>
              <w:t>2,779</w:t>
            </w: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i w:val="1"/>
                <w:iCs w:val="1"/>
                <w:color w:val="auto"/>
              </w:rPr>
              <w:t>2,868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3.2%</w:t>
            </w:r>
          </w:p>
        </w:tc>
        <w:tc>
          <w:tcPr>
            <w:tcW w:w="0" w:type="dxa"/>
            <w:vAlign w:val="bottom"/>
          </w:tcPr>
          <w:p>
            <w:pPr>
              <w:spacing w:after="0"/>
              <w:rPr>
                <w:sz w:val="1"/>
                <w:szCs w:val="1"/>
                <w:color w:val="auto"/>
              </w:rPr>
            </w:pPr>
          </w:p>
        </w:tc>
      </w:tr>
      <w:tr>
        <w:trPr>
          <w:trHeight w:val="198"/>
        </w:trPr>
        <w:tc>
          <w:tcPr>
            <w:tcW w:w="6180" w:type="dxa"/>
            <w:vAlign w:val="bottom"/>
          </w:tcPr>
          <w:p>
            <w:pPr>
              <w:ind w:left="40"/>
              <w:spacing w:after="0"/>
              <w:rPr>
                <w:sz w:val="20"/>
                <w:szCs w:val="20"/>
                <w:color w:val="auto"/>
              </w:rPr>
            </w:pPr>
            <w:r>
              <w:rPr>
                <w:rFonts w:ascii="Arial" w:cs="Arial" w:eastAsia="Arial" w:hAnsi="Arial"/>
                <w:sz w:val="14"/>
                <w:szCs w:val="14"/>
                <w:color w:val="auto"/>
              </w:rPr>
              <w:t>Broadcast Television</w:t>
            </w:r>
          </w:p>
        </w:tc>
        <w:tc>
          <w:tcPr>
            <w:tcW w:w="3480" w:type="dxa"/>
            <w:vAlign w:val="bottom"/>
          </w:tcPr>
          <w:p>
            <w:pPr>
              <w:jc w:val="right"/>
              <w:ind w:right="28"/>
              <w:spacing w:after="0"/>
              <w:rPr>
                <w:sz w:val="20"/>
                <w:szCs w:val="20"/>
                <w:color w:val="auto"/>
              </w:rPr>
            </w:pPr>
            <w:r>
              <w:rPr>
                <w:rFonts w:ascii="Arial" w:cs="Arial" w:eastAsia="Arial" w:hAnsi="Arial"/>
                <w:sz w:val="14"/>
                <w:szCs w:val="14"/>
                <w:color w:val="auto"/>
              </w:rPr>
              <w:t>3,497</w:t>
            </w:r>
          </w:p>
        </w:tc>
        <w:tc>
          <w:tcPr>
            <w:tcW w:w="1040" w:type="dxa"/>
            <w:vAlign w:val="bottom"/>
          </w:tcPr>
          <w:p>
            <w:pPr>
              <w:jc w:val="right"/>
              <w:ind w:right="168"/>
              <w:spacing w:after="0"/>
              <w:rPr>
                <w:sz w:val="20"/>
                <w:szCs w:val="20"/>
                <w:color w:val="auto"/>
              </w:rPr>
            </w:pPr>
            <w:r>
              <w:rPr>
                <w:rFonts w:ascii="Arial" w:cs="Arial" w:eastAsia="Arial" w:hAnsi="Arial"/>
                <w:sz w:val="14"/>
                <w:szCs w:val="14"/>
                <w:color w:val="auto"/>
              </w:rPr>
              <w:t>2,467</w:t>
            </w:r>
          </w:p>
        </w:tc>
        <w:tc>
          <w:tcPr>
            <w:tcW w:w="720" w:type="dxa"/>
            <w:vAlign w:val="bottom"/>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74"/>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 and Super Bowl (see Table 6)</w:t>
            </w:r>
          </w:p>
        </w:tc>
        <w:tc>
          <w:tcPr>
            <w:tcW w:w="3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i w:val="1"/>
                <w:iCs w:val="1"/>
                <w:color w:val="auto"/>
              </w:rPr>
              <w:t>2,304</w:t>
            </w: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i w:val="1"/>
                <w:iCs w:val="1"/>
                <w:color w:val="auto"/>
              </w:rPr>
              <w:t>2,467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7.1%</w:t>
            </w:r>
          </w:p>
        </w:tc>
        <w:tc>
          <w:tcPr>
            <w:tcW w:w="0" w:type="dxa"/>
            <w:vAlign w:val="bottom"/>
          </w:tcPr>
          <w:p>
            <w:pPr>
              <w:spacing w:after="0"/>
              <w:rPr>
                <w:sz w:val="1"/>
                <w:szCs w:val="1"/>
                <w:color w:val="auto"/>
              </w:rPr>
            </w:pPr>
          </w:p>
        </w:tc>
      </w:tr>
      <w:tr>
        <w:trPr>
          <w:trHeight w:val="183"/>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3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1,647</w:t>
            </w: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1,768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3"/>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3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1,281</w:t>
            </w: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1,276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0"/>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3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(66)</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4"/>
        </w:trPr>
        <w:tc>
          <w:tcPr>
            <w:tcW w:w="6180" w:type="dxa"/>
            <w:vAlign w:val="bottom"/>
          </w:tcPr>
          <w:p>
            <w:pPr>
              <w:ind w:left="40"/>
              <w:spacing w:after="0"/>
              <w:rPr>
                <w:sz w:val="20"/>
                <w:szCs w:val="20"/>
                <w:color w:val="auto"/>
              </w:rPr>
            </w:pPr>
            <w:r>
              <w:rPr>
                <w:rFonts w:ascii="Arial" w:cs="Arial" w:eastAsia="Arial" w:hAnsi="Arial"/>
                <w:sz w:val="14"/>
                <w:szCs w:val="14"/>
                <w:b w:val="1"/>
                <w:bCs w:val="1"/>
                <w:color w:val="auto"/>
              </w:rPr>
              <w:t>NBCUniversal Revenue</w:t>
            </w:r>
          </w:p>
        </w:tc>
        <w:tc>
          <w:tcPr>
            <w:tcW w:w="3480" w:type="dxa"/>
            <w:vAlign w:val="bottom"/>
          </w:tcPr>
          <w:p>
            <w:pPr>
              <w:jc w:val="right"/>
              <w:ind w:right="28"/>
              <w:spacing w:after="0"/>
              <w:rPr>
                <w:sz w:val="20"/>
                <w:szCs w:val="20"/>
                <w:color w:val="auto"/>
              </w:rPr>
            </w:pPr>
            <w:r>
              <w:rPr>
                <w:rFonts w:ascii="Arial" w:cs="Arial" w:eastAsia="Arial" w:hAnsi="Arial"/>
                <w:sz w:val="14"/>
                <w:szCs w:val="14"/>
                <w:b w:val="1"/>
                <w:bCs w:val="1"/>
                <w:color w:val="auto"/>
              </w:rPr>
              <w:t>$9,497</w:t>
            </w: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auto"/>
              </w:rPr>
              <w:t>$8,313</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0" w:type="dxa"/>
            <w:vAlign w:val="bottom"/>
          </w:tcPr>
          <w:p>
            <w:pPr>
              <w:spacing w:after="0"/>
              <w:rPr>
                <w:sz w:val="1"/>
                <w:szCs w:val="1"/>
                <w:color w:val="auto"/>
              </w:rPr>
            </w:pPr>
          </w:p>
        </w:tc>
      </w:tr>
      <w:tr>
        <w:trPr>
          <w:trHeight w:val="222"/>
        </w:trPr>
        <w:tc>
          <w:tcPr>
            <w:tcW w:w="618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NBCUniversal Adjusted EBITDA</w:t>
            </w:r>
          </w:p>
        </w:tc>
        <w:tc>
          <w:tcPr>
            <w:tcW w:w="3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Cable Networks</w:t>
            </w:r>
          </w:p>
        </w:tc>
        <w:tc>
          <w:tcPr>
            <w:tcW w:w="3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$1,254</w:t>
            </w: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$1,262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3"/>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Broadcast Television</w:t>
            </w:r>
          </w:p>
        </w:tc>
        <w:tc>
          <w:tcPr>
            <w:tcW w:w="3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507</w:t>
            </w: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387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83"/>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Filmed Entertainment</w:t>
            </w:r>
          </w:p>
        </w:tc>
        <w:tc>
          <w:tcPr>
            <w:tcW w:w="3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w:t>
            </w: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364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183"/>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Theme Parks</w:t>
            </w:r>
          </w:p>
        </w:tc>
        <w:tc>
          <w:tcPr>
            <w:tcW w:w="3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495</w:t>
            </w:r>
          </w:p>
        </w:tc>
        <w:tc>
          <w:tcPr>
            <w:tcW w:w="10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498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90"/>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Headquarters, other and eliminations</w:t>
            </w:r>
          </w:p>
        </w:tc>
        <w:tc>
          <w:tcPr>
            <w:tcW w:w="3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4"/>
        </w:trPr>
        <w:tc>
          <w:tcPr>
            <w:tcW w:w="6180" w:type="dxa"/>
            <w:vAlign w:val="bottom"/>
          </w:tcPr>
          <w:p>
            <w:pPr>
              <w:ind w:left="40"/>
              <w:spacing w:after="0"/>
              <w:rPr>
                <w:sz w:val="20"/>
                <w:szCs w:val="20"/>
                <w:color w:val="auto"/>
              </w:rPr>
            </w:pPr>
            <w:r>
              <w:rPr>
                <w:rFonts w:ascii="Arial" w:cs="Arial" w:eastAsia="Arial" w:hAnsi="Arial"/>
                <w:sz w:val="14"/>
                <w:szCs w:val="14"/>
                <w:b w:val="1"/>
                <w:bCs w:val="1"/>
                <w:color w:val="auto"/>
              </w:rPr>
              <w:t>NBCUniversal Adjusted EBITDA</w:t>
            </w:r>
          </w:p>
        </w:tc>
        <w:tc>
          <w:tcPr>
            <w:tcW w:w="3480" w:type="dxa"/>
            <w:vAlign w:val="bottom"/>
          </w:tcPr>
          <w:p>
            <w:pPr>
              <w:jc w:val="right"/>
              <w:ind w:right="28"/>
              <w:spacing w:after="0"/>
              <w:rPr>
                <w:sz w:val="20"/>
                <w:szCs w:val="20"/>
                <w:color w:val="auto"/>
              </w:rPr>
            </w:pPr>
            <w:r>
              <w:rPr>
                <w:rFonts w:ascii="Arial" w:cs="Arial" w:eastAsia="Arial" w:hAnsi="Arial"/>
                <w:sz w:val="14"/>
                <w:szCs w:val="14"/>
                <w:b w:val="1"/>
                <w:bCs w:val="1"/>
                <w:color w:val="auto"/>
              </w:rPr>
              <w:t>$2,271</w:t>
            </w: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auto"/>
              </w:rPr>
              <w:t>$2,337</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189"/>
        </w:trPr>
        <w:tc>
          <w:tcPr>
            <w:tcW w:w="6180" w:type="dxa"/>
            <w:vAlign w:val="bottom"/>
          </w:tcPr>
          <w:p>
            <w:pPr>
              <w:ind w:left="40"/>
              <w:spacing w:after="0"/>
              <w:rPr>
                <w:sz w:val="20"/>
                <w:szCs w:val="20"/>
                <w:color w:val="auto"/>
              </w:rPr>
            </w:pPr>
            <w:r>
              <w:rPr>
                <w:rFonts w:ascii="Arial" w:cs="Arial" w:eastAsia="Arial" w:hAnsi="Arial"/>
                <w:sz w:val="14"/>
                <w:szCs w:val="14"/>
                <w:color w:val="auto"/>
              </w:rPr>
              <w:t>NM=comparison not meaningful.</w:t>
            </w:r>
          </w:p>
        </w:tc>
        <w:tc>
          <w:tcPr>
            <w:tcW w:w="34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 the first quarter of 2019 decreased 12.5% to $8.3 billion, compared to last year’s results, which included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incremental $1.6 billion of revenue generated by the broadcasts of the 2018 PyeongChang Olympics and the NFL’s Super Bowl LII at our TV businesses.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xml:space="preserve"> increased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7" w:name="page8"/>
    <w:bookmarkEnd w:id="7"/>
    <w:p>
      <w:pPr>
        <w:jc w:val="both"/>
        <w:ind w:right="20"/>
        <w:spacing w:after="0" w:line="246" w:lineRule="auto"/>
        <w:rPr>
          <w:sz w:val="20"/>
          <w:szCs w:val="20"/>
          <w:color w:val="auto"/>
        </w:rPr>
      </w:pPr>
      <w:r>
        <w:rPr>
          <w:rFonts w:ascii="Arial" w:cs="Arial" w:eastAsia="Arial" w:hAnsi="Arial"/>
          <w:sz w:val="18"/>
          <w:szCs w:val="18"/>
          <w:color w:val="auto"/>
        </w:rPr>
        <w:t>2.9% to $2.3 billion, primarily reflecting an increase at Filmed Entertainment, partially offset by a decline at Broadcast Television due the broadcasts of the PyeongChang Olympics and the NFL’s Super Bowl LII in the first quarter of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Cable Networks revenue decreased 9.2% to $2.9 billion in the first quarter of 2019, primarily reflecting decreases in distribution and advertising revenue. Excluding $378 million of revenue generated by the broadcast of the PyeongChang Olympics in the first quarter of 2018, revenue increased 3.2% (see Table 6). Distribution revenue decreased 6.8%, due to the broadcast of the PyeongChang Olympics in the first quarter of 2018, partially offset by contractual rate increases and the timing of contract renewals. Advertising revenue decreased 12.8%, due to revenue associated with the broadcast of the PyeongChang Olympics in the first quarter of 2018 and audience ratings declines, partially offset by higher pricing. Content licensing and other revenue decreased 12.0% due to the timing of content provided under licensing agreements. Adjusted EBITDA increased 0.7% to $1.3 billion in the first quarter of 2019, reflecting lower revenue, more than offset by a decrease in operating costs and expenses, including programming and production costs, due to the broadcast of the PyeongChang Olympics in the first quarter of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Broadcast Television revenue decreased 29.4% to $2.5 billion in the first quarter of 2019, primarily reflecting lower advertising revenue. Excluding $770 million of revenue generated by the broadcast of the PyeongChang Olympics and $423 million of revenue generated by the broadcast of the NFL’s Super Bowl LII in the first quarter of 2018, revenue increased 7.1% (see Table 6). Advertising revenue decreased 44.3%, due to revenue associated with the broadcasts of the PyeongChang Olympics and the NFL’s Super Bowl LII in the first quarter of 2018 and audience ratings declines, partially offset by higher pricing. Distribution and other revenue decreased 3.2%, due to the broadcast of the PyeongChang Olympics in the first quarter of 2018, partially offset by higher retransmission consent fees. Content licensing revenue increased 7.2% due to the timing of content provided under licensing agreements. Adjusted EBITDA decreased 23.7% to $387 million in the first quarter of 2019, reflecting lower revenue, partially offset by a decrease in programming and production costs, due to the broadcasts of the PyeongChang Olympics and the NFL’s Super Bowl LII in the first quarter of 2018.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Filmed Entertainment revenue increased 7.4% to $ 1.8 billion in the first quarter of 2019, reflecting higher content licensing, theatrical and home entertainment revenue. Content licensing revenue increased 11.5%, driven by the timing of when content was made available under licensing agreements. Theatrical revenue increased 5.1%, due to the performance of films in this year’s first quarter, including </w:t>
      </w:r>
      <w:r>
        <w:rPr>
          <w:rFonts w:ascii="Arial" w:cs="Arial" w:eastAsia="Arial" w:hAnsi="Arial"/>
          <w:sz w:val="18"/>
          <w:szCs w:val="18"/>
          <w:i w:val="1"/>
          <w:iCs w:val="1"/>
          <w:color w:val="auto"/>
        </w:rPr>
        <w:t>How to Train Your Dragon: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Hidden World </w:t>
      </w:r>
      <w:r>
        <w:rPr>
          <w:rFonts w:ascii="Arial" w:cs="Arial" w:eastAsia="Arial" w:hAnsi="Arial"/>
          <w:sz w:val="18"/>
          <w:szCs w:val="18"/>
          <w:color w:val="auto"/>
        </w:rPr>
        <w:t>and</w:t>
      </w:r>
      <w:r>
        <w:rPr>
          <w:rFonts w:ascii="Arial" w:cs="Arial" w:eastAsia="Arial" w:hAnsi="Arial"/>
          <w:sz w:val="18"/>
          <w:szCs w:val="18"/>
          <w:i w:val="1"/>
          <w:iCs w:val="1"/>
          <w:color w:val="auto"/>
        </w:rPr>
        <w:t xml:space="preserve"> Us</w:t>
      </w:r>
      <w:r>
        <w:rPr>
          <w:rFonts w:ascii="Arial" w:cs="Arial" w:eastAsia="Arial" w:hAnsi="Arial"/>
          <w:sz w:val="18"/>
          <w:szCs w:val="18"/>
          <w:color w:val="auto"/>
        </w:rPr>
        <w:t>, partially offset by the performance of</w:t>
      </w:r>
      <w:r>
        <w:rPr>
          <w:rFonts w:ascii="Arial" w:cs="Arial" w:eastAsia="Arial" w:hAnsi="Arial"/>
          <w:sz w:val="18"/>
          <w:szCs w:val="18"/>
          <w:i w:val="1"/>
          <w:iCs w:val="1"/>
          <w:color w:val="auto"/>
        </w:rPr>
        <w:t xml:space="preserve"> Fifty Shades Freed </w:t>
      </w:r>
      <w:r>
        <w:rPr>
          <w:rFonts w:ascii="Arial" w:cs="Arial" w:eastAsia="Arial" w:hAnsi="Arial"/>
          <w:sz w:val="18"/>
          <w:szCs w:val="18"/>
          <w:color w:val="auto"/>
        </w:rPr>
        <w:t>in the first quarter of 2018. Home Entertainment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increased 7.4%, primarily reflecting the success of </w:t>
      </w:r>
      <w:r>
        <w:rPr>
          <w:rFonts w:ascii="Arial" w:cs="Arial" w:eastAsia="Arial" w:hAnsi="Arial"/>
          <w:sz w:val="18"/>
          <w:szCs w:val="18"/>
          <w:i w:val="1"/>
          <w:iCs w:val="1"/>
          <w:color w:val="auto"/>
        </w:rPr>
        <w:t>Dr. Seuss’ The Grinch</w:t>
      </w:r>
      <w:r>
        <w:rPr>
          <w:rFonts w:ascii="Arial" w:cs="Arial" w:eastAsia="Arial" w:hAnsi="Arial"/>
          <w:sz w:val="18"/>
          <w:szCs w:val="18"/>
          <w:color w:val="auto"/>
        </w:rPr>
        <w:t>. Adjusted EBITDA increased by 78.7% to $364 million in the first quarter of 2019, reflecting higher revenue as well as lower operating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Theme Parks revenue of $1.3 billion in the first quarter of 2019 was relatively consistent with the prior year period and, in part, reflects the timing of spring holidays, which benefited the same period last year. Adjusted EBITDA of $498 million was consistent with the prior year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March 31, 2019, NBCUniversal Headquarters, Other and Eliminations Adjusted EBITDA loss was $174 million, compared to a loss of $188 million in the first quarter of 2018.</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Sky</w:t>
      </w:r>
    </w:p>
    <w:p>
      <w:pPr>
        <w:spacing w:after="0" w:line="2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Pro forma results are presented as if the Sky transaction occurred on January 1, 2017. The pro forma amounts are primarily based on historical results of operations, adjusted for the allocation of purchase price and excluding costs directly related to the transaction. These amounts are not necessarily indicative of what our results would have been had we operated Sky since January 1, 2017 (see Table 7 for reconciliations of pro forma financial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80" w:type="dxa"/>
            <w:vAlign w:val="bottom"/>
            <w:tcBorders>
              <w:top w:val="single" w:sz="8" w:color="C9C9C9"/>
            </w:tcBorders>
          </w:tcPr>
          <w:p>
            <w:pPr>
              <w:spacing w:after="0"/>
              <w:rPr>
                <w:sz w:val="17"/>
                <w:szCs w:val="17"/>
                <w:color w:val="auto"/>
              </w:rPr>
            </w:pPr>
          </w:p>
        </w:tc>
        <w:tc>
          <w:tcPr>
            <w:tcW w:w="3440" w:type="dxa"/>
            <w:vAlign w:val="bottom"/>
            <w:tcBorders>
              <w:top w:val="single" w:sz="8" w:color="C9C9C9"/>
            </w:tcBorders>
          </w:tcPr>
          <w:p>
            <w:pPr>
              <w:spacing w:after="0"/>
              <w:rPr>
                <w:sz w:val="17"/>
                <w:szCs w:val="17"/>
                <w:color w:val="auto"/>
              </w:rPr>
            </w:pPr>
          </w:p>
        </w:tc>
        <w:tc>
          <w:tcPr>
            <w:tcW w:w="1240" w:type="dxa"/>
            <w:vAlign w:val="bottom"/>
            <w:tcBorders>
              <w:top w:val="single" w:sz="8" w:color="C9C9C9"/>
            </w:tcBorders>
          </w:tcPr>
          <w:p>
            <w:pPr>
              <w:jc w:val="right"/>
              <w:spacing w:after="0"/>
              <w:rPr>
                <w:sz w:val="20"/>
                <w:szCs w:val="20"/>
                <w:color w:val="auto"/>
              </w:rPr>
            </w:pPr>
            <w:r>
              <w:rPr>
                <w:rFonts w:ascii="Arial" w:cs="Arial" w:eastAsia="Arial" w:hAnsi="Arial"/>
                <w:sz w:val="14"/>
                <w:szCs w:val="14"/>
                <w:color w:val="auto"/>
              </w:rPr>
              <w:t>1st Quarter</w:t>
            </w:r>
          </w:p>
        </w:tc>
        <w:tc>
          <w:tcPr>
            <w:tcW w:w="700" w:type="dxa"/>
            <w:vAlign w:val="bottom"/>
            <w:tcBorders>
              <w:top w:val="single" w:sz="8" w:color="C9C9C9"/>
            </w:tcBorders>
          </w:tcPr>
          <w:p>
            <w:pPr>
              <w:spacing w:after="0"/>
              <w:rPr>
                <w:sz w:val="17"/>
                <w:szCs w:val="17"/>
                <w:color w:val="auto"/>
              </w:rPr>
            </w:pPr>
          </w:p>
        </w:tc>
        <w:tc>
          <w:tcPr>
            <w:tcW w:w="860" w:type="dxa"/>
            <w:vAlign w:val="bottom"/>
            <w:tcBorders>
              <w:top w:val="single" w:sz="8" w:color="C9C9C9"/>
            </w:tcBorders>
          </w:tcPr>
          <w:p>
            <w:pPr>
              <w:spacing w:after="0"/>
              <w:rPr>
                <w:sz w:val="17"/>
                <w:szCs w:val="17"/>
                <w:color w:val="auto"/>
              </w:rPr>
            </w:pPr>
          </w:p>
        </w:tc>
      </w:tr>
      <w:tr>
        <w:trPr>
          <w:trHeight w:val="219"/>
        </w:trPr>
        <w:tc>
          <w:tcPr>
            <w:tcW w:w="51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Constant</w:t>
            </w:r>
          </w:p>
        </w:tc>
      </w:tr>
      <w:tr>
        <w:trPr>
          <w:trHeight w:val="160"/>
        </w:trPr>
        <w:tc>
          <w:tcPr>
            <w:tcW w:w="51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jc w:val="right"/>
              <w:ind w:right="28"/>
              <w:spacing w:after="0" w:line="160" w:lineRule="exact"/>
              <w:rPr>
                <w:sz w:val="20"/>
                <w:szCs w:val="20"/>
                <w:color w:val="auto"/>
              </w:rPr>
            </w:pPr>
            <w:r>
              <w:rPr>
                <w:rFonts w:ascii="Arial" w:cs="Arial" w:eastAsia="Arial" w:hAnsi="Arial"/>
                <w:sz w:val="14"/>
                <w:szCs w:val="14"/>
                <w:color w:val="auto"/>
              </w:rPr>
              <w:t>Currency</w:t>
            </w:r>
          </w:p>
        </w:tc>
      </w:tr>
      <w:tr>
        <w:trPr>
          <w:trHeight w:val="194"/>
        </w:trPr>
        <w:tc>
          <w:tcPr>
            <w:tcW w:w="5180" w:type="dxa"/>
            <w:vAlign w:val="bottom"/>
            <w:tcBorders>
              <w:bottom w:val="single" w:sz="8" w:color="auto"/>
            </w:tcBorders>
          </w:tcPr>
          <w:p>
            <w:pPr>
              <w:ind w:left="80"/>
              <w:spacing w:after="0"/>
              <w:rPr>
                <w:sz w:val="20"/>
                <w:szCs w:val="20"/>
                <w:color w:val="auto"/>
              </w:rPr>
            </w:pPr>
            <w:r>
              <w:rPr>
                <w:rFonts w:ascii="Arial" w:cs="Arial" w:eastAsia="Arial" w:hAnsi="Arial"/>
                <w:sz w:val="11"/>
                <w:szCs w:val="11"/>
                <w:i w:val="1"/>
                <w:iCs w:val="1"/>
                <w:color w:val="auto"/>
              </w:rPr>
              <w:t>($ in millions) (pro forma)</w:t>
            </w:r>
          </w:p>
        </w:tc>
        <w:tc>
          <w:tcPr>
            <w:tcW w:w="3440" w:type="dxa"/>
            <w:vAlign w:val="bottom"/>
            <w:tcBorders>
              <w:bottom w:val="single" w:sz="8" w:color="auto"/>
            </w:tcBorders>
          </w:tcPr>
          <w:p>
            <w:pPr>
              <w:ind w:left="2840"/>
              <w:spacing w:after="0"/>
              <w:rPr>
                <w:sz w:val="20"/>
                <w:szCs w:val="20"/>
                <w:color w:val="auto"/>
              </w:rPr>
            </w:pPr>
            <w:r>
              <w:rPr>
                <w:rFonts w:ascii="Arial" w:cs="Arial" w:eastAsia="Arial" w:hAnsi="Arial"/>
                <w:sz w:val="14"/>
                <w:szCs w:val="14"/>
                <w:color w:val="auto"/>
              </w:rPr>
              <w:t>2018</w:t>
            </w: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2019</w:t>
            </w: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Growth</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Growth</w:t>
            </w:r>
            <w:r>
              <w:rPr>
                <w:rFonts w:ascii="Arial" w:cs="Arial" w:eastAsia="Arial" w:hAnsi="Arial"/>
                <w:sz w:val="14"/>
                <w:szCs w:val="14"/>
                <w:color w:val="auto"/>
                <w:vertAlign w:val="superscript"/>
              </w:rPr>
              <w:t>7</w:t>
            </w:r>
          </w:p>
        </w:tc>
      </w:tr>
      <w:tr>
        <w:trPr>
          <w:trHeight w:val="176"/>
        </w:trPr>
        <w:tc>
          <w:tcPr>
            <w:tcW w:w="51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Sky Revenue</w:t>
            </w:r>
          </w:p>
        </w:tc>
        <w:tc>
          <w:tcPr>
            <w:tcW w:w="3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69"/>
        </w:trPr>
        <w:tc>
          <w:tcPr>
            <w:tcW w:w="5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Direct-to-Consumer</w:t>
            </w:r>
          </w:p>
        </w:tc>
        <w:tc>
          <w:tcPr>
            <w:tcW w:w="3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$4,132</w:t>
            </w: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$3,834</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169"/>
        </w:trPr>
        <w:tc>
          <w:tcPr>
            <w:tcW w:w="5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Content</w:t>
            </w:r>
          </w:p>
        </w:tc>
        <w:tc>
          <w:tcPr>
            <w:tcW w:w="3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286</w:t>
            </w: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370</w:t>
            </w:r>
          </w:p>
        </w:tc>
        <w:tc>
          <w:tcPr>
            <w:tcW w:w="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29.5%</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38.0%</w:t>
            </w:r>
          </w:p>
        </w:tc>
      </w:tr>
      <w:tr>
        <w:trPr>
          <w:trHeight w:val="176"/>
        </w:trPr>
        <w:tc>
          <w:tcPr>
            <w:tcW w:w="5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Advertising</w:t>
            </w:r>
          </w:p>
        </w:tc>
        <w:tc>
          <w:tcPr>
            <w:tcW w:w="3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631</w:t>
            </w: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593</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(6.0%)</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w:t>
            </w:r>
          </w:p>
        </w:tc>
      </w:tr>
      <w:tr>
        <w:trPr>
          <w:trHeight w:val="191"/>
        </w:trPr>
        <w:tc>
          <w:tcPr>
            <w:tcW w:w="5180" w:type="dxa"/>
            <w:vAlign w:val="bottom"/>
          </w:tcPr>
          <w:p>
            <w:pPr>
              <w:ind w:left="80"/>
              <w:spacing w:after="0"/>
              <w:rPr>
                <w:sz w:val="20"/>
                <w:szCs w:val="20"/>
                <w:color w:val="auto"/>
              </w:rPr>
            </w:pPr>
            <w:r>
              <w:rPr>
                <w:rFonts w:ascii="Arial" w:cs="Arial" w:eastAsia="Arial" w:hAnsi="Arial"/>
                <w:sz w:val="14"/>
                <w:szCs w:val="14"/>
                <w:b w:val="1"/>
                <w:bCs w:val="1"/>
                <w:color w:val="auto"/>
              </w:rPr>
              <w:t>Sky Revenue</w:t>
            </w:r>
          </w:p>
        </w:tc>
        <w:tc>
          <w:tcPr>
            <w:tcW w:w="3440" w:type="dxa"/>
            <w:vAlign w:val="bottom"/>
          </w:tcPr>
          <w:p>
            <w:pPr>
              <w:jc w:val="right"/>
              <w:ind w:right="248"/>
              <w:spacing w:after="0"/>
              <w:rPr>
                <w:sz w:val="20"/>
                <w:szCs w:val="20"/>
                <w:color w:val="auto"/>
              </w:rPr>
            </w:pPr>
            <w:r>
              <w:rPr>
                <w:rFonts w:ascii="Arial" w:cs="Arial" w:eastAsia="Arial" w:hAnsi="Arial"/>
                <w:sz w:val="14"/>
                <w:szCs w:val="14"/>
                <w:b w:val="1"/>
                <w:bCs w:val="1"/>
                <w:color w:val="auto"/>
              </w:rPr>
              <w:t>$5,049</w:t>
            </w:r>
          </w:p>
        </w:tc>
        <w:tc>
          <w:tcPr>
            <w:tcW w:w="1240" w:type="dxa"/>
            <w:vAlign w:val="bottom"/>
          </w:tcPr>
          <w:p>
            <w:pPr>
              <w:jc w:val="right"/>
              <w:ind w:right="508"/>
              <w:spacing w:after="0"/>
              <w:rPr>
                <w:sz w:val="20"/>
                <w:szCs w:val="20"/>
                <w:color w:val="auto"/>
              </w:rPr>
            </w:pPr>
            <w:r>
              <w:rPr>
                <w:rFonts w:ascii="Arial" w:cs="Arial" w:eastAsia="Arial" w:hAnsi="Arial"/>
                <w:sz w:val="14"/>
                <w:szCs w:val="14"/>
                <w:b w:val="1"/>
                <w:bCs w:val="1"/>
                <w:color w:val="auto"/>
              </w:rPr>
              <w:t>$4,797</w:t>
            </w: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(5.0%)</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1.9%</w:t>
            </w:r>
          </w:p>
        </w:tc>
      </w:tr>
      <w:tr>
        <w:trPr>
          <w:trHeight w:val="208"/>
        </w:trPr>
        <w:tc>
          <w:tcPr>
            <w:tcW w:w="518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76"/>
        </w:trPr>
        <w:tc>
          <w:tcPr>
            <w:tcW w:w="51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Sky Operating Costs and Expenses</w:t>
            </w:r>
          </w:p>
        </w:tc>
        <w:tc>
          <w:tcPr>
            <w:tcW w:w="3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$4,250</w:t>
            </w: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$4,134</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(2.7%)</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4.4%</w:t>
            </w:r>
          </w:p>
        </w:tc>
      </w:tr>
      <w:tr>
        <w:trPr>
          <w:trHeight w:val="217"/>
        </w:trPr>
        <w:tc>
          <w:tcPr>
            <w:tcW w:w="518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76"/>
        </w:trPr>
        <w:tc>
          <w:tcPr>
            <w:tcW w:w="51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Sky Adjusted EBITDA</w:t>
            </w:r>
          </w:p>
        </w:tc>
        <w:tc>
          <w:tcPr>
            <w:tcW w:w="3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$799</w:t>
            </w: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$663</w:t>
            </w: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(17.0%)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w:t>
            </w:r>
          </w:p>
        </w:tc>
      </w:tr>
      <w:tr>
        <w:trPr>
          <w:trHeight w:val="184"/>
        </w:trPr>
        <w:tc>
          <w:tcPr>
            <w:tcW w:w="5180" w:type="dxa"/>
            <w:vAlign w:val="bottom"/>
          </w:tcPr>
          <w:p>
            <w:pPr>
              <w:ind w:left="80"/>
              <w:spacing w:after="0"/>
              <w:rPr>
                <w:sz w:val="20"/>
                <w:szCs w:val="20"/>
                <w:color w:val="auto"/>
              </w:rPr>
            </w:pPr>
            <w:r>
              <w:rPr>
                <w:rFonts w:ascii="Arial" w:cs="Arial" w:eastAsia="Arial" w:hAnsi="Arial"/>
                <w:sz w:val="14"/>
                <w:szCs w:val="14"/>
                <w:i w:val="1"/>
                <w:iCs w:val="1"/>
                <w:color w:val="auto"/>
              </w:rPr>
              <w:t>Adjusted EBITDA Margin</w:t>
            </w:r>
          </w:p>
        </w:tc>
        <w:tc>
          <w:tcPr>
            <w:tcW w:w="3440" w:type="dxa"/>
            <w:vAlign w:val="bottom"/>
          </w:tcPr>
          <w:p>
            <w:pPr>
              <w:ind w:left="2840"/>
              <w:spacing w:after="0"/>
              <w:rPr>
                <w:sz w:val="20"/>
                <w:szCs w:val="20"/>
                <w:color w:val="auto"/>
              </w:rPr>
            </w:pPr>
            <w:r>
              <w:rPr>
                <w:rFonts w:ascii="Arial" w:cs="Arial" w:eastAsia="Arial" w:hAnsi="Arial"/>
                <w:sz w:val="14"/>
                <w:szCs w:val="14"/>
                <w:i w:val="1"/>
                <w:iCs w:val="1"/>
                <w:color w:val="auto"/>
              </w:rPr>
              <w:t>15.8%</w:t>
            </w:r>
          </w:p>
        </w:tc>
        <w:tc>
          <w:tcPr>
            <w:tcW w:w="1240" w:type="dxa"/>
            <w:vAlign w:val="bottom"/>
          </w:tcPr>
          <w:p>
            <w:pPr>
              <w:ind w:left="360"/>
              <w:spacing w:after="0"/>
              <w:rPr>
                <w:sz w:val="20"/>
                <w:szCs w:val="20"/>
                <w:color w:val="auto"/>
              </w:rPr>
            </w:pPr>
            <w:r>
              <w:rPr>
                <w:rFonts w:ascii="Arial" w:cs="Arial" w:eastAsia="Arial" w:hAnsi="Arial"/>
                <w:sz w:val="14"/>
                <w:szCs w:val="14"/>
                <w:i w:val="1"/>
                <w:iCs w:val="1"/>
                <w:color w:val="auto"/>
              </w:rPr>
              <w:t>13.8%</w:t>
            </w: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Pro Forma Revenue </w:t>
      </w:r>
      <w:r>
        <w:rPr>
          <w:rFonts w:ascii="Arial" w:cs="Arial" w:eastAsia="Arial" w:hAnsi="Arial"/>
          <w:sz w:val="18"/>
          <w:szCs w:val="18"/>
          <w:color w:val="auto"/>
        </w:rPr>
        <w:t>for Sky decreased 5.0% to $4.8 billion in the first quarter of 2019. Excluding the impact of currency, revenue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 primarily driven by higher content revenue, while advertising and direct-to-consumer revenues were relatively consistent with the prior year period. Content revenue increased 38.0% to $370 million, reflecting the wholesaling of sports programming, including exclusive sports rights recently acquired in Italy and Germany, increased penetration of premium sports and movie channels on third party pay TV networks in the UK and monetization of our slate of original programming.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Pro Forma Total Customer Relationships </w:t>
      </w:r>
      <w:r>
        <w:rPr>
          <w:rFonts w:ascii="Arial" w:cs="Arial" w:eastAsia="Arial" w:hAnsi="Arial"/>
          <w:sz w:val="18"/>
          <w:szCs w:val="18"/>
          <w:color w:val="auto"/>
        </w:rPr>
        <w:t>increased by 112,000 to 23.7 million in the first quarter of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40" w:type="dxa"/>
            <w:vAlign w:val="bottom"/>
          </w:tcPr>
          <w:p>
            <w:pPr>
              <w:spacing w:after="0"/>
              <w:rPr>
                <w:sz w:val="14"/>
                <w:szCs w:val="14"/>
                <w:color w:val="auto"/>
              </w:rPr>
            </w:pPr>
          </w:p>
        </w:tc>
        <w:tc>
          <w:tcPr>
            <w:tcW w:w="3500" w:type="dxa"/>
            <w:vAlign w:val="bottom"/>
          </w:tcPr>
          <w:p>
            <w:pPr>
              <w:jc w:val="right"/>
              <w:ind w:right="68"/>
              <w:spacing w:after="0"/>
              <w:rPr>
                <w:sz w:val="20"/>
                <w:szCs w:val="20"/>
                <w:color w:val="auto"/>
              </w:rPr>
            </w:pPr>
            <w:r>
              <w:rPr>
                <w:rFonts w:ascii="Arial" w:cs="Arial" w:eastAsia="Arial" w:hAnsi="Arial"/>
                <w:sz w:val="14"/>
                <w:szCs w:val="14"/>
                <w:color w:val="auto"/>
              </w:rPr>
              <w:t>Customers</w:t>
            </w:r>
          </w:p>
        </w:tc>
        <w:tc>
          <w:tcPr>
            <w:tcW w:w="130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Net Additions</w:t>
            </w:r>
          </w:p>
        </w:tc>
        <w:tc>
          <w:tcPr>
            <w:tcW w:w="480" w:type="dxa"/>
            <w:vAlign w:val="bottom"/>
          </w:tcPr>
          <w:p>
            <w:pPr>
              <w:spacing w:after="0"/>
              <w:rPr>
                <w:sz w:val="14"/>
                <w:szCs w:val="14"/>
                <w:color w:val="auto"/>
              </w:rPr>
            </w:pPr>
          </w:p>
        </w:tc>
      </w:tr>
      <w:tr>
        <w:trPr>
          <w:trHeight w:val="208"/>
        </w:trPr>
        <w:tc>
          <w:tcPr>
            <w:tcW w:w="4440" w:type="dxa"/>
            <w:vAlign w:val="bottom"/>
            <w:tcBorders>
              <w:bottom w:val="single" w:sz="8" w:color="auto"/>
            </w:tcBorders>
          </w:tcPr>
          <w:p>
            <w:pPr>
              <w:spacing w:after="0"/>
              <w:rPr>
                <w:sz w:val="20"/>
                <w:szCs w:val="20"/>
                <w:color w:val="auto"/>
              </w:rPr>
            </w:pPr>
            <w:r>
              <w:rPr>
                <w:rFonts w:ascii="Arial" w:cs="Arial" w:eastAsia="Arial" w:hAnsi="Arial"/>
                <w:sz w:val="11"/>
                <w:szCs w:val="11"/>
                <w:i w:val="1"/>
                <w:iCs w:val="1"/>
                <w:color w:val="auto"/>
              </w:rPr>
              <w:t>(in thousands) (pro forma)</w:t>
            </w:r>
          </w:p>
        </w:tc>
        <w:tc>
          <w:tcPr>
            <w:tcW w:w="35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1Q18</w:t>
            </w:r>
          </w:p>
        </w:tc>
        <w:tc>
          <w:tcPr>
            <w:tcW w:w="13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1Q19</w:t>
            </w:r>
          </w:p>
        </w:tc>
        <w:tc>
          <w:tcPr>
            <w:tcW w:w="17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1Q18</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1Q19</w:t>
            </w:r>
          </w:p>
        </w:tc>
      </w:tr>
      <w:tr>
        <w:trPr>
          <w:trHeight w:val="183"/>
        </w:trPr>
        <w:tc>
          <w:tcPr>
            <w:tcW w:w="44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Total Customer Relationships</w:t>
            </w:r>
          </w:p>
        </w:tc>
        <w:tc>
          <w:tcPr>
            <w:tcW w:w="35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22,903</w:t>
            </w:r>
          </w:p>
        </w:tc>
        <w:tc>
          <w:tcPr>
            <w:tcW w:w="13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23,712</w:t>
            </w:r>
          </w:p>
        </w:tc>
        <w:tc>
          <w:tcPr>
            <w:tcW w:w="17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38</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w:t>
            </w:r>
          </w:p>
        </w:tc>
      </w:tr>
    </w:tbl>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Pro Forma Adjusted EBITDA </w:t>
      </w:r>
      <w:r>
        <w:rPr>
          <w:rFonts w:ascii="Arial" w:cs="Arial" w:eastAsia="Arial" w:hAnsi="Arial"/>
          <w:sz w:val="18"/>
          <w:szCs w:val="18"/>
          <w:color w:val="auto"/>
        </w:rPr>
        <w:t>for Sky decreased 17.0% to $663 million in the first quarter of 2019. Excluding the impact of currency, Adjusted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EBITDA decreased 11.3%, reflecting a 4.4% increase in operating expenses, partially offset by higher revenues. The higher expenses were primarily driven by new contracts for Serie A and UEFA Champions League soccer rights in Italy and Germany, partially offset by lower other operating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Corporate, Other and Eliminations primarily relate to corporate operations and Comcast Spectacor, as well as eliminations among Comcast’s businesses. For the quarter ended March 31, 2019, the Corporate, Other and Eliminations Adjusted EBITDA</w:t>
      </w:r>
      <w:r>
        <w:rPr>
          <w:rFonts w:ascii="Arial" w:cs="Arial" w:eastAsia="Arial" w:hAnsi="Arial"/>
          <w:sz w:val="18"/>
          <w:szCs w:val="18"/>
          <w:color w:val="auto"/>
          <w:vertAlign w:val="superscript"/>
        </w:rPr>
        <w:t>6</w:t>
      </w:r>
      <w:r>
        <w:rPr>
          <w:rFonts w:ascii="Arial" w:cs="Arial" w:eastAsia="Arial" w:hAnsi="Arial"/>
          <w:sz w:val="18"/>
          <w:szCs w:val="18"/>
          <w:color w:val="auto"/>
        </w:rPr>
        <w:t xml:space="preserve"> loss was $175 million, compared to a loss of $244 million in the first quarter of 2018, which reflected an increase in eliminations associated with the 2018 PyeongChang Olympics.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20" w:lineRule="exact"/>
        <w:rPr>
          <w:sz w:val="20"/>
          <w:szCs w:val="20"/>
          <w:color w:val="auto"/>
        </w:rPr>
      </w:pPr>
    </w:p>
    <w:p>
      <w:pPr>
        <w:jc w:val="both"/>
        <w:ind w:left="180" w:hanging="172"/>
        <w:spacing w:after="0" w:line="237" w:lineRule="auto"/>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Adjusted EBITDA as net income attributable to Comcast Corporation before net income (loss) attributable to noncontrolling interests and redeemable subsidiary preferred stock, income tax benefit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2 All earnings per share amounts are presented on a diluted basis.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9" w:name="page10"/>
    <w:bookmarkEnd w:id="9"/>
    <w:p>
      <w:pPr>
        <w:ind w:left="180" w:right="80" w:hanging="172"/>
        <w:spacing w:after="0" w:line="236" w:lineRule="auto"/>
        <w:tabs>
          <w:tab w:leader="none" w:pos="187"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first quarter 2019, we changed our presentation of Adjusted EPS to also exclude amortization expense for acquisition-related intangible assets. Adjusted EPS is a non-GAAP financial measure that presents the earnings generated by our ongoing core operations on a per share basis. Our presentation of Adjusted EPS is our diluted earnings per common share attributable to Comcast Corporation shareholders adjusted to exclude the effects of fair value investments and amortization of acquisition-related intangible assets, as well as the impact of certain events, gains, losses or other charges (such as from the sales of investments). For Adjusted EPS, the effects of fair value investments include realized and unrealized gains and losses, net, including impairments, on equity securities not accounted for under the equity method, as well as the equity in net income (losses), net, for our investment in Atairos Group, Inc. (Atairos follows investment company accounting and records its investments at their fair values each reporting period). Acquisition-related intangible assets include those recognized as a result of the application of Accounting Standards Codification Topic 805, Business Combinations (such as customer relationships). Amortization of acquisition-related intangible assets is significantly affected by the timing and size of our acquisitions and may have no correlation to our current operating results, as the acquisitions occurred in prior periods. Amortization of intangible assets not resulting from business combinations (such as software and acquired intellectual property rights used in our theme parks) is not excluded from Adjusted EPS.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4 Consolidated financial results include Sky results for periods following the acquisition on October 9, 2018.</w:t>
      </w:r>
    </w:p>
    <w:p>
      <w:pPr>
        <w:spacing w:after="0" w:line="131" w:lineRule="exact"/>
        <w:rPr>
          <w:sz w:val="20"/>
          <w:szCs w:val="20"/>
          <w:color w:val="auto"/>
        </w:rPr>
      </w:pPr>
    </w:p>
    <w:p>
      <w:pPr>
        <w:jc w:val="both"/>
        <w:ind w:left="180" w:hanging="172"/>
        <w:spacing w:after="0" w:line="237" w:lineRule="auto"/>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Consolidated Statement of Cash Flows and are therefore excluded from capital expenditures for Free Cash Flow. See Table 4 for reconciliation of non-GAAP financial measures.</w:t>
      </w:r>
    </w:p>
    <w:p>
      <w:pPr>
        <w:spacing w:after="0" w:line="124" w:lineRule="exact"/>
        <w:rPr>
          <w:sz w:val="20"/>
          <w:szCs w:val="20"/>
          <w:color w:val="auto"/>
        </w:rPr>
      </w:pPr>
    </w:p>
    <w:p>
      <w:pPr>
        <w:ind w:left="180" w:right="240" w:hanging="172"/>
        <w:spacing w:after="0" w:line="239" w:lineRule="auto"/>
        <w:tabs>
          <w:tab w:leader="none" w:pos="193" w:val="left"/>
        </w:tabs>
        <w:numPr>
          <w:ilvl w:val="0"/>
          <w:numId w:val="9"/>
        </w:numPr>
        <w:rPr>
          <w:rFonts w:ascii="Arial" w:cs="Arial" w:eastAsia="Arial" w:hAnsi="Arial"/>
          <w:sz w:val="18"/>
          <w:szCs w:val="18"/>
          <w:color w:val="auto"/>
        </w:rPr>
      </w:pPr>
      <w:r>
        <w:rPr>
          <w:rFonts w:ascii="Arial" w:cs="Arial" w:eastAsia="Arial" w:hAnsi="Arial"/>
          <w:sz w:val="18"/>
          <w:szCs w:val="18"/>
          <w:color w:val="auto"/>
        </w:rPr>
        <w:t>Beginning in the first quarter of 2019, Comcast Cable’s wireless phone service and certain other Cable-related business development initiatives are now presented in the Cable Communications segment. Results were previously presented in Corporate and Other. Prior periods have been adjusted to reflect this presentation. To be consistent with our current management reporting presentation, certain 2018 operating results were reclassified related to certain NBCUniversal businesses now presented in the Sky segment.</w:t>
      </w:r>
    </w:p>
    <w:p>
      <w:pPr>
        <w:spacing w:after="0" w:line="121" w:lineRule="exact"/>
        <w:rPr>
          <w:sz w:val="20"/>
          <w:szCs w:val="20"/>
          <w:color w:val="auto"/>
        </w:rPr>
      </w:pPr>
    </w:p>
    <w:p>
      <w:pPr>
        <w:ind w:left="180" w:right="120" w:hanging="172"/>
        <w:spacing w:after="0"/>
        <w:tabs>
          <w:tab w:leader="none" w:pos="1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Sky constant currency growth rates are calculated by comparing the current period results to the comparative period results in the prior year adjusted to reflect the average exchange rates from the current year period rather than the actual exchange rates in effect during the respective prior year periods. See Table 8 for reconciliation of Sky’s constant currency growth.</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3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April 25, 2019 at 8:30 a.m. Eastern Time (ET). The conference call and related materials will be broadcast live and posted on its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Those parties interested in participating via telephone should dial (800) 263-8495 with the conference ID number 8973128. A replay of the call will be available starting at 12:00 p.m. ET on April 25, 2019, on the Investor Relations website or by telephone. To access the telephone replay, which will be available until Thursday, May 2, 2019 at midnight ET, please dial (855) 859-2056 and enter the conference ID number 8973128.</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and on our corporate blog, </w:t>
      </w:r>
      <w:r>
        <w:rPr>
          <w:rFonts w:ascii="Arial" w:cs="Arial" w:eastAsia="Arial" w:hAnsi="Arial"/>
          <w:sz w:val="16"/>
          <w:szCs w:val="16"/>
          <w:u w:val="single" w:color="auto"/>
          <w:color w:val="0000FF"/>
        </w:rPr>
        <w:t>www.corporate.comcast.com/comcast-voices</w:t>
      </w:r>
      <w:r>
        <w:rPr>
          <w:rFonts w:ascii="Arial" w:cs="Arial" w:eastAsia="Arial" w:hAnsi="Arial"/>
          <w:sz w:val="16"/>
          <w:szCs w:val="16"/>
          <w:color w:val="000000"/>
        </w:rPr>
        <w:t>. To automatically receive Comcast financial news by email, please visit</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www.cmcsa.com</w:t>
      </w:r>
      <w:r>
        <w:rPr>
          <w:rFonts w:ascii="Arial" w:cs="Arial" w:eastAsia="Arial" w:hAnsi="Arial"/>
          <w:sz w:val="16"/>
          <w:szCs w:val="16"/>
          <w:color w:val="0000FF"/>
        </w:rPr>
        <w:t xml:space="preserve"> </w:t>
      </w:r>
      <w:r>
        <w:rPr>
          <w:rFonts w:ascii="Arial" w:cs="Arial" w:eastAsia="Arial" w:hAnsi="Arial"/>
          <w:sz w:val="16"/>
          <w:szCs w:val="16"/>
          <w:color w:val="000000"/>
        </w:rPr>
        <w:t>and subscribe to email</w:t>
      </w:r>
      <w:r>
        <w:rPr>
          <w:rFonts w:ascii="Arial" w:cs="Arial" w:eastAsia="Arial" w:hAnsi="Arial"/>
          <w:sz w:val="16"/>
          <w:szCs w:val="16"/>
          <w:color w:val="0000FF"/>
        </w:rPr>
        <w:t xml:space="preserve"> </w:t>
      </w:r>
      <w:r>
        <w:rPr>
          <w:rFonts w:ascii="Arial" w:cs="Arial" w:eastAsia="Arial" w:hAnsi="Arial"/>
          <w:sz w:val="16"/>
          <w:szCs w:val="16"/>
          <w:color w:val="000000"/>
        </w:rPr>
        <w:t>alerts.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Visit Comcast Corporation’s Investor Relations website at </w:t>
      </w:r>
      <w:r>
        <w:rPr>
          <w:rFonts w:ascii="Arial" w:cs="Arial" w:eastAsia="Arial" w:hAnsi="Arial"/>
          <w:sz w:val="16"/>
          <w:szCs w:val="16"/>
          <w:u w:val="single" w:color="auto"/>
          <w:color w:val="0000FF"/>
        </w:rPr>
        <w:t>www.cmcsa.com</w:t>
      </w:r>
      <w:r>
        <w:rPr>
          <w:rFonts w:ascii="Arial" w:cs="Arial" w:eastAsia="Arial" w:hAnsi="Arial"/>
          <w:sz w:val="16"/>
          <w:szCs w:val="16"/>
          <w:color w:val="auto"/>
        </w:rPr>
        <w:t xml:space="preserve"> to access a copy of this press release.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460" w:type="dxa"/>
            <w:vAlign w:val="bottom"/>
          </w:tcPr>
          <w:p>
            <w:pPr>
              <w:jc w:val="right"/>
              <w:ind w:right="2039"/>
              <w:spacing w:after="0"/>
              <w:rPr>
                <w:sz w:val="20"/>
                <w:szCs w:val="20"/>
                <w:color w:val="auto"/>
              </w:rPr>
            </w:pPr>
            <w:r>
              <w:rPr>
                <w:rFonts w:ascii="Arial" w:cs="Arial" w:eastAsia="Arial" w:hAnsi="Arial"/>
                <w:sz w:val="16"/>
                <w:szCs w:val="16"/>
                <w:color w:val="auto"/>
              </w:rPr>
              <w:t>###</w:t>
            </w:r>
          </w:p>
        </w:tc>
        <w:tc>
          <w:tcPr>
            <w:tcW w:w="1740" w:type="dxa"/>
            <w:vAlign w:val="bottom"/>
          </w:tcPr>
          <w:p>
            <w:pPr>
              <w:spacing w:after="0"/>
              <w:rPr>
                <w:sz w:val="16"/>
                <w:szCs w:val="16"/>
                <w:color w:val="auto"/>
              </w:rPr>
            </w:pPr>
          </w:p>
        </w:tc>
      </w:tr>
      <w:tr>
        <w:trPr>
          <w:trHeight w:val="305"/>
        </w:trPr>
        <w:tc>
          <w:tcPr>
            <w:tcW w:w="188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620" w:type="dxa"/>
            <w:vAlign w:val="bottom"/>
          </w:tcPr>
          <w:p>
            <w:pPr>
              <w:spacing w:after="0"/>
              <w:rPr>
                <w:sz w:val="24"/>
                <w:szCs w:val="24"/>
                <w:color w:val="auto"/>
              </w:rPr>
            </w:pPr>
          </w:p>
        </w:tc>
        <w:tc>
          <w:tcPr>
            <w:tcW w:w="3460" w:type="dxa"/>
            <w:vAlign w:val="bottom"/>
          </w:tcPr>
          <w:p>
            <w:pPr>
              <w:ind w:left="1600"/>
              <w:spacing w:after="0"/>
              <w:rPr>
                <w:sz w:val="20"/>
                <w:szCs w:val="20"/>
                <w:color w:val="auto"/>
              </w:rPr>
            </w:pPr>
            <w:r>
              <w:rPr>
                <w:rFonts w:ascii="Arial" w:cs="Arial" w:eastAsia="Arial" w:hAnsi="Arial"/>
                <w:sz w:val="16"/>
                <w:szCs w:val="16"/>
                <w:b w:val="1"/>
                <w:bCs w:val="1"/>
                <w:color w:val="auto"/>
              </w:rPr>
              <w:t>Press Contacts:</w:t>
            </w:r>
          </w:p>
        </w:tc>
        <w:tc>
          <w:tcPr>
            <w:tcW w:w="1740" w:type="dxa"/>
            <w:vAlign w:val="bottom"/>
          </w:tcPr>
          <w:p>
            <w:pPr>
              <w:spacing w:after="0"/>
              <w:rPr>
                <w:sz w:val="24"/>
                <w:szCs w:val="24"/>
                <w:color w:val="auto"/>
              </w:rPr>
            </w:pPr>
          </w:p>
        </w:tc>
      </w:tr>
      <w:tr>
        <w:trPr>
          <w:trHeight w:val="189"/>
        </w:trPr>
        <w:tc>
          <w:tcPr>
            <w:tcW w:w="1880" w:type="dxa"/>
            <w:vAlign w:val="bottom"/>
          </w:tcPr>
          <w:p>
            <w:pPr>
              <w:spacing w:after="0"/>
              <w:rPr>
                <w:sz w:val="20"/>
                <w:szCs w:val="20"/>
                <w:color w:val="auto"/>
              </w:rPr>
            </w:pPr>
            <w:r>
              <w:rPr>
                <w:rFonts w:ascii="Arial" w:cs="Arial" w:eastAsia="Arial" w:hAnsi="Arial"/>
                <w:sz w:val="16"/>
                <w:szCs w:val="16"/>
                <w:color w:val="auto"/>
              </w:rPr>
              <w:t>Jason Armstrong</w:t>
            </w:r>
          </w:p>
        </w:tc>
        <w:tc>
          <w:tcPr>
            <w:tcW w:w="2620" w:type="dxa"/>
            <w:vAlign w:val="bottom"/>
          </w:tcPr>
          <w:p>
            <w:pPr>
              <w:jc w:val="right"/>
              <w:ind w:right="979"/>
              <w:spacing w:after="0"/>
              <w:rPr>
                <w:sz w:val="20"/>
                <w:szCs w:val="20"/>
                <w:color w:val="auto"/>
              </w:rPr>
            </w:pPr>
            <w:r>
              <w:rPr>
                <w:rFonts w:ascii="Arial" w:cs="Arial" w:eastAsia="Arial" w:hAnsi="Arial"/>
                <w:sz w:val="16"/>
                <w:szCs w:val="16"/>
                <w:color w:val="auto"/>
              </w:rPr>
              <w:t>(215) 286-7972</w:t>
            </w:r>
          </w:p>
        </w:tc>
        <w:tc>
          <w:tcPr>
            <w:tcW w:w="3460" w:type="dxa"/>
            <w:vAlign w:val="bottom"/>
          </w:tcPr>
          <w:p>
            <w:pPr>
              <w:ind w:left="1600"/>
              <w:spacing w:after="0"/>
              <w:rPr>
                <w:sz w:val="20"/>
                <w:szCs w:val="20"/>
                <w:color w:val="auto"/>
              </w:rPr>
            </w:pPr>
            <w:r>
              <w:rPr>
                <w:rFonts w:ascii="Arial" w:cs="Arial" w:eastAsia="Arial" w:hAnsi="Arial"/>
                <w:sz w:val="16"/>
                <w:szCs w:val="16"/>
                <w:color w:val="auto"/>
              </w:rPr>
              <w:t>D’Arcy Rudnay</w:t>
            </w:r>
          </w:p>
        </w:tc>
        <w:tc>
          <w:tcPr>
            <w:tcW w:w="1740" w:type="dxa"/>
            <w:vAlign w:val="bottom"/>
          </w:tcPr>
          <w:p>
            <w:pPr>
              <w:jc w:val="right"/>
              <w:spacing w:after="0"/>
              <w:rPr>
                <w:sz w:val="20"/>
                <w:szCs w:val="20"/>
                <w:color w:val="auto"/>
              </w:rPr>
            </w:pPr>
            <w:r>
              <w:rPr>
                <w:rFonts w:ascii="Arial" w:cs="Arial" w:eastAsia="Arial" w:hAnsi="Arial"/>
                <w:sz w:val="16"/>
                <w:szCs w:val="16"/>
                <w:color w:val="auto"/>
              </w:rPr>
              <w:t>(215) 286-8582</w:t>
            </w:r>
          </w:p>
        </w:tc>
      </w:tr>
      <w:tr>
        <w:trPr>
          <w:trHeight w:val="195"/>
        </w:trPr>
        <w:tc>
          <w:tcPr>
            <w:tcW w:w="1880" w:type="dxa"/>
            <w:vAlign w:val="bottom"/>
          </w:tcPr>
          <w:p>
            <w:pPr>
              <w:spacing w:after="0"/>
              <w:rPr>
                <w:sz w:val="20"/>
                <w:szCs w:val="20"/>
                <w:color w:val="auto"/>
              </w:rPr>
            </w:pPr>
            <w:r>
              <w:rPr>
                <w:rFonts w:ascii="Arial" w:cs="Arial" w:eastAsia="Arial" w:hAnsi="Arial"/>
                <w:sz w:val="16"/>
                <w:szCs w:val="16"/>
                <w:color w:val="auto"/>
              </w:rPr>
              <w:t>Jane Kearns</w:t>
            </w:r>
          </w:p>
        </w:tc>
        <w:tc>
          <w:tcPr>
            <w:tcW w:w="2620" w:type="dxa"/>
            <w:vAlign w:val="bottom"/>
          </w:tcPr>
          <w:p>
            <w:pPr>
              <w:jc w:val="right"/>
              <w:ind w:right="979"/>
              <w:spacing w:after="0"/>
              <w:rPr>
                <w:sz w:val="20"/>
                <w:szCs w:val="20"/>
                <w:color w:val="auto"/>
              </w:rPr>
            </w:pPr>
            <w:r>
              <w:rPr>
                <w:rFonts w:ascii="Arial" w:cs="Arial" w:eastAsia="Arial" w:hAnsi="Arial"/>
                <w:sz w:val="16"/>
                <w:szCs w:val="16"/>
                <w:color w:val="auto"/>
              </w:rPr>
              <w:t>(215) 286-4794</w:t>
            </w:r>
          </w:p>
        </w:tc>
        <w:tc>
          <w:tcPr>
            <w:tcW w:w="3460" w:type="dxa"/>
            <w:vAlign w:val="bottom"/>
          </w:tcPr>
          <w:p>
            <w:pPr>
              <w:ind w:left="1600"/>
              <w:spacing w:after="0"/>
              <w:rPr>
                <w:sz w:val="20"/>
                <w:szCs w:val="20"/>
                <w:color w:val="auto"/>
              </w:rPr>
            </w:pPr>
            <w:r>
              <w:rPr>
                <w:rFonts w:ascii="Arial" w:cs="Arial" w:eastAsia="Arial" w:hAnsi="Arial"/>
                <w:sz w:val="16"/>
                <w:szCs w:val="16"/>
                <w:color w:val="auto"/>
              </w:rPr>
              <w:t>John Demming</w:t>
            </w:r>
          </w:p>
        </w:tc>
        <w:tc>
          <w:tcPr>
            <w:tcW w:w="1740" w:type="dxa"/>
            <w:vAlign w:val="bottom"/>
          </w:tcPr>
          <w:p>
            <w:pPr>
              <w:jc w:val="right"/>
              <w:spacing w:after="0"/>
              <w:rPr>
                <w:sz w:val="20"/>
                <w:szCs w:val="20"/>
                <w:color w:val="auto"/>
              </w:rPr>
            </w:pPr>
            <w:r>
              <w:rPr>
                <w:rFonts w:ascii="Arial" w:cs="Arial" w:eastAsia="Arial" w:hAnsi="Arial"/>
                <w:sz w:val="16"/>
                <w:szCs w:val="16"/>
                <w:color w:val="auto"/>
              </w:rPr>
              <w:t>(215) 286-8011</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Comcast Corporation (Nasdaq: CMCSA) is a global media and technology company with three primary businesses: Comcast Cable, NBCUniversal, and Sky. Comcast Cable is one of the United States’ largest high-speed internet, video, and phone providers to residential customers under the Xfinity brand, and also provides these services to businesses. It also provides wireless and security and automation services to residential customers under the Xfinity brand. NBCUniversal is global and operates news, entertainment and sports cable networks, the NBC and Telemundo broadcast networks, television production operations, television station groups, Universal Pictures, and Universal Parks and Resorts. Sky is one of Europe’s leading media and entertainment companies, connecting customers to a broad range of video content through its pay television services. It also provides communications services, including residential high-speed internet, phone, and wireless services. Sky operates the Sky News broadcast network and sports and entertainment networks, produces original content, and has exclusive content rights.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Visit www.comcastcorporation.com for more information.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1" w:name="page12"/>
    <w:bookmarkEnd w:id="11"/>
    <w:p>
      <w:pPr>
        <w:spacing w:after="0"/>
        <w:rPr>
          <w:sz w:val="20"/>
          <w:szCs w:val="20"/>
          <w:color w:val="auto"/>
        </w:rPr>
      </w:pPr>
      <w:r>
        <w:rPr>
          <w:rFonts w:ascii="Arial" w:cs="Arial" w:eastAsia="Arial" w:hAnsi="Arial"/>
          <w:sz w:val="25"/>
          <w:szCs w:val="25"/>
          <w:b w:val="1"/>
          <w:bCs w:val="1"/>
          <w:color w:val="C9C9C9"/>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403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03225"/>
                    </a:xfrm>
                    <a:prstGeom prst="rect">
                      <a:avLst/>
                    </a:prstGeom>
                    <a:noFill/>
                  </pic:spPr>
                </pic:pic>
              </a:graphicData>
            </a:graphic>
          </wp:anchor>
        </w:drawing>
        <w:t>TABLE 1</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Statement of Income (Unaudited)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40" w:type="dxa"/>
            <w:vAlign w:val="bottom"/>
          </w:tcPr>
          <w:p>
            <w:pPr>
              <w:spacing w:after="0"/>
              <w:rPr>
                <w:sz w:val="16"/>
                <w:szCs w:val="16"/>
                <w:color w:val="auto"/>
              </w:rPr>
            </w:pPr>
          </w:p>
        </w:tc>
        <w:tc>
          <w:tcPr>
            <w:tcW w:w="282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9"/>
        </w:trPr>
        <w:tc>
          <w:tcPr>
            <w:tcW w:w="864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1880" w:type="dxa"/>
            <w:vAlign w:val="bottom"/>
            <w:gridSpan w:val="3"/>
          </w:tcPr>
          <w:p>
            <w:pPr>
              <w:jc w:val="center"/>
              <w:ind w:left="819"/>
              <w:spacing w:after="0"/>
              <w:rPr>
                <w:sz w:val="20"/>
                <w:szCs w:val="20"/>
                <w:color w:val="auto"/>
              </w:rPr>
            </w:pPr>
            <w:r>
              <w:rPr>
                <w:rFonts w:ascii="Arial" w:cs="Arial" w:eastAsia="Arial" w:hAnsi="Arial"/>
                <w:sz w:val="16"/>
                <w:szCs w:val="16"/>
                <w:b w:val="1"/>
                <w:bCs w:val="1"/>
                <w:color w:val="auto"/>
              </w:rPr>
              <w:t>March 31,</w:t>
            </w:r>
          </w:p>
        </w:tc>
        <w:tc>
          <w:tcPr>
            <w:tcW w:w="90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640" w:type="dxa"/>
            <w:vAlign w:val="bottom"/>
            <w:vMerge w:val="restart"/>
          </w:tcPr>
          <w:p>
            <w:pPr>
              <w:spacing w:after="0"/>
              <w:rPr>
                <w:sz w:val="20"/>
                <w:szCs w:val="20"/>
                <w:color w:val="auto"/>
              </w:rPr>
            </w:pPr>
            <w:r>
              <w:rPr>
                <w:rFonts w:ascii="Arial" w:cs="Arial" w:eastAsia="Arial" w:hAnsi="Arial"/>
                <w:sz w:val="16"/>
                <w:szCs w:val="16"/>
                <w:b w:val="1"/>
                <w:bCs w:val="1"/>
                <w:color w:val="auto"/>
              </w:rPr>
              <w:t>Revenue</w:t>
            </w:r>
          </w:p>
        </w:tc>
        <w:tc>
          <w:tcPr>
            <w:tcW w:w="12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2018</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640" w:type="dxa"/>
            <w:vAlign w:val="bottom"/>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$22,791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$26,859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8640" w:type="dxa"/>
            <w:vAlign w:val="bottom"/>
          </w:tcPr>
          <w:p>
            <w:pPr>
              <w:ind w:left="220"/>
              <w:spacing w:after="0"/>
              <w:rPr>
                <w:sz w:val="20"/>
                <w:szCs w:val="20"/>
                <w:color w:val="auto"/>
              </w:rPr>
            </w:pPr>
            <w:r>
              <w:rPr>
                <w:rFonts w:ascii="Arial" w:cs="Arial" w:eastAsia="Arial" w:hAnsi="Arial"/>
                <w:sz w:val="16"/>
                <w:szCs w:val="16"/>
                <w:color w:val="auto"/>
              </w:rPr>
              <w:t>Programming and production</w:t>
            </w:r>
          </w:p>
        </w:tc>
        <w:tc>
          <w:tcPr>
            <w:tcW w:w="1260" w:type="dxa"/>
            <w:vAlign w:val="bottom"/>
          </w:tcPr>
          <w:p>
            <w:pPr>
              <w:jc w:val="right"/>
              <w:spacing w:after="0"/>
              <w:rPr>
                <w:sz w:val="20"/>
                <w:szCs w:val="20"/>
                <w:color w:val="auto"/>
              </w:rPr>
            </w:pPr>
            <w:r>
              <w:rPr>
                <w:rFonts w:ascii="Arial" w:cs="Arial" w:eastAsia="Arial" w:hAnsi="Arial"/>
                <w:sz w:val="16"/>
                <w:szCs w:val="16"/>
                <w:color w:val="auto"/>
              </w:rPr>
              <w:t>7,429</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8,569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640" w:type="dxa"/>
            <w:vAlign w:val="bottom"/>
          </w:tcPr>
          <w:p>
            <w:pPr>
              <w:ind w:left="220"/>
              <w:spacing w:after="0"/>
              <w:rPr>
                <w:sz w:val="20"/>
                <w:szCs w:val="20"/>
                <w:color w:val="auto"/>
              </w:rPr>
            </w:pPr>
            <w:r>
              <w:rPr>
                <w:rFonts w:ascii="Arial" w:cs="Arial" w:eastAsia="Arial" w:hAnsi="Arial"/>
                <w:sz w:val="16"/>
                <w:szCs w:val="16"/>
                <w:color w:val="auto"/>
              </w:rPr>
              <w:t>Other operating and administrative</w:t>
            </w:r>
          </w:p>
        </w:tc>
        <w:tc>
          <w:tcPr>
            <w:tcW w:w="1260" w:type="dxa"/>
            <w:vAlign w:val="bottom"/>
          </w:tcPr>
          <w:p>
            <w:pPr>
              <w:jc w:val="right"/>
              <w:spacing w:after="0"/>
              <w:rPr>
                <w:sz w:val="20"/>
                <w:szCs w:val="20"/>
                <w:color w:val="auto"/>
              </w:rPr>
            </w:pPr>
            <w:r>
              <w:rPr>
                <w:rFonts w:ascii="Arial" w:cs="Arial" w:eastAsia="Arial" w:hAnsi="Arial"/>
                <w:sz w:val="16"/>
                <w:szCs w:val="16"/>
                <w:color w:val="auto"/>
              </w:rPr>
              <w:t>6,514</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7,900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40" w:type="dxa"/>
            <w:vAlign w:val="bottom"/>
          </w:tcPr>
          <w:p>
            <w:pPr>
              <w:ind w:left="220"/>
              <w:spacing w:after="0"/>
              <w:rPr>
                <w:sz w:val="20"/>
                <w:szCs w:val="20"/>
                <w:color w:val="auto"/>
              </w:rPr>
            </w:pPr>
            <w:r>
              <w:rPr>
                <w:rFonts w:ascii="Arial" w:cs="Arial" w:eastAsia="Arial" w:hAnsi="Arial"/>
                <w:sz w:val="16"/>
                <w:szCs w:val="16"/>
                <w:color w:val="auto"/>
              </w:rPr>
              <w:t>Advertising, marketing and promotion</w:t>
            </w:r>
          </w:p>
        </w:tc>
        <w:tc>
          <w:tcPr>
            <w:tcW w:w="1260" w:type="dxa"/>
            <w:vAlign w:val="bottom"/>
          </w:tcPr>
          <w:p>
            <w:pPr>
              <w:jc w:val="right"/>
              <w:spacing w:after="0"/>
              <w:rPr>
                <w:sz w:val="20"/>
                <w:szCs w:val="20"/>
                <w:color w:val="auto"/>
              </w:rPr>
            </w:pPr>
            <w:r>
              <w:rPr>
                <w:rFonts w:ascii="Arial" w:cs="Arial" w:eastAsia="Arial" w:hAnsi="Arial"/>
                <w:sz w:val="16"/>
                <w:szCs w:val="16"/>
                <w:color w:val="auto"/>
              </w:rPr>
              <w:t>1,604</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1,888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640" w:type="dxa"/>
            <w:vAlign w:val="bottom"/>
          </w:tcPr>
          <w:p>
            <w:pPr>
              <w:ind w:left="220"/>
              <w:spacing w:after="0" w:line="207" w:lineRule="exact"/>
              <w:rPr>
                <w:sz w:val="20"/>
                <w:szCs w:val="20"/>
                <w:color w:val="auto"/>
              </w:rPr>
            </w:pPr>
            <w:r>
              <w:rPr>
                <w:rFonts w:ascii="Arial" w:cs="Arial" w:eastAsia="Arial" w:hAnsi="Arial"/>
                <w:sz w:val="16"/>
                <w:szCs w:val="16"/>
                <w:color w:val="auto"/>
              </w:rPr>
              <w:t>Adjustments</w:t>
            </w:r>
            <w:r>
              <w:rPr>
                <w:rFonts w:ascii="Arial" w:cs="Arial" w:eastAsia="Arial" w:hAnsi="Arial"/>
                <w:sz w:val="21"/>
                <w:szCs w:val="21"/>
                <w:color w:val="auto"/>
                <w:vertAlign w:val="superscript"/>
              </w:rPr>
              <w:t>(1)</w:t>
            </w:r>
          </w:p>
        </w:tc>
        <w:tc>
          <w:tcPr>
            <w:tcW w:w="188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(51)</w:t>
            </w:r>
          </w:p>
        </w:tc>
        <w:tc>
          <w:tcPr>
            <w:tcW w:w="0" w:type="dxa"/>
            <w:vAlign w:val="bottom"/>
          </w:tcPr>
          <w:p>
            <w:pPr>
              <w:spacing w:after="0"/>
              <w:rPr>
                <w:sz w:val="1"/>
                <w:szCs w:val="1"/>
                <w:color w:val="auto"/>
              </w:rPr>
            </w:pPr>
          </w:p>
        </w:tc>
      </w:tr>
      <w:tr>
        <w:trPr>
          <w:trHeight w:val="183"/>
        </w:trPr>
        <w:tc>
          <w:tcPr>
            <w:tcW w:w="8640" w:type="dxa"/>
            <w:vAlign w:val="bottom"/>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15,547</w:t>
            </w:r>
          </w:p>
        </w:tc>
        <w:tc>
          <w:tcPr>
            <w:tcW w:w="28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18,306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3"/>
        </w:trPr>
        <w:tc>
          <w:tcPr>
            <w:tcW w:w="8640" w:type="dxa"/>
            <w:vAlign w:val="bottom"/>
          </w:tcPr>
          <w:p>
            <w:pPr>
              <w:spacing w:after="0"/>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21"/>
                <w:szCs w:val="21"/>
                <w:b w:val="1"/>
                <w:bCs w:val="1"/>
                <w:color w:val="auto"/>
                <w:vertAlign w:val="superscript"/>
              </w:rPr>
              <w:t>(1)</w:t>
            </w:r>
          </w:p>
        </w:tc>
        <w:tc>
          <w:tcPr>
            <w:tcW w:w="1260" w:type="dxa"/>
            <w:vAlign w:val="bottom"/>
          </w:tcPr>
          <w:p>
            <w:pPr>
              <w:jc w:val="right"/>
              <w:spacing w:after="0"/>
              <w:rPr>
                <w:sz w:val="20"/>
                <w:szCs w:val="20"/>
                <w:color w:val="auto"/>
              </w:rPr>
            </w:pPr>
            <w:r>
              <w:rPr>
                <w:rFonts w:ascii="Arial" w:cs="Arial" w:eastAsia="Arial" w:hAnsi="Arial"/>
                <w:sz w:val="16"/>
                <w:szCs w:val="16"/>
                <w:color w:val="auto"/>
              </w:rPr>
              <w:t>7,244</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8,553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640" w:type="dxa"/>
            <w:vAlign w:val="bottom"/>
          </w:tcPr>
          <w:p>
            <w:pPr>
              <w:ind w:left="220"/>
              <w:spacing w:after="0"/>
              <w:rPr>
                <w:sz w:val="20"/>
                <w:szCs w:val="20"/>
                <w:color w:val="auto"/>
              </w:rPr>
            </w:pPr>
            <w:r>
              <w:rPr>
                <w:rFonts w:ascii="Arial" w:cs="Arial" w:eastAsia="Arial" w:hAnsi="Arial"/>
                <w:sz w:val="16"/>
                <w:szCs w:val="16"/>
                <w:color w:val="auto"/>
              </w:rPr>
              <w:t>Adjustments</w:t>
            </w:r>
            <w:r>
              <w:rPr>
                <w:rFonts w:ascii="Arial" w:cs="Arial" w:eastAsia="Arial" w:hAnsi="Arial"/>
                <w:sz w:val="21"/>
                <w:szCs w:val="21"/>
                <w:color w:val="auto"/>
                <w:vertAlign w:val="superscript"/>
              </w:rPr>
              <w:t>(1)</w:t>
            </w:r>
          </w:p>
        </w:tc>
        <w:tc>
          <w:tcPr>
            <w:tcW w:w="188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640" w:type="dxa"/>
            <w:vAlign w:val="bottom"/>
          </w:tcPr>
          <w:p>
            <w:pPr>
              <w:ind w:left="220"/>
              <w:spacing w:after="0"/>
              <w:rPr>
                <w:sz w:val="20"/>
                <w:szCs w:val="20"/>
                <w:color w:val="auto"/>
              </w:rPr>
            </w:pPr>
            <w:r>
              <w:rPr>
                <w:rFonts w:ascii="Arial" w:cs="Arial" w:eastAsia="Arial" w:hAnsi="Arial"/>
                <w:sz w:val="16"/>
                <w:szCs w:val="16"/>
                <w:color w:val="auto"/>
              </w:rPr>
              <w:t>Depreciation expense</w:t>
            </w:r>
          </w:p>
        </w:tc>
        <w:tc>
          <w:tcPr>
            <w:tcW w:w="1260" w:type="dxa"/>
            <w:vAlign w:val="bottom"/>
          </w:tcPr>
          <w:p>
            <w:pPr>
              <w:jc w:val="right"/>
              <w:spacing w:after="0"/>
              <w:rPr>
                <w:sz w:val="20"/>
                <w:szCs w:val="20"/>
                <w:color w:val="auto"/>
              </w:rPr>
            </w:pPr>
            <w:r>
              <w:rPr>
                <w:rFonts w:ascii="Arial" w:cs="Arial" w:eastAsia="Arial" w:hAnsi="Arial"/>
                <w:sz w:val="16"/>
                <w:szCs w:val="16"/>
                <w:color w:val="auto"/>
              </w:rPr>
              <w:t>2,011</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640" w:type="dxa"/>
            <w:vAlign w:val="bottom"/>
          </w:tcPr>
          <w:p>
            <w:pPr>
              <w:ind w:left="220"/>
              <w:spacing w:after="0"/>
              <w:rPr>
                <w:sz w:val="20"/>
                <w:szCs w:val="20"/>
                <w:color w:val="auto"/>
              </w:rPr>
            </w:pPr>
            <w:r>
              <w:rPr>
                <w:rFonts w:ascii="Arial" w:cs="Arial" w:eastAsia="Arial" w:hAnsi="Arial"/>
                <w:sz w:val="16"/>
                <w:szCs w:val="16"/>
                <w:color w:val="auto"/>
              </w:rPr>
              <w:t>Amortization expense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640" w:type="dxa"/>
            <w:vAlign w:val="bottom"/>
          </w:tcPr>
          <w:p>
            <w:pPr>
              <w:spacing w:after="0"/>
              <w:rPr>
                <w:sz w:val="15"/>
                <w:szCs w:val="15"/>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2,599</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3,371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6"/>
        </w:trPr>
        <w:tc>
          <w:tcPr>
            <w:tcW w:w="864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1260" w:type="dxa"/>
            <w:vAlign w:val="bottom"/>
          </w:tcPr>
          <w:p>
            <w:pPr>
              <w:jc w:val="right"/>
              <w:spacing w:after="0"/>
              <w:rPr>
                <w:sz w:val="20"/>
                <w:szCs w:val="20"/>
                <w:color w:val="auto"/>
              </w:rPr>
            </w:pPr>
            <w:r>
              <w:rPr>
                <w:rFonts w:ascii="Arial" w:cs="Arial" w:eastAsia="Arial" w:hAnsi="Arial"/>
                <w:sz w:val="16"/>
                <w:szCs w:val="16"/>
                <w:color w:val="auto"/>
              </w:rPr>
              <w:t>4,645</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5,182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640" w:type="dxa"/>
            <w:vAlign w:val="bottom"/>
          </w:tcPr>
          <w:p>
            <w:pPr>
              <w:spacing w:after="0"/>
              <w:rPr>
                <w:sz w:val="20"/>
                <w:szCs w:val="20"/>
                <w:color w:val="auto"/>
              </w:rPr>
            </w:pPr>
            <w:r>
              <w:rPr>
                <w:rFonts w:ascii="Arial" w:cs="Arial" w:eastAsia="Arial" w:hAnsi="Arial"/>
                <w:sz w:val="16"/>
                <w:szCs w:val="16"/>
                <w:color w:val="auto"/>
              </w:rPr>
              <w:t>Interest expense</w:t>
            </w:r>
          </w:p>
        </w:tc>
        <w:tc>
          <w:tcPr>
            <w:tcW w:w="1540" w:type="dxa"/>
            <w:vAlign w:val="bottom"/>
            <w:gridSpan w:val="2"/>
          </w:tcPr>
          <w:p>
            <w:pPr>
              <w:jc w:val="right"/>
              <w:ind w:right="280"/>
              <w:spacing w:after="0"/>
              <w:rPr>
                <w:sz w:val="20"/>
                <w:szCs w:val="20"/>
                <w:color w:val="auto"/>
              </w:rPr>
            </w:pPr>
            <w:r>
              <w:rPr>
                <w:rFonts w:ascii="Arial" w:cs="Arial" w:eastAsia="Arial" w:hAnsi="Arial"/>
                <w:sz w:val="16"/>
                <w:szCs w:val="16"/>
                <w:color w:val="auto"/>
              </w:rPr>
              <w:t>(777)</w:t>
            </w:r>
          </w:p>
        </w:tc>
        <w:tc>
          <w:tcPr>
            <w:tcW w:w="3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(1,150)</w:t>
            </w:r>
          </w:p>
        </w:tc>
        <w:tc>
          <w:tcPr>
            <w:tcW w:w="0" w:type="dxa"/>
            <w:vAlign w:val="bottom"/>
          </w:tcPr>
          <w:p>
            <w:pPr>
              <w:spacing w:after="0"/>
              <w:rPr>
                <w:sz w:val="1"/>
                <w:szCs w:val="1"/>
                <w:color w:val="auto"/>
              </w:rPr>
            </w:pPr>
          </w:p>
        </w:tc>
      </w:tr>
      <w:tr>
        <w:trPr>
          <w:trHeight w:val="400"/>
        </w:trPr>
        <w:tc>
          <w:tcPr>
            <w:tcW w:w="8640" w:type="dxa"/>
            <w:vAlign w:val="bottom"/>
          </w:tcPr>
          <w:p>
            <w:pPr>
              <w:spacing w:after="0"/>
              <w:rPr>
                <w:sz w:val="20"/>
                <w:szCs w:val="20"/>
                <w:color w:val="auto"/>
              </w:rPr>
            </w:pPr>
            <w:r>
              <w:rPr>
                <w:rFonts w:ascii="Arial" w:cs="Arial" w:eastAsia="Arial" w:hAnsi="Arial"/>
                <w:sz w:val="16"/>
                <w:szCs w:val="16"/>
                <w:color w:val="auto"/>
              </w:rPr>
              <w:t>Investment and other income (loss), net</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262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640" w:type="dxa"/>
            <w:vAlign w:val="bottom"/>
          </w:tcPr>
          <w:p>
            <w:pPr>
              <w:ind w:left="220"/>
              <w:spacing w:after="0" w:line="169" w:lineRule="exact"/>
              <w:rPr>
                <w:sz w:val="20"/>
                <w:szCs w:val="20"/>
                <w:color w:val="auto"/>
              </w:rPr>
            </w:pPr>
            <w:r>
              <w:rPr>
                <w:rFonts w:ascii="Arial" w:cs="Arial" w:eastAsia="Arial" w:hAnsi="Arial"/>
                <w:sz w:val="16"/>
                <w:szCs w:val="16"/>
                <w:color w:val="auto"/>
              </w:rPr>
              <w:t>Equity in net income (losses) of investees, net</w:t>
            </w:r>
          </w:p>
        </w:tc>
        <w:tc>
          <w:tcPr>
            <w:tcW w:w="1540" w:type="dxa"/>
            <w:vAlign w:val="bottom"/>
            <w:gridSpan w:val="2"/>
          </w:tcPr>
          <w:p>
            <w:pPr>
              <w:jc w:val="right"/>
              <w:ind w:right="280"/>
              <w:spacing w:after="0" w:line="169" w:lineRule="exact"/>
              <w:rPr>
                <w:sz w:val="20"/>
                <w:szCs w:val="20"/>
                <w:color w:val="auto"/>
              </w:rPr>
            </w:pPr>
            <w:r>
              <w:rPr>
                <w:rFonts w:ascii="Arial" w:cs="Arial" w:eastAsia="Arial" w:hAnsi="Arial"/>
                <w:sz w:val="16"/>
                <w:szCs w:val="16"/>
                <w:color w:val="auto"/>
              </w:rPr>
              <w:t>(49)</w:t>
            </w: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40" w:type="dxa"/>
            <w:vAlign w:val="bottom"/>
          </w:tcPr>
          <w:p>
            <w:pPr>
              <w:ind w:left="220"/>
              <w:spacing w:after="0"/>
              <w:rPr>
                <w:sz w:val="20"/>
                <w:szCs w:val="20"/>
                <w:color w:val="auto"/>
              </w:rPr>
            </w:pPr>
            <w:r>
              <w:rPr>
                <w:rFonts w:ascii="Arial" w:cs="Arial" w:eastAsia="Arial" w:hAnsi="Arial"/>
                <w:sz w:val="16"/>
                <w:szCs w:val="16"/>
                <w:color w:val="auto"/>
              </w:rPr>
              <w:t>Realized and unrealized gains (losses) on equity securities, net</w:t>
            </w:r>
          </w:p>
        </w:tc>
        <w:tc>
          <w:tcPr>
            <w:tcW w:w="1260" w:type="dxa"/>
            <w:vAlign w:val="bottom"/>
          </w:tcPr>
          <w:p>
            <w:pPr>
              <w:jc w:val="right"/>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640" w:type="dxa"/>
            <w:vAlign w:val="bottom"/>
          </w:tcPr>
          <w:p>
            <w:pPr>
              <w:ind w:left="220"/>
              <w:spacing w:after="0"/>
              <w:rPr>
                <w:sz w:val="20"/>
                <w:szCs w:val="20"/>
                <w:color w:val="auto"/>
              </w:rPr>
            </w:pPr>
            <w:r>
              <w:rPr>
                <w:rFonts w:ascii="Arial" w:cs="Arial" w:eastAsia="Arial" w:hAnsi="Arial"/>
                <w:sz w:val="16"/>
                <w:szCs w:val="16"/>
                <w:color w:val="auto"/>
              </w:rPr>
              <w:t>Other income (loss), net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640" w:type="dxa"/>
            <w:vAlign w:val="bottom"/>
          </w:tcPr>
          <w:p>
            <w:pPr>
              <w:spacing w:after="0"/>
              <w:rPr>
                <w:sz w:val="15"/>
                <w:szCs w:val="15"/>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126</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676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6"/>
        </w:trPr>
        <w:tc>
          <w:tcPr>
            <w:tcW w:w="86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260" w:type="dxa"/>
            <w:vAlign w:val="bottom"/>
          </w:tcPr>
          <w:p>
            <w:pPr>
              <w:jc w:val="right"/>
              <w:spacing w:after="0"/>
              <w:rPr>
                <w:sz w:val="20"/>
                <w:szCs w:val="20"/>
                <w:color w:val="auto"/>
              </w:rPr>
            </w:pPr>
            <w:r>
              <w:rPr>
                <w:rFonts w:ascii="Arial" w:cs="Arial" w:eastAsia="Arial" w:hAnsi="Arial"/>
                <w:sz w:val="16"/>
                <w:szCs w:val="16"/>
                <w:color w:val="auto"/>
              </w:rPr>
              <w:t>3,994</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4,708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640" w:type="dxa"/>
            <w:vAlign w:val="bottom"/>
          </w:tcPr>
          <w:p>
            <w:pPr>
              <w:spacing w:after="0"/>
              <w:rPr>
                <w:sz w:val="20"/>
                <w:szCs w:val="20"/>
                <w:color w:val="auto"/>
              </w:rPr>
            </w:pPr>
            <w:r>
              <w:rPr>
                <w:rFonts w:ascii="Arial" w:cs="Arial" w:eastAsia="Arial" w:hAnsi="Arial"/>
                <w:sz w:val="16"/>
                <w:szCs w:val="16"/>
                <w:color w:val="auto"/>
              </w:rPr>
              <w:t>Income tax expense</w:t>
            </w:r>
          </w:p>
        </w:tc>
        <w:tc>
          <w:tcPr>
            <w:tcW w:w="1540" w:type="dxa"/>
            <w:vAlign w:val="bottom"/>
            <w:gridSpan w:val="2"/>
          </w:tcPr>
          <w:p>
            <w:pPr>
              <w:jc w:val="right"/>
              <w:ind w:right="280"/>
              <w:spacing w:after="0"/>
              <w:rPr>
                <w:sz w:val="20"/>
                <w:szCs w:val="20"/>
                <w:color w:val="auto"/>
              </w:rPr>
            </w:pPr>
            <w:r>
              <w:rPr>
                <w:rFonts w:ascii="Arial" w:cs="Arial" w:eastAsia="Arial" w:hAnsi="Arial"/>
                <w:sz w:val="16"/>
                <w:szCs w:val="16"/>
                <w:color w:val="auto"/>
              </w:rPr>
              <w:t>(818)</w:t>
            </w:r>
          </w:p>
        </w:tc>
        <w:tc>
          <w:tcPr>
            <w:tcW w:w="3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(1,076)</w:t>
            </w:r>
          </w:p>
        </w:tc>
        <w:tc>
          <w:tcPr>
            <w:tcW w:w="0" w:type="dxa"/>
            <w:vAlign w:val="bottom"/>
          </w:tcPr>
          <w:p>
            <w:pPr>
              <w:spacing w:after="0"/>
              <w:rPr>
                <w:sz w:val="1"/>
                <w:szCs w:val="1"/>
                <w:color w:val="auto"/>
              </w:rPr>
            </w:pPr>
          </w:p>
        </w:tc>
      </w:tr>
      <w:tr>
        <w:trPr>
          <w:trHeight w:val="406"/>
        </w:trPr>
        <w:tc>
          <w:tcPr>
            <w:tcW w:w="864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3,176</w:t>
            </w:r>
          </w:p>
        </w:tc>
        <w:tc>
          <w:tcPr>
            <w:tcW w:w="2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3,632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640" w:type="dxa"/>
            <w:vAlign w:val="bottom"/>
          </w:tcPr>
          <w:p>
            <w:pPr>
              <w:spacing w:after="0"/>
              <w:rPr>
                <w:sz w:val="20"/>
                <w:szCs w:val="20"/>
                <w:color w:val="auto"/>
              </w:rPr>
            </w:pPr>
            <w:r>
              <w:rPr>
                <w:rFonts w:ascii="Arial" w:cs="Arial" w:eastAsia="Arial" w:hAnsi="Arial"/>
                <w:sz w:val="16"/>
                <w:szCs w:val="16"/>
                <w:color w:val="auto"/>
              </w:rPr>
              <w:t>Less: Net income (loss) attributable to noncontrolling interests and redeemable subsidiary preferred stock</w:t>
            </w:r>
          </w:p>
        </w:tc>
        <w:tc>
          <w:tcPr>
            <w:tcW w:w="1260" w:type="dxa"/>
            <w:vAlign w:val="bottom"/>
          </w:tcPr>
          <w:p>
            <w:pPr>
              <w:jc w:val="right"/>
              <w:spacing w:after="0"/>
              <w:rPr>
                <w:sz w:val="20"/>
                <w:szCs w:val="20"/>
                <w:color w:val="auto"/>
              </w:rPr>
            </w:pPr>
            <w:r>
              <w:rPr>
                <w:rFonts w:ascii="Arial" w:cs="Arial" w:eastAsia="Arial" w:hAnsi="Arial"/>
                <w:sz w:val="16"/>
                <w:szCs w:val="16"/>
                <w:color w:val="auto"/>
              </w:rPr>
              <w:t>58</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640" w:type="dxa"/>
            <w:vAlign w:val="bottom"/>
            <w:vMerge w:val="restart"/>
          </w:tcPr>
          <w:p>
            <w:pPr>
              <w:spacing w:after="0"/>
              <w:rPr>
                <w:sz w:val="20"/>
                <w:szCs w:val="20"/>
                <w:color w:val="auto"/>
              </w:rPr>
            </w:pPr>
            <w:r>
              <w:rPr>
                <w:rFonts w:ascii="Arial" w:cs="Arial" w:eastAsia="Arial" w:hAnsi="Arial"/>
                <w:sz w:val="16"/>
                <w:szCs w:val="16"/>
                <w:b w:val="1"/>
                <w:bCs w:val="1"/>
                <w:color w:val="auto"/>
              </w:rPr>
              <w:t>Net income attributable to Comcast Corporation</w:t>
            </w:r>
          </w:p>
        </w:tc>
        <w:tc>
          <w:tcPr>
            <w:tcW w:w="12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8640" w:type="dxa"/>
            <w:vAlign w:val="bottom"/>
            <w:vMerge w:val="continue"/>
          </w:tcPr>
          <w:p>
            <w:pPr>
              <w:spacing w:after="0"/>
              <w:rPr>
                <w:sz w:val="15"/>
                <w:szCs w:val="15"/>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$3,118</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$3,553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640" w:type="dxa"/>
            <w:vAlign w:val="bottom"/>
          </w:tcPr>
          <w:p>
            <w:pPr>
              <w:spacing w:after="0"/>
              <w:rPr>
                <w:sz w:val="20"/>
                <w:szCs w:val="20"/>
                <w:color w:val="auto"/>
              </w:rPr>
            </w:pPr>
            <w:r>
              <w:rPr>
                <w:rFonts w:ascii="Arial" w:cs="Arial" w:eastAsia="Arial" w:hAnsi="Arial"/>
                <w:sz w:val="16"/>
                <w:szCs w:val="16"/>
                <w:b w:val="1"/>
                <w:bCs w:val="1"/>
                <w:color w:val="auto"/>
              </w:rPr>
              <w:t>Diluted earnings per common share attributable to Comcast Corporation shareholders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$0.66</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640" w:type="dxa"/>
            <w:vAlign w:val="bottom"/>
          </w:tcPr>
          <w:p>
            <w:pPr>
              <w:spacing w:after="0"/>
              <w:rPr>
                <w:sz w:val="20"/>
                <w:szCs w:val="20"/>
                <w:color w:val="auto"/>
              </w:rPr>
            </w:pPr>
            <w:r>
              <w:rPr>
                <w:rFonts w:ascii="Arial" w:cs="Arial" w:eastAsia="Arial" w:hAnsi="Arial"/>
                <w:sz w:val="16"/>
                <w:szCs w:val="16"/>
                <w:color w:val="auto"/>
              </w:rPr>
              <w:t>Diluted weighted-average number of common shares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4,705</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4,594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3"/>
                <w:szCs w:val="13"/>
                <w:color w:val="auto"/>
              </w:rPr>
              <w:t>(1) See Table 4 for a reconciliation of non-GAAP financial measures.</w:t>
            </w: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64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640" w:type="dxa"/>
            <w:vAlign w:val="bottom"/>
          </w:tcPr>
          <w:p>
            <w:pPr>
              <w:ind w:left="5680"/>
              <w:spacing w:after="0"/>
              <w:rPr>
                <w:sz w:val="20"/>
                <w:szCs w:val="20"/>
                <w:color w:val="auto"/>
              </w:rPr>
            </w:pPr>
            <w:r>
              <w:rPr>
                <w:rFonts w:ascii="Arial" w:cs="Arial" w:eastAsia="Arial" w:hAnsi="Arial"/>
                <w:sz w:val="14"/>
                <w:szCs w:val="14"/>
                <w:color w:val="auto"/>
              </w:rPr>
              <w:t>9</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6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79" w:right="19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color w:val="C9C9C9"/>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403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03225"/>
                    </a:xfrm>
                    <a:prstGeom prst="rect">
                      <a:avLst/>
                    </a:prstGeom>
                    <a:noFill/>
                  </pic:spPr>
                </pic:pic>
              </a:graphicData>
            </a:graphic>
          </wp:anchor>
        </w:drawing>
        <w:t>TABLE 2</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Consolidated Statement of Cash Flows (Unaudited)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00" w:type="dxa"/>
            <w:vAlign w:val="bottom"/>
          </w:tcPr>
          <w:p>
            <w:pPr>
              <w:spacing w:after="0"/>
              <w:rPr>
                <w:sz w:val="16"/>
                <w:szCs w:val="16"/>
                <w:color w:val="auto"/>
              </w:rPr>
            </w:pPr>
          </w:p>
        </w:tc>
        <w:tc>
          <w:tcPr>
            <w:tcW w:w="316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9"/>
        </w:trPr>
        <w:tc>
          <w:tcPr>
            <w:tcW w:w="8300" w:type="dxa"/>
            <w:vAlign w:val="bottom"/>
          </w:tcPr>
          <w:p>
            <w:pPr>
              <w:spacing w:after="0"/>
              <w:rPr>
                <w:sz w:val="20"/>
                <w:szCs w:val="20"/>
                <w:color w:val="auto"/>
              </w:rPr>
            </w:pPr>
            <w:r>
              <w:rPr>
                <w:rFonts w:ascii="Arial" w:cs="Arial" w:eastAsia="Arial" w:hAnsi="Arial"/>
                <w:sz w:val="16"/>
                <w:szCs w:val="16"/>
                <w:color w:val="auto"/>
              </w:rPr>
              <w:t>(in millions)</w:t>
            </w:r>
          </w:p>
        </w:tc>
        <w:tc>
          <w:tcPr>
            <w:tcW w:w="2020" w:type="dxa"/>
            <w:vAlign w:val="bottom"/>
            <w:gridSpan w:val="3"/>
          </w:tcPr>
          <w:p>
            <w:pPr>
              <w:jc w:val="center"/>
              <w:ind w:left="919"/>
              <w:spacing w:after="0"/>
              <w:rPr>
                <w:sz w:val="20"/>
                <w:szCs w:val="20"/>
                <w:color w:val="auto"/>
              </w:rPr>
            </w:pPr>
            <w:r>
              <w:rPr>
                <w:rFonts w:ascii="Arial" w:cs="Arial" w:eastAsia="Arial" w:hAnsi="Arial"/>
                <w:sz w:val="16"/>
                <w:szCs w:val="16"/>
                <w:b w:val="1"/>
                <w:bCs w:val="1"/>
                <w:color w:val="auto"/>
              </w:rPr>
              <w:t>March 31,</w:t>
            </w:r>
          </w:p>
        </w:tc>
        <w:tc>
          <w:tcPr>
            <w:tcW w:w="100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300" w:type="dxa"/>
            <w:vAlign w:val="bottom"/>
          </w:tcPr>
          <w:p>
            <w:pPr>
              <w:spacing w:after="0"/>
              <w:rPr>
                <w:sz w:val="16"/>
                <w:szCs w:val="16"/>
                <w:color w:val="auto"/>
              </w:rPr>
            </w:pPr>
          </w:p>
        </w:tc>
        <w:tc>
          <w:tcPr>
            <w:tcW w:w="13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2018</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1"/>
        </w:trPr>
        <w:tc>
          <w:tcPr>
            <w:tcW w:w="830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$3,632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1360" w:type="dxa"/>
            <w:vAlign w:val="bottom"/>
          </w:tcPr>
          <w:p>
            <w:pPr>
              <w:jc w:val="right"/>
              <w:spacing w:after="0"/>
              <w:rPr>
                <w:sz w:val="20"/>
                <w:szCs w:val="20"/>
                <w:color w:val="auto"/>
              </w:rPr>
            </w:pPr>
            <w:r>
              <w:rPr>
                <w:rFonts w:ascii="Arial" w:cs="Arial" w:eastAsia="Arial" w:hAnsi="Arial"/>
                <w:sz w:val="16"/>
                <w:szCs w:val="16"/>
                <w:color w:val="auto"/>
              </w:rPr>
              <w:t>$3,176</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300" w:type="dxa"/>
            <w:vAlign w:val="bottom"/>
          </w:tcPr>
          <w:p>
            <w:pPr>
              <w:ind w:left="380"/>
              <w:spacing w:after="0" w:line="169" w:lineRule="exact"/>
              <w:rPr>
                <w:sz w:val="20"/>
                <w:szCs w:val="20"/>
                <w:color w:val="auto"/>
              </w:rPr>
            </w:pPr>
            <w:r>
              <w:rPr>
                <w:rFonts w:ascii="Arial" w:cs="Arial" w:eastAsia="Arial" w:hAnsi="Arial"/>
                <w:sz w:val="16"/>
                <w:szCs w:val="16"/>
                <w:color w:val="auto"/>
              </w:rPr>
              <w:t>Depreciation and amortization</w:t>
            </w: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2,599</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380"/>
              <w:spacing w:after="0"/>
              <w:rPr>
                <w:sz w:val="20"/>
                <w:szCs w:val="20"/>
                <w:color w:val="auto"/>
              </w:rPr>
            </w:pPr>
            <w:r>
              <w:rPr>
                <w:rFonts w:ascii="Arial" w:cs="Arial" w:eastAsia="Arial" w:hAnsi="Arial"/>
                <w:sz w:val="16"/>
                <w:szCs w:val="16"/>
                <w:color w:val="auto"/>
              </w:rPr>
              <w:t>Share-based compensation</w:t>
            </w:r>
          </w:p>
        </w:tc>
        <w:tc>
          <w:tcPr>
            <w:tcW w:w="1360" w:type="dxa"/>
            <w:vAlign w:val="bottom"/>
          </w:tcPr>
          <w:p>
            <w:pPr>
              <w:jc w:val="right"/>
              <w:spacing w:after="0"/>
              <w:rPr>
                <w:sz w:val="20"/>
                <w:szCs w:val="20"/>
                <w:color w:val="auto"/>
              </w:rPr>
            </w:pPr>
            <w:r>
              <w:rPr>
                <w:rFonts w:ascii="Arial" w:cs="Arial" w:eastAsia="Arial" w:hAnsi="Arial"/>
                <w:sz w:val="16"/>
                <w:szCs w:val="16"/>
                <w:color w:val="auto"/>
              </w:rPr>
              <w:t>199</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245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380"/>
              <w:spacing w:after="0"/>
              <w:rPr>
                <w:sz w:val="20"/>
                <w:szCs w:val="20"/>
                <w:color w:val="auto"/>
              </w:rPr>
            </w:pPr>
            <w:r>
              <w:rPr>
                <w:rFonts w:ascii="Arial" w:cs="Arial" w:eastAsia="Arial" w:hAnsi="Arial"/>
                <w:sz w:val="16"/>
                <w:szCs w:val="16"/>
                <w:color w:val="auto"/>
              </w:rPr>
              <w:t>Noncash interest expense (income), net</w:t>
            </w:r>
          </w:p>
        </w:tc>
        <w:tc>
          <w:tcPr>
            <w:tcW w:w="1360" w:type="dxa"/>
            <w:vAlign w:val="bottom"/>
          </w:tcPr>
          <w:p>
            <w:pPr>
              <w:jc w:val="right"/>
              <w:spacing w:after="0"/>
              <w:rPr>
                <w:sz w:val="20"/>
                <w:szCs w:val="20"/>
                <w:color w:val="auto"/>
              </w:rPr>
            </w:pPr>
            <w:r>
              <w:rPr>
                <w:rFonts w:ascii="Arial" w:cs="Arial" w:eastAsia="Arial" w:hAnsi="Arial"/>
                <w:sz w:val="16"/>
                <w:szCs w:val="16"/>
                <w:color w:val="auto"/>
              </w:rPr>
              <w:t>75</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380"/>
              <w:spacing w:after="0"/>
              <w:rPr>
                <w:sz w:val="20"/>
                <w:szCs w:val="20"/>
                <w:color w:val="auto"/>
              </w:rPr>
            </w:pPr>
            <w:r>
              <w:rPr>
                <w:rFonts w:ascii="Arial" w:cs="Arial" w:eastAsia="Arial" w:hAnsi="Arial"/>
                <w:sz w:val="16"/>
                <w:szCs w:val="16"/>
                <w:color w:val="auto"/>
              </w:rPr>
              <w:t>Net (gain) loss on investment activity and other</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(74)</w:t>
            </w:r>
          </w:p>
        </w:tc>
        <w:tc>
          <w:tcPr>
            <w:tcW w:w="3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(498)</w:t>
            </w:r>
          </w:p>
        </w:tc>
        <w:tc>
          <w:tcPr>
            <w:tcW w:w="0" w:type="dxa"/>
            <w:vAlign w:val="bottom"/>
          </w:tcPr>
          <w:p>
            <w:pPr>
              <w:spacing w:after="0"/>
              <w:rPr>
                <w:sz w:val="1"/>
                <w:szCs w:val="1"/>
                <w:color w:val="auto"/>
              </w:rPr>
            </w:pPr>
          </w:p>
        </w:tc>
      </w:tr>
      <w:tr>
        <w:trPr>
          <w:trHeight w:val="209"/>
        </w:trPr>
        <w:tc>
          <w:tcPr>
            <w:tcW w:w="83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360" w:type="dxa"/>
            <w:vAlign w:val="bottom"/>
          </w:tcPr>
          <w:p>
            <w:pPr>
              <w:jc w:val="right"/>
              <w:spacing w:after="0"/>
              <w:rPr>
                <w:sz w:val="20"/>
                <w:szCs w:val="20"/>
                <w:color w:val="auto"/>
              </w:rPr>
            </w:pPr>
            <w:r>
              <w:rPr>
                <w:rFonts w:ascii="Arial" w:cs="Arial" w:eastAsia="Arial" w:hAnsi="Arial"/>
                <w:sz w:val="16"/>
                <w:szCs w:val="16"/>
                <w:color w:val="auto"/>
              </w:rPr>
              <w:t>389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Changes in operating assets and liabilities, net of effects of acquisitions and divestitures:</w:t>
            </w: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449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300" w:type="dxa"/>
            <w:vAlign w:val="bottom"/>
          </w:tcPr>
          <w:p>
            <w:pPr>
              <w:ind w:left="380"/>
              <w:spacing w:after="0" w:line="169" w:lineRule="exact"/>
              <w:rPr>
                <w:sz w:val="20"/>
                <w:szCs w:val="20"/>
                <w:color w:val="auto"/>
              </w:rPr>
            </w:pPr>
            <w:r>
              <w:rPr>
                <w:rFonts w:ascii="Arial" w:cs="Arial" w:eastAsia="Arial" w:hAnsi="Arial"/>
                <w:sz w:val="16"/>
                <w:szCs w:val="16"/>
                <w:color w:val="auto"/>
              </w:rPr>
              <w:t>Current and noncurrent receivables, net</w:t>
            </w: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85</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380"/>
              <w:spacing w:after="0"/>
              <w:rPr>
                <w:sz w:val="20"/>
                <w:szCs w:val="20"/>
                <w:color w:val="auto"/>
              </w:rPr>
            </w:pPr>
            <w:r>
              <w:rPr>
                <w:rFonts w:ascii="Arial" w:cs="Arial" w:eastAsia="Arial" w:hAnsi="Arial"/>
                <w:sz w:val="16"/>
                <w:szCs w:val="16"/>
                <w:color w:val="auto"/>
              </w:rPr>
              <w:t>Film and television costs, net</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(45)</w:t>
            </w:r>
          </w:p>
        </w:tc>
        <w:tc>
          <w:tcPr>
            <w:tcW w:w="3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559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380"/>
              <w:spacing w:after="0"/>
              <w:rPr>
                <w:sz w:val="20"/>
                <w:szCs w:val="20"/>
                <w:color w:val="auto"/>
              </w:rPr>
            </w:pPr>
            <w:r>
              <w:rPr>
                <w:rFonts w:ascii="Arial" w:cs="Arial" w:eastAsia="Arial" w:hAnsi="Arial"/>
                <w:sz w:val="16"/>
                <w:szCs w:val="16"/>
                <w:color w:val="auto"/>
              </w:rPr>
              <w:t>Accounts payable and accrued expenses related to trade creditors</w:t>
            </w:r>
          </w:p>
        </w:tc>
        <w:tc>
          <w:tcPr>
            <w:tcW w:w="1360" w:type="dxa"/>
            <w:vAlign w:val="bottom"/>
          </w:tcPr>
          <w:p>
            <w:pPr>
              <w:jc w:val="right"/>
              <w:spacing w:after="0"/>
              <w:rPr>
                <w:sz w:val="20"/>
                <w:szCs w:val="20"/>
                <w:color w:val="auto"/>
              </w:rPr>
            </w:pPr>
            <w:r>
              <w:rPr>
                <w:rFonts w:ascii="Arial" w:cs="Arial" w:eastAsia="Arial" w:hAnsi="Arial"/>
                <w:sz w:val="16"/>
                <w:szCs w:val="16"/>
                <w:color w:val="auto"/>
              </w:rPr>
              <w:t>200</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(574)</w:t>
            </w:r>
          </w:p>
        </w:tc>
        <w:tc>
          <w:tcPr>
            <w:tcW w:w="0" w:type="dxa"/>
            <w:vAlign w:val="bottom"/>
          </w:tcPr>
          <w:p>
            <w:pPr>
              <w:spacing w:after="0"/>
              <w:rPr>
                <w:sz w:val="1"/>
                <w:szCs w:val="1"/>
                <w:color w:val="auto"/>
              </w:rPr>
            </w:pPr>
          </w:p>
        </w:tc>
      </w:tr>
      <w:tr>
        <w:trPr>
          <w:trHeight w:val="207"/>
        </w:trPr>
        <w:tc>
          <w:tcPr>
            <w:tcW w:w="8300" w:type="dxa"/>
            <w:vAlign w:val="bottom"/>
          </w:tcPr>
          <w:p>
            <w:pPr>
              <w:ind w:left="380"/>
              <w:spacing w:after="0"/>
              <w:rPr>
                <w:sz w:val="20"/>
                <w:szCs w:val="20"/>
                <w:color w:val="auto"/>
              </w:rPr>
            </w:pPr>
            <w:r>
              <w:rPr>
                <w:rFonts w:ascii="Arial" w:cs="Arial" w:eastAsia="Arial" w:hAnsi="Arial"/>
                <w:sz w:val="16"/>
                <w:szCs w:val="16"/>
                <w:color w:val="auto"/>
              </w:rPr>
              <w:t>Other operating assets and liabilities</w:t>
            </w:r>
          </w:p>
        </w:tc>
        <w:tc>
          <w:tcPr>
            <w:tcW w:w="1360" w:type="dxa"/>
            <w:vAlign w:val="bottom"/>
          </w:tcPr>
          <w:p>
            <w:pPr>
              <w:jc w:val="right"/>
              <w:spacing w:after="0"/>
              <w:rPr>
                <w:sz w:val="20"/>
                <w:szCs w:val="20"/>
                <w:color w:val="auto"/>
              </w:rPr>
            </w:pPr>
            <w:r>
              <w:rPr>
                <w:rFonts w:ascii="Arial" w:cs="Arial" w:eastAsia="Arial" w:hAnsi="Arial"/>
                <w:sz w:val="16"/>
                <w:szCs w:val="16"/>
                <w:color w:val="auto"/>
              </w:rPr>
              <w:t>(1,130)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(250)</w:t>
            </w:r>
          </w:p>
        </w:tc>
        <w:tc>
          <w:tcPr>
            <w:tcW w:w="0" w:type="dxa"/>
            <w:vAlign w:val="bottom"/>
          </w:tcPr>
          <w:p>
            <w:pPr>
              <w:spacing w:after="0"/>
              <w:rPr>
                <w:sz w:val="1"/>
                <w:szCs w:val="1"/>
                <w:color w:val="auto"/>
              </w:rPr>
            </w:pPr>
          </w:p>
        </w:tc>
      </w:tr>
      <w:tr>
        <w:trPr>
          <w:trHeight w:val="399"/>
        </w:trPr>
        <w:tc>
          <w:tcPr>
            <w:tcW w:w="8300" w:type="dxa"/>
            <w:vAlign w:val="bottom"/>
          </w:tcPr>
          <w:p>
            <w:pPr>
              <w:ind w:left="620"/>
              <w:spacing w:after="0"/>
              <w:rPr>
                <w:sz w:val="20"/>
                <w:szCs w:val="20"/>
                <w:color w:val="auto"/>
              </w:rPr>
            </w:pPr>
            <w:r>
              <w:rPr>
                <w:rFonts w:ascii="Arial" w:cs="Arial" w:eastAsia="Arial" w:hAnsi="Arial"/>
                <w:sz w:val="16"/>
                <w:szCs w:val="16"/>
                <w:color w:val="auto"/>
              </w:rPr>
              <w:t>Net cash provided by operating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5,474</w:t>
            </w:r>
          </w:p>
        </w:tc>
        <w:tc>
          <w:tcPr>
            <w:tcW w:w="280" w:type="dxa"/>
            <w:vAlign w:val="bottom"/>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7,231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830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(2,092)</w:t>
            </w:r>
          </w:p>
        </w:tc>
        <w:tc>
          <w:tcPr>
            <w:tcW w:w="0" w:type="dxa"/>
            <w:vAlign w:val="bottom"/>
          </w:tcPr>
          <w:p>
            <w:pPr>
              <w:spacing w:after="0"/>
              <w:rPr>
                <w:sz w:val="1"/>
                <w:szCs w:val="1"/>
                <w:color w:val="auto"/>
              </w:rPr>
            </w:pPr>
          </w:p>
        </w:tc>
      </w:tr>
      <w:tr>
        <w:trPr>
          <w:trHeight w:val="169"/>
        </w:trPr>
        <w:tc>
          <w:tcPr>
            <w:tcW w:w="8300" w:type="dxa"/>
            <w:vAlign w:val="bottom"/>
          </w:tcPr>
          <w:p>
            <w:pPr>
              <w:ind w:left="160"/>
              <w:spacing w:after="0" w:line="169" w:lineRule="exact"/>
              <w:rPr>
                <w:sz w:val="20"/>
                <w:szCs w:val="20"/>
                <w:color w:val="auto"/>
              </w:rPr>
            </w:pPr>
            <w:r>
              <w:rPr>
                <w:rFonts w:ascii="Arial" w:cs="Arial" w:eastAsia="Arial" w:hAnsi="Arial"/>
                <w:sz w:val="16"/>
                <w:szCs w:val="16"/>
                <w:color w:val="auto"/>
              </w:rPr>
              <w:t>Capital expenditures</w:t>
            </w:r>
          </w:p>
        </w:tc>
        <w:tc>
          <w:tcPr>
            <w:tcW w:w="1360" w:type="dxa"/>
            <w:vAlign w:val="bottom"/>
          </w:tcPr>
          <w:p>
            <w:pPr>
              <w:jc w:val="right"/>
              <w:spacing w:after="0" w:line="169" w:lineRule="exact"/>
              <w:rPr>
                <w:sz w:val="20"/>
                <w:szCs w:val="20"/>
                <w:color w:val="auto"/>
              </w:rPr>
            </w:pPr>
            <w:r>
              <w:rPr>
                <w:rFonts w:ascii="Arial" w:cs="Arial" w:eastAsia="Arial" w:hAnsi="Arial"/>
                <w:sz w:val="16"/>
                <w:szCs w:val="16"/>
                <w:color w:val="auto"/>
              </w:rPr>
              <w:t>(1,973)</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Cash paid for intangible assets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(419)</w:t>
            </w:r>
          </w:p>
        </w:tc>
        <w:tc>
          <w:tcPr>
            <w:tcW w:w="3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(547)</w:t>
            </w: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Acquisitions and construction of real estate properties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(59)</w:t>
            </w:r>
          </w:p>
        </w:tc>
        <w:tc>
          <w:tcPr>
            <w:tcW w:w="3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(16)</w:t>
            </w: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Construction of Universal Beijing Resort</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(42)</w:t>
            </w:r>
          </w:p>
        </w:tc>
        <w:tc>
          <w:tcPr>
            <w:tcW w:w="3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(220)</w:t>
            </w: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Acquisitions, net of cash acquired</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(89)</w:t>
            </w:r>
          </w:p>
        </w:tc>
        <w:tc>
          <w:tcPr>
            <w:tcW w:w="3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(48)</w:t>
            </w: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Proceeds from sales of investments</w:t>
            </w:r>
          </w:p>
        </w:tc>
        <w:tc>
          <w:tcPr>
            <w:tcW w:w="1360" w:type="dxa"/>
            <w:vAlign w:val="bottom"/>
          </w:tcPr>
          <w:p>
            <w:pPr>
              <w:jc w:val="right"/>
              <w:spacing w:after="0"/>
              <w:rPr>
                <w:sz w:val="20"/>
                <w:szCs w:val="20"/>
                <w:color w:val="auto"/>
              </w:rPr>
            </w:pPr>
            <w:r>
              <w:rPr>
                <w:rFonts w:ascii="Arial" w:cs="Arial" w:eastAsia="Arial" w:hAnsi="Arial"/>
                <w:sz w:val="16"/>
                <w:szCs w:val="16"/>
                <w:color w:val="auto"/>
              </w:rPr>
              <w:t>81</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Purchases of investments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(220)</w:t>
            </w:r>
          </w:p>
        </w:tc>
        <w:tc>
          <w:tcPr>
            <w:tcW w:w="3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(439)</w:t>
            </w:r>
          </w:p>
        </w:tc>
        <w:tc>
          <w:tcPr>
            <w:tcW w:w="0" w:type="dxa"/>
            <w:vAlign w:val="bottom"/>
          </w:tcPr>
          <w:p>
            <w:pPr>
              <w:spacing w:after="0"/>
              <w:rPr>
                <w:sz w:val="1"/>
                <w:szCs w:val="1"/>
                <w:color w:val="auto"/>
              </w:rPr>
            </w:pPr>
          </w:p>
        </w:tc>
      </w:tr>
      <w:tr>
        <w:trPr>
          <w:trHeight w:val="207"/>
        </w:trPr>
        <w:tc>
          <w:tcPr>
            <w:tcW w:w="8300" w:type="dxa"/>
            <w:vAlign w:val="bottom"/>
          </w:tcPr>
          <w:p>
            <w:pPr>
              <w:ind w:left="160"/>
              <w:spacing w:after="0"/>
              <w:rPr>
                <w:sz w:val="20"/>
                <w:szCs w:val="20"/>
                <w:color w:val="auto"/>
              </w:rPr>
            </w:pPr>
            <w:r>
              <w:rPr>
                <w:rFonts w:ascii="Arial" w:cs="Arial" w:eastAsia="Arial" w:hAnsi="Arial"/>
                <w:sz w:val="16"/>
                <w:szCs w:val="16"/>
                <w:color w:val="auto"/>
              </w:rPr>
              <w:t>Other</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8300" w:type="dxa"/>
            <w:vAlign w:val="bottom"/>
          </w:tcPr>
          <w:p>
            <w:pPr>
              <w:ind w:left="620"/>
              <w:spacing w:after="0"/>
              <w:rPr>
                <w:sz w:val="20"/>
                <w:szCs w:val="20"/>
                <w:color w:val="auto"/>
              </w:rPr>
            </w:pPr>
            <w:r>
              <w:rPr>
                <w:rFonts w:ascii="Arial" w:cs="Arial" w:eastAsia="Arial" w:hAnsi="Arial"/>
                <w:sz w:val="16"/>
                <w:szCs w:val="16"/>
                <w:color w:val="auto"/>
              </w:rPr>
              <w:t>Net cash provided by (used in) investing activities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w:t>
            </w:r>
          </w:p>
        </w:tc>
        <w:tc>
          <w:tcPr>
            <w:tcW w:w="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(3,226)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83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(1,288)</w:t>
            </w:r>
          </w:p>
        </w:tc>
        <w:tc>
          <w:tcPr>
            <w:tcW w:w="0" w:type="dxa"/>
            <w:vAlign w:val="bottom"/>
          </w:tcPr>
          <w:p>
            <w:pPr>
              <w:spacing w:after="0"/>
              <w:rPr>
                <w:sz w:val="1"/>
                <w:szCs w:val="1"/>
                <w:color w:val="auto"/>
              </w:rPr>
            </w:pPr>
          </w:p>
        </w:tc>
      </w:tr>
      <w:tr>
        <w:trPr>
          <w:trHeight w:val="169"/>
        </w:trPr>
        <w:tc>
          <w:tcPr>
            <w:tcW w:w="8300" w:type="dxa"/>
            <w:vAlign w:val="bottom"/>
          </w:tcPr>
          <w:p>
            <w:pPr>
              <w:ind w:left="160"/>
              <w:spacing w:after="0" w:line="169" w:lineRule="exact"/>
              <w:rPr>
                <w:sz w:val="20"/>
                <w:szCs w:val="20"/>
                <w:color w:val="auto"/>
              </w:rPr>
            </w:pPr>
            <w:r>
              <w:rPr>
                <w:rFonts w:ascii="Arial" w:cs="Arial" w:eastAsia="Arial" w:hAnsi="Arial"/>
                <w:sz w:val="16"/>
                <w:szCs w:val="16"/>
                <w:color w:val="auto"/>
              </w:rPr>
              <w:t>Proceeds from (repayments of) short-term borrowings, net</w:t>
            </w:r>
          </w:p>
        </w:tc>
        <w:tc>
          <w:tcPr>
            <w:tcW w:w="1640" w:type="dxa"/>
            <w:vAlign w:val="bottom"/>
            <w:gridSpan w:val="2"/>
          </w:tcPr>
          <w:p>
            <w:pPr>
              <w:jc w:val="right"/>
              <w:ind w:right="280"/>
              <w:spacing w:after="0" w:line="169" w:lineRule="exact"/>
              <w:rPr>
                <w:sz w:val="20"/>
                <w:szCs w:val="20"/>
                <w:color w:val="auto"/>
              </w:rPr>
            </w:pPr>
            <w:r>
              <w:rPr>
                <w:rFonts w:ascii="Arial" w:cs="Arial" w:eastAsia="Arial" w:hAnsi="Arial"/>
                <w:sz w:val="16"/>
                <w:szCs w:val="16"/>
                <w:color w:val="auto"/>
              </w:rPr>
              <w:t>(902)</w:t>
            </w:r>
          </w:p>
        </w:tc>
        <w:tc>
          <w:tcPr>
            <w:tcW w:w="3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Proceeds from borrowings</w:t>
            </w:r>
          </w:p>
        </w:tc>
        <w:tc>
          <w:tcPr>
            <w:tcW w:w="1360" w:type="dxa"/>
            <w:vAlign w:val="bottom"/>
          </w:tcPr>
          <w:p>
            <w:pPr>
              <w:jc w:val="right"/>
              <w:spacing w:after="0"/>
              <w:rPr>
                <w:sz w:val="20"/>
                <w:szCs w:val="20"/>
                <w:color w:val="auto"/>
              </w:rPr>
            </w:pPr>
            <w:r>
              <w:rPr>
                <w:rFonts w:ascii="Arial" w:cs="Arial" w:eastAsia="Arial" w:hAnsi="Arial"/>
                <w:sz w:val="16"/>
                <w:szCs w:val="16"/>
                <w:color w:val="auto"/>
              </w:rPr>
              <w:t>4,043</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Repurchases and repayments of debt</w:t>
            </w:r>
          </w:p>
        </w:tc>
        <w:tc>
          <w:tcPr>
            <w:tcW w:w="1360" w:type="dxa"/>
            <w:vAlign w:val="bottom"/>
          </w:tcPr>
          <w:p>
            <w:pPr>
              <w:jc w:val="right"/>
              <w:spacing w:after="0"/>
              <w:rPr>
                <w:sz w:val="20"/>
                <w:szCs w:val="20"/>
                <w:color w:val="auto"/>
              </w:rPr>
            </w:pPr>
            <w:r>
              <w:rPr>
                <w:rFonts w:ascii="Arial" w:cs="Arial" w:eastAsia="Arial" w:hAnsi="Arial"/>
                <w:sz w:val="16"/>
                <w:szCs w:val="16"/>
                <w:color w:val="auto"/>
              </w:rPr>
              <w:t>(1,265)</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(2,084)</w:t>
            </w: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Repurchases of common stock under repurchase program and employee plans</w:t>
            </w:r>
          </w:p>
        </w:tc>
        <w:tc>
          <w:tcPr>
            <w:tcW w:w="1360" w:type="dxa"/>
            <w:vAlign w:val="bottom"/>
          </w:tcPr>
          <w:p>
            <w:pPr>
              <w:jc w:val="right"/>
              <w:spacing w:after="0"/>
              <w:rPr>
                <w:sz w:val="20"/>
                <w:szCs w:val="20"/>
                <w:color w:val="auto"/>
              </w:rPr>
            </w:pPr>
            <w:r>
              <w:rPr>
                <w:rFonts w:ascii="Arial" w:cs="Arial" w:eastAsia="Arial" w:hAnsi="Arial"/>
                <w:sz w:val="16"/>
                <w:szCs w:val="16"/>
                <w:color w:val="auto"/>
              </w:rPr>
              <w:t>(1,729)</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(247)</w:t>
            </w: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Dividends paid</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(738)</w:t>
            </w:r>
          </w:p>
        </w:tc>
        <w:tc>
          <w:tcPr>
            <w:tcW w:w="3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(869)</w:t>
            </w:r>
          </w:p>
        </w:tc>
        <w:tc>
          <w:tcPr>
            <w:tcW w:w="0" w:type="dxa"/>
            <w:vAlign w:val="bottom"/>
          </w:tcPr>
          <w:p>
            <w:pPr>
              <w:spacing w:after="0"/>
              <w:rPr>
                <w:sz w:val="1"/>
                <w:szCs w:val="1"/>
                <w:color w:val="auto"/>
              </w:rPr>
            </w:pPr>
          </w:p>
        </w:tc>
      </w:tr>
      <w:tr>
        <w:trPr>
          <w:trHeight w:val="189"/>
        </w:trPr>
        <w:tc>
          <w:tcPr>
            <w:tcW w:w="8300" w:type="dxa"/>
            <w:vAlign w:val="bottom"/>
          </w:tcPr>
          <w:p>
            <w:pPr>
              <w:ind w:left="160"/>
              <w:spacing w:after="0"/>
              <w:rPr>
                <w:sz w:val="20"/>
                <w:szCs w:val="20"/>
                <w:color w:val="auto"/>
              </w:rPr>
            </w:pPr>
            <w:r>
              <w:rPr>
                <w:rFonts w:ascii="Arial" w:cs="Arial" w:eastAsia="Arial" w:hAnsi="Arial"/>
                <w:sz w:val="16"/>
                <w:szCs w:val="16"/>
                <w:color w:val="auto"/>
              </w:rPr>
              <w:t>Distributions to noncontrolling interests and dividends for redeemable subsidiary preferred stock</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(79)</w:t>
            </w:r>
          </w:p>
        </w:tc>
        <w:tc>
          <w:tcPr>
            <w:tcW w:w="3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(85)</w:t>
            </w:r>
          </w:p>
        </w:tc>
        <w:tc>
          <w:tcPr>
            <w:tcW w:w="0" w:type="dxa"/>
            <w:vAlign w:val="bottom"/>
          </w:tcPr>
          <w:p>
            <w:pPr>
              <w:spacing w:after="0"/>
              <w:rPr>
                <w:sz w:val="1"/>
                <w:szCs w:val="1"/>
                <w:color w:val="auto"/>
              </w:rPr>
            </w:pPr>
          </w:p>
        </w:tc>
      </w:tr>
      <w:tr>
        <w:trPr>
          <w:trHeight w:val="207"/>
        </w:trPr>
        <w:tc>
          <w:tcPr>
            <w:tcW w:w="8300" w:type="dxa"/>
            <w:vAlign w:val="bottom"/>
          </w:tcPr>
          <w:p>
            <w:pPr>
              <w:ind w:left="160"/>
              <w:spacing w:after="0"/>
              <w:rPr>
                <w:sz w:val="20"/>
                <w:szCs w:val="20"/>
                <w:color w:val="auto"/>
              </w:rPr>
            </w:pPr>
            <w:r>
              <w:rPr>
                <w:rFonts w:ascii="Arial" w:cs="Arial" w:eastAsia="Arial" w:hAnsi="Arial"/>
                <w:sz w:val="16"/>
                <w:szCs w:val="16"/>
                <w:color w:val="auto"/>
              </w:rPr>
              <w:t>Other</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8300" w:type="dxa"/>
            <w:vAlign w:val="bottom"/>
          </w:tcPr>
          <w:p>
            <w:pPr>
              <w:ind w:left="620"/>
              <w:spacing w:after="0"/>
              <w:rPr>
                <w:sz w:val="20"/>
                <w:szCs w:val="20"/>
                <w:color w:val="auto"/>
              </w:rPr>
            </w:pPr>
            <w:r>
              <w:rPr>
                <w:rFonts w:ascii="Arial" w:cs="Arial" w:eastAsia="Arial" w:hAnsi="Arial"/>
                <w:sz w:val="16"/>
                <w:szCs w:val="16"/>
                <w:color w:val="auto"/>
              </w:rPr>
              <w:t>Net cash provided by (used in) financing activities</w:t>
            </w: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(576)</w:t>
            </w:r>
          </w:p>
        </w:tc>
        <w:tc>
          <w:tcPr>
            <w:tcW w:w="38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(4,325)</w:t>
            </w:r>
          </w:p>
        </w:tc>
        <w:tc>
          <w:tcPr>
            <w:tcW w:w="0" w:type="dxa"/>
            <w:vAlign w:val="bottom"/>
          </w:tcPr>
          <w:p>
            <w:pPr>
              <w:spacing w:after="0"/>
              <w:rPr>
                <w:sz w:val="1"/>
                <w:szCs w:val="1"/>
                <w:color w:val="auto"/>
              </w:rPr>
            </w:pPr>
          </w:p>
        </w:tc>
      </w:tr>
      <w:tr>
        <w:trPr>
          <w:trHeight w:val="406"/>
        </w:trPr>
        <w:tc>
          <w:tcPr>
            <w:tcW w:w="8300" w:type="dxa"/>
            <w:vAlign w:val="bottom"/>
          </w:tcPr>
          <w:p>
            <w:pPr>
              <w:spacing w:after="0"/>
              <w:rPr>
                <w:sz w:val="20"/>
                <w:szCs w:val="20"/>
                <w:color w:val="auto"/>
              </w:rPr>
            </w:pPr>
            <w:r>
              <w:rPr>
                <w:rFonts w:ascii="Arial" w:cs="Arial" w:eastAsia="Arial" w:hAnsi="Arial"/>
                <w:sz w:val="16"/>
                <w:szCs w:val="16"/>
                <w:color w:val="auto"/>
              </w:rPr>
              <w:t>Impact of foreign currency on cash, cash equivalents and restricted cash</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300" w:type="dxa"/>
            <w:vAlign w:val="bottom"/>
          </w:tcPr>
          <w:p>
            <w:pPr>
              <w:spacing w:after="0"/>
              <w:rPr>
                <w:sz w:val="20"/>
                <w:szCs w:val="20"/>
                <w:color w:val="auto"/>
              </w:rPr>
            </w:pPr>
            <w:r>
              <w:rPr>
                <w:rFonts w:ascii="Arial" w:cs="Arial" w:eastAsia="Arial" w:hAnsi="Arial"/>
                <w:sz w:val="16"/>
                <w:szCs w:val="16"/>
                <w:color w:val="auto"/>
              </w:rPr>
              <w:t>Increase (decrease) in cash, cash equivalents and restricted cash</w:t>
            </w:r>
          </w:p>
        </w:tc>
        <w:tc>
          <w:tcPr>
            <w:tcW w:w="1360" w:type="dxa"/>
            <w:vAlign w:val="bottom"/>
          </w:tcPr>
          <w:p>
            <w:pPr>
              <w:jc w:val="right"/>
              <w:spacing w:after="0"/>
              <w:rPr>
                <w:sz w:val="20"/>
                <w:szCs w:val="20"/>
                <w:color w:val="auto"/>
              </w:rPr>
            </w:pPr>
            <w:r>
              <w:rPr>
                <w:rFonts w:ascii="Arial" w:cs="Arial" w:eastAsia="Arial" w:hAnsi="Arial"/>
                <w:sz w:val="16"/>
                <w:szCs w:val="16"/>
                <w:color w:val="auto"/>
              </w:rPr>
              <w:t>2,606</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(312)</w:t>
            </w:r>
          </w:p>
        </w:tc>
        <w:tc>
          <w:tcPr>
            <w:tcW w:w="0" w:type="dxa"/>
            <w:vAlign w:val="bottom"/>
          </w:tcPr>
          <w:p>
            <w:pPr>
              <w:spacing w:after="0"/>
              <w:rPr>
                <w:sz w:val="1"/>
                <w:szCs w:val="1"/>
                <w:color w:val="auto"/>
              </w:rPr>
            </w:pPr>
          </w:p>
        </w:tc>
      </w:tr>
      <w:tr>
        <w:trPr>
          <w:trHeight w:val="398"/>
        </w:trPr>
        <w:tc>
          <w:tcPr>
            <w:tcW w:w="8300" w:type="dxa"/>
            <w:vAlign w:val="bottom"/>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3,571</w:t>
            </w:r>
          </w:p>
        </w:tc>
        <w:tc>
          <w:tcPr>
            <w:tcW w:w="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0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 end of period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$6,177</w:t>
            </w:r>
          </w:p>
        </w:tc>
        <w:tc>
          <w:tcPr>
            <w:tcW w:w="2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$3,597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ind w:left="5640"/>
              <w:spacing w:after="0"/>
              <w:rPr>
                <w:sz w:val="20"/>
                <w:szCs w:val="20"/>
                <w:color w:val="auto"/>
              </w:rPr>
            </w:pPr>
            <w:r>
              <w:rPr>
                <w:rFonts w:ascii="Arial" w:cs="Arial" w:eastAsia="Arial" w:hAnsi="Arial"/>
                <w:sz w:val="14"/>
                <w:szCs w:val="14"/>
                <w:color w:val="auto"/>
              </w:rPr>
              <w:t>10</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3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3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79" w:right="199" w:bottom="1440" w:gutter="0" w:footer="0" w:header="0"/>
        </w:sectPr>
      </w:pPr>
    </w:p>
    <w:bookmarkStart w:id="13" w:name="page14"/>
    <w:bookmarkEnd w:id="13"/>
    <w:p>
      <w:pPr>
        <w:spacing w:after="0"/>
        <w:rPr>
          <w:sz w:val="20"/>
          <w:szCs w:val="20"/>
          <w:color w:val="auto"/>
        </w:rPr>
      </w:pPr>
      <w:r>
        <w:rPr>
          <w:rFonts w:ascii="Arial" w:cs="Arial" w:eastAsia="Arial" w:hAnsi="Arial"/>
          <w:sz w:val="25"/>
          <w:szCs w:val="25"/>
          <w:b w:val="1"/>
          <w:bCs w:val="1"/>
          <w:color w:val="C9C9C9"/>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403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03225"/>
                    </a:xfrm>
                    <a:prstGeom prst="rect">
                      <a:avLst/>
                    </a:prstGeom>
                    <a:noFill/>
                  </pic:spPr>
                </pic:pic>
              </a:graphicData>
            </a:graphic>
          </wp:anchor>
        </w:drawing>
        <w:t>TABLE 3</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C9C9C9"/>
        </w:rPr>
        <w:t>Condensed Consolidated Balance Sheet (Unaudited)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80" w:type="dxa"/>
            <w:vAlign w:val="bottom"/>
          </w:tcPr>
          <w:p>
            <w:pPr>
              <w:spacing w:after="0"/>
              <w:rPr>
                <w:sz w:val="20"/>
                <w:szCs w:val="20"/>
                <w:color w:val="auto"/>
              </w:rPr>
            </w:pPr>
            <w:r>
              <w:rPr>
                <w:rFonts w:ascii="Arial" w:cs="Arial" w:eastAsia="Arial" w:hAnsi="Arial"/>
                <w:sz w:val="18"/>
                <w:szCs w:val="18"/>
                <w:color w:val="auto"/>
              </w:rPr>
              <w:t>(in millions)</w:t>
            </w:r>
          </w:p>
        </w:tc>
        <w:tc>
          <w:tcPr>
            <w:tcW w:w="1640" w:type="dxa"/>
            <w:vAlign w:val="bottom"/>
            <w:gridSpan w:val="2"/>
          </w:tcPr>
          <w:p>
            <w:pPr>
              <w:ind w:left="160"/>
              <w:spacing w:after="0"/>
              <w:rPr>
                <w:sz w:val="20"/>
                <w:szCs w:val="20"/>
                <w:color w:val="auto"/>
              </w:rPr>
            </w:pPr>
            <w:r>
              <w:rPr>
                <w:rFonts w:ascii="Arial" w:cs="Arial" w:eastAsia="Arial" w:hAnsi="Arial"/>
                <w:sz w:val="18"/>
                <w:szCs w:val="18"/>
                <w:color w:val="auto"/>
              </w:rPr>
              <w:t>December 31,</w:t>
            </w: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9"/>
                <w:szCs w:val="19"/>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18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8180" w:type="dxa"/>
            <w:vAlign w:val="bottom"/>
          </w:tcPr>
          <w:p>
            <w:pPr>
              <w:spacing w:after="0"/>
              <w:rPr>
                <w:sz w:val="20"/>
                <w:szCs w:val="20"/>
                <w:color w:val="auto"/>
              </w:rPr>
            </w:pPr>
            <w:r>
              <w:rPr>
                <w:rFonts w:ascii="Arial" w:cs="Arial" w:eastAsia="Arial" w:hAnsi="Arial"/>
                <w:sz w:val="18"/>
                <w:szCs w:val="18"/>
                <w:color w:val="auto"/>
              </w:rPr>
              <w:t>Current Assets</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$3,498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180" w:type="dxa"/>
            <w:vAlign w:val="bottom"/>
          </w:tcPr>
          <w:p>
            <w:pPr>
              <w:ind w:left="340"/>
              <w:spacing w:after="0" w:line="181" w:lineRule="exact"/>
              <w:rPr>
                <w:sz w:val="20"/>
                <w:szCs w:val="20"/>
                <w:color w:val="auto"/>
              </w:rPr>
            </w:pPr>
            <w:r>
              <w:rPr>
                <w:rFonts w:ascii="Arial" w:cs="Arial" w:eastAsia="Arial" w:hAnsi="Arial"/>
                <w:sz w:val="18"/>
                <w:szCs w:val="18"/>
                <w:color w:val="auto"/>
              </w:rPr>
              <w:t>Cash and cash equivalents</w:t>
            </w:r>
          </w:p>
        </w:tc>
        <w:tc>
          <w:tcPr>
            <w:tcW w:w="1480" w:type="dxa"/>
            <w:vAlign w:val="bottom"/>
          </w:tcPr>
          <w:p>
            <w:pPr>
              <w:jc w:val="right"/>
              <w:spacing w:after="0" w:line="181" w:lineRule="exact"/>
              <w:rPr>
                <w:sz w:val="20"/>
                <w:szCs w:val="20"/>
                <w:color w:val="auto"/>
              </w:rPr>
            </w:pPr>
            <w:r>
              <w:rPr>
                <w:rFonts w:ascii="Arial" w:cs="Arial" w:eastAsia="Arial" w:hAnsi="Arial"/>
                <w:sz w:val="18"/>
                <w:szCs w:val="18"/>
                <w:color w:val="auto"/>
              </w:rPr>
              <w:t>$3,814</w:t>
            </w:r>
          </w:p>
        </w:tc>
        <w:tc>
          <w:tcPr>
            <w:tcW w:w="1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line="202" w:lineRule="exact"/>
              <w:rPr>
                <w:sz w:val="20"/>
                <w:szCs w:val="20"/>
                <w:color w:val="auto"/>
              </w:rPr>
            </w:pPr>
            <w:r>
              <w:rPr>
                <w:rFonts w:ascii="Arial" w:cs="Arial" w:eastAsia="Arial" w:hAnsi="Arial"/>
                <w:sz w:val="18"/>
                <w:szCs w:val="18"/>
                <w:color w:val="auto"/>
              </w:rPr>
              <w:t>Receivables, net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11,104</w:t>
            </w: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10,736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line="202" w:lineRule="exact"/>
              <w:rPr>
                <w:sz w:val="20"/>
                <w:szCs w:val="20"/>
                <w:color w:val="auto"/>
              </w:rPr>
            </w:pPr>
            <w:r>
              <w:rPr>
                <w:rFonts w:ascii="Arial" w:cs="Arial" w:eastAsia="Arial" w:hAnsi="Arial"/>
                <w:sz w:val="18"/>
                <w:szCs w:val="18"/>
                <w:color w:val="auto"/>
              </w:rPr>
              <w:t>Programming rights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3,746</w:t>
            </w: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2,942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16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180" w:type="dxa"/>
            <w:vAlign w:val="bottom"/>
          </w:tcPr>
          <w:p>
            <w:pPr>
              <w:ind w:left="460"/>
              <w:spacing w:after="0" w:line="197" w:lineRule="exact"/>
              <w:rPr>
                <w:sz w:val="20"/>
                <w:szCs w:val="20"/>
                <w:color w:val="auto"/>
              </w:rPr>
            </w:pPr>
            <w:r>
              <w:rPr>
                <w:rFonts w:ascii="Arial" w:cs="Arial" w:eastAsia="Arial" w:hAnsi="Arial"/>
                <w:sz w:val="18"/>
                <w:szCs w:val="18"/>
                <w:color w:val="auto"/>
              </w:rPr>
              <w:t>Total current assets</w:t>
            </w:r>
          </w:p>
        </w:tc>
        <w:tc>
          <w:tcPr>
            <w:tcW w:w="14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21,848</w:t>
            </w:r>
          </w:p>
        </w:tc>
        <w:tc>
          <w:tcPr>
            <w:tcW w:w="160" w:type="dxa"/>
            <w:vAlign w:val="bottom"/>
          </w:tcPr>
          <w:p>
            <w:pPr>
              <w:spacing w:after="0"/>
              <w:rPr>
                <w:sz w:val="17"/>
                <w:szCs w:val="17"/>
                <w:color w:val="auto"/>
              </w:rPr>
            </w:pPr>
          </w:p>
        </w:tc>
        <w:tc>
          <w:tcPr>
            <w:tcW w:w="150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b w:val="1"/>
                <w:bCs w:val="1"/>
                <w:color w:val="auto"/>
              </w:rPr>
              <w:t>20,273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818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480" w:type="dxa"/>
            <w:vAlign w:val="bottom"/>
          </w:tcPr>
          <w:p>
            <w:pPr>
              <w:jc w:val="right"/>
              <w:spacing w:after="0"/>
              <w:rPr>
                <w:sz w:val="20"/>
                <w:szCs w:val="20"/>
                <w:color w:val="auto"/>
              </w:rPr>
            </w:pPr>
            <w:r>
              <w:rPr>
                <w:rFonts w:ascii="Arial" w:cs="Arial" w:eastAsia="Arial" w:hAnsi="Arial"/>
                <w:sz w:val="18"/>
                <w:szCs w:val="18"/>
                <w:color w:val="auto"/>
              </w:rPr>
              <w:t>7,837</w:t>
            </w: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8,051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Investments</w:t>
            </w:r>
          </w:p>
        </w:tc>
        <w:tc>
          <w:tcPr>
            <w:tcW w:w="1480" w:type="dxa"/>
            <w:vAlign w:val="bottom"/>
          </w:tcPr>
          <w:p>
            <w:pPr>
              <w:jc w:val="right"/>
              <w:spacing w:after="0"/>
              <w:rPr>
                <w:sz w:val="20"/>
                <w:szCs w:val="20"/>
                <w:color w:val="auto"/>
              </w:rPr>
            </w:pPr>
            <w:r>
              <w:rPr>
                <w:rFonts w:ascii="Arial" w:cs="Arial" w:eastAsia="Arial" w:hAnsi="Arial"/>
                <w:sz w:val="18"/>
                <w:szCs w:val="18"/>
                <w:color w:val="auto"/>
              </w:rPr>
              <w:t>7,883</w:t>
            </w: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9,159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80" w:type="dxa"/>
            <w:vAlign w:val="bottom"/>
          </w:tcPr>
          <w:p>
            <w:pPr>
              <w:jc w:val="right"/>
              <w:spacing w:after="0"/>
              <w:rPr>
                <w:sz w:val="20"/>
                <w:szCs w:val="20"/>
                <w:color w:val="auto"/>
              </w:rPr>
            </w:pPr>
            <w:r>
              <w:rPr>
                <w:rFonts w:ascii="Arial" w:cs="Arial" w:eastAsia="Arial" w:hAnsi="Arial"/>
                <w:sz w:val="18"/>
                <w:szCs w:val="18"/>
                <w:color w:val="auto"/>
              </w:rPr>
              <w:t>44,437</w:t>
            </w: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45,721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Franchise rights</w:t>
            </w:r>
          </w:p>
        </w:tc>
        <w:tc>
          <w:tcPr>
            <w:tcW w:w="1480" w:type="dxa"/>
            <w:vAlign w:val="bottom"/>
          </w:tcPr>
          <w:p>
            <w:pPr>
              <w:jc w:val="right"/>
              <w:spacing w:after="0"/>
              <w:rPr>
                <w:sz w:val="20"/>
                <w:szCs w:val="20"/>
                <w:color w:val="auto"/>
              </w:rPr>
            </w:pPr>
            <w:r>
              <w:rPr>
                <w:rFonts w:ascii="Arial" w:cs="Arial" w:eastAsia="Arial" w:hAnsi="Arial"/>
                <w:sz w:val="18"/>
                <w:szCs w:val="18"/>
                <w:color w:val="auto"/>
              </w:rPr>
              <w:t>59,365</w:t>
            </w: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59,365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Goodwill</w:t>
            </w:r>
          </w:p>
        </w:tc>
        <w:tc>
          <w:tcPr>
            <w:tcW w:w="1480" w:type="dxa"/>
            <w:vAlign w:val="bottom"/>
          </w:tcPr>
          <w:p>
            <w:pPr>
              <w:jc w:val="right"/>
              <w:spacing w:after="0"/>
              <w:rPr>
                <w:sz w:val="20"/>
                <w:szCs w:val="20"/>
                <w:color w:val="auto"/>
              </w:rPr>
            </w:pPr>
            <w:r>
              <w:rPr>
                <w:rFonts w:ascii="Arial" w:cs="Arial" w:eastAsia="Arial" w:hAnsi="Arial"/>
                <w:sz w:val="18"/>
                <w:szCs w:val="18"/>
                <w:color w:val="auto"/>
              </w:rPr>
              <w:t>66,154</w:t>
            </w: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68,073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480" w:type="dxa"/>
            <w:vAlign w:val="bottom"/>
          </w:tcPr>
          <w:p>
            <w:pPr>
              <w:jc w:val="right"/>
              <w:spacing w:after="0"/>
              <w:rPr>
                <w:sz w:val="20"/>
                <w:szCs w:val="20"/>
                <w:color w:val="auto"/>
              </w:rPr>
            </w:pPr>
            <w:r>
              <w:rPr>
                <w:rFonts w:ascii="Arial" w:cs="Arial" w:eastAsia="Arial" w:hAnsi="Arial"/>
                <w:sz w:val="18"/>
                <w:szCs w:val="18"/>
                <w:color w:val="auto"/>
              </w:rPr>
              <w:t>38,358</w:t>
            </w: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36,902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8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5,802</w:t>
            </w:r>
          </w:p>
        </w:tc>
        <w:tc>
          <w:tcPr>
            <w:tcW w:w="16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8,645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1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$251,684</w:t>
            </w:r>
          </w:p>
        </w:tc>
        <w:tc>
          <w:tcPr>
            <w:tcW w:w="16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$256,189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180" w:type="dxa"/>
            <w:vAlign w:val="bottom"/>
          </w:tcPr>
          <w:p>
            <w:pPr>
              <w:spacing w:after="0"/>
              <w:rPr>
                <w:sz w:val="20"/>
                <w:szCs w:val="20"/>
                <w:color w:val="auto"/>
              </w:rPr>
            </w:pPr>
            <w:r>
              <w:rPr>
                <w:rFonts w:ascii="Arial" w:cs="Arial" w:eastAsia="Arial" w:hAnsi="Arial"/>
                <w:sz w:val="18"/>
                <w:szCs w:val="18"/>
                <w:color w:val="auto"/>
              </w:rPr>
              <w:t>Current Liabilities</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$10,232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180" w:type="dxa"/>
            <w:vAlign w:val="bottom"/>
          </w:tcPr>
          <w:p>
            <w:pPr>
              <w:ind w:left="34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1480" w:type="dxa"/>
            <w:vAlign w:val="bottom"/>
          </w:tcPr>
          <w:p>
            <w:pPr>
              <w:jc w:val="right"/>
              <w:spacing w:after="0" w:line="181" w:lineRule="exact"/>
              <w:rPr>
                <w:sz w:val="20"/>
                <w:szCs w:val="20"/>
                <w:color w:val="auto"/>
              </w:rPr>
            </w:pPr>
            <w:r>
              <w:rPr>
                <w:rFonts w:ascii="Arial" w:cs="Arial" w:eastAsia="Arial" w:hAnsi="Arial"/>
                <w:sz w:val="18"/>
                <w:szCs w:val="18"/>
                <w:color w:val="auto"/>
              </w:rPr>
              <w:t>$8,494</w:t>
            </w:r>
          </w:p>
        </w:tc>
        <w:tc>
          <w:tcPr>
            <w:tcW w:w="1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line="202" w:lineRule="exact"/>
              <w:rPr>
                <w:sz w:val="20"/>
                <w:szCs w:val="20"/>
                <w:color w:val="auto"/>
              </w:rPr>
            </w:pPr>
            <w:r>
              <w:rPr>
                <w:rFonts w:ascii="Arial" w:cs="Arial" w:eastAsia="Arial" w:hAnsi="Arial"/>
                <w:sz w:val="18"/>
                <w:szCs w:val="18"/>
                <w:color w:val="auto"/>
              </w:rPr>
              <w:t>Accrued participations and residuals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1,808</w:t>
            </w: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1,739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line="202" w:lineRule="exact"/>
              <w:rPr>
                <w:sz w:val="20"/>
                <w:szCs w:val="20"/>
                <w:color w:val="auto"/>
              </w:rPr>
            </w:pPr>
            <w:r>
              <w:rPr>
                <w:rFonts w:ascii="Arial" w:cs="Arial" w:eastAsia="Arial" w:hAnsi="Arial"/>
                <w:sz w:val="18"/>
                <w:szCs w:val="18"/>
                <w:color w:val="auto"/>
              </w:rPr>
              <w:t>Deferred revenue</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2,182</w:t>
            </w: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2,485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10,721</w:t>
            </w:r>
          </w:p>
        </w:tc>
        <w:tc>
          <w:tcPr>
            <w:tcW w:w="1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8,832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4,398</w:t>
            </w:r>
          </w:p>
        </w:tc>
        <w:tc>
          <w:tcPr>
            <w:tcW w:w="16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180" w:type="dxa"/>
            <w:vAlign w:val="bottom"/>
          </w:tcPr>
          <w:p>
            <w:pPr>
              <w:ind w:left="460"/>
              <w:spacing w:after="0" w:line="197" w:lineRule="exact"/>
              <w:rPr>
                <w:sz w:val="20"/>
                <w:szCs w:val="20"/>
                <w:color w:val="auto"/>
              </w:rPr>
            </w:pPr>
            <w:r>
              <w:rPr>
                <w:rFonts w:ascii="Arial" w:cs="Arial" w:eastAsia="Arial" w:hAnsi="Arial"/>
                <w:sz w:val="18"/>
                <w:szCs w:val="18"/>
                <w:color w:val="auto"/>
              </w:rPr>
              <w:t>Total current liabilities</w:t>
            </w:r>
          </w:p>
        </w:tc>
        <w:tc>
          <w:tcPr>
            <w:tcW w:w="14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27,603</w:t>
            </w:r>
          </w:p>
        </w:tc>
        <w:tc>
          <w:tcPr>
            <w:tcW w:w="160" w:type="dxa"/>
            <w:vAlign w:val="bottom"/>
          </w:tcPr>
          <w:p>
            <w:pPr>
              <w:spacing w:after="0"/>
              <w:rPr>
                <w:sz w:val="17"/>
                <w:szCs w:val="17"/>
                <w:color w:val="auto"/>
              </w:rPr>
            </w:pPr>
          </w:p>
        </w:tc>
        <w:tc>
          <w:tcPr>
            <w:tcW w:w="150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b w:val="1"/>
                <w:bCs w:val="1"/>
                <w:color w:val="auto"/>
              </w:rPr>
              <w:t>27,917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81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480" w:type="dxa"/>
            <w:vAlign w:val="bottom"/>
          </w:tcPr>
          <w:p>
            <w:pPr>
              <w:jc w:val="right"/>
              <w:spacing w:after="0"/>
              <w:rPr>
                <w:sz w:val="20"/>
                <w:szCs w:val="20"/>
                <w:color w:val="auto"/>
              </w:rPr>
            </w:pPr>
            <w:r>
              <w:rPr>
                <w:rFonts w:ascii="Arial" w:cs="Arial" w:eastAsia="Arial" w:hAnsi="Arial"/>
                <w:sz w:val="18"/>
                <w:szCs w:val="18"/>
                <w:color w:val="auto"/>
              </w:rPr>
              <w:t>107,345</w:t>
            </w: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104,464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80" w:type="dxa"/>
            <w:vAlign w:val="bottom"/>
          </w:tcPr>
          <w:p>
            <w:pPr>
              <w:jc w:val="right"/>
              <w:spacing w:after="0"/>
              <w:rPr>
                <w:sz w:val="20"/>
                <w:szCs w:val="20"/>
                <w:color w:val="auto"/>
              </w:rPr>
            </w:pPr>
            <w:r>
              <w:rPr>
                <w:rFonts w:ascii="Arial" w:cs="Arial" w:eastAsia="Arial" w:hAnsi="Arial"/>
                <w:sz w:val="18"/>
                <w:szCs w:val="18"/>
                <w:color w:val="auto"/>
              </w:rPr>
              <w:t>27,589</w:t>
            </w: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27,819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480" w:type="dxa"/>
            <w:vAlign w:val="bottom"/>
          </w:tcPr>
          <w:p>
            <w:pPr>
              <w:jc w:val="right"/>
              <w:spacing w:after="0"/>
              <w:rPr>
                <w:sz w:val="20"/>
                <w:szCs w:val="20"/>
                <w:color w:val="auto"/>
              </w:rPr>
            </w:pPr>
            <w:r>
              <w:rPr>
                <w:rFonts w:ascii="Arial" w:cs="Arial" w:eastAsia="Arial" w:hAnsi="Arial"/>
                <w:sz w:val="18"/>
                <w:szCs w:val="18"/>
                <w:color w:val="auto"/>
              </w:rPr>
              <w:t>15,329</w:t>
            </w: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18,811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8180" w:type="dxa"/>
            <w:vAlign w:val="bottom"/>
          </w:tcPr>
          <w:p>
            <w:pPr>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480" w:type="dxa"/>
            <w:vAlign w:val="bottom"/>
          </w:tcPr>
          <w:p>
            <w:pPr>
              <w:jc w:val="right"/>
              <w:spacing w:after="0"/>
              <w:rPr>
                <w:sz w:val="20"/>
                <w:szCs w:val="20"/>
                <w:color w:val="auto"/>
              </w:rPr>
            </w:pPr>
            <w:r>
              <w:rPr>
                <w:rFonts w:ascii="Arial" w:cs="Arial" w:eastAsia="Arial" w:hAnsi="Arial"/>
                <w:sz w:val="18"/>
                <w:szCs w:val="18"/>
                <w:color w:val="auto"/>
              </w:rPr>
              <w:t>1,316</w:t>
            </w:r>
          </w:p>
        </w:tc>
        <w:tc>
          <w:tcPr>
            <w:tcW w:w="16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1,316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180" w:type="dxa"/>
            <w:vAlign w:val="bottom"/>
          </w:tcPr>
          <w:p>
            <w:pPr>
              <w:spacing w:after="0"/>
              <w:rPr>
                <w:sz w:val="20"/>
                <w:szCs w:val="20"/>
                <w:color w:val="auto"/>
              </w:rPr>
            </w:pPr>
            <w:r>
              <w:rPr>
                <w:rFonts w:ascii="Arial" w:cs="Arial" w:eastAsia="Arial" w:hAnsi="Arial"/>
                <w:sz w:val="18"/>
                <w:szCs w:val="18"/>
                <w:color w:val="auto"/>
              </w:rPr>
              <w:t>Equity</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74,959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180" w:type="dxa"/>
            <w:vAlign w:val="bottom"/>
          </w:tcPr>
          <w:p>
            <w:pPr>
              <w:ind w:left="340"/>
              <w:spacing w:after="0" w:line="181" w:lineRule="exact"/>
              <w:rPr>
                <w:sz w:val="20"/>
                <w:szCs w:val="20"/>
                <w:color w:val="auto"/>
              </w:rPr>
            </w:pPr>
            <w:r>
              <w:rPr>
                <w:rFonts w:ascii="Arial" w:cs="Arial" w:eastAsia="Arial" w:hAnsi="Arial"/>
                <w:sz w:val="18"/>
                <w:szCs w:val="18"/>
                <w:color w:val="auto"/>
              </w:rPr>
              <w:t>Comcast Corporation shareholders’ equity</w:t>
            </w:r>
          </w:p>
        </w:tc>
        <w:tc>
          <w:tcPr>
            <w:tcW w:w="1480" w:type="dxa"/>
            <w:vAlign w:val="bottom"/>
          </w:tcPr>
          <w:p>
            <w:pPr>
              <w:jc w:val="right"/>
              <w:spacing w:after="0" w:line="181" w:lineRule="exact"/>
              <w:rPr>
                <w:sz w:val="20"/>
                <w:szCs w:val="20"/>
                <w:color w:val="auto"/>
              </w:rPr>
            </w:pPr>
            <w:r>
              <w:rPr>
                <w:rFonts w:ascii="Arial" w:cs="Arial" w:eastAsia="Arial" w:hAnsi="Arial"/>
                <w:sz w:val="18"/>
                <w:szCs w:val="18"/>
                <w:color w:val="auto"/>
              </w:rPr>
              <w:t>71,613</w:t>
            </w:r>
          </w:p>
        </w:tc>
        <w:tc>
          <w:tcPr>
            <w:tcW w:w="1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6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180" w:type="dxa"/>
            <w:vAlign w:val="bottom"/>
          </w:tcPr>
          <w:p>
            <w:pPr>
              <w:ind w:left="460"/>
              <w:spacing w:after="0" w:line="197" w:lineRule="exact"/>
              <w:rPr>
                <w:sz w:val="20"/>
                <w:szCs w:val="20"/>
                <w:color w:val="auto"/>
              </w:rPr>
            </w:pPr>
            <w:r>
              <w:rPr>
                <w:rFonts w:ascii="Arial" w:cs="Arial" w:eastAsia="Arial" w:hAnsi="Arial"/>
                <w:sz w:val="18"/>
                <w:szCs w:val="18"/>
                <w:color w:val="auto"/>
              </w:rPr>
              <w:t>Total equity</w:t>
            </w:r>
          </w:p>
        </w:tc>
        <w:tc>
          <w:tcPr>
            <w:tcW w:w="148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color w:val="auto"/>
              </w:rPr>
              <w:t>72,502</w:t>
            </w:r>
          </w:p>
        </w:tc>
        <w:tc>
          <w:tcPr>
            <w:tcW w:w="160" w:type="dxa"/>
            <w:vAlign w:val="bottom"/>
          </w:tcPr>
          <w:p>
            <w:pPr>
              <w:spacing w:after="0"/>
              <w:rPr>
                <w:sz w:val="17"/>
                <w:szCs w:val="17"/>
                <w:color w:val="auto"/>
              </w:rPr>
            </w:pPr>
          </w:p>
        </w:tc>
        <w:tc>
          <w:tcPr>
            <w:tcW w:w="1500" w:type="dxa"/>
            <w:vAlign w:val="bottom"/>
            <w:tcBorders>
              <w:bottom w:val="single" w:sz="8" w:color="auto"/>
            </w:tcBorders>
          </w:tcPr>
          <w:p>
            <w:pPr>
              <w:jc w:val="right"/>
              <w:spacing w:after="0" w:line="197" w:lineRule="exact"/>
              <w:rPr>
                <w:sz w:val="20"/>
                <w:szCs w:val="20"/>
                <w:color w:val="auto"/>
              </w:rPr>
            </w:pPr>
            <w:r>
              <w:rPr>
                <w:rFonts w:ascii="Arial" w:cs="Arial" w:eastAsia="Arial" w:hAnsi="Arial"/>
                <w:sz w:val="18"/>
                <w:szCs w:val="18"/>
                <w:b w:val="1"/>
                <w:bCs w:val="1"/>
                <w:color w:val="auto"/>
              </w:rPr>
              <w:t>75,862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18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$251,684</w:t>
            </w:r>
          </w:p>
        </w:tc>
        <w:tc>
          <w:tcPr>
            <w:tcW w:w="160" w:type="dxa"/>
            <w:vAlign w:val="bottom"/>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$256,189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ind w:left="5640"/>
              <w:spacing w:after="0"/>
              <w:rPr>
                <w:sz w:val="20"/>
                <w:szCs w:val="20"/>
                <w:color w:val="auto"/>
              </w:rPr>
            </w:pPr>
            <w:r>
              <w:rPr>
                <w:rFonts w:ascii="Arial" w:cs="Arial" w:eastAsia="Arial" w:hAnsi="Arial"/>
                <w:sz w:val="14"/>
                <w:szCs w:val="14"/>
                <w:color w:val="auto"/>
              </w:rPr>
              <w:t>11</w:t>
            </w: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1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79" w:right="199" w:bottom="1440" w:gutter="0" w:footer="0" w:header="0"/>
        </w:sectPr>
      </w:pPr>
    </w:p>
    <w:bookmarkStart w:id="14" w:name="page15"/>
    <w:bookmarkEnd w:id="14"/>
    <w:p>
      <w:pPr>
        <w:ind w:left="80"/>
        <w:spacing w:after="0"/>
        <w:rPr>
          <w:sz w:val="20"/>
          <w:szCs w:val="20"/>
          <w:color w:val="auto"/>
        </w:rPr>
      </w:pPr>
      <w:r>
        <w:rPr>
          <w:rFonts w:ascii="Arial" w:cs="Arial" w:eastAsia="Arial" w:hAnsi="Arial"/>
          <w:sz w:val="25"/>
          <w:szCs w:val="25"/>
          <w:b w:val="1"/>
          <w:bCs w:val="1"/>
          <w:color w:val="C9C9C9"/>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-119380</wp:posOffset>
            </wp:positionV>
            <wp:extent cx="1089025" cy="4718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89025" cy="471805"/>
                    </a:xfrm>
                    <a:prstGeom prst="rect">
                      <a:avLst/>
                    </a:prstGeom>
                    <a:noFill/>
                  </pic:spPr>
                </pic:pic>
              </a:graphicData>
            </a:graphic>
          </wp:anchor>
        </w:drawing>
      </w:r>
    </w:p>
    <w:p>
      <w:pPr>
        <w:spacing w:after="0" w:line="2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9C9C9"/>
        </w:rPr>
        <w:t>Reconciliation from Net Income Attributable to Comcast Corporation to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00" w:type="dxa"/>
            <w:vAlign w:val="bottom"/>
            <w:gridSpan w:val="8"/>
          </w:tcPr>
          <w:p>
            <w:pPr>
              <w:jc w:val="right"/>
              <w:ind w:right="24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420" w:type="dxa"/>
            <w:vAlign w:val="bottom"/>
          </w:tcPr>
          <w:p>
            <w:pPr>
              <w:spacing w:after="0"/>
              <w:rPr>
                <w:sz w:val="16"/>
                <w:szCs w:val="16"/>
                <w:color w:val="auto"/>
              </w:rPr>
            </w:pPr>
          </w:p>
        </w:tc>
        <w:tc>
          <w:tcPr>
            <w:tcW w:w="8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040" w:type="dxa"/>
            <w:vAlign w:val="bottom"/>
            <w:gridSpan w:val="2"/>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1360" w:type="dxa"/>
            <w:vAlign w:val="bottom"/>
            <w:gridSpan w:val="5"/>
          </w:tcPr>
          <w:p>
            <w:pPr>
              <w:jc w:val="right"/>
              <w:ind w:right="40"/>
              <w:spacing w:after="0"/>
              <w:rPr>
                <w:sz w:val="20"/>
                <w:szCs w:val="20"/>
                <w:color w:val="auto"/>
              </w:rPr>
            </w:pPr>
            <w:r>
              <w:rPr>
                <w:rFonts w:ascii="Arial" w:cs="Arial" w:eastAsia="Arial" w:hAnsi="Arial"/>
                <w:sz w:val="14"/>
                <w:szCs w:val="14"/>
                <w:color w:val="auto"/>
              </w:rPr>
              <w:t>$3,118</w:t>
            </w:r>
          </w:p>
        </w:tc>
        <w:tc>
          <w:tcPr>
            <w:tcW w:w="16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$3,553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40" w:type="dxa"/>
            <w:vAlign w:val="bottom"/>
            <w:gridSpan w:val="2"/>
          </w:tcPr>
          <w:p>
            <w:pPr>
              <w:spacing w:after="0"/>
              <w:rPr>
                <w:sz w:val="20"/>
                <w:szCs w:val="20"/>
                <w:color w:val="auto"/>
              </w:rPr>
            </w:pPr>
            <w:r>
              <w:rPr>
                <w:rFonts w:ascii="Arial" w:cs="Arial" w:eastAsia="Arial" w:hAnsi="Arial"/>
                <w:sz w:val="14"/>
                <w:szCs w:val="14"/>
                <w:color w:val="auto"/>
              </w:rPr>
              <w:t>Net income (loss) attributable to noncontrolling interests and redeemable subsidiary preferred stock</w:t>
            </w:r>
          </w:p>
        </w:tc>
        <w:tc>
          <w:tcPr>
            <w:tcW w:w="1360" w:type="dxa"/>
            <w:vAlign w:val="bottom"/>
            <w:gridSpan w:val="5"/>
          </w:tcPr>
          <w:p>
            <w:pPr>
              <w:jc w:val="right"/>
              <w:ind w:right="40"/>
              <w:spacing w:after="0"/>
              <w:rPr>
                <w:sz w:val="20"/>
                <w:szCs w:val="20"/>
                <w:color w:val="auto"/>
              </w:rPr>
            </w:pPr>
            <w:r>
              <w:rPr>
                <w:rFonts w:ascii="Arial" w:cs="Arial" w:eastAsia="Arial" w:hAnsi="Arial"/>
                <w:sz w:val="14"/>
                <w:szCs w:val="14"/>
                <w:color w:val="auto"/>
              </w:rPr>
              <w:t>58</w:t>
            </w:r>
          </w:p>
        </w:tc>
        <w:tc>
          <w:tcPr>
            <w:tcW w:w="16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79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4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1360" w:type="dxa"/>
            <w:vAlign w:val="bottom"/>
            <w:gridSpan w:val="5"/>
          </w:tcPr>
          <w:p>
            <w:pPr>
              <w:jc w:val="right"/>
              <w:ind w:right="40"/>
              <w:spacing w:after="0"/>
              <w:rPr>
                <w:sz w:val="20"/>
                <w:szCs w:val="20"/>
                <w:color w:val="auto"/>
              </w:rPr>
            </w:pPr>
            <w:r>
              <w:rPr>
                <w:rFonts w:ascii="Arial" w:cs="Arial" w:eastAsia="Arial" w:hAnsi="Arial"/>
                <w:sz w:val="14"/>
                <w:szCs w:val="14"/>
                <w:color w:val="auto"/>
              </w:rPr>
              <w:t>818</w:t>
            </w:r>
          </w:p>
        </w:tc>
        <w:tc>
          <w:tcPr>
            <w:tcW w:w="16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1,076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4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1360" w:type="dxa"/>
            <w:vAlign w:val="bottom"/>
            <w:gridSpan w:val="5"/>
          </w:tcPr>
          <w:p>
            <w:pPr>
              <w:jc w:val="right"/>
              <w:ind w:right="40"/>
              <w:spacing w:after="0"/>
              <w:rPr>
                <w:sz w:val="20"/>
                <w:szCs w:val="20"/>
                <w:color w:val="auto"/>
              </w:rPr>
            </w:pPr>
            <w:r>
              <w:rPr>
                <w:rFonts w:ascii="Arial" w:cs="Arial" w:eastAsia="Arial" w:hAnsi="Arial"/>
                <w:sz w:val="14"/>
                <w:szCs w:val="14"/>
                <w:color w:val="auto"/>
              </w:rPr>
              <w:t>777</w:t>
            </w:r>
          </w:p>
        </w:tc>
        <w:tc>
          <w:tcPr>
            <w:tcW w:w="16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1,150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9040" w:type="dxa"/>
            <w:vAlign w:val="bottom"/>
            <w:gridSpan w:val="2"/>
          </w:tcPr>
          <w:p>
            <w:pPr>
              <w:spacing w:after="0" w:line="193" w:lineRule="exact"/>
              <w:rPr>
                <w:sz w:val="20"/>
                <w:szCs w:val="20"/>
                <w:color w:val="auto"/>
              </w:rPr>
            </w:pPr>
            <w:r>
              <w:rPr>
                <w:rFonts w:ascii="Arial" w:cs="Arial" w:eastAsia="Arial" w:hAnsi="Arial"/>
                <w:sz w:val="14"/>
                <w:szCs w:val="14"/>
                <w:color w:val="auto"/>
              </w:rPr>
              <w:t xml:space="preserve">Investment and other (income) loss, net </w:t>
            </w:r>
            <w:r>
              <w:rPr>
                <w:rFonts w:ascii="Arial" w:cs="Arial" w:eastAsia="Arial" w:hAnsi="Arial"/>
                <w:sz w:val="21"/>
                <w:szCs w:val="21"/>
                <w:color w:val="auto"/>
                <w:vertAlign w:val="superscript"/>
              </w:rPr>
              <w:t>(1)</w:t>
            </w:r>
          </w:p>
        </w:tc>
        <w:tc>
          <w:tcPr>
            <w:tcW w:w="1520" w:type="dxa"/>
            <w:vAlign w:val="bottom"/>
            <w:gridSpan w:val="6"/>
          </w:tcPr>
          <w:p>
            <w:pPr>
              <w:jc w:val="right"/>
              <w:ind w:right="160"/>
              <w:spacing w:after="0"/>
              <w:rPr>
                <w:sz w:val="20"/>
                <w:szCs w:val="20"/>
                <w:color w:val="auto"/>
              </w:rPr>
            </w:pPr>
            <w:r>
              <w:rPr>
                <w:rFonts w:ascii="Arial" w:cs="Arial" w:eastAsia="Arial" w:hAnsi="Arial"/>
                <w:sz w:val="14"/>
                <w:szCs w:val="14"/>
                <w:color w:val="auto"/>
              </w:rPr>
              <w:t>(126)</w:t>
            </w: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(676)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40" w:type="dxa"/>
            <w:vAlign w:val="bottom"/>
            <w:gridSpan w:val="2"/>
          </w:tcPr>
          <w:p>
            <w:pPr>
              <w:spacing w:after="0"/>
              <w:rPr>
                <w:sz w:val="20"/>
                <w:szCs w:val="20"/>
                <w:color w:val="auto"/>
              </w:rPr>
            </w:pPr>
            <w:r>
              <w:rPr>
                <w:rFonts w:ascii="Arial" w:cs="Arial" w:eastAsia="Arial" w:hAnsi="Arial"/>
                <w:sz w:val="14"/>
                <w:szCs w:val="14"/>
                <w:color w:val="auto"/>
              </w:rPr>
              <w:t>Depreciation and amortization expense</w:t>
            </w:r>
          </w:p>
        </w:tc>
        <w:tc>
          <w:tcPr>
            <w:tcW w:w="1360" w:type="dxa"/>
            <w:vAlign w:val="bottom"/>
            <w:gridSpan w:val="5"/>
          </w:tcPr>
          <w:p>
            <w:pPr>
              <w:jc w:val="right"/>
              <w:ind w:right="40"/>
              <w:spacing w:after="0"/>
              <w:rPr>
                <w:sz w:val="20"/>
                <w:szCs w:val="20"/>
                <w:color w:val="auto"/>
              </w:rPr>
            </w:pPr>
            <w:r>
              <w:rPr>
                <w:rFonts w:ascii="Arial" w:cs="Arial" w:eastAsia="Arial" w:hAnsi="Arial"/>
                <w:sz w:val="14"/>
                <w:szCs w:val="14"/>
                <w:color w:val="auto"/>
              </w:rPr>
              <w:t>2,599</w:t>
            </w:r>
          </w:p>
        </w:tc>
        <w:tc>
          <w:tcPr>
            <w:tcW w:w="16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3,320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040" w:type="dxa"/>
            <w:vAlign w:val="bottom"/>
            <w:gridSpan w:val="2"/>
          </w:tcPr>
          <w:p>
            <w:pPr>
              <w:spacing w:after="0" w:line="193"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21"/>
                <w:szCs w:val="21"/>
                <w:color w:val="auto"/>
                <w:vertAlign w:val="superscript"/>
              </w:rPr>
              <w:t>(2)</w:t>
            </w:r>
          </w:p>
        </w:tc>
        <w:tc>
          <w:tcPr>
            <w:tcW w:w="4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51</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040" w:type="dxa"/>
            <w:vAlign w:val="bottom"/>
            <w:gridSpan w:val="2"/>
          </w:tcPr>
          <w:p>
            <w:pPr>
              <w:spacing w:after="0"/>
              <w:rPr>
                <w:sz w:val="20"/>
                <w:szCs w:val="20"/>
                <w:color w:val="auto"/>
              </w:rPr>
            </w:pPr>
            <w:r>
              <w:rPr>
                <w:rFonts w:ascii="Arial" w:cs="Arial" w:eastAsia="Arial" w:hAnsi="Arial"/>
                <w:sz w:val="14"/>
                <w:szCs w:val="14"/>
                <w:b w:val="1"/>
                <w:bCs w:val="1"/>
                <w:color w:val="auto"/>
              </w:rPr>
              <w:t>Adjusted EBITDA</w:t>
            </w:r>
          </w:p>
        </w:tc>
        <w:tc>
          <w:tcPr>
            <w:tcW w:w="1360" w:type="dxa"/>
            <w:vAlign w:val="bottom"/>
            <w:gridSpan w:val="5"/>
          </w:tcPr>
          <w:p>
            <w:pPr>
              <w:jc w:val="right"/>
              <w:ind w:right="40"/>
              <w:spacing w:after="0"/>
              <w:rPr>
                <w:sz w:val="20"/>
                <w:szCs w:val="20"/>
                <w:color w:val="auto"/>
              </w:rPr>
            </w:pPr>
            <w:r>
              <w:rPr>
                <w:rFonts w:ascii="Arial" w:cs="Arial" w:eastAsia="Arial" w:hAnsi="Arial"/>
                <w:sz w:val="14"/>
                <w:szCs w:val="14"/>
                <w:color w:val="auto"/>
              </w:rPr>
              <w:t>$7,244</w:t>
            </w:r>
          </w:p>
        </w:tc>
        <w:tc>
          <w:tcPr>
            <w:tcW w:w="16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$8,553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C9C9C9"/>
              </w:rPr>
              <w:t>Reconciliation from Net Cash Provided by Operating Activities to Free Cash Flow (Unaudited)</w:t>
            </w: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0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20" w:type="dxa"/>
            <w:vAlign w:val="bottom"/>
            <w:tcBorders>
              <w:bottom w:val="single" w:sz="8" w:color="0050B9"/>
            </w:tcBorders>
          </w:tcPr>
          <w:p>
            <w:pPr>
              <w:spacing w:after="0"/>
              <w:rPr>
                <w:sz w:val="2"/>
                <w:szCs w:val="2"/>
                <w:color w:val="auto"/>
              </w:rPr>
            </w:pPr>
          </w:p>
        </w:tc>
        <w:tc>
          <w:tcPr>
            <w:tcW w:w="20" w:type="dxa"/>
            <w:vAlign w:val="bottom"/>
            <w:tcBorders>
              <w:bottom w:val="single" w:sz="8" w:color="0050B9"/>
            </w:tcBorders>
          </w:tcPr>
          <w:p>
            <w:pPr>
              <w:spacing w:after="0"/>
              <w:rPr>
                <w:sz w:val="2"/>
                <w:szCs w:val="2"/>
                <w:color w:val="auto"/>
              </w:rPr>
            </w:pPr>
          </w:p>
        </w:tc>
        <w:tc>
          <w:tcPr>
            <w:tcW w:w="1000" w:type="dxa"/>
            <w:vAlign w:val="bottom"/>
            <w:tcBorders>
              <w:bottom w:val="single" w:sz="8" w:color="0050B9"/>
            </w:tcBorders>
            <w:gridSpan w:val="2"/>
          </w:tcPr>
          <w:p>
            <w:pPr>
              <w:spacing w:after="0"/>
              <w:rPr>
                <w:sz w:val="2"/>
                <w:szCs w:val="2"/>
                <w:color w:val="auto"/>
              </w:rPr>
            </w:pPr>
          </w:p>
        </w:tc>
        <w:tc>
          <w:tcPr>
            <w:tcW w:w="20" w:type="dxa"/>
            <w:vAlign w:val="bottom"/>
            <w:tcBorders>
              <w:bottom w:val="single" w:sz="8" w:color="0050B9"/>
            </w:tcBorders>
          </w:tcPr>
          <w:p>
            <w:pPr>
              <w:spacing w:after="0"/>
              <w:rPr>
                <w:sz w:val="2"/>
                <w:szCs w:val="2"/>
                <w:color w:val="auto"/>
              </w:rPr>
            </w:pPr>
          </w:p>
        </w:tc>
        <w:tc>
          <w:tcPr>
            <w:tcW w:w="220" w:type="dxa"/>
            <w:vAlign w:val="bottom"/>
            <w:tcBorders>
              <w:bottom w:val="single" w:sz="8" w:color="0050B9"/>
            </w:tcBorders>
          </w:tcPr>
          <w:p>
            <w:pPr>
              <w:spacing w:after="0"/>
              <w:rPr>
                <w:sz w:val="2"/>
                <w:szCs w:val="2"/>
                <w:color w:val="auto"/>
              </w:rPr>
            </w:pPr>
          </w:p>
        </w:tc>
        <w:tc>
          <w:tcPr>
            <w:tcW w:w="1020" w:type="dxa"/>
            <w:vAlign w:val="bottom"/>
            <w:tcBorders>
              <w:bottom w:val="single" w:sz="8" w:color="0050B9"/>
            </w:tcBorders>
            <w:gridSpan w:val="3"/>
          </w:tcPr>
          <w:p>
            <w:pPr>
              <w:spacing w:after="0"/>
              <w:rPr>
                <w:sz w:val="2"/>
                <w:szCs w:val="2"/>
                <w:color w:val="auto"/>
              </w:rPr>
            </w:pPr>
          </w:p>
        </w:tc>
        <w:tc>
          <w:tcPr>
            <w:tcW w:w="20" w:type="dxa"/>
            <w:vAlign w:val="bottom"/>
            <w:tcBorders>
              <w:bottom w:val="single" w:sz="8" w:color="0050B9"/>
            </w:tcBorders>
          </w:tcPr>
          <w:p>
            <w:pPr>
              <w:spacing w:after="0"/>
              <w:rPr>
                <w:sz w:val="2"/>
                <w:szCs w:val="2"/>
                <w:color w:val="auto"/>
              </w:rPr>
            </w:pPr>
          </w:p>
        </w:tc>
        <w:tc>
          <w:tcPr>
            <w:tcW w:w="40" w:type="dxa"/>
            <w:vAlign w:val="bottom"/>
            <w:tcBorders>
              <w:bottom w:val="single" w:sz="8" w:color="0050B9"/>
            </w:tcBorders>
          </w:tcPr>
          <w:p>
            <w:pPr>
              <w:spacing w:after="0"/>
              <w:rPr>
                <w:sz w:val="2"/>
                <w:szCs w:val="2"/>
                <w:color w:val="auto"/>
              </w:rPr>
            </w:pPr>
          </w:p>
        </w:tc>
        <w:tc>
          <w:tcPr>
            <w:tcW w:w="60" w:type="dxa"/>
            <w:vAlign w:val="bottom"/>
            <w:tcBorders>
              <w:bottom w:val="single" w:sz="8" w:color="0050B9"/>
            </w:tcBorders>
          </w:tcPr>
          <w:p>
            <w:pPr>
              <w:spacing w:after="0"/>
              <w:rPr>
                <w:sz w:val="2"/>
                <w:szCs w:val="2"/>
                <w:color w:val="auto"/>
              </w:rPr>
            </w:pPr>
          </w:p>
        </w:tc>
        <w:tc>
          <w:tcPr>
            <w:tcW w:w="0" w:type="dxa"/>
            <w:vAlign w:val="bottom"/>
          </w:tcPr>
          <w:p>
            <w:pPr>
              <w:spacing w:after="0"/>
              <w:rPr>
                <w:sz w:val="1"/>
                <w:szCs w:val="1"/>
                <w:color w:val="auto"/>
              </w:rPr>
            </w:pPr>
          </w:p>
        </w:tc>
      </w:tr>
      <w:tr>
        <w:trPr>
          <w:trHeight w:val="365"/>
        </w:trPr>
        <w:tc>
          <w:tcPr>
            <w:tcW w:w="9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gridSpan w:val="9"/>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5"/>
          </w:tcPr>
          <w:p>
            <w:pPr>
              <w:jc w:val="center"/>
              <w:ind w:left="248"/>
              <w:spacing w:after="0"/>
              <w:rPr>
                <w:sz w:val="20"/>
                <w:szCs w:val="20"/>
                <w:color w:val="auto"/>
              </w:rPr>
            </w:pPr>
            <w:r>
              <w:rPr>
                <w:rFonts w:ascii="Arial" w:cs="Arial" w:eastAsia="Arial" w:hAnsi="Arial"/>
                <w:sz w:val="14"/>
                <w:szCs w:val="14"/>
                <w:b w:val="1"/>
                <w:bCs w:val="1"/>
                <w:color w:val="auto"/>
              </w:rPr>
              <w:t>March 31,</w:t>
            </w:r>
          </w:p>
        </w:tc>
        <w:tc>
          <w:tcPr>
            <w:tcW w:w="7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0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0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color w:val="auto"/>
              </w:rPr>
              <w:t>2018</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040" w:type="dxa"/>
            <w:vAlign w:val="bottom"/>
            <w:gridSpan w:val="2"/>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$5,474</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$7,231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40" w:type="dxa"/>
            <w:vAlign w:val="bottom"/>
            <w:gridSpan w:val="2"/>
          </w:tcPr>
          <w:p>
            <w:pPr>
              <w:spacing w:after="0"/>
              <w:rPr>
                <w:sz w:val="20"/>
                <w:szCs w:val="20"/>
                <w:color w:val="auto"/>
              </w:rPr>
            </w:pPr>
            <w:r>
              <w:rPr>
                <w:rFonts w:ascii="Arial" w:cs="Arial" w:eastAsia="Arial" w:hAnsi="Arial"/>
                <w:sz w:val="14"/>
                <w:szCs w:val="14"/>
                <w:color w:val="auto"/>
              </w:rPr>
              <w:t>Capital expenditures</w:t>
            </w:r>
          </w:p>
        </w:tc>
        <w:tc>
          <w:tcPr>
            <w:tcW w:w="1240" w:type="dxa"/>
            <w:vAlign w:val="bottom"/>
            <w:gridSpan w:val="4"/>
          </w:tcPr>
          <w:p>
            <w:pPr>
              <w:jc w:val="right"/>
              <w:ind w:right="148"/>
              <w:spacing w:after="0"/>
              <w:rPr>
                <w:sz w:val="20"/>
                <w:szCs w:val="20"/>
                <w:color w:val="auto"/>
              </w:rPr>
            </w:pPr>
            <w:r>
              <w:rPr>
                <w:rFonts w:ascii="Arial" w:cs="Arial" w:eastAsia="Arial" w:hAnsi="Arial"/>
                <w:sz w:val="14"/>
                <w:szCs w:val="14"/>
                <w:color w:val="auto"/>
              </w:rPr>
              <w:t>(1,973)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(2,092)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40" w:type="dxa"/>
            <w:vAlign w:val="bottom"/>
            <w:gridSpan w:val="2"/>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(419)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(547)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040" w:type="dxa"/>
            <w:vAlign w:val="bottom"/>
            <w:gridSpan w:val="2"/>
          </w:tcPr>
          <w:p>
            <w:pPr>
              <w:spacing w:after="0"/>
              <w:rPr>
                <w:sz w:val="20"/>
                <w:szCs w:val="20"/>
                <w:color w:val="auto"/>
              </w:rPr>
            </w:pPr>
            <w:r>
              <w:rPr>
                <w:rFonts w:ascii="Arial" w:cs="Arial" w:eastAsia="Arial" w:hAnsi="Arial"/>
                <w:sz w:val="14"/>
                <w:szCs w:val="14"/>
                <w:b w:val="1"/>
                <w:bCs w:val="1"/>
                <w:color w:val="auto"/>
              </w:rPr>
              <w:t>Total Free Cash Flow</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$3,082</w:t>
            </w: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$4,592</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C9C9C9"/>
              </w:rPr>
              <w:t>Alternate Presentation of Free Cash Flow (Unaudited)</w:t>
            </w: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0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20" w:type="dxa"/>
            <w:vAlign w:val="bottom"/>
            <w:tcBorders>
              <w:bottom w:val="single" w:sz="8" w:color="0050B9"/>
            </w:tcBorders>
          </w:tcPr>
          <w:p>
            <w:pPr>
              <w:spacing w:after="0"/>
              <w:rPr>
                <w:sz w:val="2"/>
                <w:szCs w:val="2"/>
                <w:color w:val="auto"/>
              </w:rPr>
            </w:pPr>
          </w:p>
        </w:tc>
        <w:tc>
          <w:tcPr>
            <w:tcW w:w="20" w:type="dxa"/>
            <w:vAlign w:val="bottom"/>
            <w:tcBorders>
              <w:bottom w:val="single" w:sz="8" w:color="0050B9"/>
            </w:tcBorders>
          </w:tcPr>
          <w:p>
            <w:pPr>
              <w:spacing w:after="0"/>
              <w:rPr>
                <w:sz w:val="2"/>
                <w:szCs w:val="2"/>
                <w:color w:val="auto"/>
              </w:rPr>
            </w:pPr>
          </w:p>
        </w:tc>
        <w:tc>
          <w:tcPr>
            <w:tcW w:w="1000" w:type="dxa"/>
            <w:vAlign w:val="bottom"/>
            <w:tcBorders>
              <w:bottom w:val="single" w:sz="8" w:color="0050B9"/>
            </w:tcBorders>
            <w:gridSpan w:val="2"/>
          </w:tcPr>
          <w:p>
            <w:pPr>
              <w:spacing w:after="0"/>
              <w:rPr>
                <w:sz w:val="2"/>
                <w:szCs w:val="2"/>
                <w:color w:val="auto"/>
              </w:rPr>
            </w:pPr>
          </w:p>
        </w:tc>
        <w:tc>
          <w:tcPr>
            <w:tcW w:w="240" w:type="dxa"/>
            <w:vAlign w:val="bottom"/>
            <w:tcBorders>
              <w:bottom w:val="single" w:sz="8" w:color="0050B9"/>
            </w:tcBorders>
            <w:gridSpan w:val="2"/>
          </w:tcPr>
          <w:p>
            <w:pPr>
              <w:spacing w:after="0"/>
              <w:rPr>
                <w:sz w:val="2"/>
                <w:szCs w:val="2"/>
                <w:color w:val="auto"/>
              </w:rPr>
            </w:pPr>
          </w:p>
        </w:tc>
        <w:tc>
          <w:tcPr>
            <w:tcW w:w="1020" w:type="dxa"/>
            <w:vAlign w:val="bottom"/>
            <w:tcBorders>
              <w:bottom w:val="single" w:sz="8" w:color="0050B9"/>
            </w:tcBorders>
            <w:gridSpan w:val="3"/>
          </w:tcPr>
          <w:p>
            <w:pPr>
              <w:spacing w:after="0"/>
              <w:rPr>
                <w:sz w:val="2"/>
                <w:szCs w:val="2"/>
                <w:color w:val="auto"/>
              </w:rPr>
            </w:pPr>
          </w:p>
        </w:tc>
        <w:tc>
          <w:tcPr>
            <w:tcW w:w="60" w:type="dxa"/>
            <w:vAlign w:val="bottom"/>
            <w:tcBorders>
              <w:bottom w:val="single" w:sz="8" w:color="0050B9"/>
            </w:tcBorders>
            <w:gridSpan w:val="2"/>
          </w:tcPr>
          <w:p>
            <w:pPr>
              <w:spacing w:after="0"/>
              <w:rPr>
                <w:sz w:val="2"/>
                <w:szCs w:val="2"/>
                <w:color w:val="auto"/>
              </w:rPr>
            </w:pPr>
          </w:p>
        </w:tc>
        <w:tc>
          <w:tcPr>
            <w:tcW w:w="60" w:type="dxa"/>
            <w:vAlign w:val="bottom"/>
            <w:tcBorders>
              <w:bottom w:val="single" w:sz="8" w:color="0050B9"/>
            </w:tcBorders>
          </w:tcPr>
          <w:p>
            <w:pPr>
              <w:spacing w:after="0"/>
              <w:rPr>
                <w:sz w:val="2"/>
                <w:szCs w:val="2"/>
                <w:color w:val="auto"/>
              </w:rPr>
            </w:pPr>
          </w:p>
        </w:tc>
        <w:tc>
          <w:tcPr>
            <w:tcW w:w="0" w:type="dxa"/>
            <w:vAlign w:val="bottom"/>
          </w:tcPr>
          <w:p>
            <w:pPr>
              <w:spacing w:after="0"/>
              <w:rPr>
                <w:sz w:val="1"/>
                <w:szCs w:val="1"/>
                <w:color w:val="auto"/>
              </w:rPr>
            </w:pPr>
          </w:p>
        </w:tc>
      </w:tr>
      <w:tr>
        <w:trPr>
          <w:trHeight w:val="378"/>
        </w:trPr>
        <w:tc>
          <w:tcPr>
            <w:tcW w:w="9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9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5"/>
          </w:tcPr>
          <w:p>
            <w:pPr>
              <w:jc w:val="center"/>
              <w:ind w:left="208"/>
              <w:spacing w:after="0"/>
              <w:rPr>
                <w:sz w:val="20"/>
                <w:szCs w:val="20"/>
                <w:color w:val="auto"/>
              </w:rPr>
            </w:pPr>
            <w:r>
              <w:rPr>
                <w:rFonts w:ascii="Arial" w:cs="Arial" w:eastAsia="Arial" w:hAnsi="Arial"/>
                <w:sz w:val="14"/>
                <w:szCs w:val="14"/>
                <w:b w:val="1"/>
                <w:bCs w:val="1"/>
                <w:color w:val="auto"/>
              </w:rPr>
              <w:t>March 31,</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9020" w:type="dxa"/>
            <w:vAlign w:val="bottom"/>
          </w:tcPr>
          <w:p>
            <w:pPr>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color w:val="auto"/>
              </w:rPr>
              <w:t>2018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9040" w:type="dxa"/>
            <w:vAlign w:val="bottom"/>
            <w:gridSpan w:val="2"/>
          </w:tcPr>
          <w:p>
            <w:pPr>
              <w:spacing w:after="0"/>
              <w:rPr>
                <w:sz w:val="20"/>
                <w:szCs w:val="20"/>
                <w:color w:val="auto"/>
              </w:rPr>
            </w:pPr>
            <w:r>
              <w:rPr>
                <w:rFonts w:ascii="Arial" w:cs="Arial" w:eastAsia="Arial" w:hAnsi="Arial"/>
                <w:sz w:val="14"/>
                <w:szCs w:val="14"/>
                <w:b w:val="1"/>
                <w:bCs w:val="1"/>
                <w:color w:val="auto"/>
              </w:rPr>
              <w:t>Adjusted EBITDA</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$7,244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$8,553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4"/>
                <w:szCs w:val="14"/>
                <w:color w:val="auto"/>
              </w:rPr>
              <w:t>Capital expenditures</w:t>
            </w:r>
          </w:p>
        </w:tc>
        <w:tc>
          <w:tcPr>
            <w:tcW w:w="1020" w:type="dxa"/>
            <w:vAlign w:val="bottom"/>
            <w:gridSpan w:val="3"/>
          </w:tcPr>
          <w:p>
            <w:pPr>
              <w:jc w:val="right"/>
              <w:ind w:right="20"/>
              <w:spacing w:after="0"/>
              <w:rPr>
                <w:sz w:val="20"/>
                <w:szCs w:val="20"/>
                <w:color w:val="auto"/>
              </w:rPr>
            </w:pPr>
            <w:r>
              <w:rPr>
                <w:rFonts w:ascii="Arial" w:cs="Arial" w:eastAsia="Arial" w:hAnsi="Arial"/>
                <w:sz w:val="14"/>
                <w:szCs w:val="14"/>
                <w:color w:val="auto"/>
              </w:rPr>
              <w:t>(1,973)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(2,092)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4"/>
                <w:szCs w:val="14"/>
                <w:color w:val="auto"/>
              </w:rPr>
              <w:t>Cash paid for capitalized software and other intangible assets</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(419)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(547)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4"/>
                <w:szCs w:val="14"/>
                <w:color w:val="auto"/>
              </w:rPr>
              <w:t>Cash interest expense</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(854)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4"/>
                <w:szCs w:val="14"/>
                <w:color w:val="auto"/>
              </w:rPr>
              <w:t>Cash taxes</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(162)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(189)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4"/>
                <w:szCs w:val="14"/>
                <w:color w:val="auto"/>
              </w:rPr>
              <w:t>Changes in operating assets and liabilities</w:t>
            </w:r>
          </w:p>
        </w:tc>
        <w:tc>
          <w:tcPr>
            <w:tcW w:w="1020" w:type="dxa"/>
            <w:vAlign w:val="bottom"/>
            <w:gridSpan w:val="3"/>
          </w:tcPr>
          <w:p>
            <w:pPr>
              <w:jc w:val="right"/>
              <w:ind w:right="20"/>
              <w:spacing w:after="0"/>
              <w:rPr>
                <w:sz w:val="20"/>
                <w:szCs w:val="20"/>
                <w:color w:val="auto"/>
              </w:rPr>
            </w:pPr>
            <w:r>
              <w:rPr>
                <w:rFonts w:ascii="Arial" w:cs="Arial" w:eastAsia="Arial" w:hAnsi="Arial"/>
                <w:sz w:val="14"/>
                <w:szCs w:val="14"/>
                <w:color w:val="auto"/>
              </w:rPr>
              <w:t>(1,005)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(535)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4"/>
                <w:szCs w:val="14"/>
                <w:color w:val="auto"/>
              </w:rPr>
              <w:t>Noncash share-based compensation</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199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020" w:type="dxa"/>
            <w:vAlign w:val="bottom"/>
          </w:tcPr>
          <w:p>
            <w:pPr>
              <w:spacing w:after="0" w:line="228"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21"/>
                <w:szCs w:val="21"/>
                <w:color w:val="auto"/>
                <w:vertAlign w:val="superscript"/>
              </w:rPr>
              <w:t>(3)</w:t>
            </w: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9040" w:type="dxa"/>
            <w:vAlign w:val="bottom"/>
            <w:gridSpan w:val="2"/>
          </w:tcPr>
          <w:p>
            <w:pPr>
              <w:spacing w:after="0"/>
              <w:rPr>
                <w:sz w:val="20"/>
                <w:szCs w:val="20"/>
                <w:color w:val="auto"/>
              </w:rPr>
            </w:pPr>
            <w:r>
              <w:rPr>
                <w:rFonts w:ascii="Arial" w:cs="Arial" w:eastAsia="Arial" w:hAnsi="Arial"/>
                <w:sz w:val="14"/>
                <w:szCs w:val="14"/>
                <w:b w:val="1"/>
                <w:bCs w:val="1"/>
                <w:color w:val="auto"/>
              </w:rPr>
              <w:t>Total Free Cash Flow</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$3,082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$4,592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260" w:hanging="252"/>
        <w:spacing w:after="0" w:line="258" w:lineRule="auto"/>
        <w:tabs>
          <w:tab w:leader="none" w:pos="306"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Investment and other (income) loss, net, includes equity in net (income) losses of investees, net, realized and unrealized (gains) losses on equity securities, net, and other (income) loss, net.</w:t>
      </w:r>
    </w:p>
    <w:p>
      <w:pPr>
        <w:spacing w:after="0" w:line="180" w:lineRule="exact"/>
        <w:rPr>
          <w:rFonts w:ascii="Arial" w:cs="Arial" w:eastAsia="Arial" w:hAnsi="Arial"/>
          <w:sz w:val="14"/>
          <w:szCs w:val="14"/>
          <w:color w:val="auto"/>
        </w:rPr>
      </w:pPr>
    </w:p>
    <w:p>
      <w:pPr>
        <w:ind w:left="260" w:hanging="252"/>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First quarter 2019 Adjusted EBITDA excludes $51 million of other operating and administrative expense related to the Sky transaction.</w:t>
      </w:r>
    </w:p>
    <w:p>
      <w:pPr>
        <w:spacing w:after="0" w:line="203" w:lineRule="exact"/>
        <w:rPr>
          <w:rFonts w:ascii="Arial" w:cs="Arial" w:eastAsia="Arial" w:hAnsi="Arial"/>
          <w:sz w:val="14"/>
          <w:szCs w:val="14"/>
          <w:color w:val="auto"/>
        </w:rPr>
      </w:pPr>
    </w:p>
    <w:p>
      <w:pPr>
        <w:ind w:left="260" w:hanging="252"/>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Other for this presentation includes a decrease of $51 million of costs related to the Sky transaction in first quarter 2019, as these are not included in Adjusted EBITDA.</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sectPr>
      </w:pPr>
    </w:p>
    <w:bookmarkStart w:id="15" w:name="page16"/>
    <w:bookmarkEnd w:id="15"/>
    <w:p>
      <w:pPr>
        <w:ind w:left="80"/>
        <w:spacing w:after="0"/>
        <w:rPr>
          <w:sz w:val="20"/>
          <w:szCs w:val="20"/>
          <w:color w:val="auto"/>
        </w:rPr>
      </w:pPr>
      <w:r>
        <w:rPr>
          <w:rFonts w:ascii="Arial" w:cs="Arial" w:eastAsia="Arial" w:hAnsi="Arial"/>
          <w:sz w:val="25"/>
          <w:szCs w:val="25"/>
          <w:b w:val="1"/>
          <w:bCs w:val="1"/>
          <w:color w:val="C9C9C9"/>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-119380</wp:posOffset>
            </wp:positionV>
            <wp:extent cx="1089025" cy="4718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89025" cy="471805"/>
                    </a:xfrm>
                    <a:prstGeom prst="rect">
                      <a:avLst/>
                    </a:prstGeom>
                    <a:noFill/>
                  </pic:spPr>
                </pic:pic>
              </a:graphicData>
            </a:graphic>
          </wp:anchor>
        </w:drawing>
      </w:r>
    </w:p>
    <w:p>
      <w:pPr>
        <w:spacing w:after="0" w:line="2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9C9C9"/>
        </w:rPr>
        <w:t>Reconciliation of EPS Excluding Adjustments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9"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24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96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rPr>
              <w:t>EPS</w:t>
            </w:r>
          </w:p>
        </w:tc>
        <w:tc>
          <w:tcPr>
            <w:tcW w:w="92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824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96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$3,118</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$0.66</w:t>
            </w:r>
          </w:p>
        </w:tc>
        <w:tc>
          <w:tcPr>
            <w:tcW w:w="120" w:type="dxa"/>
            <w:vAlign w:val="bottom"/>
          </w:tcPr>
          <w:p>
            <w:pPr>
              <w:spacing w:after="0"/>
              <w:rPr>
                <w:sz w:val="24"/>
                <w:szCs w:val="24"/>
                <w:color w:val="auto"/>
              </w:rPr>
            </w:pPr>
          </w:p>
        </w:tc>
        <w:tc>
          <w:tcPr>
            <w:tcW w:w="9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$3,553</w:t>
            </w:r>
          </w:p>
        </w:tc>
        <w:tc>
          <w:tcPr>
            <w:tcW w:w="54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$0.77</w:t>
            </w:r>
          </w:p>
        </w:tc>
        <w:tc>
          <w:tcPr>
            <w:tcW w:w="0" w:type="dxa"/>
            <w:vAlign w:val="bottom"/>
          </w:tcPr>
          <w:p>
            <w:pPr>
              <w:spacing w:after="0"/>
              <w:rPr>
                <w:sz w:val="1"/>
                <w:szCs w:val="1"/>
                <w:color w:val="auto"/>
              </w:rPr>
            </w:pPr>
          </w:p>
        </w:tc>
      </w:tr>
      <w:tr>
        <w:trPr>
          <w:trHeight w:val="189"/>
        </w:trPr>
        <w:tc>
          <w:tcPr>
            <w:tcW w:w="8240" w:type="dxa"/>
            <w:vAlign w:val="bottom"/>
          </w:tcPr>
          <w:p>
            <w:pPr>
              <w:spacing w:after="0"/>
              <w:rPr>
                <w:sz w:val="20"/>
                <w:szCs w:val="20"/>
                <w:color w:val="auto"/>
              </w:rPr>
            </w:pPr>
            <w:r>
              <w:rPr>
                <w:rFonts w:ascii="Arial" w:cs="Arial" w:eastAsia="Arial" w:hAnsi="Arial"/>
                <w:sz w:val="14"/>
                <w:szCs w:val="14"/>
                <w:i w:val="1"/>
                <w:iCs w:val="1"/>
                <w:color w:val="auto"/>
              </w:rPr>
              <w:t>Growth %</w:t>
            </w: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i w:val="1"/>
                <w:iCs w:val="1"/>
                <w:color w:val="auto"/>
              </w:rPr>
              <w:t>14.0%</w:t>
            </w:r>
          </w:p>
        </w:tc>
        <w:tc>
          <w:tcPr>
            <w:tcW w:w="540" w:type="dxa"/>
            <w:vAlign w:val="bottom"/>
          </w:tcPr>
          <w:p>
            <w:pPr>
              <w:ind w:left="120"/>
              <w:spacing w:after="0"/>
              <w:rPr>
                <w:sz w:val="20"/>
                <w:szCs w:val="20"/>
                <w:color w:val="auto"/>
              </w:rPr>
            </w:pPr>
            <w:r>
              <w:rPr>
                <w:rFonts w:ascii="Arial" w:cs="Arial" w:eastAsia="Arial" w:hAnsi="Arial"/>
                <w:sz w:val="14"/>
                <w:szCs w:val="14"/>
                <w:i w:val="1"/>
                <w:iCs w:val="1"/>
                <w:color w:val="auto"/>
              </w:rPr>
              <w:t>16.7%</w:t>
            </w:r>
          </w:p>
        </w:tc>
        <w:tc>
          <w:tcPr>
            <w:tcW w:w="0" w:type="dxa"/>
            <w:vAlign w:val="bottom"/>
          </w:tcPr>
          <w:p>
            <w:pPr>
              <w:spacing w:after="0"/>
              <w:rPr>
                <w:sz w:val="1"/>
                <w:szCs w:val="1"/>
                <w:color w:val="auto"/>
              </w:rPr>
            </w:pPr>
          </w:p>
        </w:tc>
      </w:tr>
      <w:tr>
        <w:trPr>
          <w:trHeight w:val="373"/>
        </w:trPr>
        <w:tc>
          <w:tcPr>
            <w:tcW w:w="8240" w:type="dxa"/>
            <w:vAlign w:val="bottom"/>
          </w:tcPr>
          <w:p>
            <w:pPr>
              <w:spacing w:after="0"/>
              <w:rPr>
                <w:sz w:val="20"/>
                <w:szCs w:val="20"/>
                <w:color w:val="auto"/>
              </w:rPr>
            </w:pPr>
            <w:r>
              <w:rPr>
                <w:rFonts w:ascii="Arial" w:cs="Arial" w:eastAsia="Arial" w:hAnsi="Arial"/>
                <w:sz w:val="14"/>
                <w:szCs w:val="14"/>
                <w:color w:val="auto"/>
              </w:rPr>
              <w:t xml:space="preserve">Fair value investments </w:t>
            </w:r>
            <w:r>
              <w:rPr>
                <w:rFonts w:ascii="Arial" w:cs="Arial" w:eastAsia="Arial" w:hAnsi="Arial"/>
                <w:sz w:val="21"/>
                <w:szCs w:val="21"/>
                <w:color w:val="auto"/>
                <w:vertAlign w:val="superscript"/>
              </w:rPr>
              <w:t>(1)</w:t>
            </w: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(47)</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(0.01)</w:t>
            </w:r>
          </w:p>
        </w:tc>
        <w:tc>
          <w:tcPr>
            <w:tcW w:w="920" w:type="dxa"/>
            <w:vAlign w:val="bottom"/>
          </w:tcPr>
          <w:p>
            <w:pPr>
              <w:jc w:val="right"/>
              <w:ind w:right="248"/>
              <w:spacing w:after="0"/>
              <w:rPr>
                <w:sz w:val="20"/>
                <w:szCs w:val="20"/>
                <w:color w:val="auto"/>
              </w:rPr>
            </w:pPr>
            <w:r>
              <w:rPr>
                <w:rFonts w:ascii="Arial" w:cs="Arial" w:eastAsia="Arial" w:hAnsi="Arial"/>
                <w:sz w:val="14"/>
                <w:szCs w:val="14"/>
                <w:b w:val="1"/>
                <w:bCs w:val="1"/>
                <w:color w:val="auto"/>
              </w:rPr>
              <w:t>(438)</w:t>
            </w: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(0.09)</w:t>
            </w:r>
          </w:p>
        </w:tc>
        <w:tc>
          <w:tcPr>
            <w:tcW w:w="0" w:type="dxa"/>
            <w:vAlign w:val="bottom"/>
          </w:tcPr>
          <w:p>
            <w:pPr>
              <w:spacing w:after="0"/>
              <w:rPr>
                <w:sz w:val="1"/>
                <w:szCs w:val="1"/>
                <w:color w:val="auto"/>
              </w:rPr>
            </w:pPr>
          </w:p>
        </w:tc>
      </w:tr>
      <w:tr>
        <w:trPr>
          <w:trHeight w:val="189"/>
        </w:trPr>
        <w:tc>
          <w:tcPr>
            <w:tcW w:w="8240" w:type="dxa"/>
            <w:vAlign w:val="bottom"/>
          </w:tcPr>
          <w:p>
            <w:pPr>
              <w:spacing w:after="0" w:line="189" w:lineRule="exact"/>
              <w:rPr>
                <w:sz w:val="20"/>
                <w:szCs w:val="20"/>
                <w:color w:val="auto"/>
              </w:rPr>
            </w:pPr>
            <w:r>
              <w:rPr>
                <w:rFonts w:ascii="Arial" w:cs="Arial" w:eastAsia="Arial" w:hAnsi="Arial"/>
                <w:sz w:val="14"/>
                <w:szCs w:val="14"/>
                <w:color w:val="auto"/>
              </w:rPr>
              <w:t xml:space="preserve">Amortization of acquisition-related intangible assets </w:t>
            </w:r>
            <w:r>
              <w:rPr>
                <w:rFonts w:ascii="Arial" w:cs="Arial" w:eastAsia="Arial" w:hAnsi="Arial"/>
                <w:sz w:val="21"/>
                <w:szCs w:val="21"/>
                <w:color w:val="auto"/>
                <w:vertAlign w:val="superscript"/>
              </w:rPr>
              <w:t>(2)</w:t>
            </w: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152</w:t>
            </w:r>
          </w:p>
        </w:tc>
        <w:tc>
          <w:tcPr>
            <w:tcW w:w="540" w:type="dxa"/>
            <w:vAlign w:val="bottom"/>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6"/>
                <w:szCs w:val="16"/>
                <w:color w:val="auto"/>
              </w:rPr>
            </w:pPr>
          </w:p>
        </w:tc>
        <w:tc>
          <w:tcPr>
            <w:tcW w:w="920" w:type="dxa"/>
            <w:vAlign w:val="bottom"/>
          </w:tcPr>
          <w:p>
            <w:pPr>
              <w:jc w:val="right"/>
              <w:ind w:right="288"/>
              <w:spacing w:after="0"/>
              <w:rPr>
                <w:sz w:val="20"/>
                <w:szCs w:val="20"/>
                <w:color w:val="auto"/>
              </w:rPr>
            </w:pPr>
            <w:r>
              <w:rPr>
                <w:rFonts w:ascii="Arial" w:cs="Arial" w:eastAsia="Arial" w:hAnsi="Arial"/>
                <w:sz w:val="14"/>
                <w:szCs w:val="14"/>
                <w:b w:val="1"/>
                <w:bCs w:val="1"/>
                <w:color w:val="auto"/>
              </w:rPr>
              <w:t>400</w:t>
            </w: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0.09</w:t>
            </w:r>
          </w:p>
        </w:tc>
        <w:tc>
          <w:tcPr>
            <w:tcW w:w="0" w:type="dxa"/>
            <w:vAlign w:val="bottom"/>
          </w:tcPr>
          <w:p>
            <w:pPr>
              <w:spacing w:after="0"/>
              <w:rPr>
                <w:sz w:val="1"/>
                <w:szCs w:val="1"/>
                <w:color w:val="auto"/>
              </w:rPr>
            </w:pPr>
          </w:p>
        </w:tc>
      </w:tr>
      <w:tr>
        <w:trPr>
          <w:trHeight w:val="189"/>
        </w:trPr>
        <w:tc>
          <w:tcPr>
            <w:tcW w:w="8240" w:type="dxa"/>
            <w:vAlign w:val="bottom"/>
          </w:tcPr>
          <w:p>
            <w:pPr>
              <w:spacing w:after="0" w:line="189" w:lineRule="exact"/>
              <w:rPr>
                <w:sz w:val="20"/>
                <w:szCs w:val="20"/>
                <w:color w:val="auto"/>
              </w:rPr>
            </w:pPr>
            <w:r>
              <w:rPr>
                <w:rFonts w:ascii="Arial" w:cs="Arial" w:eastAsia="Arial" w:hAnsi="Arial"/>
                <w:sz w:val="14"/>
                <w:szCs w:val="14"/>
                <w:color w:val="auto"/>
              </w:rPr>
              <w:t xml:space="preserve">Income tax adjustments </w:t>
            </w:r>
            <w:r>
              <w:rPr>
                <w:rFonts w:ascii="Arial" w:cs="Arial" w:eastAsia="Arial" w:hAnsi="Arial"/>
                <w:sz w:val="21"/>
                <w:szCs w:val="21"/>
                <w:color w:val="auto"/>
                <w:vertAlign w:val="superscript"/>
              </w:rPr>
              <w:t>(3)</w:t>
            </w: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(128)</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(0.02)</w:t>
            </w:r>
          </w:p>
        </w:tc>
        <w:tc>
          <w:tcPr>
            <w:tcW w:w="92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8240" w:type="dxa"/>
            <w:vAlign w:val="bottom"/>
          </w:tcPr>
          <w:p>
            <w:pPr>
              <w:spacing w:after="0" w:line="189" w:lineRule="exact"/>
              <w:rPr>
                <w:sz w:val="20"/>
                <w:szCs w:val="20"/>
                <w:color w:val="auto"/>
              </w:rPr>
            </w:pPr>
            <w:r>
              <w:rPr>
                <w:rFonts w:ascii="Arial" w:cs="Arial" w:eastAsia="Arial" w:hAnsi="Arial"/>
                <w:sz w:val="14"/>
                <w:szCs w:val="14"/>
                <w:color w:val="auto"/>
              </w:rPr>
              <w:t>Gains related to businesses and investments</w:t>
            </w:r>
            <w:r>
              <w:rPr>
                <w:rFonts w:ascii="Arial" w:cs="Arial" w:eastAsia="Arial" w:hAnsi="Arial"/>
                <w:sz w:val="21"/>
                <w:szCs w:val="21"/>
                <w:color w:val="auto"/>
                <w:vertAlign w:val="superscript"/>
              </w:rPr>
              <w:t>(4)</w:t>
            </w:r>
          </w:p>
        </w:tc>
        <w:tc>
          <w:tcPr>
            <w:tcW w:w="960" w:type="dxa"/>
            <w:vAlign w:val="bottom"/>
          </w:tcPr>
          <w:p>
            <w:pPr>
              <w:jc w:val="right"/>
              <w:ind w:right="208"/>
              <w:spacing w:after="0"/>
              <w:rPr>
                <w:sz w:val="20"/>
                <w:szCs w:val="20"/>
                <w:color w:val="auto"/>
              </w:rPr>
            </w:pPr>
            <w:r>
              <w:rPr>
                <w:rFonts w:ascii="Arial" w:cs="Arial" w:eastAsia="Arial" w:hAnsi="Arial"/>
                <w:sz w:val="14"/>
                <w:szCs w:val="14"/>
                <w:color w:val="auto"/>
              </w:rPr>
              <w:t>(48)</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(0.01)</w:t>
            </w:r>
          </w:p>
        </w:tc>
        <w:tc>
          <w:tcPr>
            <w:tcW w:w="920" w:type="dxa"/>
            <w:vAlign w:val="bottom"/>
          </w:tcPr>
          <w:p>
            <w:pPr>
              <w:jc w:val="right"/>
              <w:ind w:right="248"/>
              <w:spacing w:after="0"/>
              <w:rPr>
                <w:sz w:val="20"/>
                <w:szCs w:val="20"/>
                <w:color w:val="auto"/>
              </w:rPr>
            </w:pPr>
            <w:r>
              <w:rPr>
                <w:rFonts w:ascii="Arial" w:cs="Arial" w:eastAsia="Arial" w:hAnsi="Arial"/>
                <w:sz w:val="14"/>
                <w:szCs w:val="14"/>
                <w:b w:val="1"/>
                <w:bCs w:val="1"/>
                <w:color w:val="auto"/>
              </w:rPr>
              <w:t>(118)</w:t>
            </w: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(0.03)</w:t>
            </w:r>
          </w:p>
        </w:tc>
        <w:tc>
          <w:tcPr>
            <w:tcW w:w="0" w:type="dxa"/>
            <w:vAlign w:val="bottom"/>
          </w:tcPr>
          <w:p>
            <w:pPr>
              <w:spacing w:after="0"/>
              <w:rPr>
                <w:sz w:val="1"/>
                <w:szCs w:val="1"/>
                <w:color w:val="auto"/>
              </w:rPr>
            </w:pPr>
          </w:p>
        </w:tc>
      </w:tr>
      <w:tr>
        <w:trPr>
          <w:trHeight w:val="189"/>
        </w:trPr>
        <w:tc>
          <w:tcPr>
            <w:tcW w:w="8240" w:type="dxa"/>
            <w:vAlign w:val="bottom"/>
          </w:tcPr>
          <w:p>
            <w:pPr>
              <w:spacing w:after="0" w:line="189" w:lineRule="exact"/>
              <w:rPr>
                <w:sz w:val="20"/>
                <w:szCs w:val="20"/>
                <w:color w:val="auto"/>
              </w:rPr>
            </w:pPr>
            <w:r>
              <w:rPr>
                <w:rFonts w:ascii="Arial" w:cs="Arial" w:eastAsia="Arial" w:hAnsi="Arial"/>
                <w:sz w:val="14"/>
                <w:szCs w:val="14"/>
                <w:color w:val="auto"/>
              </w:rPr>
              <w:t xml:space="preserve">Costs related to Sky transaction </w:t>
            </w:r>
            <w:r>
              <w:rPr>
                <w:rFonts w:ascii="Arial" w:cs="Arial" w:eastAsia="Arial" w:hAnsi="Arial"/>
                <w:sz w:val="21"/>
                <w:szCs w:val="21"/>
                <w:color w:val="auto"/>
                <w:vertAlign w:val="superscript"/>
              </w:rPr>
              <w:t>(5)</w:t>
            </w: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8"/>
              <w:spacing w:after="0"/>
              <w:rPr>
                <w:sz w:val="20"/>
                <w:szCs w:val="20"/>
                <w:color w:val="auto"/>
              </w:rPr>
            </w:pPr>
            <w:r>
              <w:rPr>
                <w:rFonts w:ascii="Arial" w:cs="Arial" w:eastAsia="Arial" w:hAnsi="Arial"/>
                <w:sz w:val="14"/>
                <w:szCs w:val="14"/>
                <w:b w:val="1"/>
                <w:bCs w:val="1"/>
                <w:color w:val="auto"/>
              </w:rPr>
              <w:t>41</w:t>
            </w: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0.01</w:t>
            </w:r>
          </w:p>
        </w:tc>
        <w:tc>
          <w:tcPr>
            <w:tcW w:w="0" w:type="dxa"/>
            <w:vAlign w:val="bottom"/>
          </w:tcPr>
          <w:p>
            <w:pPr>
              <w:spacing w:after="0"/>
              <w:rPr>
                <w:sz w:val="1"/>
                <w:szCs w:val="1"/>
                <w:color w:val="auto"/>
              </w:rPr>
            </w:pPr>
          </w:p>
        </w:tc>
      </w:tr>
      <w:tr>
        <w:trPr>
          <w:trHeight w:val="192"/>
        </w:trPr>
        <w:tc>
          <w:tcPr>
            <w:tcW w:w="8240" w:type="dxa"/>
            <w:vAlign w:val="bottom"/>
          </w:tcPr>
          <w:p>
            <w:pPr>
              <w:spacing w:after="0" w:line="193" w:lineRule="exact"/>
              <w:rPr>
                <w:sz w:val="20"/>
                <w:szCs w:val="20"/>
                <w:color w:val="auto"/>
              </w:rPr>
            </w:pPr>
            <w:r>
              <w:rPr>
                <w:rFonts w:ascii="Arial" w:cs="Arial" w:eastAsia="Arial" w:hAnsi="Arial"/>
                <w:sz w:val="14"/>
                <w:szCs w:val="14"/>
                <w:color w:val="auto"/>
              </w:rPr>
              <w:t xml:space="preserve">Purchase accounting adjustments </w:t>
            </w:r>
            <w:r>
              <w:rPr>
                <w:rFonts w:ascii="Arial" w:cs="Arial" w:eastAsia="Arial" w:hAnsi="Arial"/>
                <w:sz w:val="21"/>
                <w:szCs w:val="21"/>
                <w:color w:val="auto"/>
                <w:vertAlign w:val="superscript"/>
              </w:rPr>
              <w:t>(6)</w:t>
            </w:r>
          </w:p>
        </w:tc>
        <w:tc>
          <w:tcPr>
            <w:tcW w:w="9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8"/>
              <w:spacing w:after="0"/>
              <w:rPr>
                <w:sz w:val="20"/>
                <w:szCs w:val="20"/>
                <w:color w:val="auto"/>
              </w:rPr>
            </w:pPr>
            <w:r>
              <w:rPr>
                <w:rFonts w:ascii="Arial" w:cs="Arial" w:eastAsia="Arial" w:hAnsi="Arial"/>
                <w:sz w:val="14"/>
                <w:szCs w:val="14"/>
                <w:b w:val="1"/>
                <w:bCs w:val="1"/>
                <w:color w:val="auto"/>
              </w:rPr>
              <w:t>39</w:t>
            </w:r>
          </w:p>
        </w:tc>
        <w:tc>
          <w:tcPr>
            <w:tcW w:w="540" w:type="dxa"/>
            <w:vAlign w:val="bottom"/>
          </w:tcPr>
          <w:p>
            <w:pPr>
              <w:jc w:val="right"/>
              <w:ind w:right="48"/>
              <w:spacing w:after="0"/>
              <w:rPr>
                <w:sz w:val="20"/>
                <w:szCs w:val="20"/>
                <w:color w:val="auto"/>
              </w:rPr>
            </w:pPr>
            <w:r>
              <w:rPr>
                <w:rFonts w:ascii="Arial" w:cs="Arial" w:eastAsia="Arial" w:hAnsi="Arial"/>
                <w:sz w:val="14"/>
                <w:szCs w:val="14"/>
                <w:b w:val="1"/>
                <w:bCs w:val="1"/>
                <w:color w:val="auto"/>
              </w:rPr>
              <w:t>0.01</w:t>
            </w:r>
          </w:p>
        </w:tc>
        <w:tc>
          <w:tcPr>
            <w:tcW w:w="0" w:type="dxa"/>
            <w:vAlign w:val="bottom"/>
          </w:tcPr>
          <w:p>
            <w:pPr>
              <w:spacing w:after="0"/>
              <w:rPr>
                <w:sz w:val="1"/>
                <w:szCs w:val="1"/>
                <w:color w:val="auto"/>
              </w:rPr>
            </w:pPr>
          </w:p>
        </w:tc>
      </w:tr>
      <w:tr>
        <w:trPr>
          <w:trHeight w:val="372"/>
        </w:trPr>
        <w:tc>
          <w:tcPr>
            <w:tcW w:w="8240" w:type="dxa"/>
            <w:vAlign w:val="bottom"/>
          </w:tcPr>
          <w:p>
            <w:pPr>
              <w:spacing w:after="0"/>
              <w:rPr>
                <w:sz w:val="20"/>
                <w:szCs w:val="20"/>
                <w:color w:val="auto"/>
              </w:rPr>
            </w:pPr>
            <w:r>
              <w:rPr>
                <w:rFonts w:ascii="Arial" w:cs="Arial" w:eastAsia="Arial" w:hAnsi="Arial"/>
                <w:sz w:val="14"/>
                <w:szCs w:val="14"/>
                <w:b w:val="1"/>
                <w:bCs w:val="1"/>
                <w:color w:val="auto"/>
              </w:rPr>
              <w:t>Net income attributable to Comcast Corporation (excluding adjustments)</w:t>
            </w:r>
          </w:p>
        </w:tc>
        <w:tc>
          <w:tcPr>
            <w:tcW w:w="96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$3,047</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$0.65</w:t>
            </w:r>
          </w:p>
        </w:tc>
        <w:tc>
          <w:tcPr>
            <w:tcW w:w="120" w:type="dxa"/>
            <w:vAlign w:val="bottom"/>
          </w:tcPr>
          <w:p>
            <w:pPr>
              <w:spacing w:after="0"/>
              <w:rPr>
                <w:sz w:val="24"/>
                <w:szCs w:val="24"/>
                <w:color w:val="auto"/>
              </w:rPr>
            </w:pPr>
          </w:p>
        </w:tc>
        <w:tc>
          <w:tcPr>
            <w:tcW w:w="9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$3,477</w:t>
            </w:r>
          </w:p>
        </w:tc>
        <w:tc>
          <w:tcPr>
            <w:tcW w:w="5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$0.76</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4"/>
                <w:szCs w:val="14"/>
                <w:i w:val="1"/>
                <w:iCs w:val="1"/>
                <w:color w:val="auto"/>
              </w:rPr>
              <w:t>Growth %</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824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i w:val="1"/>
                <w:iCs w:val="1"/>
                <w:color w:val="auto"/>
              </w:rPr>
              <w:t>14.1%</w:t>
            </w:r>
          </w:p>
        </w:tc>
        <w:tc>
          <w:tcPr>
            <w:tcW w:w="540" w:type="dxa"/>
            <w:vAlign w:val="bottom"/>
          </w:tcPr>
          <w:p>
            <w:pPr>
              <w:ind w:left="120"/>
              <w:spacing w:after="0"/>
              <w:rPr>
                <w:sz w:val="20"/>
                <w:szCs w:val="20"/>
                <w:color w:val="auto"/>
              </w:rPr>
            </w:pPr>
            <w:r>
              <w:rPr>
                <w:rFonts w:ascii="Arial" w:cs="Arial" w:eastAsia="Arial" w:hAnsi="Arial"/>
                <w:sz w:val="14"/>
                <w:szCs w:val="14"/>
                <w:i w:val="1"/>
                <w:iCs w:val="1"/>
                <w:color w:val="auto"/>
              </w:rPr>
              <w:t>16.9%</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60" w:hanging="252"/>
        <w:spacing w:after="0" w:line="258" w:lineRule="auto"/>
        <w:tabs>
          <w:tab w:leader="none" w:pos="279" w:val="left"/>
        </w:tabs>
        <w:numPr>
          <w:ilvl w:val="0"/>
          <w:numId w:val="12"/>
        </w:numPr>
        <w:rPr>
          <w:rFonts w:ascii="Arial" w:cs="Arial" w:eastAsia="Arial" w:hAnsi="Arial"/>
          <w:sz w:val="14"/>
          <w:szCs w:val="14"/>
          <w:color w:val="auto"/>
        </w:rPr>
      </w:pPr>
      <w:r>
        <w:rPr>
          <w:rFonts w:ascii="Arial" w:cs="Arial" w:eastAsia="Arial" w:hAnsi="Arial"/>
          <w:sz w:val="14"/>
          <w:szCs w:val="14"/>
          <w:color w:val="auto"/>
        </w:rPr>
        <w:t>Fair value investments include realized and unrealized (gains) losses on equity securities, net (as stated in Table 1), as well as the equity in net (income) losses, net, for our investment in Atairos.</w:t>
      </w:r>
    </w:p>
    <w:p>
      <w:pPr>
        <w:sectPr>
          <w:pgSz w:w="11900" w:h="16838" w:orient="portrait"/>
          <w:cols w:equalWidth="0" w:num="1">
            <w:col w:w="11420"/>
          </w:cols>
          <w:pgMar w:left="240" w:top="31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Realized and unrealized (gains) losses on equity securities, net</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Equity in net (income) losses, net for investment in Atairos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Fair value investments before income taxes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Fair value investments, net of tax</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auto"/>
        </w:rPr>
        <w:t>Three Months Ended</w:t>
      </w:r>
    </w:p>
    <w:p>
      <w:pPr>
        <w:spacing w:after="0" w:line="1" w:lineRule="exact"/>
        <w:rPr>
          <w:sz w:val="20"/>
          <w:szCs w:val="20"/>
          <w:color w:val="auto"/>
        </w:rPr>
      </w:pPr>
    </w:p>
    <w:p>
      <w:pPr>
        <w:jc w:val="center"/>
        <w:ind w:right="700"/>
        <w:spacing w:after="0"/>
        <w:rPr>
          <w:sz w:val="20"/>
          <w:szCs w:val="20"/>
          <w:color w:val="auto"/>
        </w:rPr>
      </w:pPr>
      <w:r>
        <w:rPr>
          <w:rFonts w:ascii="Arial" w:cs="Arial" w:eastAsia="Arial" w:hAnsi="Arial"/>
          <w:sz w:val="14"/>
          <w:szCs w:val="14"/>
          <w:color w:val="auto"/>
        </w:rPr>
        <w:t>March 31,</w:t>
      </w:r>
    </w:p>
    <w:p>
      <w:pPr>
        <w:spacing w:after="0" w:line="1" w:lineRule="exact"/>
        <w:rPr>
          <w:sz w:val="20"/>
          <w:szCs w:val="20"/>
          <w:color w:val="auto"/>
        </w:rPr>
      </w:pPr>
    </w:p>
    <w:p>
      <w:pPr>
        <w:spacing w:after="0"/>
        <w:tabs>
          <w:tab w:leader="none" w:pos="1080" w:val="left"/>
        </w:tabs>
        <w:rPr>
          <w:sz w:val="20"/>
          <w:szCs w:val="20"/>
          <w:color w:val="auto"/>
        </w:rPr>
      </w:pPr>
      <w:r>
        <w:rPr>
          <w:rFonts w:ascii="Arial" w:cs="Arial" w:eastAsia="Arial" w:hAnsi="Arial"/>
          <w:sz w:val="14"/>
          <w:szCs w:val="14"/>
          <w:color w:val="auto"/>
        </w:rPr>
        <w:t>2018</w:t>
      </w:r>
      <w:r>
        <w:rPr>
          <w:sz w:val="20"/>
          <w:szCs w:val="20"/>
          <w:color w:val="auto"/>
        </w:rPr>
        <w:tab/>
      </w:r>
      <w:r>
        <w:rPr>
          <w:rFonts w:ascii="Arial" w:cs="Arial" w:eastAsia="Arial" w:hAnsi="Arial"/>
          <w:sz w:val="14"/>
          <w:szCs w:val="14"/>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-1905</wp:posOffset>
            </wp:positionV>
            <wp:extent cx="12693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jc w:val="right"/>
        <w:ind w:right="420"/>
        <w:spacing w:after="0"/>
        <w:tabs>
          <w:tab w:leader="none" w:pos="40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($214)</w:t>
      </w:r>
    </w:p>
    <w:p>
      <w:pPr>
        <w:spacing w:after="0" w:line="1" w:lineRule="exact"/>
        <w:rPr>
          <w:sz w:val="20"/>
          <w:szCs w:val="20"/>
          <w:color w:val="auto"/>
        </w:rPr>
      </w:pPr>
    </w:p>
    <w:p>
      <w:pPr>
        <w:ind w:left="1360" w:hanging="1019"/>
        <w:spacing w:after="0"/>
        <w:tabs>
          <w:tab w:leader="none" w:pos="1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-1905</wp:posOffset>
            </wp:positionV>
            <wp:extent cx="12693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ind w:left="1360" w:hanging="1019"/>
        <w:spacing w:after="0"/>
        <w:tabs>
          <w:tab w:leader="none" w:pos="1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(588)</w:t>
      </w:r>
    </w:p>
    <w:p>
      <w:pPr>
        <w:spacing w:after="0" w:line="1"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4"/>
          <w:szCs w:val="14"/>
          <w:color w:val="auto"/>
        </w:rPr>
        <w:t>($47)($438)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-1905</wp:posOffset>
            </wp:positionV>
            <wp:extent cx="12693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6936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80" w:space="720"/>
            <w:col w:w="2120"/>
          </w:cols>
          <w:pgMar w:left="240" w:top="312" w:right="239" w:bottom="1440" w:gutter="0" w:footer="0" w:header="0"/>
          <w:type w:val="continuous"/>
        </w:sectPr>
      </w:pPr>
    </w:p>
    <w:p>
      <w:pPr>
        <w:spacing w:after="0" w:line="30" w:lineRule="exact"/>
        <w:rPr>
          <w:sz w:val="20"/>
          <w:szCs w:val="20"/>
          <w:color w:val="auto"/>
        </w:rPr>
      </w:pPr>
    </w:p>
    <w:p>
      <w:pPr>
        <w:ind w:left="260" w:hanging="252"/>
        <w:spacing w:after="0" w:line="279" w:lineRule="auto"/>
        <w:tabs>
          <w:tab w:leader="none" w:pos="279"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Acquisition-related intangible assets include those recognized as a result of the application of Accounting Standards Codification Topic 805, </w:t>
      </w:r>
      <w:r>
        <w:rPr>
          <w:rFonts w:ascii="Arial" w:cs="Arial" w:eastAsia="Arial" w:hAnsi="Arial"/>
          <w:sz w:val="14"/>
          <w:szCs w:val="14"/>
          <w:i w:val="1"/>
          <w:iCs w:val="1"/>
          <w:color w:val="auto"/>
        </w:rPr>
        <w:t>Business Combinations</w:t>
      </w:r>
      <w:r>
        <w:rPr>
          <w:rFonts w:ascii="Arial" w:cs="Arial" w:eastAsia="Arial" w:hAnsi="Arial"/>
          <w:sz w:val="14"/>
          <w:szCs w:val="14"/>
          <w:color w:val="auto"/>
        </w:rPr>
        <w:t xml:space="preserve"> (such as customer relationships).</w:t>
      </w:r>
    </w:p>
    <w:p>
      <w:pPr>
        <w:spacing w:after="0" w:line="166"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8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248"/>
              <w:spacing w:after="0"/>
              <w:rPr>
                <w:sz w:val="20"/>
                <w:szCs w:val="20"/>
                <w:color w:val="auto"/>
              </w:rPr>
            </w:pPr>
            <w:r>
              <w:rPr>
                <w:rFonts w:ascii="Arial" w:cs="Arial" w:eastAsia="Arial" w:hAnsi="Arial"/>
                <w:sz w:val="14"/>
                <w:szCs w:val="14"/>
                <w:color w:val="auto"/>
              </w:rPr>
              <w:t>Three Months Ended</w:t>
            </w:r>
          </w:p>
        </w:tc>
      </w:tr>
      <w:tr>
        <w:trPr>
          <w:trHeight w:val="162"/>
        </w:trPr>
        <w:tc>
          <w:tcPr>
            <w:tcW w:w="8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March 31,</w:t>
            </w:r>
          </w:p>
        </w:tc>
        <w:tc>
          <w:tcPr>
            <w:tcW w:w="640" w:type="dxa"/>
            <w:vAlign w:val="bottom"/>
          </w:tcPr>
          <w:p>
            <w:pPr>
              <w:spacing w:after="0"/>
              <w:rPr>
                <w:sz w:val="14"/>
                <w:szCs w:val="14"/>
                <w:color w:val="auto"/>
              </w:rPr>
            </w:pPr>
          </w:p>
        </w:tc>
      </w:tr>
      <w:tr>
        <w:trPr>
          <w:trHeight w:val="157"/>
        </w:trPr>
        <w:tc>
          <w:tcPr>
            <w:tcW w:w="8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2018</w:t>
            </w: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2019</w:t>
            </w:r>
          </w:p>
        </w:tc>
      </w:tr>
      <w:tr>
        <w:trPr>
          <w:trHeight w:val="156"/>
        </w:trPr>
        <w:tc>
          <w:tcPr>
            <w:tcW w:w="8740" w:type="dxa"/>
            <w:vAlign w:val="bottom"/>
          </w:tcPr>
          <w:p>
            <w:pPr>
              <w:spacing w:after="0" w:line="155" w:lineRule="exact"/>
              <w:rPr>
                <w:sz w:val="20"/>
                <w:szCs w:val="20"/>
                <w:color w:val="auto"/>
              </w:rPr>
            </w:pPr>
            <w:r>
              <w:rPr>
                <w:rFonts w:ascii="Arial" w:cs="Arial" w:eastAsia="Arial" w:hAnsi="Arial"/>
                <w:sz w:val="14"/>
                <w:szCs w:val="14"/>
                <w:color w:val="auto"/>
              </w:rPr>
              <w:t>Amortization of acquisition-related intangible assets before income taxes</w:t>
            </w: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w:t>
            </w:r>
          </w:p>
        </w:tc>
        <w:tc>
          <w:tcPr>
            <w:tcW w:w="200" w:type="dxa"/>
            <w:vAlign w:val="bottom"/>
          </w:tcPr>
          <w:p>
            <w:pPr>
              <w:spacing w:after="0"/>
              <w:rPr>
                <w:sz w:val="13"/>
                <w:szCs w:val="13"/>
                <w:color w:val="auto"/>
              </w:rPr>
            </w:pPr>
          </w:p>
        </w:tc>
        <w:tc>
          <w:tcPr>
            <w:tcW w:w="2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504</w:t>
            </w:r>
          </w:p>
        </w:tc>
      </w:tr>
      <w:tr>
        <w:trPr>
          <w:trHeight w:val="156"/>
        </w:trPr>
        <w:tc>
          <w:tcPr>
            <w:tcW w:w="8740" w:type="dxa"/>
            <w:vAlign w:val="bottom"/>
          </w:tcPr>
          <w:p>
            <w:pPr>
              <w:spacing w:after="0" w:line="155" w:lineRule="exact"/>
              <w:rPr>
                <w:sz w:val="20"/>
                <w:szCs w:val="20"/>
                <w:color w:val="auto"/>
              </w:rPr>
            </w:pPr>
            <w:r>
              <w:rPr>
                <w:rFonts w:ascii="Arial" w:cs="Arial" w:eastAsia="Arial" w:hAnsi="Arial"/>
                <w:sz w:val="14"/>
                <w:szCs w:val="14"/>
                <w:color w:val="auto"/>
              </w:rPr>
              <w:t>Amortization of acquisition-related intangible assets, net of tax</w:t>
            </w: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152</w:t>
            </w:r>
          </w:p>
        </w:tc>
        <w:tc>
          <w:tcPr>
            <w:tcW w:w="200" w:type="dxa"/>
            <w:vAlign w:val="bottom"/>
          </w:tcPr>
          <w:p>
            <w:pPr>
              <w:spacing w:after="0"/>
              <w:rPr>
                <w:sz w:val="13"/>
                <w:szCs w:val="13"/>
                <w:color w:val="auto"/>
              </w:rPr>
            </w:pPr>
          </w:p>
        </w:tc>
        <w:tc>
          <w:tcPr>
            <w:tcW w:w="2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400</w:t>
            </w:r>
          </w:p>
        </w:tc>
      </w:tr>
      <w:tr>
        <w:trPr>
          <w:trHeight w:val="20"/>
        </w:trPr>
        <w:tc>
          <w:tcPr>
            <w:tcW w:w="8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1st quarter 2018 net income attributable to Comcast Corporation includes a $128 million net income tax benefit as a result of federal tax legislation enacted in 2018.</w:t>
      </w:r>
    </w:p>
    <w:p>
      <w:pPr>
        <w:spacing w:after="0" w:line="203" w:lineRule="exact"/>
        <w:rPr>
          <w:rFonts w:ascii="Arial" w:cs="Arial" w:eastAsia="Arial" w:hAnsi="Arial"/>
          <w:sz w:val="14"/>
          <w:szCs w:val="14"/>
          <w:color w:val="auto"/>
        </w:rPr>
      </w:pPr>
    </w:p>
    <w:p>
      <w:pPr>
        <w:jc w:val="both"/>
        <w:ind w:left="260" w:hanging="252"/>
        <w:spacing w:after="0" w:line="250" w:lineRule="auto"/>
        <w:tabs>
          <w:tab w:leader="none" w:pos="292" w:val="left"/>
        </w:tabs>
        <w:numPr>
          <w:ilvl w:val="0"/>
          <w:numId w:val="16"/>
        </w:numPr>
        <w:rPr>
          <w:rFonts w:ascii="Arial" w:cs="Arial" w:eastAsia="Arial" w:hAnsi="Arial"/>
          <w:sz w:val="14"/>
          <w:szCs w:val="14"/>
          <w:color w:val="auto"/>
        </w:rPr>
      </w:pPr>
      <w:r>
        <w:rPr>
          <w:rFonts w:ascii="Arial" w:cs="Arial" w:eastAsia="Arial" w:hAnsi="Arial"/>
          <w:sz w:val="14"/>
          <w:szCs w:val="14"/>
          <w:color w:val="auto"/>
        </w:rPr>
        <w:t>1st quarter 2019 net income attributable to Comcast Corporation includes $159 million of other income, $118 million net of tax, resulting from the recognition of a previously deferred gain related to our investment in Hulu. 1st quarter 2018 net income attributable to Comcast Corporation includes $64 million of other income, $48 million net of tax, resulting from a gain on the sale of our investment in The Weather Channel.</w:t>
      </w:r>
    </w:p>
    <w:p>
      <w:pPr>
        <w:spacing w:after="0" w:line="185" w:lineRule="exact"/>
        <w:rPr>
          <w:rFonts w:ascii="Arial" w:cs="Arial" w:eastAsia="Arial" w:hAnsi="Arial"/>
          <w:sz w:val="14"/>
          <w:szCs w:val="14"/>
          <w:color w:val="auto"/>
        </w:rPr>
      </w:pPr>
    </w:p>
    <w:p>
      <w:pPr>
        <w:ind w:left="260" w:hanging="252"/>
        <w:spacing w:after="0" w:line="258" w:lineRule="auto"/>
        <w:tabs>
          <w:tab w:leader="none" w:pos="292" w:val="left"/>
        </w:tabs>
        <w:numPr>
          <w:ilvl w:val="0"/>
          <w:numId w:val="16"/>
        </w:numPr>
        <w:rPr>
          <w:rFonts w:ascii="Arial" w:cs="Arial" w:eastAsia="Arial" w:hAnsi="Arial"/>
          <w:sz w:val="14"/>
          <w:szCs w:val="14"/>
          <w:color w:val="auto"/>
        </w:rPr>
      </w:pPr>
      <w:r>
        <w:rPr>
          <w:rFonts w:ascii="Arial" w:cs="Arial" w:eastAsia="Arial" w:hAnsi="Arial"/>
          <w:sz w:val="14"/>
          <w:szCs w:val="14"/>
          <w:color w:val="auto"/>
        </w:rPr>
        <w:t>1st quarter 2019 net income attributable to Comcast Corporation includes $51 million of operating costs and expenses, $41 million net of tax, related to the Sky transaction, primarily relating to the replacement of share-based compensation awards.</w:t>
      </w:r>
    </w:p>
    <w:p>
      <w:pPr>
        <w:spacing w:after="0" w:line="180" w:lineRule="exact"/>
        <w:rPr>
          <w:rFonts w:ascii="Arial" w:cs="Arial" w:eastAsia="Arial" w:hAnsi="Arial"/>
          <w:sz w:val="14"/>
          <w:szCs w:val="14"/>
          <w:color w:val="auto"/>
        </w:rPr>
      </w:pPr>
    </w:p>
    <w:p>
      <w:pPr>
        <w:ind w:left="260" w:hanging="252"/>
        <w:spacing w:after="0" w:line="258" w:lineRule="auto"/>
        <w:tabs>
          <w:tab w:leader="none" w:pos="252" w:val="left"/>
        </w:tabs>
        <w:numPr>
          <w:ilvl w:val="0"/>
          <w:numId w:val="16"/>
        </w:numPr>
        <w:rPr>
          <w:rFonts w:ascii="Arial" w:cs="Arial" w:eastAsia="Arial" w:hAnsi="Arial"/>
          <w:sz w:val="14"/>
          <w:szCs w:val="14"/>
          <w:color w:val="auto"/>
        </w:rPr>
      </w:pPr>
      <w:r>
        <w:rPr>
          <w:rFonts w:ascii="Arial" w:cs="Arial" w:eastAsia="Arial" w:hAnsi="Arial"/>
          <w:sz w:val="14"/>
          <w:szCs w:val="14"/>
          <w:color w:val="auto"/>
        </w:rPr>
        <w:t>1st quarter 2019 net income attributable to Comcast Corporation includes $53 million of depreciation and amortization expense, $39 million net of tax, related to the 4th quarter 2018 as a result of adjustments to the purchase price allocation of Sky, primarily related to intangible assets and property and equipment.</w:t>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type w:val="continuous"/>
        </w:sectPr>
      </w:pPr>
    </w:p>
    <w:bookmarkStart w:id="16" w:name="page17"/>
    <w:bookmarkEnd w:id="16"/>
    <w:p>
      <w:pPr>
        <w:ind w:left="80"/>
        <w:spacing w:after="0"/>
        <w:rPr>
          <w:sz w:val="20"/>
          <w:szCs w:val="20"/>
          <w:color w:val="auto"/>
        </w:rPr>
      </w:pPr>
      <w:r>
        <w:rPr>
          <w:rFonts w:ascii="Arial" w:cs="Arial" w:eastAsia="Arial" w:hAnsi="Arial"/>
          <w:sz w:val="25"/>
          <w:szCs w:val="25"/>
          <w:b w:val="1"/>
          <w:bCs w:val="1"/>
          <w:color w:val="C9C9C9"/>
        </w:rPr>
        <w:t>TABLE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-119380</wp:posOffset>
            </wp:positionV>
            <wp:extent cx="1089025" cy="4718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89025" cy="471805"/>
                    </a:xfrm>
                    <a:prstGeom prst="rect">
                      <a:avLst/>
                    </a:prstGeom>
                    <a:noFill/>
                  </pic:spPr>
                </pic:pic>
              </a:graphicData>
            </a:graphic>
          </wp:anchor>
        </w:drawing>
      </w:r>
    </w:p>
    <w:p>
      <w:pPr>
        <w:spacing w:after="0" w:line="2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9C9C9"/>
        </w:rPr>
        <w:t>Reconciliation of Cable Networks Revenue Excluding 2018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 w:type="dxa"/>
            <w:vAlign w:val="bottom"/>
          </w:tcPr>
          <w:p>
            <w:pPr>
              <w:spacing w:after="0"/>
              <w:rPr>
                <w:sz w:val="16"/>
                <w:szCs w:val="16"/>
                <w:color w:val="auto"/>
              </w:rPr>
            </w:pPr>
          </w:p>
        </w:tc>
        <w:tc>
          <w:tcPr>
            <w:tcW w:w="7960" w:type="dxa"/>
            <w:vAlign w:val="bottom"/>
          </w:tcPr>
          <w:p>
            <w:pPr>
              <w:spacing w:after="0"/>
              <w:rPr>
                <w:sz w:val="16"/>
                <w:szCs w:val="16"/>
                <w:color w:val="auto"/>
              </w:rPr>
            </w:pPr>
          </w:p>
        </w:tc>
        <w:tc>
          <w:tcPr>
            <w:tcW w:w="306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40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36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2018</w:t>
            </w:r>
          </w:p>
        </w:tc>
        <w:tc>
          <w:tcPr>
            <w:tcW w:w="180" w:type="dxa"/>
            <w:vAlign w:val="bottom"/>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Growth%</w:t>
            </w:r>
          </w:p>
        </w:tc>
        <w:tc>
          <w:tcPr>
            <w:tcW w:w="100" w:type="dxa"/>
            <w:vAlign w:val="bottom"/>
          </w:tcPr>
          <w:p>
            <w:pPr>
              <w:spacing w:after="0"/>
              <w:rPr>
                <w:sz w:val="22"/>
                <w:szCs w:val="22"/>
                <w:color w:val="auto"/>
              </w:rPr>
            </w:pPr>
          </w:p>
        </w:tc>
      </w:tr>
      <w:tr>
        <w:trPr>
          <w:trHeight w:val="224"/>
        </w:trPr>
        <w:tc>
          <w:tcPr>
            <w:tcW w:w="836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860" w:type="dxa"/>
            <w:vAlign w:val="bottom"/>
          </w:tcPr>
          <w:p>
            <w:pPr>
              <w:jc w:val="right"/>
              <w:spacing w:after="0"/>
              <w:rPr>
                <w:sz w:val="20"/>
                <w:szCs w:val="20"/>
                <w:color w:val="auto"/>
              </w:rPr>
            </w:pPr>
            <w:r>
              <w:rPr>
                <w:rFonts w:ascii="Arial" w:cs="Arial" w:eastAsia="Arial" w:hAnsi="Arial"/>
                <w:sz w:val="16"/>
                <w:szCs w:val="16"/>
                <w:color w:val="auto"/>
              </w:rPr>
              <w:t>$3,157</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$2,868</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9"/>
                <w:szCs w:val="19"/>
                <w:color w:val="auto"/>
              </w:rPr>
            </w:pPr>
          </w:p>
        </w:tc>
      </w:tr>
      <w:tr>
        <w:trPr>
          <w:trHeight w:val="256"/>
        </w:trPr>
        <w:tc>
          <w:tcPr>
            <w:tcW w:w="400" w:type="dxa"/>
            <w:vAlign w:val="bottom"/>
          </w:tcPr>
          <w:p>
            <w:pPr>
              <w:spacing w:after="0"/>
              <w:rPr>
                <w:sz w:val="20"/>
                <w:szCs w:val="20"/>
                <w:color w:val="auto"/>
              </w:rPr>
            </w:pPr>
            <w:r>
              <w:rPr>
                <w:rFonts w:ascii="Arial" w:cs="Arial" w:eastAsia="Arial" w:hAnsi="Arial"/>
                <w:sz w:val="16"/>
                <w:szCs w:val="16"/>
                <w:color w:val="auto"/>
              </w:rPr>
              <w:t>2018</w:t>
            </w:r>
          </w:p>
        </w:tc>
        <w:tc>
          <w:tcPr>
            <w:tcW w:w="7960" w:type="dxa"/>
            <w:vAlign w:val="bottom"/>
          </w:tcPr>
          <w:p>
            <w:pPr>
              <w:ind w:left="20"/>
              <w:spacing w:after="0"/>
              <w:rPr>
                <w:sz w:val="20"/>
                <w:szCs w:val="20"/>
                <w:color w:val="auto"/>
              </w:rPr>
            </w:pPr>
            <w:r>
              <w:rPr>
                <w:rFonts w:ascii="Arial" w:cs="Arial" w:eastAsia="Arial" w:hAnsi="Arial"/>
                <w:sz w:val="16"/>
                <w:szCs w:val="16"/>
                <w:color w:val="auto"/>
              </w:rPr>
              <w:t>Olympics</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(378)</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0"/>
        </w:trPr>
        <w:tc>
          <w:tcPr>
            <w:tcW w:w="8360" w:type="dxa"/>
            <w:vAlign w:val="bottom"/>
            <w:gridSpan w:val="2"/>
          </w:tcPr>
          <w:p>
            <w:pPr>
              <w:spacing w:after="0"/>
              <w:rPr>
                <w:sz w:val="20"/>
                <w:szCs w:val="20"/>
                <w:color w:val="auto"/>
              </w:rPr>
            </w:pPr>
            <w:r>
              <w:rPr>
                <w:rFonts w:ascii="Arial" w:cs="Arial" w:eastAsia="Arial" w:hAnsi="Arial"/>
                <w:sz w:val="16"/>
                <w:szCs w:val="16"/>
                <w:color w:val="auto"/>
              </w:rPr>
              <w:t>Revenue excluding 2018 Olympics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$2,779</w:t>
            </w:r>
          </w:p>
        </w:tc>
        <w:tc>
          <w:tcPr>
            <w:tcW w:w="1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$2,868</w:t>
            </w:r>
          </w:p>
        </w:tc>
        <w:tc>
          <w:tcPr>
            <w:tcW w:w="1180" w:type="dxa"/>
            <w:vAlign w:val="bottom"/>
            <w:gridSpan w:val="3"/>
          </w:tcPr>
          <w:p>
            <w:pPr>
              <w:jc w:val="right"/>
              <w:ind w:right="100"/>
              <w:spacing w:after="0"/>
              <w:rPr>
                <w:sz w:val="20"/>
                <w:szCs w:val="20"/>
                <w:color w:val="auto"/>
              </w:rPr>
            </w:pPr>
            <w:r>
              <w:rPr>
                <w:rFonts w:ascii="Arial" w:cs="Arial" w:eastAsia="Arial" w:hAnsi="Arial"/>
                <w:sz w:val="16"/>
                <w:szCs w:val="16"/>
                <w:color w:val="auto"/>
              </w:rPr>
              <w:t>3.2 %</w:t>
            </w:r>
          </w:p>
        </w:tc>
      </w:tr>
      <w:tr>
        <w:trPr>
          <w:trHeight w:val="20"/>
        </w:trPr>
        <w:tc>
          <w:tcPr>
            <w:tcW w:w="836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8"/>
        </w:trPr>
        <w:tc>
          <w:tcPr>
            <w:tcW w:w="10240" w:type="dxa"/>
            <w:vAlign w:val="bottom"/>
            <w:gridSpan w:val="5"/>
          </w:tcPr>
          <w:p>
            <w:pPr>
              <w:ind w:left="80"/>
              <w:spacing w:after="0"/>
              <w:rPr>
                <w:sz w:val="20"/>
                <w:szCs w:val="20"/>
                <w:color w:val="auto"/>
              </w:rPr>
            </w:pPr>
            <w:r>
              <w:rPr>
                <w:rFonts w:ascii="Arial" w:cs="Arial" w:eastAsia="Arial" w:hAnsi="Arial"/>
                <w:sz w:val="19"/>
                <w:szCs w:val="19"/>
                <w:b w:val="1"/>
                <w:bCs w:val="1"/>
                <w:color w:val="C9C9C9"/>
              </w:rPr>
              <w:t>Reconciliation of Broadcast Television Revenue Excluding 2018 Olympics and 2018 Super Bowl (Unaudited)</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
        </w:trPr>
        <w:tc>
          <w:tcPr>
            <w:tcW w:w="400" w:type="dxa"/>
            <w:vAlign w:val="bottom"/>
            <w:tcBorders>
              <w:bottom w:val="single" w:sz="8" w:color="0050B9"/>
            </w:tcBorders>
          </w:tcPr>
          <w:p>
            <w:pPr>
              <w:spacing w:after="0"/>
              <w:rPr>
                <w:sz w:val="2"/>
                <w:szCs w:val="2"/>
                <w:color w:val="auto"/>
              </w:rPr>
            </w:pPr>
          </w:p>
        </w:tc>
        <w:tc>
          <w:tcPr>
            <w:tcW w:w="7960" w:type="dxa"/>
            <w:vAlign w:val="bottom"/>
            <w:tcBorders>
              <w:bottom w:val="single" w:sz="8" w:color="0050B9"/>
            </w:tcBorders>
          </w:tcPr>
          <w:p>
            <w:pPr>
              <w:spacing w:after="0"/>
              <w:rPr>
                <w:sz w:val="2"/>
                <w:szCs w:val="2"/>
                <w:color w:val="auto"/>
              </w:rPr>
            </w:pPr>
          </w:p>
        </w:tc>
        <w:tc>
          <w:tcPr>
            <w:tcW w:w="3060" w:type="dxa"/>
            <w:vAlign w:val="bottom"/>
            <w:tcBorders>
              <w:bottom w:val="single" w:sz="8" w:color="0050B9"/>
            </w:tcBorders>
            <w:gridSpan w:val="6"/>
          </w:tcPr>
          <w:p>
            <w:pPr>
              <w:spacing w:after="0"/>
              <w:rPr>
                <w:sz w:val="2"/>
                <w:szCs w:val="2"/>
                <w:color w:val="auto"/>
              </w:rPr>
            </w:pPr>
          </w:p>
        </w:tc>
      </w:tr>
      <w:tr>
        <w:trPr>
          <w:trHeight w:val="482"/>
        </w:trPr>
        <w:tc>
          <w:tcPr>
            <w:tcW w:w="40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306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40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36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2018</w:t>
            </w:r>
          </w:p>
        </w:tc>
        <w:tc>
          <w:tcPr>
            <w:tcW w:w="180" w:type="dxa"/>
            <w:vAlign w:val="bottom"/>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Growth%</w:t>
            </w:r>
          </w:p>
        </w:tc>
        <w:tc>
          <w:tcPr>
            <w:tcW w:w="100" w:type="dxa"/>
            <w:vAlign w:val="bottom"/>
          </w:tcPr>
          <w:p>
            <w:pPr>
              <w:spacing w:after="0"/>
              <w:rPr>
                <w:sz w:val="22"/>
                <w:szCs w:val="22"/>
                <w:color w:val="auto"/>
              </w:rPr>
            </w:pPr>
          </w:p>
        </w:tc>
      </w:tr>
      <w:tr>
        <w:trPr>
          <w:trHeight w:val="224"/>
        </w:trPr>
        <w:tc>
          <w:tcPr>
            <w:tcW w:w="836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860" w:type="dxa"/>
            <w:vAlign w:val="bottom"/>
          </w:tcPr>
          <w:p>
            <w:pPr>
              <w:jc w:val="right"/>
              <w:spacing w:after="0"/>
              <w:rPr>
                <w:sz w:val="20"/>
                <w:szCs w:val="20"/>
                <w:color w:val="auto"/>
              </w:rPr>
            </w:pPr>
            <w:r>
              <w:rPr>
                <w:rFonts w:ascii="Arial" w:cs="Arial" w:eastAsia="Arial" w:hAnsi="Arial"/>
                <w:sz w:val="16"/>
                <w:szCs w:val="16"/>
                <w:color w:val="auto"/>
              </w:rPr>
              <w:t>$3,497</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$2,467</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9"/>
                <w:szCs w:val="19"/>
                <w:color w:val="auto"/>
              </w:rPr>
            </w:pPr>
          </w:p>
        </w:tc>
      </w:tr>
      <w:tr>
        <w:trPr>
          <w:trHeight w:val="243"/>
        </w:trPr>
        <w:tc>
          <w:tcPr>
            <w:tcW w:w="400" w:type="dxa"/>
            <w:vAlign w:val="bottom"/>
          </w:tcPr>
          <w:p>
            <w:pPr>
              <w:spacing w:after="0"/>
              <w:rPr>
                <w:sz w:val="20"/>
                <w:szCs w:val="20"/>
                <w:color w:val="auto"/>
              </w:rPr>
            </w:pPr>
            <w:r>
              <w:rPr>
                <w:rFonts w:ascii="Arial" w:cs="Arial" w:eastAsia="Arial" w:hAnsi="Arial"/>
                <w:sz w:val="16"/>
                <w:szCs w:val="16"/>
                <w:color w:val="auto"/>
              </w:rPr>
              <w:t>2018</w:t>
            </w:r>
          </w:p>
        </w:tc>
        <w:tc>
          <w:tcPr>
            <w:tcW w:w="7960" w:type="dxa"/>
            <w:vAlign w:val="bottom"/>
          </w:tcPr>
          <w:p>
            <w:pPr>
              <w:ind w:left="20"/>
              <w:spacing w:after="0"/>
              <w:rPr>
                <w:sz w:val="20"/>
                <w:szCs w:val="20"/>
                <w:color w:val="auto"/>
              </w:rPr>
            </w:pPr>
            <w:r>
              <w:rPr>
                <w:rFonts w:ascii="Arial" w:cs="Arial" w:eastAsia="Arial" w:hAnsi="Arial"/>
                <w:sz w:val="16"/>
                <w:szCs w:val="16"/>
                <w:color w:val="auto"/>
              </w:rPr>
              <w:t>Olympics</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(770)</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400" w:type="dxa"/>
            <w:vAlign w:val="bottom"/>
          </w:tcPr>
          <w:p>
            <w:pPr>
              <w:spacing w:after="0"/>
              <w:rPr>
                <w:sz w:val="20"/>
                <w:szCs w:val="20"/>
                <w:color w:val="auto"/>
              </w:rPr>
            </w:pPr>
            <w:r>
              <w:rPr>
                <w:rFonts w:ascii="Arial" w:cs="Arial" w:eastAsia="Arial" w:hAnsi="Arial"/>
                <w:sz w:val="16"/>
                <w:szCs w:val="16"/>
                <w:color w:val="auto"/>
              </w:rPr>
              <w:t>2018</w:t>
            </w:r>
          </w:p>
        </w:tc>
        <w:tc>
          <w:tcPr>
            <w:tcW w:w="7960" w:type="dxa"/>
            <w:vAlign w:val="bottom"/>
          </w:tcPr>
          <w:p>
            <w:pPr>
              <w:ind w:left="20"/>
              <w:spacing w:after="0"/>
              <w:rPr>
                <w:sz w:val="20"/>
                <w:szCs w:val="20"/>
                <w:color w:val="auto"/>
              </w:rPr>
            </w:pPr>
            <w:r>
              <w:rPr>
                <w:rFonts w:ascii="Arial" w:cs="Arial" w:eastAsia="Arial" w:hAnsi="Arial"/>
                <w:sz w:val="16"/>
                <w:szCs w:val="16"/>
                <w:color w:val="auto"/>
              </w:rPr>
              <w:t>Super Bowl</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(423)</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8360" w:type="dxa"/>
            <w:vAlign w:val="bottom"/>
            <w:gridSpan w:val="2"/>
          </w:tcPr>
          <w:p>
            <w:pPr>
              <w:spacing w:after="0"/>
              <w:rPr>
                <w:sz w:val="20"/>
                <w:szCs w:val="20"/>
                <w:color w:val="auto"/>
              </w:rPr>
            </w:pPr>
            <w:r>
              <w:rPr>
                <w:rFonts w:ascii="Arial" w:cs="Arial" w:eastAsia="Arial" w:hAnsi="Arial"/>
                <w:sz w:val="16"/>
                <w:szCs w:val="16"/>
                <w:color w:val="auto"/>
              </w:rPr>
              <w:t>Revenue excluding 2018 Olympics and 2018 Super Bowl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$2,304</w:t>
            </w:r>
          </w:p>
        </w:tc>
        <w:tc>
          <w:tcPr>
            <w:tcW w:w="1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$2,467</w:t>
            </w:r>
          </w:p>
        </w:tc>
        <w:tc>
          <w:tcPr>
            <w:tcW w:w="1180" w:type="dxa"/>
            <w:vAlign w:val="bottom"/>
            <w:gridSpan w:val="3"/>
          </w:tcPr>
          <w:p>
            <w:pPr>
              <w:jc w:val="right"/>
              <w:ind w:right="100"/>
              <w:spacing w:after="0"/>
              <w:rPr>
                <w:sz w:val="20"/>
                <w:szCs w:val="20"/>
                <w:color w:val="auto"/>
              </w:rPr>
            </w:pPr>
            <w:r>
              <w:rPr>
                <w:rFonts w:ascii="Arial" w:cs="Arial" w:eastAsia="Arial" w:hAnsi="Arial"/>
                <w:sz w:val="16"/>
                <w:szCs w:val="16"/>
                <w:color w:val="auto"/>
              </w:rPr>
              <w:t>7.1 %</w:t>
            </w:r>
          </w:p>
        </w:tc>
      </w:tr>
      <w:tr>
        <w:trPr>
          <w:trHeight w:val="20"/>
        </w:trPr>
        <w:tc>
          <w:tcPr>
            <w:tcW w:w="40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Note: Minor differences may exist due to rounding.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sectPr>
      </w:pPr>
    </w:p>
    <w:bookmarkStart w:id="17" w:name="page18"/>
    <w:bookmarkEnd w:id="17"/>
    <w:p>
      <w:pPr>
        <w:ind w:left="80"/>
        <w:spacing w:after="0"/>
        <w:rPr>
          <w:sz w:val="20"/>
          <w:szCs w:val="20"/>
          <w:color w:val="auto"/>
        </w:rPr>
      </w:pPr>
      <w:r>
        <w:rPr>
          <w:rFonts w:ascii="Arial" w:cs="Arial" w:eastAsia="Arial" w:hAnsi="Arial"/>
          <w:sz w:val="25"/>
          <w:szCs w:val="25"/>
          <w:b w:val="1"/>
          <w:bCs w:val="1"/>
          <w:color w:val="C9C9C9"/>
        </w:rPr>
        <w:t>TABLE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-119380</wp:posOffset>
            </wp:positionV>
            <wp:extent cx="1089025" cy="4718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89025" cy="471805"/>
                    </a:xfrm>
                    <a:prstGeom prst="rect">
                      <a:avLst/>
                    </a:prstGeom>
                    <a:noFill/>
                  </pic:spPr>
                </pic:pic>
              </a:graphicData>
            </a:graphic>
          </wp:anchor>
        </w:drawing>
      </w:r>
    </w:p>
    <w:p>
      <w:pPr>
        <w:spacing w:after="0" w:line="28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9C9C9"/>
        </w:rPr>
        <w:t>Reconciliation of As Reported to Pro Forma</w:t>
      </w:r>
      <w:r>
        <w:rPr>
          <w:rFonts w:ascii="Arial" w:cs="Arial" w:eastAsia="Arial" w:hAnsi="Arial"/>
          <w:sz w:val="8"/>
          <w:szCs w:val="8"/>
          <w:b w:val="1"/>
          <w:bCs w:val="1"/>
          <w:color w:val="C9C9C9"/>
        </w:rPr>
        <w:t>(1)</w:t>
      </w:r>
      <w:r>
        <w:rPr>
          <w:rFonts w:ascii="Arial" w:cs="Arial" w:eastAsia="Arial" w:hAnsi="Arial"/>
          <w:sz w:val="18"/>
          <w:szCs w:val="18"/>
          <w:b w:val="1"/>
          <w:bCs w:val="1"/>
          <w:color w:val="C9C9C9"/>
        </w:rPr>
        <w:t xml:space="preserve"> Financial Information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Sky</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Comcast</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31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Pro Forma</w:t>
            </w: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Pro Forma</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Pro Forma</w:t>
            </w:r>
          </w:p>
        </w:tc>
        <w:tc>
          <w:tcPr>
            <w:tcW w:w="11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Pro Forma</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 2018</w:t>
            </w:r>
          </w:p>
        </w:tc>
        <w:tc>
          <w:tcPr>
            <w:tcW w:w="660" w:type="dxa"/>
            <w:vAlign w:val="bottom"/>
            <w:vMerge w:val="restart"/>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As Reported</w:t>
            </w:r>
          </w:p>
        </w:tc>
        <w:tc>
          <w:tcPr>
            <w:tcW w:w="1440" w:type="dxa"/>
            <w:vAlign w:val="bottom"/>
            <w:gridSpan w:val="2"/>
          </w:tcPr>
          <w:p>
            <w:pPr>
              <w:jc w:val="center"/>
              <w:ind w:right="180"/>
              <w:spacing w:after="0" w:line="189" w:lineRule="exact"/>
              <w:rPr>
                <w:sz w:val="20"/>
                <w:szCs w:val="20"/>
                <w:color w:val="auto"/>
              </w:rPr>
            </w:pPr>
            <w:r>
              <w:rPr>
                <w:rFonts w:ascii="Arial" w:cs="Arial" w:eastAsia="Arial" w:hAnsi="Arial"/>
                <w:sz w:val="14"/>
                <w:szCs w:val="14"/>
                <w:b w:val="1"/>
                <w:bCs w:val="1"/>
                <w:color w:val="auto"/>
                <w:w w:val="97"/>
              </w:rPr>
              <w:t>Adjustments</w:t>
            </w:r>
            <w:r>
              <w:rPr>
                <w:rFonts w:ascii="Arial" w:cs="Arial" w:eastAsia="Arial" w:hAnsi="Arial"/>
                <w:sz w:val="14"/>
                <w:szCs w:val="14"/>
                <w:b w:val="1"/>
                <w:bCs w:val="1"/>
                <w:color w:val="auto"/>
                <w:w w:val="97"/>
                <w:vertAlign w:val="superscript"/>
              </w:rPr>
              <w:t>(</w:t>
            </w:r>
            <w:r>
              <w:rPr>
                <w:rFonts w:ascii="Arial" w:cs="Arial" w:eastAsia="Arial" w:hAnsi="Arial"/>
                <w:sz w:val="21"/>
                <w:szCs w:val="21"/>
                <w:b w:val="1"/>
                <w:bCs w:val="1"/>
                <w:color w:val="auto"/>
                <w:w w:val="97"/>
                <w:vertAlign w:val="superscript"/>
              </w:rPr>
              <w:t>1)</w:t>
            </w: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Sky</w:t>
            </w: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Reported</w:t>
            </w:r>
          </w:p>
        </w:tc>
        <w:tc>
          <w:tcPr>
            <w:tcW w:w="146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8"/>
              </w:rPr>
              <w:t>Adjustments</w:t>
            </w:r>
            <w:r>
              <w:rPr>
                <w:rFonts w:ascii="Arial" w:cs="Arial" w:eastAsia="Arial" w:hAnsi="Arial"/>
                <w:sz w:val="21"/>
                <w:szCs w:val="21"/>
                <w:b w:val="1"/>
                <w:bCs w:val="1"/>
                <w:color w:val="auto"/>
                <w:w w:val="98"/>
                <w:vertAlign w:val="superscript"/>
              </w:rPr>
              <w:t>(1)</w:t>
            </w: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rPr>
              <w:t>Comcast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500" w:type="dxa"/>
            <w:vAlign w:val="bottom"/>
            <w:tcBorders>
              <w:bottom w:val="single" w:sz="8" w:color="auto"/>
            </w:tcBorders>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3"/>
        </w:trPr>
        <w:tc>
          <w:tcPr>
            <w:tcW w:w="316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$5,049</w:t>
            </w:r>
          </w:p>
        </w:tc>
        <w:tc>
          <w:tcPr>
            <w:tcW w:w="180" w:type="dxa"/>
            <w:vAlign w:val="bottom"/>
          </w:tcPr>
          <w:p>
            <w:pPr>
              <w:spacing w:after="0"/>
              <w:rPr>
                <w:sz w:val="24"/>
                <w:szCs w:val="24"/>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$5,049</w:t>
            </w:r>
          </w:p>
        </w:tc>
        <w:tc>
          <w:tcPr>
            <w:tcW w:w="220" w:type="dxa"/>
            <w:vAlign w:val="bottom"/>
          </w:tcPr>
          <w:p>
            <w:pPr>
              <w:spacing w:after="0"/>
              <w:rPr>
                <w:sz w:val="24"/>
                <w:szCs w:val="2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$22,791</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$4,971</w:t>
            </w:r>
          </w:p>
        </w:tc>
        <w:tc>
          <w:tcPr>
            <w:tcW w:w="220" w:type="dxa"/>
            <w:vAlign w:val="bottom"/>
          </w:tcPr>
          <w:p>
            <w:pPr>
              <w:spacing w:after="0"/>
              <w:rPr>
                <w:sz w:val="24"/>
                <w:szCs w:val="2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$27,762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160" w:type="dxa"/>
            <w:vAlign w:val="bottom"/>
            <w:gridSpan w:val="2"/>
          </w:tcPr>
          <w:p>
            <w:pPr>
              <w:spacing w:after="0"/>
              <w:rPr>
                <w:sz w:val="20"/>
                <w:szCs w:val="20"/>
                <w:color w:val="auto"/>
              </w:rPr>
            </w:pPr>
            <w:r>
              <w:rPr>
                <w:rFonts w:ascii="Arial" w:cs="Arial" w:eastAsia="Arial" w:hAnsi="Arial"/>
                <w:sz w:val="14"/>
                <w:szCs w:val="14"/>
                <w:color w:val="auto"/>
              </w:rPr>
              <w:t>Operating costs and expenses and other</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4,250</w:t>
            </w:r>
          </w:p>
        </w:tc>
        <w:tc>
          <w:tcPr>
            <w:tcW w:w="180" w:type="dxa"/>
            <w:vAlign w:val="bottom"/>
          </w:tcPr>
          <w:p>
            <w:pPr>
              <w:spacing w:after="0"/>
              <w:rPr>
                <w:sz w:val="24"/>
                <w:szCs w:val="24"/>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4,250</w:t>
            </w:r>
          </w:p>
        </w:tc>
        <w:tc>
          <w:tcPr>
            <w:tcW w:w="220" w:type="dxa"/>
            <w:vAlign w:val="bottom"/>
          </w:tcPr>
          <w:p>
            <w:pPr>
              <w:spacing w:after="0"/>
              <w:rPr>
                <w:sz w:val="24"/>
                <w:szCs w:val="24"/>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15,547</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4,176</w:t>
            </w:r>
          </w:p>
        </w:tc>
        <w:tc>
          <w:tcPr>
            <w:tcW w:w="220" w:type="dxa"/>
            <w:vAlign w:val="bottom"/>
          </w:tcPr>
          <w:p>
            <w:pPr>
              <w:spacing w:after="0"/>
              <w:rPr>
                <w:sz w:val="24"/>
                <w:szCs w:val="24"/>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19,723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16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$799</w:t>
            </w:r>
          </w:p>
        </w:tc>
        <w:tc>
          <w:tcPr>
            <w:tcW w:w="180" w:type="dxa"/>
            <w:vAlign w:val="bottom"/>
          </w:tcPr>
          <w:p>
            <w:pPr>
              <w:spacing w:after="0"/>
              <w:rPr>
                <w:sz w:val="24"/>
                <w:szCs w:val="24"/>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$799</w:t>
            </w:r>
          </w:p>
        </w:tc>
        <w:tc>
          <w:tcPr>
            <w:tcW w:w="220" w:type="dxa"/>
            <w:vAlign w:val="bottom"/>
          </w:tcPr>
          <w:p>
            <w:pPr>
              <w:spacing w:after="0"/>
              <w:rPr>
                <w:sz w:val="24"/>
                <w:szCs w:val="2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$7,244</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$795</w:t>
            </w:r>
          </w:p>
        </w:tc>
        <w:tc>
          <w:tcPr>
            <w:tcW w:w="220" w:type="dxa"/>
            <w:vAlign w:val="bottom"/>
          </w:tcPr>
          <w:p>
            <w:pPr>
              <w:spacing w:after="0"/>
              <w:rPr>
                <w:sz w:val="24"/>
                <w:szCs w:val="2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$8,039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rPr>
              <w:t>Three Months Ended March 31, 2019</w:t>
            </w:r>
          </w:p>
        </w:tc>
        <w:tc>
          <w:tcPr>
            <w:tcW w:w="660" w:type="dxa"/>
            <w:vAlign w:val="bottom"/>
            <w:vMerge w:val="restart"/>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500" w:type="dxa"/>
            <w:vAlign w:val="bottom"/>
            <w:tcBorders>
              <w:bottom w:val="single" w:sz="8" w:color="auto"/>
            </w:tcBorders>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316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$4,797</w:t>
            </w:r>
          </w:p>
        </w:tc>
        <w:tc>
          <w:tcPr>
            <w:tcW w:w="140" w:type="dxa"/>
            <w:vAlign w:val="bottom"/>
          </w:tcPr>
          <w:p>
            <w:pPr>
              <w:spacing w:after="0"/>
              <w:rPr>
                <w:sz w:val="24"/>
                <w:szCs w:val="2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$4,797</w:t>
            </w:r>
          </w:p>
        </w:tc>
        <w:tc>
          <w:tcPr>
            <w:tcW w:w="220" w:type="dxa"/>
            <w:vAlign w:val="bottom"/>
          </w:tcPr>
          <w:p>
            <w:pPr>
              <w:spacing w:after="0"/>
              <w:rPr>
                <w:sz w:val="24"/>
                <w:szCs w:val="2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$26,859</w:t>
            </w:r>
          </w:p>
        </w:tc>
        <w:tc>
          <w:tcPr>
            <w:tcW w:w="220" w:type="dxa"/>
            <w:vAlign w:val="bottom"/>
          </w:tcPr>
          <w:p>
            <w:pPr>
              <w:spacing w:after="0"/>
              <w:rPr>
                <w:sz w:val="24"/>
                <w:szCs w:val="2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$26,859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3160" w:type="dxa"/>
            <w:vAlign w:val="bottom"/>
            <w:gridSpan w:val="2"/>
          </w:tcPr>
          <w:p>
            <w:pPr>
              <w:spacing w:after="0"/>
              <w:rPr>
                <w:sz w:val="20"/>
                <w:szCs w:val="20"/>
                <w:color w:val="auto"/>
              </w:rPr>
            </w:pPr>
            <w:r>
              <w:rPr>
                <w:rFonts w:ascii="Arial" w:cs="Arial" w:eastAsia="Arial" w:hAnsi="Arial"/>
                <w:sz w:val="14"/>
                <w:szCs w:val="14"/>
                <w:color w:val="auto"/>
              </w:rPr>
              <w:t>Operating costs and expenses and other</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4,134</w:t>
            </w:r>
          </w:p>
        </w:tc>
        <w:tc>
          <w:tcPr>
            <w:tcW w:w="140" w:type="dxa"/>
            <w:vAlign w:val="bottom"/>
          </w:tcPr>
          <w:p>
            <w:pPr>
              <w:spacing w:after="0"/>
              <w:rPr>
                <w:sz w:val="24"/>
                <w:szCs w:val="24"/>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4,134</w:t>
            </w:r>
          </w:p>
        </w:tc>
        <w:tc>
          <w:tcPr>
            <w:tcW w:w="220" w:type="dxa"/>
            <w:vAlign w:val="bottom"/>
          </w:tcPr>
          <w:p>
            <w:pPr>
              <w:spacing w:after="0"/>
              <w:rPr>
                <w:sz w:val="24"/>
                <w:szCs w:val="24"/>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18,306</w:t>
            </w:r>
          </w:p>
        </w:tc>
        <w:tc>
          <w:tcPr>
            <w:tcW w:w="22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18,306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16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$663</w:t>
            </w:r>
          </w:p>
        </w:tc>
        <w:tc>
          <w:tcPr>
            <w:tcW w:w="140" w:type="dxa"/>
            <w:vAlign w:val="bottom"/>
          </w:tcPr>
          <w:p>
            <w:pPr>
              <w:spacing w:after="0"/>
              <w:rPr>
                <w:sz w:val="24"/>
                <w:szCs w:val="2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$663</w:t>
            </w:r>
          </w:p>
        </w:tc>
        <w:tc>
          <w:tcPr>
            <w:tcW w:w="220" w:type="dxa"/>
            <w:vAlign w:val="bottom"/>
          </w:tcPr>
          <w:p>
            <w:pPr>
              <w:spacing w:after="0"/>
              <w:rPr>
                <w:sz w:val="24"/>
                <w:szCs w:val="24"/>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$8,553</w:t>
            </w:r>
          </w:p>
        </w:tc>
        <w:tc>
          <w:tcPr>
            <w:tcW w:w="220" w:type="dxa"/>
            <w:vAlign w:val="bottom"/>
          </w:tcPr>
          <w:p>
            <w:pPr>
              <w:spacing w:after="0"/>
              <w:rPr>
                <w:sz w:val="24"/>
                <w:szCs w:val="2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$8,553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Growth Rates</w:t>
            </w:r>
          </w:p>
        </w:tc>
        <w:tc>
          <w:tcPr>
            <w:tcW w:w="2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84"/>
        </w:trPr>
        <w:tc>
          <w:tcPr>
            <w:tcW w:w="9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Revenue</w:t>
            </w:r>
          </w:p>
        </w:tc>
        <w:tc>
          <w:tcPr>
            <w:tcW w:w="2400" w:type="dxa"/>
            <w:vAlign w:val="bottom"/>
          </w:tcPr>
          <w:p>
            <w:pPr>
              <w:spacing w:after="0"/>
              <w:rPr>
                <w:sz w:val="16"/>
                <w:szCs w:val="16"/>
                <w:color w:val="auto"/>
              </w:rPr>
            </w:pPr>
          </w:p>
        </w:tc>
        <w:tc>
          <w:tcPr>
            <w:tcW w:w="2120" w:type="dxa"/>
            <w:vAlign w:val="bottom"/>
          </w:tcPr>
          <w:p>
            <w:pPr>
              <w:ind w:left="760"/>
              <w:spacing w:after="0"/>
              <w:rPr>
                <w:sz w:val="20"/>
                <w:szCs w:val="20"/>
                <w:color w:val="auto"/>
              </w:rPr>
            </w:pPr>
            <w:r>
              <w:rPr>
                <w:rFonts w:ascii="Arial" w:cs="Arial" w:eastAsia="Arial" w:hAnsi="Arial"/>
                <w:sz w:val="14"/>
                <w:szCs w:val="14"/>
                <w:color w:val="auto"/>
              </w:rPr>
              <w:t>NM</w:t>
            </w:r>
          </w:p>
        </w:tc>
        <w:tc>
          <w:tcPr>
            <w:tcW w:w="2140" w:type="dxa"/>
            <w:vAlign w:val="bottom"/>
          </w:tcPr>
          <w:p>
            <w:pPr>
              <w:jc w:val="right"/>
              <w:ind w:right="408"/>
              <w:spacing w:after="0"/>
              <w:rPr>
                <w:sz w:val="20"/>
                <w:szCs w:val="20"/>
                <w:color w:val="auto"/>
              </w:rPr>
            </w:pPr>
            <w:r>
              <w:rPr>
                <w:rFonts w:ascii="Arial" w:cs="Arial" w:eastAsia="Arial" w:hAnsi="Arial"/>
                <w:sz w:val="14"/>
                <w:szCs w:val="14"/>
                <w:color w:val="auto"/>
              </w:rPr>
              <w:t>(5.0)%</w:t>
            </w:r>
          </w:p>
        </w:tc>
        <w:tc>
          <w:tcPr>
            <w:tcW w:w="2100" w:type="dxa"/>
            <w:vAlign w:val="bottom"/>
          </w:tcPr>
          <w:p>
            <w:pPr>
              <w:jc w:val="right"/>
              <w:ind w:right="1128"/>
              <w:spacing w:after="0"/>
              <w:rPr>
                <w:sz w:val="20"/>
                <w:szCs w:val="20"/>
                <w:color w:val="auto"/>
              </w:rPr>
            </w:pPr>
            <w:r>
              <w:rPr>
                <w:rFonts w:ascii="Arial" w:cs="Arial" w:eastAsia="Arial" w:hAnsi="Arial"/>
                <w:sz w:val="14"/>
                <w:szCs w:val="14"/>
                <w:color w:val="auto"/>
              </w:rPr>
              <w:t>17.9%</w:t>
            </w:r>
          </w:p>
        </w:tc>
        <w:tc>
          <w:tcPr>
            <w:tcW w:w="16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30"/>
        </w:trPr>
        <w:tc>
          <w:tcPr>
            <w:tcW w:w="3340" w:type="dxa"/>
            <w:vAlign w:val="bottom"/>
            <w:gridSpan w:val="2"/>
          </w:tcPr>
          <w:p>
            <w:pPr>
              <w:spacing w:after="0"/>
              <w:rPr>
                <w:sz w:val="20"/>
                <w:szCs w:val="20"/>
                <w:color w:val="auto"/>
              </w:rPr>
            </w:pPr>
            <w:r>
              <w:rPr>
                <w:rFonts w:ascii="Arial" w:cs="Arial" w:eastAsia="Arial" w:hAnsi="Arial"/>
                <w:sz w:val="14"/>
                <w:szCs w:val="14"/>
                <w:color w:val="auto"/>
              </w:rPr>
              <w:t>Operating costs and expenses and other</w:t>
            </w:r>
          </w:p>
        </w:tc>
        <w:tc>
          <w:tcPr>
            <w:tcW w:w="2120" w:type="dxa"/>
            <w:vAlign w:val="bottom"/>
          </w:tcPr>
          <w:p>
            <w:pPr>
              <w:ind w:left="760"/>
              <w:spacing w:after="0"/>
              <w:rPr>
                <w:sz w:val="20"/>
                <w:szCs w:val="20"/>
                <w:color w:val="auto"/>
              </w:rPr>
            </w:pPr>
            <w:r>
              <w:rPr>
                <w:rFonts w:ascii="Arial" w:cs="Arial" w:eastAsia="Arial" w:hAnsi="Arial"/>
                <w:sz w:val="14"/>
                <w:szCs w:val="14"/>
                <w:color w:val="auto"/>
              </w:rPr>
              <w:t>NM</w:t>
            </w:r>
          </w:p>
        </w:tc>
        <w:tc>
          <w:tcPr>
            <w:tcW w:w="2140" w:type="dxa"/>
            <w:vAlign w:val="bottom"/>
          </w:tcPr>
          <w:p>
            <w:pPr>
              <w:jc w:val="right"/>
              <w:ind w:right="408"/>
              <w:spacing w:after="0"/>
              <w:rPr>
                <w:sz w:val="20"/>
                <w:szCs w:val="20"/>
                <w:color w:val="auto"/>
              </w:rPr>
            </w:pPr>
            <w:r>
              <w:rPr>
                <w:rFonts w:ascii="Arial" w:cs="Arial" w:eastAsia="Arial" w:hAnsi="Arial"/>
                <w:sz w:val="14"/>
                <w:szCs w:val="14"/>
                <w:color w:val="auto"/>
              </w:rPr>
              <w:t>(2.7)%</w:t>
            </w:r>
          </w:p>
        </w:tc>
        <w:tc>
          <w:tcPr>
            <w:tcW w:w="2100" w:type="dxa"/>
            <w:vAlign w:val="bottom"/>
          </w:tcPr>
          <w:p>
            <w:pPr>
              <w:jc w:val="right"/>
              <w:ind w:right="1128"/>
              <w:spacing w:after="0"/>
              <w:rPr>
                <w:sz w:val="20"/>
                <w:szCs w:val="20"/>
                <w:color w:val="auto"/>
              </w:rPr>
            </w:pPr>
            <w:r>
              <w:rPr>
                <w:rFonts w:ascii="Arial" w:cs="Arial" w:eastAsia="Arial" w:hAnsi="Arial"/>
                <w:sz w:val="14"/>
                <w:szCs w:val="14"/>
                <w:color w:val="auto"/>
              </w:rPr>
              <w:t>17.7%</w:t>
            </w:r>
          </w:p>
        </w:tc>
        <w:tc>
          <w:tcPr>
            <w:tcW w:w="16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30"/>
        </w:trPr>
        <w:tc>
          <w:tcPr>
            <w:tcW w:w="334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2120" w:type="dxa"/>
            <w:vAlign w:val="bottom"/>
          </w:tcPr>
          <w:p>
            <w:pPr>
              <w:ind w:left="760"/>
              <w:spacing w:after="0"/>
              <w:rPr>
                <w:sz w:val="20"/>
                <w:szCs w:val="20"/>
                <w:color w:val="auto"/>
              </w:rPr>
            </w:pPr>
            <w:r>
              <w:rPr>
                <w:rFonts w:ascii="Arial" w:cs="Arial" w:eastAsia="Arial" w:hAnsi="Arial"/>
                <w:sz w:val="14"/>
                <w:szCs w:val="14"/>
                <w:color w:val="auto"/>
              </w:rPr>
              <w:t>NM</w:t>
            </w:r>
          </w:p>
        </w:tc>
        <w:tc>
          <w:tcPr>
            <w:tcW w:w="2140" w:type="dxa"/>
            <w:vAlign w:val="bottom"/>
          </w:tcPr>
          <w:p>
            <w:pPr>
              <w:jc w:val="right"/>
              <w:ind w:right="408"/>
              <w:spacing w:after="0"/>
              <w:rPr>
                <w:sz w:val="20"/>
                <w:szCs w:val="20"/>
                <w:color w:val="auto"/>
              </w:rPr>
            </w:pPr>
            <w:r>
              <w:rPr>
                <w:rFonts w:ascii="Arial" w:cs="Arial" w:eastAsia="Arial" w:hAnsi="Arial"/>
                <w:sz w:val="14"/>
                <w:szCs w:val="14"/>
                <w:color w:val="auto"/>
              </w:rPr>
              <w:t>(17.0)%</w:t>
            </w:r>
          </w:p>
        </w:tc>
        <w:tc>
          <w:tcPr>
            <w:tcW w:w="2100" w:type="dxa"/>
            <w:vAlign w:val="bottom"/>
          </w:tcPr>
          <w:p>
            <w:pPr>
              <w:jc w:val="right"/>
              <w:ind w:right="1128"/>
              <w:spacing w:after="0"/>
              <w:rPr>
                <w:sz w:val="20"/>
                <w:szCs w:val="20"/>
                <w:color w:val="auto"/>
              </w:rPr>
            </w:pPr>
            <w:r>
              <w:rPr>
                <w:rFonts w:ascii="Arial" w:cs="Arial" w:eastAsia="Arial" w:hAnsi="Arial"/>
                <w:sz w:val="14"/>
                <w:szCs w:val="14"/>
                <w:color w:val="auto"/>
              </w:rPr>
              <w:t>18.1%</w:t>
            </w:r>
          </w:p>
        </w:tc>
        <w:tc>
          <w:tcPr>
            <w:tcW w:w="1640" w:type="dxa"/>
            <w:vAlign w:val="bottom"/>
          </w:tcPr>
          <w:p>
            <w:pPr>
              <w:jc w:val="right"/>
              <w:spacing w:after="0"/>
              <w:rPr>
                <w:sz w:val="20"/>
                <w:szCs w:val="20"/>
                <w:color w:val="auto"/>
              </w:rPr>
            </w:pPr>
            <w:r>
              <w:rPr>
                <w:rFonts w:ascii="Arial" w:cs="Arial" w:eastAsia="Arial" w:hAnsi="Arial"/>
                <w:sz w:val="14"/>
                <w:szCs w:val="14"/>
                <w:color w:val="auto"/>
              </w:rPr>
              <w:t>6.4 %</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NM=comparison not meaningful.</w:t>
      </w:r>
    </w:p>
    <w:p>
      <w:pPr>
        <w:spacing w:after="0" w:line="193" w:lineRule="exact"/>
        <w:rPr>
          <w:sz w:val="20"/>
          <w:szCs w:val="20"/>
          <w:color w:val="auto"/>
        </w:rPr>
      </w:pPr>
    </w:p>
    <w:p>
      <w:pPr>
        <w:jc w:val="both"/>
        <w:ind w:left="260" w:hanging="252"/>
        <w:spacing w:after="0" w:line="223" w:lineRule="auto"/>
        <w:tabs>
          <w:tab w:leader="none" w:pos="369"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Pro forma information is presented as if the Sky transaction occurred January 1, 2017. Our pro forma information is primarily based on historical results of operations, adjusted for the effects of acquisition accounting and the elimination of costs and expenses directly attributable to the transaction, but does not include adjustments for costs related to integration activities, cost savings or synergies that have been or may be achieved by the combined businesses. Our pro forma information is not necessarily indicative of future results or what our results would have been had we operated Sky since January 1, 2017.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sectPr>
      </w:pPr>
    </w:p>
    <w:bookmarkStart w:id="18" w:name="page19"/>
    <w:bookmarkEnd w:id="18"/>
    <w:p>
      <w:pPr>
        <w:ind w:left="72"/>
        <w:spacing w:after="0"/>
        <w:rPr>
          <w:sz w:val="20"/>
          <w:szCs w:val="20"/>
          <w:color w:val="auto"/>
        </w:rPr>
      </w:pPr>
      <w:r>
        <w:rPr>
          <w:rFonts w:ascii="Arial" w:cs="Arial" w:eastAsia="Arial" w:hAnsi="Arial"/>
          <w:sz w:val="25"/>
          <w:szCs w:val="25"/>
          <w:b w:val="1"/>
          <w:bCs w:val="1"/>
          <w:color w:val="C9C9C9"/>
        </w:rPr>
        <w:t>TABLE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6157595</wp:posOffset>
            </wp:positionH>
            <wp:positionV relativeFrom="paragraph">
              <wp:posOffset>-119380</wp:posOffset>
            </wp:positionV>
            <wp:extent cx="1089025" cy="4718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89025" cy="471805"/>
                    </a:xfrm>
                    <a:prstGeom prst="rect">
                      <a:avLst/>
                    </a:prstGeom>
                    <a:noFill/>
                  </pic:spPr>
                </pic:pic>
              </a:graphicData>
            </a:graphic>
          </wp:anchor>
        </w:drawing>
      </w:r>
    </w:p>
    <w:p>
      <w:pPr>
        <w:spacing w:after="0" w:line="281" w:lineRule="exact"/>
        <w:rPr>
          <w:sz w:val="20"/>
          <w:szCs w:val="20"/>
          <w:color w:val="auto"/>
        </w:rPr>
      </w:pPr>
    </w:p>
    <w:p>
      <w:pPr>
        <w:ind w:left="72"/>
        <w:spacing w:after="0"/>
        <w:rPr>
          <w:sz w:val="20"/>
          <w:szCs w:val="20"/>
          <w:color w:val="auto"/>
        </w:rPr>
      </w:pPr>
      <w:r>
        <w:rPr>
          <w:rFonts w:ascii="Arial" w:cs="Arial" w:eastAsia="Arial" w:hAnsi="Arial"/>
          <w:sz w:val="18"/>
          <w:szCs w:val="18"/>
          <w:b w:val="1"/>
          <w:bCs w:val="1"/>
          <w:color w:val="C9C9C9"/>
        </w:rPr>
        <w:t>Reconciliation of Sky Constant Currency Growth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8" w:lineRule="exact"/>
        <w:rPr>
          <w:sz w:val="20"/>
          <w:szCs w:val="20"/>
          <w:color w:val="auto"/>
        </w:rPr>
      </w:pPr>
    </w:p>
    <w:tbl>
      <w:tblPr>
        <w:tblLayout w:type="fixed"/>
        <w:tblInd w:w="32" w:type="dxa"/>
        <w:tblCellMar>
          <w:top w:w="0" w:type="dxa"/>
          <w:left w:w="0" w:type="dxa"/>
          <w:bottom w:w="0" w:type="dxa"/>
          <w:right w:w="0" w:type="dxa"/>
        </w:tblCellMar>
      </w:tblPr>
      <w:tr>
        <w:trPr>
          <w:trHeight w:val="189"/>
        </w:trPr>
        <w:tc>
          <w:tcPr>
            <w:tcW w:w="8320" w:type="dxa"/>
            <w:vAlign w:val="bottom"/>
          </w:tcPr>
          <w:p>
            <w:pPr>
              <w:spacing w:after="0"/>
              <w:rPr>
                <w:sz w:val="16"/>
                <w:szCs w:val="16"/>
                <w:color w:val="auto"/>
              </w:rPr>
            </w:pPr>
          </w:p>
        </w:tc>
        <w:tc>
          <w:tcPr>
            <w:tcW w:w="2960" w:type="dxa"/>
            <w:vAlign w:val="bottom"/>
            <w:gridSpan w:val="5"/>
          </w:tcPr>
          <w:p>
            <w:pPr>
              <w:jc w:val="center"/>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8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3"/>
        </w:trPr>
        <w:tc>
          <w:tcPr>
            <w:tcW w:w="8320" w:type="dxa"/>
            <w:vAlign w:val="bottom"/>
          </w:tcPr>
          <w:p>
            <w:pPr>
              <w:spacing w:after="0"/>
              <w:rPr>
                <w:sz w:val="20"/>
                <w:szCs w:val="20"/>
                <w:color w:val="auto"/>
              </w:rPr>
            </w:pPr>
            <w:r>
              <w:rPr>
                <w:rFonts w:ascii="Arial" w:cs="Arial" w:eastAsia="Arial" w:hAnsi="Arial"/>
                <w:sz w:val="16"/>
                <w:szCs w:val="16"/>
                <w:color w:val="auto"/>
              </w:rPr>
              <w:t>(in millions)</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2018</w:t>
            </w:r>
            <w:r>
              <w:rPr>
                <w:rFonts w:ascii="Arial" w:cs="Arial" w:eastAsia="Arial" w:hAnsi="Arial"/>
                <w:sz w:val="21"/>
                <w:szCs w:val="21"/>
                <w:color w:val="auto"/>
                <w:vertAlign w:val="superscript"/>
              </w:rPr>
              <w:t>(1)</w:t>
            </w:r>
          </w:p>
        </w:tc>
        <w:tc>
          <w:tcPr>
            <w:tcW w:w="160" w:type="dxa"/>
            <w:vAlign w:val="bottom"/>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Growth%</w:t>
            </w:r>
          </w:p>
        </w:tc>
      </w:tr>
      <w:tr>
        <w:trPr>
          <w:trHeight w:val="217"/>
        </w:trPr>
        <w:tc>
          <w:tcPr>
            <w:tcW w:w="8320" w:type="dxa"/>
            <w:vAlign w:val="bottom"/>
          </w:tcPr>
          <w:p>
            <w:pPr>
              <w:spacing w:after="0"/>
              <w:rPr>
                <w:sz w:val="20"/>
                <w:szCs w:val="20"/>
                <w:color w:val="auto"/>
              </w:rPr>
            </w:pPr>
            <w:r>
              <w:rPr>
                <w:rFonts w:ascii="Arial" w:cs="Arial" w:eastAsia="Arial" w:hAnsi="Arial"/>
                <w:sz w:val="16"/>
                <w:szCs w:val="16"/>
                <w:color w:val="auto"/>
              </w:rPr>
              <w:t>Direct-to-Consumer</w:t>
            </w:r>
          </w:p>
        </w:tc>
        <w:tc>
          <w:tcPr>
            <w:tcW w:w="880" w:type="dxa"/>
            <w:vAlign w:val="bottom"/>
          </w:tcPr>
          <w:p>
            <w:pPr>
              <w:jc w:val="right"/>
              <w:spacing w:after="0"/>
              <w:rPr>
                <w:sz w:val="20"/>
                <w:szCs w:val="20"/>
                <w:color w:val="auto"/>
              </w:rPr>
            </w:pPr>
            <w:r>
              <w:rPr>
                <w:rFonts w:ascii="Arial" w:cs="Arial" w:eastAsia="Arial" w:hAnsi="Arial"/>
                <w:sz w:val="16"/>
                <w:szCs w:val="16"/>
                <w:color w:val="auto"/>
              </w:rPr>
              <w:t>$3,851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$3,834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(0.4%)</w:t>
            </w:r>
          </w:p>
        </w:tc>
      </w:tr>
      <w:tr>
        <w:trPr>
          <w:trHeight w:val="243"/>
        </w:trPr>
        <w:tc>
          <w:tcPr>
            <w:tcW w:w="8320" w:type="dxa"/>
            <w:vAlign w:val="bottom"/>
          </w:tcPr>
          <w:p>
            <w:pPr>
              <w:spacing w:after="0"/>
              <w:rPr>
                <w:sz w:val="20"/>
                <w:szCs w:val="20"/>
                <w:color w:val="auto"/>
              </w:rPr>
            </w:pPr>
            <w:r>
              <w:rPr>
                <w:rFonts w:ascii="Arial" w:cs="Arial" w:eastAsia="Arial" w:hAnsi="Arial"/>
                <w:sz w:val="16"/>
                <w:szCs w:val="16"/>
                <w:color w:val="auto"/>
              </w:rPr>
              <w:t>Content</w:t>
            </w:r>
          </w:p>
        </w:tc>
        <w:tc>
          <w:tcPr>
            <w:tcW w:w="880" w:type="dxa"/>
            <w:vAlign w:val="bottom"/>
          </w:tcPr>
          <w:p>
            <w:pPr>
              <w:jc w:val="right"/>
              <w:spacing w:after="0"/>
              <w:rPr>
                <w:sz w:val="20"/>
                <w:szCs w:val="20"/>
                <w:color w:val="auto"/>
              </w:rPr>
            </w:pPr>
            <w:r>
              <w:rPr>
                <w:rFonts w:ascii="Arial" w:cs="Arial" w:eastAsia="Arial" w:hAnsi="Arial"/>
                <w:sz w:val="16"/>
                <w:szCs w:val="16"/>
                <w:color w:val="auto"/>
              </w:rPr>
              <w:t>268</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370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38.0%</w:t>
            </w:r>
          </w:p>
        </w:tc>
      </w:tr>
      <w:tr>
        <w:trPr>
          <w:trHeight w:val="256"/>
        </w:trPr>
        <w:tc>
          <w:tcPr>
            <w:tcW w:w="8320" w:type="dxa"/>
            <w:vAlign w:val="bottom"/>
          </w:tcPr>
          <w:p>
            <w:pPr>
              <w:spacing w:after="0"/>
              <w:rPr>
                <w:sz w:val="20"/>
                <w:szCs w:val="20"/>
                <w:color w:val="auto"/>
              </w:rPr>
            </w:pPr>
            <w:r>
              <w:rPr>
                <w:rFonts w:ascii="Arial" w:cs="Arial" w:eastAsia="Arial" w:hAnsi="Arial"/>
                <w:sz w:val="16"/>
                <w:szCs w:val="16"/>
                <w:color w:val="auto"/>
              </w:rPr>
              <w:t>Advertising</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w:t>
            </w:r>
          </w:p>
        </w:tc>
        <w:tc>
          <w:tcPr>
            <w:tcW w:w="16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0.7%</w:t>
            </w:r>
          </w:p>
        </w:tc>
      </w:tr>
      <w:tr>
        <w:trPr>
          <w:trHeight w:val="240"/>
        </w:trPr>
        <w:tc>
          <w:tcPr>
            <w:tcW w:w="832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$4,708</w:t>
            </w:r>
          </w:p>
        </w:tc>
        <w:tc>
          <w:tcPr>
            <w:tcW w:w="1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$4,797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1.9%</w:t>
            </w:r>
          </w:p>
        </w:tc>
      </w:tr>
      <w:tr>
        <w:trPr>
          <w:trHeight w:val="20"/>
        </w:trPr>
        <w:tc>
          <w:tcPr>
            <w:tcW w:w="8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7"/>
        </w:trPr>
        <w:tc>
          <w:tcPr>
            <w:tcW w:w="8320" w:type="dxa"/>
            <w:vAlign w:val="bottom"/>
          </w:tcPr>
          <w:p>
            <w:pPr>
              <w:spacing w:after="0"/>
              <w:rPr>
                <w:sz w:val="20"/>
                <w:szCs w:val="20"/>
                <w:color w:val="auto"/>
              </w:rPr>
            </w:pPr>
            <w:r>
              <w:rPr>
                <w:rFonts w:ascii="Arial" w:cs="Arial" w:eastAsia="Arial" w:hAnsi="Arial"/>
                <w:sz w:val="16"/>
                <w:szCs w:val="16"/>
                <w:b w:val="1"/>
                <w:bCs w:val="1"/>
                <w:color w:val="auto"/>
              </w:rPr>
              <w:t>Operating costs and expenses</w:t>
            </w:r>
          </w:p>
        </w:tc>
        <w:tc>
          <w:tcPr>
            <w:tcW w:w="880" w:type="dxa"/>
            <w:vAlign w:val="bottom"/>
          </w:tcPr>
          <w:p>
            <w:pPr>
              <w:jc w:val="right"/>
              <w:spacing w:after="0"/>
              <w:rPr>
                <w:sz w:val="20"/>
                <w:szCs w:val="20"/>
                <w:color w:val="auto"/>
              </w:rPr>
            </w:pPr>
            <w:r>
              <w:rPr>
                <w:rFonts w:ascii="Arial" w:cs="Arial" w:eastAsia="Arial" w:hAnsi="Arial"/>
                <w:sz w:val="16"/>
                <w:szCs w:val="16"/>
                <w:color w:val="auto"/>
              </w:rPr>
              <w:t>$3,961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$4,134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4.4%</w:t>
            </w:r>
          </w:p>
        </w:tc>
      </w:tr>
      <w:tr>
        <w:trPr>
          <w:trHeight w:val="243"/>
        </w:trPr>
        <w:tc>
          <w:tcPr>
            <w:tcW w:w="832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880" w:type="dxa"/>
            <w:vAlign w:val="bottom"/>
          </w:tcPr>
          <w:p>
            <w:pPr>
              <w:jc w:val="right"/>
              <w:spacing w:after="0"/>
              <w:rPr>
                <w:sz w:val="20"/>
                <w:szCs w:val="20"/>
                <w:color w:val="auto"/>
              </w:rPr>
            </w:pPr>
            <w:r>
              <w:rPr>
                <w:rFonts w:ascii="Arial" w:cs="Arial" w:eastAsia="Arial" w:hAnsi="Arial"/>
                <w:sz w:val="16"/>
                <w:szCs w:val="16"/>
                <w:color w:val="auto"/>
              </w:rPr>
              <w:t>$747</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$663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(11.3)%</w:t>
            </w:r>
          </w:p>
        </w:tc>
      </w:tr>
    </w:tbl>
    <w:p>
      <w:pPr>
        <w:spacing w:after="0" w:line="216" w:lineRule="exact"/>
        <w:rPr>
          <w:sz w:val="20"/>
          <w:szCs w:val="20"/>
          <w:color w:val="auto"/>
        </w:rPr>
      </w:pPr>
    </w:p>
    <w:p>
      <w:pPr>
        <w:ind w:left="252" w:hanging="252"/>
        <w:spacing w:after="0" w:line="230" w:lineRule="auto"/>
        <w:tabs>
          <w:tab w:leader="none" w:pos="267" w:val="left"/>
        </w:tabs>
        <w:numPr>
          <w:ilvl w:val="0"/>
          <w:numId w:val="18"/>
        </w:numPr>
        <w:rPr>
          <w:rFonts w:ascii="Arial" w:cs="Arial" w:eastAsia="Arial" w:hAnsi="Arial"/>
          <w:sz w:val="13"/>
          <w:szCs w:val="13"/>
          <w:color w:val="auto"/>
        </w:rPr>
      </w:pPr>
      <w:r>
        <w:rPr>
          <w:rFonts w:ascii="Arial" w:cs="Arial" w:eastAsia="Arial" w:hAnsi="Arial"/>
          <w:sz w:val="13"/>
          <w:szCs w:val="13"/>
          <w:color w:val="auto"/>
        </w:rPr>
        <w:t>2018 results for entities reporting in currencies other than United States dollars are converted into United States dollars using the average exchange rates from the current period rather than the actual exchange rates in effect during the respective periods.</w:t>
      </w:r>
    </w:p>
    <w:p>
      <w:pPr>
        <w:spacing w:after="0" w:line="197"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12"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6"/>
          <w:szCs w:val="16"/>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99.2 - Explanation of Non-GAAP and Other Financial Measures</w:t>
      </w:r>
    </w:p>
    <w:p>
      <w:pPr>
        <w:spacing w:after="0" w:line="22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EBITDA</w:t>
      </w:r>
    </w:p>
    <w:p>
      <w:pPr>
        <w:spacing w:after="0" w:line="20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9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We define Adjusted EBITDA as net income attributable to Comcast Corporation before net income (loss) attributable to noncontrolling interests and redeemable subsidiary preferred stock, income tax benefit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90"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We also use Adjusted EBITDA as the measure of profit or loss for our segments. Our measure of Adjusted EBITDA for our segments is not a non-GAAP financial measure under rules promulgated by the Securities and Exchange Commission.</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Adjusted EPS</w:t>
      </w:r>
    </w:p>
    <w:p>
      <w:pPr>
        <w:spacing w:after="0" w:line="20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 xml:space="preserve">Adjusted EPS is a non-GAAP financial measure that presents the earnings generated by our ongoing core operations on a per share basis. We believe Adjusted EPS is helpful to investors in evaluating our ongoing core operations and can assist in making meaningful period-over-period comparisons. Our presentation of Adjusted EPS is our diluted earnings per common share attributable to Comcast Corporation shareholders adjusted to exclude the effects of fair value investments and amortization of acquisition-related intangible assets, as well as the impact of certain events, gains, losses or other charges (such as from the sales of investments). For Adjusted EPS, the effects of fair value investments include realized and unrealized gains and losses, net, including impairments, on equity securities not accounted for under the equity method, as well as the equity in net income (losses), net, for our investment in Atairos Group, Inc. (Atairos follows investment company accounting and records its investments at their fair values each reporting period). Acquisition-related intangible assets include those recognized as a result of the application of Accounting Standards Codification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(such as customer relationships). Amortization of acquisition-related intangible assets is significantly affected by the timing and size of our acquisitions and may have no correlation to our current operating results, as the acquisitions occurred in prior periods. Amortization of intangible assets not resulting from business combinations (such as software and acquired intellectual property rights used in our theme parks) is not excluded from Adjusted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Exhibit 99.2 - Explanation of Non-GAAP and Other Financial Measures, cont’d</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Free Cash Flow</w:t>
      </w:r>
    </w:p>
    <w:p>
      <w:pPr>
        <w:spacing w:after="0" w:line="20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w:t>
      </w:r>
    </w:p>
    <w:p>
      <w:pPr>
        <w:spacing w:after="0" w:line="19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Free Cash Flow is defined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for acquisitions and construction of real estate properties and the construction of Universal Beijing Resort are presented separately in our Statement of Cash Flows and are therefore excluded from capital expenditures for Free Cash Flow.</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Constant Currency</w:t>
      </w:r>
    </w:p>
    <w:p>
      <w:pPr>
        <w:spacing w:after="0" w:line="208" w:lineRule="exact"/>
        <w:rPr>
          <w:sz w:val="20"/>
          <w:szCs w:val="20"/>
          <w:color w:val="auto"/>
        </w:rPr>
      </w:pPr>
    </w:p>
    <w:p>
      <w:pPr>
        <w:jc w:val="both"/>
        <w:ind w:right="180"/>
        <w:spacing w:after="0" w:line="250" w:lineRule="auto"/>
        <w:rPr>
          <w:sz w:val="20"/>
          <w:szCs w:val="20"/>
          <w:color w:val="auto"/>
        </w:rPr>
      </w:pPr>
      <w:r>
        <w:rPr>
          <w:rFonts w:ascii="Arial" w:cs="Arial" w:eastAsia="Arial" w:hAnsi="Arial"/>
          <w:sz w:val="16"/>
          <w:szCs w:val="16"/>
          <w:color w:val="auto"/>
        </w:rPr>
        <w:t>Constant currency growth rates are a non-GAAP financial measure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We use constant currency growth rates to evaluate the underlying performance of certain of our businesses, and we believe it is also helpful for investors for the same reasons and to present operating results on a comparable basis period over period.</w:t>
      </w:r>
    </w:p>
    <w:p>
      <w:pPr>
        <w:spacing w:after="0" w:line="190"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Adjustments</w:t>
      </w:r>
    </w:p>
    <w:p>
      <w:pPr>
        <w:spacing w:after="0" w:line="208" w:lineRule="exact"/>
        <w:rPr>
          <w:sz w:val="20"/>
          <w:szCs w:val="20"/>
          <w:color w:val="auto"/>
        </w:rPr>
      </w:pPr>
    </w:p>
    <w:p>
      <w:pPr>
        <w:ind w:right="560"/>
        <w:spacing w:after="0" w:line="253" w:lineRule="auto"/>
        <w:rPr>
          <w:sz w:val="20"/>
          <w:szCs w:val="20"/>
          <w:color w:val="auto"/>
        </w:rPr>
      </w:pPr>
      <w:r>
        <w:rPr>
          <w:rFonts w:ascii="Arial" w:cs="Arial" w:eastAsia="Arial" w:hAnsi="Arial"/>
          <w:sz w:val="16"/>
          <w:szCs w:val="16"/>
          <w:color w:val="auto"/>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 Forma Information</w:t>
      </w:r>
    </w:p>
    <w:p>
      <w:pPr>
        <w:spacing w:after="0" w:line="20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32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bullet"/>
      <w:start w:val="1"/>
    </w:lvl>
  </w:abstractNum>
  <w:abstractNum w:abstractNumId="6">
    <w:nsid w:val="140E0F76"/>
    <w:multiLevelType w:val="hybridMultilevel"/>
    <w:lvl w:ilvl="0">
      <w:lvlJc w:val="left"/>
      <w:lvlText w:val="3"/>
      <w:numFmt w:val="bullet"/>
      <w:start w:val="1"/>
    </w:lvl>
  </w:abstractNum>
  <w:abstractNum w:abstractNumId="7">
    <w:nsid w:val="3352255A"/>
    <w:multiLevelType w:val="hybridMultilevel"/>
    <w:lvl w:ilvl="0">
      <w:lvlJc w:val="left"/>
      <w:lvlText w:val="5"/>
      <w:numFmt w:val="bullet"/>
      <w:start w:val="1"/>
    </w:lvl>
  </w:abstractNum>
  <w:abstractNum w:abstractNumId="8">
    <w:nsid w:val="109CF92E"/>
    <w:multiLevelType w:val="hybridMultilevel"/>
    <w:lvl w:ilvl="0">
      <w:lvlJc w:val="left"/>
      <w:lvlText w:val="6"/>
      <w:numFmt w:val="bullet"/>
      <w:start w:val="1"/>
    </w:lvl>
  </w:abstractNum>
  <w:abstractNum w:abstractNumId="9">
    <w:nsid w:val="DED7263"/>
    <w:multiLevelType w:val="hybridMultilevel"/>
    <w:lvl w:ilvl="0">
      <w:lvlJc w:val="left"/>
      <w:lvlText w:val="7"/>
      <w:numFmt w:val="bullet"/>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35"/>
    </w:lvl>
  </w:abstractNum>
  <w:abstractNum w:abstractNumId="13">
    <w:nsid w:val="6B68079A"/>
    <w:multiLevelType w:val="hybridMultilevel"/>
    <w:lvl w:ilvl="0">
      <w:lvlJc w:val="left"/>
      <w:lvlText w:val="(%1)"/>
      <w:numFmt w:val="decimal"/>
      <w:start w:val="63"/>
    </w:lvl>
  </w:abstractNum>
  <w:abstractNum w:abstractNumId="14">
    <w:nsid w:val="4E6AFB66"/>
    <w:multiLevelType w:val="hybridMultilevel"/>
    <w:lvl w:ilvl="0">
      <w:lvlJc w:val="left"/>
      <w:lvlText w:val="(%1)"/>
      <w:numFmt w:val="decimal"/>
      <w:start w:val="2"/>
    </w:lvl>
  </w:abstractNum>
  <w:abstractNum w:abstractNumId="15">
    <w:nsid w:val="25E45D32"/>
    <w:multiLevelType w:val="hybridMultilevel"/>
    <w:lvl w:ilvl="0">
      <w:lvlJc w:val="left"/>
      <w:lvlText w:val="(%1)"/>
      <w:numFmt w:val="decimal"/>
      <w:start w:val="3"/>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2019-12-28T13:45:21Z</dcterms:created>
  <dcterms:modified xsi:type="dcterms:W3CDTF">2019-12-28T13:45:21Z</dcterms:modified>
</cp:coreProperties>
</file>