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2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9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9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Floating Rate Notes due 2020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$1,250,000,000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$1,250,000,000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$151,500.00</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Floating Rate Notes due 2021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$1,000,000,000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$121,200.00</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Floating Rate Notes due 2024</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$500,000,000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$60,600.00</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3.300% Notes due 2020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$1,750,000,000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99.972%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$1,749,510,000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$212,040.62</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3.450% Notes due 2021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99.899%</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$1,997,980,000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$242,155.18</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3.700% Notes due 2024</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99.994%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$2,499,850,000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$302,981.82</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3.950% Notes due 2025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99.877%</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$2,996,310,000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$363,152.78</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4.150% Notes due 2028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99.950%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$3,998,000,000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$484,557.60</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4.250% Notes due 2030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99.943%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$1,499,145,000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$181,696.38</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4.600% Notes due 2038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99.934%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$2,998,020,000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$363,360.03</w:t>
            </w:r>
          </w:p>
        </w:tc>
      </w:tr>
      <w:tr>
        <w:trPr>
          <w:trHeight w:val="210"/>
        </w:trPr>
        <w:tc>
          <w:tcPr>
            <w:tcW w:w="3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4.700% Notes due 2048</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99.918%</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$3,996,720,000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$484,402.47</w:t>
            </w:r>
          </w:p>
        </w:tc>
      </w:tr>
      <w:tr>
        <w:trPr>
          <w:trHeight w:val="210"/>
        </w:trPr>
        <w:tc>
          <w:tcPr>
            <w:tcW w:w="3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4.950% Notes due 2058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$2,500,000,000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99.912%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$2,497,800,000</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$302,733.36</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$27,000,000,000</w:t>
            </w:r>
          </w:p>
        </w:tc>
        <w:tc>
          <w:tcPr>
            <w:tcW w:w="1860" w:type="dxa"/>
            <w:vAlign w:val="bottom"/>
            <w:tcBorders>
              <w:top w:val="single" w:sz="8" w:color="auto"/>
              <w:bottom w:val="single" w:sz="8" w:color="auto"/>
              <w:right w:val="single" w:sz="8" w:color="auto"/>
            </w:tcBorders>
          </w:tcPr>
          <w:p>
            <w:pPr>
              <w:spacing w:after="0"/>
              <w:rPr>
                <w:sz w:val="18"/>
                <w:szCs w:val="18"/>
                <w:color w:val="auto"/>
              </w:rPr>
            </w:pP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$26,983,335,000</w:t>
            </w: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$3,270,380.24</w:t>
            </w: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333-212719</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PROSPECTUS SUPPLEMENT</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(To prospectus dated July 28, 2016)</w:t>
      </w:r>
    </w:p>
    <w:p>
      <w:pPr>
        <w:spacing w:after="0" w:line="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60325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$1,250,000,000 Floating Rate Notes due 2020</w:t>
      </w:r>
    </w:p>
    <w:p>
      <w:pPr>
        <w:spacing w:after="0" w:line="2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72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$1,000,000,000 Floating Rate Notes due 2021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  500,000,000</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w w:val="88"/>
              </w:rPr>
              <w:t>Floating Rate Notes due 2024</w:t>
            </w:r>
          </w:p>
        </w:tc>
      </w:tr>
      <w:tr>
        <w:trPr>
          <w:trHeight w:val="260"/>
        </w:trPr>
        <w:tc>
          <w:tcPr>
            <w:tcW w:w="7420" w:type="dxa"/>
            <w:vAlign w:val="bottom"/>
            <w:gridSpan w:val="3"/>
          </w:tcPr>
          <w:p>
            <w:pPr>
              <w:ind w:left="2240"/>
              <w:spacing w:after="0"/>
              <w:rPr>
                <w:sz w:val="20"/>
                <w:szCs w:val="20"/>
                <w:color w:val="auto"/>
              </w:rPr>
            </w:pPr>
            <w:r>
              <w:rPr>
                <w:rFonts w:ascii="Arial" w:cs="Arial" w:eastAsia="Arial" w:hAnsi="Arial"/>
                <w:sz w:val="18"/>
                <w:szCs w:val="18"/>
                <w:b w:val="1"/>
                <w:bCs w:val="1"/>
                <w:color w:val="auto"/>
              </w:rPr>
              <w:t>$1,750,000,000 3.300% Notes due 2020</w:t>
            </w:r>
          </w:p>
        </w:tc>
      </w:tr>
      <w:tr>
        <w:trPr>
          <w:trHeight w:val="216"/>
        </w:trPr>
        <w:tc>
          <w:tcPr>
            <w:tcW w:w="3720" w:type="dxa"/>
            <w:vAlign w:val="bottom"/>
          </w:tcPr>
          <w:p>
            <w:pPr>
              <w:jc w:val="right"/>
              <w:ind w:right="210"/>
              <w:spacing w:after="0"/>
              <w:rPr>
                <w:sz w:val="20"/>
                <w:szCs w:val="20"/>
                <w:color w:val="auto"/>
              </w:rPr>
            </w:pPr>
            <w:r>
              <w:rPr>
                <w:rFonts w:ascii="Arial" w:cs="Arial" w:eastAsia="Arial" w:hAnsi="Arial"/>
                <w:sz w:val="18"/>
                <w:szCs w:val="18"/>
                <w:b w:val="1"/>
                <w:bCs w:val="1"/>
                <w:color w:val="auto"/>
              </w:rPr>
              <w:t>$2,000,000,000 3.450% Notes due 2021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$2,500,000,000</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3.700% Notes due 2024</w:t>
            </w:r>
          </w:p>
        </w:tc>
      </w:tr>
      <w:tr>
        <w:trPr>
          <w:trHeight w:val="216"/>
        </w:trPr>
        <w:tc>
          <w:tcPr>
            <w:tcW w:w="3720" w:type="dxa"/>
            <w:vAlign w:val="bottom"/>
          </w:tcPr>
          <w:p>
            <w:pPr>
              <w:jc w:val="right"/>
              <w:ind w:right="210"/>
              <w:spacing w:after="0"/>
              <w:rPr>
                <w:sz w:val="20"/>
                <w:szCs w:val="20"/>
                <w:color w:val="auto"/>
              </w:rPr>
            </w:pPr>
            <w:r>
              <w:rPr>
                <w:rFonts w:ascii="Arial" w:cs="Arial" w:eastAsia="Arial" w:hAnsi="Arial"/>
                <w:sz w:val="18"/>
                <w:szCs w:val="18"/>
                <w:b w:val="1"/>
                <w:bCs w:val="1"/>
                <w:color w:val="auto"/>
              </w:rPr>
              <w:t>$3,000,000,000 3.950% Notes due 2025</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$4,000,000,000</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4.150% Notes due 2028</w:t>
            </w:r>
          </w:p>
        </w:tc>
      </w:tr>
      <w:tr>
        <w:trPr>
          <w:trHeight w:val="216"/>
        </w:trPr>
        <w:tc>
          <w:tcPr>
            <w:tcW w:w="3720" w:type="dxa"/>
            <w:vAlign w:val="bottom"/>
          </w:tcPr>
          <w:p>
            <w:pPr>
              <w:jc w:val="right"/>
              <w:ind w:right="210"/>
              <w:spacing w:after="0"/>
              <w:rPr>
                <w:sz w:val="20"/>
                <w:szCs w:val="20"/>
                <w:color w:val="auto"/>
              </w:rPr>
            </w:pPr>
            <w:r>
              <w:rPr>
                <w:rFonts w:ascii="Arial" w:cs="Arial" w:eastAsia="Arial" w:hAnsi="Arial"/>
                <w:sz w:val="18"/>
                <w:szCs w:val="18"/>
                <w:b w:val="1"/>
                <w:bCs w:val="1"/>
                <w:color w:val="auto"/>
              </w:rPr>
              <w:t>$1,500,000,000 4.250% Notes due 2030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$3,000,000,000</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4.600% Notes due 2038</w:t>
            </w:r>
          </w:p>
        </w:tc>
      </w:tr>
      <w:tr>
        <w:trPr>
          <w:trHeight w:val="234"/>
        </w:trPr>
        <w:tc>
          <w:tcPr>
            <w:tcW w:w="3720" w:type="dxa"/>
            <w:vAlign w:val="bottom"/>
          </w:tcPr>
          <w:p>
            <w:pPr>
              <w:jc w:val="right"/>
              <w:ind w:right="210"/>
              <w:spacing w:after="0"/>
              <w:rPr>
                <w:sz w:val="20"/>
                <w:szCs w:val="20"/>
                <w:color w:val="auto"/>
              </w:rPr>
            </w:pPr>
            <w:r>
              <w:rPr>
                <w:rFonts w:ascii="Arial" w:cs="Arial" w:eastAsia="Arial" w:hAnsi="Arial"/>
                <w:sz w:val="18"/>
                <w:szCs w:val="18"/>
                <w:b w:val="1"/>
                <w:bCs w:val="1"/>
                <w:color w:val="auto"/>
              </w:rPr>
              <w:t>$4,000,000,000 4.700% Notes due 2048</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$2,500,000,000</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4.950% Notes due 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4"/>
          <w:szCs w:val="14"/>
          <w:color w:val="auto"/>
        </w:rPr>
        <w:t>We are offering floating rate notes (the “floating rate notes”) and fixed rate notes (the “fixed rate notes” and, together with the floating rate notes, the “notes”) with interest rates, interest payment dates, maturity dates, optional redemption dates, if any, and other terms as set forth in this prospectus supplement.</w:t>
      </w:r>
    </w:p>
    <w:p>
      <w:pPr>
        <w:spacing w:after="0" w:line="12" w:lineRule="exact"/>
        <w:rPr>
          <w:sz w:val="20"/>
          <w:szCs w:val="20"/>
          <w:color w:val="auto"/>
        </w:rPr>
      </w:pPr>
    </w:p>
    <w:p>
      <w:pPr>
        <w:ind w:left="200" w:right="20" w:firstLine="331"/>
        <w:spacing w:after="0" w:line="253" w:lineRule="auto"/>
        <w:rPr>
          <w:sz w:val="20"/>
          <w:szCs w:val="20"/>
          <w:color w:val="auto"/>
        </w:rPr>
      </w:pPr>
      <w:r>
        <w:rPr>
          <w:rFonts w:ascii="Arial" w:cs="Arial" w:eastAsia="Arial" w:hAnsi="Arial"/>
          <w:sz w:val="14"/>
          <w:szCs w:val="14"/>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12"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3"/>
          <w:szCs w:val="13"/>
          <w:color w:val="auto"/>
        </w:rPr>
        <w:t>We intend to use the net proceeds of this offering, together with the net proceeds from loans under our Term Loan Facilities (as defined herein), to finance our purchase of ordinary shares in the capital of Sky plc (the “Sky Shares”) from Sky shareholders (the “Sky shareholders”) who validly accept our cash offer for the entire issued and to be issued share capital of Sky (as further described herein, the “Sky Offer”), to settle a portion of our Market Purchases (as defined herein) and to pay related fees and expenses. We have also made Market Purchases of Sky Shares directly from Sky shareholders with cash on hand and the net proceeds from (i) the issuance of commercial paper, (ii) loans under our Term Loan Facilities and (iii) revolving loans drawn under our Revolving Credit Facility (as described herein).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(as described herein), is not conditioned on the occurrence of the First Sky Settlement Date. See “Summary—Recent Developments”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99695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1" w:lineRule="exact"/>
        <w:rPr>
          <w:sz w:val="20"/>
          <w:szCs w:val="20"/>
          <w:color w:val="auto"/>
        </w:rPr>
      </w:pPr>
    </w:p>
    <w:p>
      <w:pPr>
        <w:ind w:left="200" w:right="280" w:firstLine="441"/>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certain risks. See “Item 1A—Risk Factors” beginning on page 20 of Comcast Corporation’s (“Comcast”) Annual Report on Form 10-K for the year ended December 31, 2017, which is incorporated by reference herein, and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S-11 of this prospectus supplement.</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Price to</w:t>
            </w:r>
          </w:p>
        </w:tc>
        <w:tc>
          <w:tcPr>
            <w:tcW w:w="1540" w:type="dxa"/>
            <w:vAlign w:val="bottom"/>
            <w:gridSpan w:val="4"/>
          </w:tcPr>
          <w:p>
            <w:pPr>
              <w:ind w:left="280"/>
              <w:spacing w:after="0"/>
              <w:rPr>
                <w:sz w:val="20"/>
                <w:szCs w:val="20"/>
                <w:color w:val="auto"/>
              </w:rPr>
            </w:pPr>
            <w:r>
              <w:rPr>
                <w:rFonts w:ascii="Arial" w:cs="Arial" w:eastAsia="Arial" w:hAnsi="Arial"/>
                <w:sz w:val="14"/>
                <w:szCs w:val="14"/>
                <w:b w:val="1"/>
                <w:bCs w:val="1"/>
                <w:color w:val="auto"/>
              </w:rPr>
              <w:t>Underwriters’</w:t>
            </w:r>
          </w:p>
        </w:tc>
        <w:tc>
          <w:tcPr>
            <w:tcW w:w="180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Proceeds to Us Before</w:t>
            </w:r>
          </w:p>
        </w:tc>
      </w:tr>
      <w:tr>
        <w:trPr>
          <w:trHeight w:val="17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Investors</w:t>
            </w: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Discount</w:t>
            </w: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Expenses</w:t>
            </w:r>
          </w:p>
        </w:tc>
        <w:tc>
          <w:tcPr>
            <w:tcW w:w="180" w:type="dxa"/>
            <w:vAlign w:val="bottom"/>
            <w:tcBorders>
              <w:bottom w:val="single" w:sz="8" w:color="CCEEFF"/>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 floating rate note due 2020</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100.000%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0.150%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99.850%</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1,250,000,000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1,875,000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1,248,125,000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floating rate note due 2021</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99.800%</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998,000,000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floating rate note due 2024</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99.750%</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498,750,000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2020</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99.972%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0.150%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99.822%</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1,749,510,000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2,625,000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1,746,885,000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2021</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99.899%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99.699%</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1,997,980,000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1,993,980,000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2024</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99.994%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99.744%</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2,499,850,000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6,250,000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2,493,600,000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2025</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99.877%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0.350%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99.527%</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2,996,310,000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2,985,810,000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2028</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99.950%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99.550%</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3,998,000,000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3,982,000,000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2030</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99.943%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0.425%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99.518%</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1,499,145,000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6,375,000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1,492,770,000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2038</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99.934%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0.600%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99.334%</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2,998,020,000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18,000,000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2,980,020,000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2048</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99.918%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0.750%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99.168%</w:t>
            </w: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3,996,720,000</w:t>
            </w:r>
          </w:p>
        </w:tc>
        <w:tc>
          <w:tcPr>
            <w:tcW w:w="36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30,000,000</w:t>
            </w:r>
          </w:p>
        </w:tc>
        <w:tc>
          <w:tcPr>
            <w:tcW w:w="36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3,966,720,000</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 due 2058</w:t>
            </w:r>
            <w:r>
              <w:rPr>
                <w:rFonts w:ascii="Arial" w:cs="Arial" w:eastAsia="Arial" w:hAnsi="Arial"/>
                <w:sz w:val="12"/>
                <w:szCs w:val="12"/>
                <w:color w:val="auto"/>
              </w:rPr>
              <w:t>(1)</w:t>
            </w:r>
          </w:p>
        </w:tc>
        <w:tc>
          <w:tcPr>
            <w:tcW w:w="2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99.912%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0.800%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99.112%</w:t>
            </w:r>
          </w:p>
        </w:tc>
      </w:tr>
      <w:tr>
        <w:trPr>
          <w:trHeight w:val="182"/>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4"/>
                <w:szCs w:val="14"/>
                <w:color w:val="auto"/>
              </w:rPr>
              <w:t>Total</w:t>
            </w:r>
          </w:p>
        </w:tc>
        <w:tc>
          <w:tcPr>
            <w:tcW w:w="2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w w:val="91"/>
              </w:rPr>
              <w:t>2,497,800,000</w:t>
            </w:r>
          </w:p>
        </w:tc>
        <w:tc>
          <w:tcPr>
            <w:tcW w:w="360" w:type="dxa"/>
            <w:vAlign w:val="bottom"/>
          </w:tcPr>
          <w:p>
            <w:pPr>
              <w:spacing w:after="0"/>
              <w:rPr>
                <w:sz w:val="15"/>
                <w:szCs w:val="15"/>
                <w:color w:val="auto"/>
              </w:rPr>
            </w:pP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20,000,000</w:t>
            </w:r>
          </w:p>
        </w:tc>
        <w:tc>
          <w:tcPr>
            <w:tcW w:w="360" w:type="dxa"/>
            <w:vAlign w:val="bottom"/>
          </w:tcPr>
          <w:p>
            <w:pPr>
              <w:spacing w:after="0"/>
              <w:rPr>
                <w:sz w:val="15"/>
                <w:szCs w:val="15"/>
                <w:color w:val="auto"/>
              </w:rPr>
            </w:pPr>
          </w:p>
        </w:tc>
        <w:tc>
          <w:tcPr>
            <w:tcW w:w="5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2,477,800,000</w:t>
            </w: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ind w:left="520" w:hanging="316"/>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if any, from October 5, 2018, if settlement occurs after that date.</w:t>
      </w:r>
    </w:p>
    <w:p>
      <w:pPr>
        <w:spacing w:after="0" w:line="38" w:lineRule="exact"/>
        <w:rPr>
          <w:sz w:val="20"/>
          <w:szCs w:val="20"/>
          <w:color w:val="auto"/>
        </w:rPr>
      </w:pPr>
    </w:p>
    <w:p>
      <w:pPr>
        <w:ind w:left="200" w:right="540" w:firstLine="331"/>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 w:lineRule="exact"/>
        <w:rPr>
          <w:sz w:val="20"/>
          <w:szCs w:val="20"/>
          <w:color w:val="auto"/>
        </w:rPr>
      </w:pPr>
    </w:p>
    <w:p>
      <w:pPr>
        <w:ind w:left="200" w:right="660" w:firstLine="331"/>
        <w:spacing w:after="0" w:line="291" w:lineRule="auto"/>
        <w:rPr>
          <w:sz w:val="20"/>
          <w:szCs w:val="20"/>
          <w:color w:val="auto"/>
        </w:rPr>
      </w:pPr>
      <w:r>
        <w:rPr>
          <w:rFonts w:ascii="Arial" w:cs="Arial" w:eastAsia="Arial" w:hAnsi="Arial"/>
          <w:sz w:val="13"/>
          <w:szCs w:val="13"/>
          <w:color w:val="auto"/>
        </w:rPr>
        <w:t>The notes will be ready for delivery only through The Depository Trust Company and its participants, including Euroclear SA/NV (“Euroclear”) and Clearstream Banking SA (“Clearstream”), in book-entry form on or about October 5, 2018, which is the third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Joint Book-Running Managers</w:t>
            </w: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360" w:type="dxa"/>
            <w:vAlign w:val="bottom"/>
          </w:tcPr>
          <w:p>
            <w:pPr>
              <w:spacing w:after="0"/>
              <w:rPr>
                <w:sz w:val="20"/>
                <w:szCs w:val="20"/>
                <w:color w:val="auto"/>
              </w:rPr>
            </w:pPr>
            <w:r>
              <w:rPr>
                <w:rFonts w:ascii="Arial" w:cs="Arial" w:eastAsia="Arial" w:hAnsi="Arial"/>
                <w:sz w:val="20"/>
                <w:szCs w:val="20"/>
                <w:b w:val="1"/>
                <w:bCs w:val="1"/>
                <w:color w:val="auto"/>
              </w:rPr>
              <w:t>BofA Merrill Lynch</w:t>
            </w:r>
          </w:p>
        </w:tc>
        <w:tc>
          <w:tcPr>
            <w:tcW w:w="2300" w:type="dxa"/>
            <w:vAlign w:val="bottom"/>
          </w:tcPr>
          <w:p>
            <w:pPr>
              <w:spacing w:after="0"/>
              <w:rPr>
                <w:sz w:val="22"/>
                <w:szCs w:val="22"/>
                <w:color w:val="auto"/>
              </w:rPr>
            </w:pPr>
          </w:p>
        </w:tc>
        <w:tc>
          <w:tcPr>
            <w:tcW w:w="4360" w:type="dxa"/>
            <w:vAlign w:val="bottom"/>
          </w:tcPr>
          <w:p>
            <w:pPr>
              <w:jc w:val="right"/>
              <w:spacing w:after="0"/>
              <w:rPr>
                <w:sz w:val="20"/>
                <w:szCs w:val="20"/>
                <w:color w:val="auto"/>
              </w:rPr>
            </w:pPr>
            <w:r>
              <w:rPr>
                <w:rFonts w:ascii="Arial" w:cs="Arial" w:eastAsia="Arial" w:hAnsi="Arial"/>
                <w:sz w:val="20"/>
                <w:szCs w:val="20"/>
                <w:b w:val="1"/>
                <w:bCs w:val="1"/>
                <w:color w:val="auto"/>
              </w:rPr>
              <w:t>Wells Fargo Securities</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b w:val="1"/>
                <w:bCs w:val="1"/>
                <w:color w:val="auto"/>
              </w:rPr>
              <w:t>Credit Suisse</w:t>
            </w:r>
          </w:p>
        </w:tc>
        <w:tc>
          <w:tcPr>
            <w:tcW w:w="2300" w:type="dxa"/>
            <w:vAlign w:val="bottom"/>
          </w:tcPr>
          <w:p>
            <w:pPr>
              <w:spacing w:after="0"/>
              <w:rPr>
                <w:sz w:val="19"/>
                <w:szCs w:val="19"/>
                <w:color w:val="auto"/>
              </w:rPr>
            </w:pPr>
          </w:p>
        </w:tc>
        <w:tc>
          <w:tcPr>
            <w:tcW w:w="4360" w:type="dxa"/>
            <w:vAlign w:val="bottom"/>
          </w:tcPr>
          <w:p>
            <w:pPr>
              <w:jc w:val="right"/>
              <w:spacing w:after="0"/>
              <w:rPr>
                <w:sz w:val="20"/>
                <w:szCs w:val="20"/>
                <w:color w:val="auto"/>
              </w:rPr>
            </w:pPr>
            <w:r>
              <w:rPr>
                <w:rFonts w:ascii="Arial" w:cs="Arial" w:eastAsia="Arial" w:hAnsi="Arial"/>
                <w:sz w:val="20"/>
                <w:szCs w:val="20"/>
                <w:b w:val="1"/>
                <w:bCs w:val="1"/>
                <w:color w:val="auto"/>
              </w:rPr>
              <w:t>Mizuho Securities</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20"/>
                <w:szCs w:val="20"/>
                <w:b w:val="1"/>
                <w:bCs w:val="1"/>
                <w:color w:val="auto"/>
              </w:rPr>
              <w:t>MUFG</w:t>
            </w:r>
          </w:p>
        </w:tc>
        <w:tc>
          <w:tcPr>
            <w:tcW w:w="2300" w:type="dxa"/>
            <w:vAlign w:val="bottom"/>
          </w:tcPr>
          <w:p>
            <w:pPr>
              <w:spacing w:after="0"/>
              <w:rPr>
                <w:sz w:val="22"/>
                <w:szCs w:val="22"/>
                <w:color w:val="auto"/>
              </w:rPr>
            </w:pPr>
          </w:p>
        </w:tc>
        <w:tc>
          <w:tcPr>
            <w:tcW w:w="4360" w:type="dxa"/>
            <w:vAlign w:val="bottom"/>
          </w:tcPr>
          <w:p>
            <w:pPr>
              <w:jc w:val="right"/>
              <w:spacing w:after="0"/>
              <w:rPr>
                <w:sz w:val="20"/>
                <w:szCs w:val="20"/>
                <w:color w:val="auto"/>
              </w:rPr>
            </w:pPr>
            <w:r>
              <w:rPr>
                <w:rFonts w:ascii="Arial" w:cs="Arial" w:eastAsia="Arial" w:hAnsi="Arial"/>
                <w:sz w:val="20"/>
                <w:szCs w:val="20"/>
                <w:b w:val="1"/>
                <w:bCs w:val="1"/>
                <w:color w:val="auto"/>
              </w:rPr>
              <w:t>SMBC Nikko</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Co-Managers</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jc w:val="center"/>
              <w:ind w:right="405"/>
              <w:spacing w:after="0"/>
              <w:rPr>
                <w:sz w:val="20"/>
                <w:szCs w:val="20"/>
                <w:color w:val="auto"/>
              </w:rPr>
            </w:pPr>
            <w:r>
              <w:rPr>
                <w:rFonts w:ascii="Arial" w:cs="Arial" w:eastAsia="Arial" w:hAnsi="Arial"/>
                <w:sz w:val="18"/>
                <w:szCs w:val="18"/>
                <w:b w:val="1"/>
                <w:bCs w:val="1"/>
                <w:color w:val="auto"/>
                <w:w w:val="95"/>
              </w:rPr>
              <w:t>BNP PARIBAS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6"/>
              </w:rPr>
              <w:t>RBC Capital Markets</w:t>
            </w:r>
          </w:p>
        </w:tc>
        <w:tc>
          <w:tcPr>
            <w:tcW w:w="4360" w:type="dxa"/>
            <w:vAlign w:val="bottom"/>
          </w:tcPr>
          <w:p>
            <w:pPr>
              <w:jc w:val="center"/>
              <w:ind w:left="425"/>
              <w:spacing w:after="0"/>
              <w:rPr>
                <w:sz w:val="20"/>
                <w:szCs w:val="20"/>
                <w:color w:val="auto"/>
              </w:rPr>
            </w:pPr>
            <w:r>
              <w:rPr>
                <w:rFonts w:ascii="Arial" w:cs="Arial" w:eastAsia="Arial" w:hAnsi="Arial"/>
                <w:sz w:val="18"/>
                <w:szCs w:val="18"/>
                <w:b w:val="1"/>
                <w:bCs w:val="1"/>
                <w:color w:val="auto"/>
                <w:w w:val="90"/>
              </w:rPr>
              <w:t>TD Securities</w:t>
            </w:r>
          </w:p>
        </w:tc>
        <w:tc>
          <w:tcPr>
            <w:tcW w:w="0" w:type="dxa"/>
            <w:vAlign w:val="bottom"/>
          </w:tcPr>
          <w:p>
            <w:pPr>
              <w:spacing w:after="0"/>
              <w:rPr>
                <w:sz w:val="1"/>
                <w:szCs w:val="1"/>
                <w:color w:val="auto"/>
              </w:rPr>
            </w:pPr>
          </w:p>
        </w:tc>
      </w:tr>
      <w:tr>
        <w:trPr>
          <w:trHeight w:val="216"/>
        </w:trPr>
        <w:tc>
          <w:tcPr>
            <w:tcW w:w="4360" w:type="dxa"/>
            <w:vAlign w:val="bottom"/>
          </w:tcPr>
          <w:p>
            <w:pPr>
              <w:jc w:val="center"/>
              <w:ind w:right="405"/>
              <w:spacing w:after="0"/>
              <w:rPr>
                <w:sz w:val="20"/>
                <w:szCs w:val="20"/>
                <w:color w:val="auto"/>
              </w:rPr>
            </w:pPr>
            <w:r>
              <w:rPr>
                <w:rFonts w:ascii="Arial" w:cs="Arial" w:eastAsia="Arial" w:hAnsi="Arial"/>
                <w:sz w:val="18"/>
                <w:szCs w:val="18"/>
                <w:b w:val="1"/>
                <w:bCs w:val="1"/>
                <w:color w:val="auto"/>
              </w:rPr>
              <w:t>COMMERZBANK</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4"/>
              </w:rPr>
              <w:t>DNB Markets</w:t>
            </w:r>
          </w:p>
        </w:tc>
        <w:tc>
          <w:tcPr>
            <w:tcW w:w="4360" w:type="dxa"/>
            <w:vAlign w:val="bottom"/>
          </w:tcPr>
          <w:p>
            <w:pPr>
              <w:jc w:val="center"/>
              <w:ind w:left="425"/>
              <w:spacing w:after="0"/>
              <w:rPr>
                <w:sz w:val="20"/>
                <w:szCs w:val="20"/>
                <w:color w:val="auto"/>
              </w:rPr>
            </w:pPr>
            <w:r>
              <w:rPr>
                <w:rFonts w:ascii="Arial" w:cs="Arial" w:eastAsia="Arial" w:hAnsi="Arial"/>
                <w:sz w:val="18"/>
                <w:szCs w:val="18"/>
                <w:b w:val="1"/>
                <w:bCs w:val="1"/>
                <w:color w:val="auto"/>
                <w:w w:val="96"/>
              </w:rPr>
              <w:t>PNC Capital Markets LLC</w:t>
            </w:r>
          </w:p>
        </w:tc>
        <w:tc>
          <w:tcPr>
            <w:tcW w:w="0" w:type="dxa"/>
            <w:vAlign w:val="bottom"/>
          </w:tcPr>
          <w:p>
            <w:pPr>
              <w:spacing w:after="0"/>
              <w:rPr>
                <w:sz w:val="1"/>
                <w:szCs w:val="1"/>
                <w:color w:val="auto"/>
              </w:rPr>
            </w:pPr>
          </w:p>
        </w:tc>
      </w:tr>
      <w:tr>
        <w:trPr>
          <w:trHeight w:val="234"/>
        </w:trPr>
        <w:tc>
          <w:tcPr>
            <w:tcW w:w="4360" w:type="dxa"/>
            <w:vAlign w:val="bottom"/>
          </w:tcPr>
          <w:p>
            <w:pPr>
              <w:jc w:val="center"/>
              <w:ind w:right="405"/>
              <w:spacing w:after="0"/>
              <w:rPr>
                <w:sz w:val="20"/>
                <w:szCs w:val="20"/>
                <w:color w:val="auto"/>
              </w:rPr>
            </w:pPr>
            <w:r>
              <w:rPr>
                <w:rFonts w:ascii="Arial" w:cs="Arial" w:eastAsia="Arial" w:hAnsi="Arial"/>
                <w:sz w:val="18"/>
                <w:szCs w:val="18"/>
                <w:b w:val="1"/>
                <w:bCs w:val="1"/>
                <w:color w:val="auto"/>
              </w:rPr>
              <w:t>SOCIETE GENERALE</w:t>
            </w: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Santander</w:t>
            </w:r>
          </w:p>
        </w:tc>
        <w:tc>
          <w:tcPr>
            <w:tcW w:w="4360" w:type="dxa"/>
            <w:vAlign w:val="bottom"/>
          </w:tcPr>
          <w:p>
            <w:pPr>
              <w:jc w:val="center"/>
              <w:ind w:left="425"/>
              <w:spacing w:after="0"/>
              <w:rPr>
                <w:sz w:val="20"/>
                <w:szCs w:val="20"/>
                <w:color w:val="auto"/>
              </w:rPr>
            </w:pPr>
            <w:r>
              <w:rPr>
                <w:rFonts w:ascii="Arial" w:cs="Arial" w:eastAsia="Arial" w:hAnsi="Arial"/>
                <w:sz w:val="18"/>
                <w:szCs w:val="18"/>
                <w:b w:val="1"/>
                <w:bCs w:val="1"/>
                <w:color w:val="auto"/>
                <w:w w:val="89"/>
              </w:rPr>
              <w:t>US Bancorp</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240" w:top="459" w:right="419" w:bottom="1109" w:gutter="0" w:footer="0" w:header="0"/>
        </w:sectPr>
      </w:pPr>
    </w:p>
    <w:p>
      <w:pPr>
        <w:jc w:val="center"/>
        <w:ind w:right="-179"/>
        <w:spacing w:after="0"/>
        <w:rPr>
          <w:sz w:val="20"/>
          <w:szCs w:val="20"/>
          <w:color w:val="auto"/>
        </w:rPr>
      </w:pPr>
      <w:r>
        <w:rPr>
          <w:rFonts w:ascii="Arial" w:cs="Arial" w:eastAsia="Arial" w:hAnsi="Arial"/>
          <w:sz w:val="12"/>
          <w:szCs w:val="12"/>
          <w:b w:val="1"/>
          <w:bCs w:val="1"/>
          <w:color w:val="auto"/>
        </w:rPr>
        <w:t>The date of this prospectus supplement is October 2, 2018.</w:t>
      </w:r>
    </w:p>
    <w:p>
      <w:pPr>
        <w:sectPr>
          <w:pgSz w:w="11900" w:h="16838" w:orient="portrait"/>
          <w:cols w:equalWidth="0" w:num="1">
            <w:col w:w="11240"/>
          </w:cols>
          <w:pgMar w:left="240" w:top="459" w:right="419" w:bottom="1109"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gridSpan w:val="13"/>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7700" w:type="dxa"/>
            <w:vAlign w:val="bottom"/>
            <w:gridSpan w:val="6"/>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000EE"/>
            </w:tcBorders>
            <w:gridSpan w:val="13"/>
            <w:vMerge w:val="continue"/>
          </w:tcPr>
          <w:p>
            <w:pPr>
              <w:spacing w:after="0"/>
              <w:rPr>
                <w:sz w:val="14"/>
                <w:szCs w:val="14"/>
                <w:color w:val="auto"/>
              </w:rPr>
            </w:pPr>
          </w:p>
        </w:tc>
        <w:tc>
          <w:tcPr>
            <w:tcW w:w="7700" w:type="dxa"/>
            <w:vAlign w:val="bottom"/>
            <w:gridSpan w:val="6"/>
            <w:vMerge w:val="continue"/>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1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Ratios of Earnings to Fixed Charges and of Earnings to Combined Fixed Charges and Preferred Dividends</w:t>
              </w:r>
            </w:hyperlink>
          </w:p>
        </w:tc>
        <w:tc>
          <w:tcPr>
            <w:tcW w:w="28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Notes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Material U.S. Federal Income Tax Consequences for Non-U.S. Holders</w:t>
              </w:r>
            </w:hyperlink>
          </w:p>
        </w:tc>
        <w:tc>
          <w:tcPr>
            <w:tcW w:w="54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Underwriting</w:t>
              </w:r>
            </w:hyperlink>
          </w:p>
        </w:tc>
        <w:tc>
          <w:tcPr>
            <w:tcW w:w="96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95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480"/>
        </w:trPr>
        <w:tc>
          <w:tcPr>
            <w:tcW w:w="5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4"/>
          </w:tcPr>
          <w:p>
            <w:pPr>
              <w:ind w:left="114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The Companies</w:t>
              </w:r>
            </w:hyperlink>
          </w:p>
        </w:tc>
        <w:tc>
          <w:tcPr>
            <w:tcW w:w="944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Caution Concerning Forward-Looking Statements</w:t>
              </w:r>
            </w:hyperlink>
          </w:p>
        </w:tc>
        <w:tc>
          <w:tcPr>
            <w:tcW w:w="6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Dividend Policy</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Ratios of Earnings to Fixed Charges and of Earnings to Combined Fixed Charges and Preferred Dividends</w:t>
              </w:r>
            </w:hyperlink>
          </w:p>
        </w:tc>
        <w:tc>
          <w:tcPr>
            <w:tcW w:w="2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 and Guarantees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Global Securities</w:t>
              </w:r>
            </w:hyperlink>
          </w:p>
        </w:tc>
        <w:tc>
          <w:tcPr>
            <w:tcW w:w="72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Description of Capital Stock</w:t>
              </w:r>
            </w:hyperlink>
          </w:p>
        </w:tc>
        <w:tc>
          <w:tcPr>
            <w:tcW w:w="85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Plan of Distribution</w:t>
              </w:r>
            </w:hyperlink>
          </w:p>
        </w:tc>
        <w:tc>
          <w:tcPr>
            <w:tcW w:w="91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95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Available Information</w:t>
              </w:r>
            </w:hyperlink>
          </w:p>
        </w:tc>
        <w:tc>
          <w:tcPr>
            <w:tcW w:w="89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Incorporation of Certain Documents by Reference</w:t>
              </w:r>
            </w:hyperlink>
          </w:p>
        </w:tc>
        <w:tc>
          <w:tcPr>
            <w:tcW w:w="6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 xml:space="preserve">This prospectus supplement incorporates by reference the documents of Comcast and NBCUniversal Media, LLC (“NBCUniversal”) set forth below that we or NBCUniversal have previously filed with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herein shall be deemed to incorporate information furnished to, but not filed with, the SEC:</w:t>
      </w:r>
    </w:p>
    <w:p>
      <w:pPr>
        <w:spacing w:after="0" w:line="87"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2017, filed on January 31, 2018.</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Comcast’s and NBCUniversal’s combined Quarterly Report on Form 10-Q for the quarter ended March 31, 2018, filed on April 25, 2018.</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Comcast’s and NBCUniversal’s combined Quarterly Report on Form 10-Q for the quarter ended June 30, 2018, filed on July 26, 2018.</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8, 2018, February 12, 2018, February 27, 2018, April 25, 2018, April 30, 2018, June 13, 2018, June 14, 2018, July 12, 2018, August 22, 2018, September 24, 2018 and October 1, 2018.</w:t>
      </w:r>
    </w:p>
    <w:p>
      <w:pPr>
        <w:spacing w:after="0" w:line="75" w:lineRule="exact"/>
        <w:rPr>
          <w:rFonts w:ascii="Arial" w:cs="Arial" w:eastAsia="Arial" w:hAnsi="Arial"/>
          <w:sz w:val="18"/>
          <w:szCs w:val="18"/>
          <w:color w:val="auto"/>
        </w:rPr>
      </w:pPr>
    </w:p>
    <w:p>
      <w:pPr>
        <w:ind w:left="1060" w:right="48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sections of Comcast’s Definitive Proxy Statement on Schedule 14A for the 2018 annual meeting of shareholders incorporated by reference in Comcast’s Annual Report on Form 10-K for the year ended December 31, 2017, filed on April 30, 2018.</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718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five reportable business segments:</w:t>
      </w:r>
    </w:p>
    <w:p>
      <w:pPr>
        <w:spacing w:after="0" w:line="72" w:lineRule="exact"/>
        <w:rPr>
          <w:sz w:val="20"/>
          <w:szCs w:val="20"/>
          <w:color w:val="auto"/>
        </w:rPr>
      </w:pPr>
    </w:p>
    <w:p>
      <w:pPr>
        <w:jc w:val="both"/>
        <w:ind w:left="1220" w:right="240" w:hanging="307"/>
        <w:spacing w:after="0" w:line="266"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 voice, and security and automation services (“cable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1220" w:right="100" w:hanging="307"/>
        <w:spacing w:after="0" w:line="266"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81" w:lineRule="exact"/>
        <w:rPr>
          <w:rFonts w:ascii="Arial" w:cs="Arial" w:eastAsia="Arial" w:hAnsi="Arial"/>
          <w:sz w:val="18"/>
          <w:szCs w:val="18"/>
          <w:color w:val="auto"/>
        </w:rPr>
      </w:pPr>
    </w:p>
    <w:p>
      <w:pPr>
        <w:ind w:left="1220" w:right="400" w:hanging="307"/>
        <w:spacing w:after="0" w:line="266"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81" w:lineRule="exact"/>
        <w:rPr>
          <w:rFonts w:ascii="Arial" w:cs="Arial" w:eastAsia="Arial" w:hAnsi="Arial"/>
          <w:sz w:val="18"/>
          <w:szCs w:val="18"/>
          <w:color w:val="auto"/>
        </w:rPr>
      </w:pPr>
    </w:p>
    <w:p>
      <w:pPr>
        <w:ind w:left="1220" w:right="180" w:hanging="307"/>
        <w:spacing w:after="0" w:line="266"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81" w:lineRule="exact"/>
        <w:rPr>
          <w:rFonts w:ascii="Arial" w:cs="Arial" w:eastAsia="Arial" w:hAnsi="Arial"/>
          <w:sz w:val="18"/>
          <w:szCs w:val="18"/>
          <w:color w:val="auto"/>
        </w:rPr>
      </w:pPr>
    </w:p>
    <w:p>
      <w:pPr>
        <w:ind w:left="1220" w:right="140" w:hanging="307"/>
        <w:spacing w:after="0" w:line="266"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along with a consortium of Chinese state-owned companies, we are developing a Universal theme park and resort in Beijing, China.</w:t>
      </w:r>
    </w:p>
    <w:p>
      <w:pPr>
        <w:spacing w:after="0" w:line="180"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Our other business interests consist primarily of our wireless phone service and Comcast Spectacor, which owns the Philadelphia Flyers and the Wells Fargo Center arena in Philadelphia, Pennsylvania.</w:t>
      </w:r>
    </w:p>
    <w:p>
      <w:pPr>
        <w:spacing w:after="0" w:line="170"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66"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220" w:right="160" w:hanging="307"/>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NBCUniversal’s principal executive offices are located at 30 Rockefeller Plaza, New York, New York 10112-0015.</w:t>
      </w: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Sky Acquisition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On September 24, 2018, following conclusion of an auction procedure conducted by the UK Panel on Takeovers and Mergers, we announced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recommended superior cash offer for the entire issued and to be issued share capital of Sky (the “Sky Offer”) through our indirect wholly-</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owned subsidiary, Comcast Bidco Limited (“Comcast Bidco”). Under the terms of the Sky Offer, Sky shareholders will be entitled to receive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£17.28 in cash for each Sky Share, which implies a value of approximately £30.6 billion for the fully diluted share capital of Sky, or approximately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$40.0 billion using the exchange rate as of September 24, 2018. On September 25, 2018, we announced, through Comcast Bidco, the terms of a</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recommended mandatory superior cash offer and, on September 27, 2018, published and posted a mandatory offer document (the “Sky Mandatory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Offer Document”) to Sky shareholders containing, among other things, the terms and conditions of the Sky Offer.</w:t>
      </w:r>
    </w:p>
    <w:p>
      <w:pPr>
        <w:spacing w:after="0" w:line="211"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Pursuant to the Sky Mandatory Offer Document (and as further described therein), the Sky Offer is conditional only on valid acceptances of the Sky Offer (“Accepted Sky Shares”) being received (and not, where permitted, withdrawn) by Comcast Bidco by no later than 1:00 p.m. (London time) on October 11, 2018 which, together with Sky Shares acquired or agreed to be acquired before or during the offer period, will result in Comcast Bidco and any person acting in concert with it holding Sky Shares carrying, in aggregate, more than 50% of the voting rights then normally exercisable at a general meeting of Sky. As at the close of business in London on September 21, 2018, we had received valid acceptances of the Sky Offer in respect of Sky Shares representing approximately 0.22% of the issued ordinary share capital of Sky (based on the number of Sky Shares in issue on September 21, 2018).</w:t>
      </w:r>
    </w:p>
    <w:p>
      <w:pPr>
        <w:spacing w:after="0" w:line="178"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As of the close of business on September 26, 2018, Comcast Bidco had acquired in the market an aggregate interest in Sky Shares, at £17.28 per Sky Share, representing approximately 37.72% of the Sky Shares in issue at the time. We refer to Sky Shares Comcast Bidco acquires (or acquires an interest in) directly from Sky shareholders in the market as “Market Purchases.”</w:t>
      </w:r>
    </w:p>
    <w:p>
      <w:pPr>
        <w:spacing w:after="0" w:line="18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Also on September 26, 2018, 21st Century Fox announced that it intends to lapse its offer, at £15.67 per Sky Share, for Sky and that it intends to either accept the Sky Offer or sell the Sky Shares held by 21st Century Fox or its affiliates (representing approximately 39.12% of the ordinary share capital of Sky) to Comcast Bidco (the “Fox Shares”). Whether Comcast Bidco were to purchase the Fox Shares by way of a Market Purchase or such Fox Shares are tendered into the Sky Offer, when taken together with the Market Purchases through September 26, 2018, we expect in due course through Comcast Bidco to hold or have received acceptances in respect of over 75% in aggregate of the Sky Shares in issue at the time. In accordance with the rules of the auction procedure, Comcast Bidco and 21st Century Fox are prohibited from further revising the price of their respective offers for Sky unless a third party announces a firm intention to make an offer for Sky.</w:t>
      </w:r>
    </w:p>
    <w:p>
      <w:pPr>
        <w:spacing w:after="0" w:line="178" w:lineRule="exact"/>
        <w:rPr>
          <w:sz w:val="20"/>
          <w:szCs w:val="20"/>
          <w:color w:val="auto"/>
        </w:rPr>
      </w:pPr>
    </w:p>
    <w:p>
      <w:pPr>
        <w:ind w:left="380" w:right="120" w:firstLine="426"/>
        <w:spacing w:after="0" w:line="302" w:lineRule="auto"/>
        <w:rPr>
          <w:sz w:val="20"/>
          <w:szCs w:val="20"/>
          <w:color w:val="auto"/>
        </w:rPr>
      </w:pPr>
      <w:r>
        <w:rPr>
          <w:rFonts w:ascii="Arial" w:cs="Arial" w:eastAsia="Arial" w:hAnsi="Arial"/>
          <w:sz w:val="16"/>
          <w:szCs w:val="16"/>
          <w:color w:val="auto"/>
        </w:rPr>
        <w:t>Upon either the acceptance of the Sky Offer by 21st Century Fox in respect of the Fox Shares or the purchase and settlement of the Fox Shares (or otherwise the receipt of sufficient other acceptances of the Sky Offer) and settlement of the Market Purchases we have conducted through September 26, 2018 referred to above, the Sky Offer will become unconditional in all respects (the “First Acceptance Close Date”). Upon the Sky Offer becoming unconditional in all respects, we will settle Accepted Sky Shares within fourteen (14) days (or, to the</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extent practicable, within seven (7) to ten (10) days) of the First Acceptance Close Date (the “First Sky Settlement Date”). We will settle any additional Accepted Sky Shares on a rolling basis within fourteen (14) days (or, to the extent practicable, within seven (7) to ten (10) days) of their valid acceptance.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Sky Acquisition Financing</w:t>
      </w:r>
    </w:p>
    <w:p>
      <w:pPr>
        <w:spacing w:after="0" w:line="121"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We intend to use the net proceeds of this offering, together with the net proceeds from loans under our Term Loan Facilities, to finance our purchase of Sky Shares from Sky shareholders who validly accept the Sky Offer, to settle a portion of our Market Purchases and to pay related fees and expenses. We have also made Market Purchases with cash on hand and the net proceeds from (i) the issuance of commercial paper, (ii) loans under our Term Loan Facilities and (iii) revolving loans drawn under our Revolving Credit Facility.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is not conditioned on the occurrence of the First Sky Settlement Date. See “Use of Proceeds.”</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ind w:left="380" w:right="40" w:firstLine="426"/>
        <w:spacing w:after="0" w:line="285" w:lineRule="auto"/>
        <w:rPr>
          <w:sz w:val="20"/>
          <w:szCs w:val="20"/>
          <w:color w:val="auto"/>
        </w:rPr>
      </w:pPr>
      <w:r>
        <w:rPr>
          <w:rFonts w:ascii="Arial" w:cs="Arial" w:eastAsia="Arial" w:hAnsi="Arial"/>
          <w:sz w:val="16"/>
          <w:szCs w:val="16"/>
          <w:color w:val="auto"/>
        </w:rPr>
        <w:t>On April 25, 2018, in connection with our proposed acquisition of Sky, we entered into (i) a term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amended as described below, the “April Term Loan Credit Agreement”), and (ii) a 364-day bridge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amended as described below, the “Bridge Loan Credit Agreement”). On August 22, 2018, we entered into a term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described below, the “August Term Loan Credit Agreement”, together with the April Term Loan Credit Agreement and the Bridge Loan Credit Agreement, each as amended, the “Credit Agreements”). On August 22, 2018, we entered into the first amendment to the Bridge Loan Credit Agreement, which, among other things, reduced the amount available for borrowing under the Bridge Loan Credit Agreement from £16 billion to £12.9 billion. On September 23, 2018, we entered into the first amendment to the April Term Loan Credit Agreement, which, among other things, provides that the proceeds under the April Term Loan Credit Agreement may be used to finance the acquisition of shares of Sky by or on behalf of a direct or indirect subsidiary of us, whether prior to or in the absence of the consummation of the acquisition of a majority of the share capital of Sky, and increased the maximum number of draws under the April Term Loan Credit Agreement from three to ten.</w:t>
      </w:r>
    </w:p>
    <w:p>
      <w:pPr>
        <w:spacing w:after="0" w:line="17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The April Term Loan Credit Agreement provides for a £7 billion unsecured term loan credit facility (the “April Term Loan Facility”). The April Term Loan Facility is comprised of (i) a 3-year tranche in the aggregate principal amount of £3 billion, which will mature on the date that is 3 years after the date of the initial borrowing of the 3-year tranche of the April Term Loan Facility and (ii) a 5-year tranche in the aggregate principal amount of £4 billion, which will mature on the date that is 5 years after the date of the initial borrowing of the 5-year tranche of the April Term Loan Facility. Loans under the April Term Loan Credit Agreement may be borrowed in pounds sterling or U.S. dollars at our option. The August Term Loan Credit Agreement provides for a $6 billion unsecured term loan credit facility (the “August Term Loan Facility” and, together with the April Term Loan Facilities, the “Term Loan Facilities”). The August Term Loan Facility will mature on the date that is 4 years after the date of the initial borrowing under the August Term Loan Facility. The Bridge Loan Credit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57" w:lineRule="auto"/>
        <w:rPr>
          <w:sz w:val="20"/>
          <w:szCs w:val="20"/>
          <w:color w:val="auto"/>
        </w:rPr>
      </w:pPr>
      <w:r>
        <w:rPr>
          <w:rFonts w:ascii="Arial" w:cs="Arial" w:eastAsia="Arial" w:hAnsi="Arial"/>
          <w:sz w:val="18"/>
          <w:szCs w:val="18"/>
          <w:color w:val="auto"/>
        </w:rPr>
        <w:t>Agreement provides for a £12.9 billion unsecured bridge loan credit facility (the “Bridge Loan Facility”) for 364 days after the initial borrowing under the Bridge Loan Facility. The commitments under the Bridge Loan Credit Agreement will be reduced by an amount equal to the aggregate gross proceeds of this offering. The commitments under the Credit Agreements will remain in effect until the date on which certain termination events customary for U.K. public acquisition financings occur. The Term Loan Facilities and the Bridge Loan Facility are each guaranteed by Comcast Cable Communications and NBCUniversal.</w:t>
      </w:r>
    </w:p>
    <w:p>
      <w:pPr>
        <w:spacing w:after="0" w:line="188" w:lineRule="exact"/>
        <w:rPr>
          <w:sz w:val="20"/>
          <w:szCs w:val="20"/>
          <w:color w:val="auto"/>
        </w:rPr>
      </w:pPr>
    </w:p>
    <w:p>
      <w:pPr>
        <w:ind w:left="380" w:right="280" w:firstLine="426"/>
        <w:spacing w:after="0" w:line="279" w:lineRule="auto"/>
        <w:rPr>
          <w:sz w:val="20"/>
          <w:szCs w:val="20"/>
          <w:color w:val="auto"/>
        </w:rPr>
      </w:pPr>
      <w:r>
        <w:rPr>
          <w:rFonts w:ascii="Arial" w:cs="Arial" w:eastAsia="Arial" w:hAnsi="Arial"/>
          <w:sz w:val="17"/>
          <w:szCs w:val="17"/>
          <w:color w:val="auto"/>
        </w:rPr>
        <w:t>Subject to receipt of commitments from new or existing lenders and subject to other customary conditions, we may (a) increase the commitments under the August Term Loan Facility, so long as there is no event of default continuing under the August Term Loan Credit Agreement after giving effect to such increase and (b) increase the commitments under the Bridge Loan Facility, so long as there is no event of default continuing under the Bridge Loan Credit Agreement after giving effect to such increase.</w:t>
      </w:r>
    </w:p>
    <w:p>
      <w:pPr>
        <w:spacing w:after="0" w:line="171"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On April 27, 2018, in connection with our proposed acquisition of Sky, we entered into an amendment to our existing revolving credit agreement, dated as of May 26, 2016, among us, the financial institutions party thereto and JPMorgan Chase Bank, N.A., as administrative agent (the “Revolving Credit Facility”). The amendment provides for, among other things, changes to the conditions to borrowings in a manner customary for U.K. public acquisition financings, in addition to changes to certain financial covenant calculations in connection with acquisitions. On September 21, 2018, Comcast and certain financial institutions, as lenders, entered into (i) an increased commitment activation notice and (ii) a new lender supplement, in order to increase the total commitments under the Revolving Credit Facility. The total commitments under the Revolving Credit Facility after giving effect to the increased revolving commitment activation notice and the new lender supplement are $7.611 billion.</w:t>
      </w:r>
    </w:p>
    <w:p>
      <w:pPr>
        <w:spacing w:after="0" w:line="192"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For more information on the Credit Agreements and our Revolving Credit Facility, see our Current Reports on Form 8-K filed with the SEC on April 25, 2018, April 30, 2018, August 22, 2018 and September 24, 2018, which are incorporated herein by reference.</w:t>
      </w: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24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286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Comcast Corporation.</w:t>
            </w:r>
          </w:p>
        </w:tc>
      </w:tr>
      <w:tr>
        <w:trPr>
          <w:trHeight w:val="473"/>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$1,250,000,000 aggregate principal amount of Floating Rate Notes due 2020.</w:t>
            </w:r>
          </w:p>
        </w:tc>
      </w:tr>
      <w:tr>
        <w:trPr>
          <w:trHeight w:val="473"/>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$1,000,000,000 aggregate principal amount of Floating Rate Notes due 2021.</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$500,000,000 aggregate principal amount of Floating Rate Notes due 2024.</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$1,750,000,000 aggregate principal amount of 3.300% Notes due 2020.</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$2,000,000,000 aggregate principal amount of 3.450% Notes due 2021.</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$2,500,000,000 aggregate principal amount of 3.700% Notes due 2024.</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$3,000,000,000 aggregate principal amount of 3.950% Notes due 2025.</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$4,000,000,000 aggregate principal amount of 4.150% Notes due 2028.</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$1,500,000,000 aggregate principal amount of 4.250% Notes due 2030.</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$3,000,000,000 aggregate principal amount of 4.600% Notes due 2038.</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$4,000,000,000 aggregate principal amount of 4.700% Notes due 2048.</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$2,500,000,000 aggregate principal amount of 4.950% Notes due 2058.</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Floating Rate Notes due 2020 will mature on October 1, 2020.</w:t>
            </w:r>
          </w:p>
        </w:tc>
      </w:tr>
      <w:tr>
        <w:trPr>
          <w:trHeight w:val="473"/>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Floating Rate Notes due 2021 will mature on October 1, 2021.</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Floating Rate Notes due 2024 will mature on April 15, 2024.</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Notes due 2020 will mature on October 1, 2020.</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Notes due 2021 will mature on October 1, 2021.</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Notes due 2024 will mature on April 15, 2024.</w:t>
            </w:r>
          </w:p>
        </w:tc>
      </w:tr>
      <w:tr>
        <w:trPr>
          <w:trHeight w:val="459"/>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Notes due 2025 will mature on October 15, 2025.</w:t>
            </w:r>
          </w:p>
        </w:tc>
      </w:tr>
      <w:tr>
        <w:trPr>
          <w:trHeight w:val="240"/>
        </w:trPr>
        <w:tc>
          <w:tcPr>
            <w:tcW w:w="2860" w:type="dxa"/>
            <w:vAlign w:val="bottom"/>
            <w:tcBorders>
              <w:left w:val="single" w:sz="8" w:color="auto"/>
              <w:bottom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spacing w:after="0"/>
              <w:rPr>
                <w:sz w:val="20"/>
                <w:szCs w:val="20"/>
                <w:color w:val="auto"/>
              </w:rPr>
            </w:pPr>
          </w:p>
        </w:tc>
      </w:tr>
      <w:tr>
        <w:trPr>
          <w:trHeight w:val="604"/>
        </w:trPr>
        <w:tc>
          <w:tcPr>
            <w:tcW w:w="286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2480" w:type="dxa"/>
            <w:vAlign w:val="bottom"/>
            <w:tcBorders>
              <w:top w:val="single" w:sz="8" w:color="auto"/>
              <w:left w:val="single" w:sz="8" w:color="auto"/>
            </w:tcBorders>
          </w:tcPr>
          <w:p>
            <w:pPr>
              <w:spacing w:after="0"/>
              <w:rPr>
                <w:sz w:val="24"/>
                <w:szCs w:val="24"/>
                <w:color w:val="auto"/>
              </w:rPr>
            </w:pPr>
          </w:p>
        </w:tc>
        <w:tc>
          <w:tcPr>
            <w:tcW w:w="856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color w:val="auto"/>
              </w:rPr>
              <w:t>The Notes due 2028 will mature on October 15, 2028.</w:t>
            </w:r>
          </w:p>
        </w:tc>
      </w:tr>
      <w:tr>
        <w:trPr>
          <w:trHeight w:val="459"/>
        </w:trPr>
        <w:tc>
          <w:tcPr>
            <w:tcW w:w="2480" w:type="dxa"/>
            <w:vAlign w:val="bottom"/>
            <w:tcBorders>
              <w:left w:val="single" w:sz="8" w:color="auto"/>
            </w:tcBorders>
          </w:tcPr>
          <w:p>
            <w:pPr>
              <w:spacing w:after="0"/>
              <w:rPr>
                <w:sz w:val="24"/>
                <w:szCs w:val="24"/>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due 2030 will mature on October 15, 2030.</w:t>
            </w:r>
          </w:p>
        </w:tc>
      </w:tr>
      <w:tr>
        <w:trPr>
          <w:trHeight w:val="459"/>
        </w:trPr>
        <w:tc>
          <w:tcPr>
            <w:tcW w:w="2480" w:type="dxa"/>
            <w:vAlign w:val="bottom"/>
            <w:tcBorders>
              <w:left w:val="single" w:sz="8" w:color="auto"/>
            </w:tcBorders>
          </w:tcPr>
          <w:p>
            <w:pPr>
              <w:spacing w:after="0"/>
              <w:rPr>
                <w:sz w:val="24"/>
                <w:szCs w:val="24"/>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due 2038 will mature on October 15, 2038.</w:t>
            </w:r>
          </w:p>
        </w:tc>
      </w:tr>
      <w:tr>
        <w:trPr>
          <w:trHeight w:val="459"/>
        </w:trPr>
        <w:tc>
          <w:tcPr>
            <w:tcW w:w="2480" w:type="dxa"/>
            <w:vAlign w:val="bottom"/>
            <w:tcBorders>
              <w:left w:val="single" w:sz="8" w:color="auto"/>
            </w:tcBorders>
          </w:tcPr>
          <w:p>
            <w:pPr>
              <w:spacing w:after="0"/>
              <w:rPr>
                <w:sz w:val="24"/>
                <w:szCs w:val="24"/>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due 2048 will mature on October 15, 2048.</w:t>
            </w:r>
          </w:p>
        </w:tc>
      </w:tr>
      <w:tr>
        <w:trPr>
          <w:trHeight w:val="459"/>
        </w:trPr>
        <w:tc>
          <w:tcPr>
            <w:tcW w:w="2480" w:type="dxa"/>
            <w:vAlign w:val="bottom"/>
            <w:tcBorders>
              <w:left w:val="single" w:sz="8" w:color="auto"/>
            </w:tcBorders>
          </w:tcPr>
          <w:p>
            <w:pPr>
              <w:spacing w:after="0"/>
              <w:rPr>
                <w:sz w:val="24"/>
                <w:szCs w:val="24"/>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due 2058 will mature on October 15, 2058.</w:t>
            </w:r>
          </w:p>
        </w:tc>
      </w:tr>
      <w:tr>
        <w:trPr>
          <w:trHeight w:val="661"/>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Interest on the Floating Rate Notes due 2020 will accrue for each quarterly interest period</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at a rate equal to three-month LIBOR plus 0.330% per year, which three-month LIBOR</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rate will be set quarterly, payable quarterly in arrears on each January 1, April 1, July 1 and</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October 1, beginning on January 1, 2019. Interest on the Floating Rate Notes due 2021 will</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accrue for each quarterly interest period at a rate equal to three-month LIBOR plus 0.440%</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per year, which three-month LIBOR rate will be set quarterly, payable quarterly in arrears</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on each January 1, April 1, July 1 and October 1, beginning on January 1, 2019. Interest on</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the Floating Rate Notes due 2024 will accrue for each quarterly interest period at a rate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equal to three-month LIBOR plus 0.630% per year, which three-month LIBOR rate will be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set quarterly, payable quarterly in arrears on each January 15, April 15, July 15 and</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October 15, beginning on January 15, 2019. The interest rate for the floating rate notes for</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the first interest period from and including October 5, 2018 to, but excluding January 1,</w:t>
            </w:r>
          </w:p>
        </w:tc>
      </w:tr>
      <w:tr>
        <w:trPr>
          <w:trHeight w:val="230"/>
        </w:trPr>
        <w:tc>
          <w:tcPr>
            <w:tcW w:w="248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2019 or January 15, 2019 (as applicable), will be set on October 3, 2018.</w:t>
            </w:r>
          </w:p>
        </w:tc>
      </w:tr>
      <w:tr>
        <w:trPr>
          <w:trHeight w:val="445"/>
        </w:trPr>
        <w:tc>
          <w:tcPr>
            <w:tcW w:w="2480" w:type="dxa"/>
            <w:vAlign w:val="bottom"/>
            <w:tcBorders>
              <w:left w:val="single" w:sz="8" w:color="auto"/>
            </w:tcBorders>
          </w:tcPr>
          <w:p>
            <w:pPr>
              <w:spacing w:after="0"/>
              <w:rPr>
                <w:sz w:val="24"/>
                <w:szCs w:val="24"/>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Interest on the Notes due 2020 will accrue at the rate of 3.300% per year, payable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semiannually in cash in arrears on April 1 and October 1, beginning April 1, 2019. Interest</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on the Notes due 2021 will accrue at the rate of 3.450% per year, payable semiannually in</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cash in arrears on April 1 and October 1, beginning April 1, 2019. Interest on the Notes due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2024 will accrue at the rate of 3.700% per year, payable semiannually in cash in arrears on</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April 15 and October 15, beginning April 15, 2019. Interest on the Notes due 2025 will</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accrue at the rate of 3.950% per year, payable semiannually in cash in arrears on April 15</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and October 15, beginning April 15, 2019. Interest on the Notes due 2028 will accrue at the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rate of 4.150% per year, payable semiannually in cash in arrears on April 15 and</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October 15, beginning April 15, 2019. Interest on the Notes due 2030 will accrue at the rate</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of 4.250% per year, payable semiannually in cash in arrears on April 15 and October 15,</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beginning April 15, 2019. Interest on the Notes due 2038 will accrue at the rate of 4.600%</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per year, payable semiannually in cash in arrears on April 15 and October 15, beginning</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April 15, 2019. Interest on the Notes due 2048 will accrue at the rate of 4.700% per year,</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payable semiannually in cash in arrears on April 15 and October 15, beginning April 15,</w:t>
            </w:r>
          </w:p>
        </w:tc>
      </w:tr>
      <w:tr>
        <w:trPr>
          <w:trHeight w:val="216"/>
        </w:trPr>
        <w:tc>
          <w:tcPr>
            <w:tcW w:w="248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2019. Interest on the Notes due 2058 will accrue at the rate of 4.950% per year, payable</w:t>
            </w:r>
          </w:p>
        </w:tc>
      </w:tr>
      <w:tr>
        <w:trPr>
          <w:trHeight w:val="230"/>
        </w:trPr>
        <w:tc>
          <w:tcPr>
            <w:tcW w:w="248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semiannually in cash in arrears on April 15 and October 15, beginning April 15, 2019.</w:t>
            </w:r>
          </w:p>
        </w:tc>
      </w:tr>
      <w:tr>
        <w:trPr>
          <w:trHeight w:val="240"/>
        </w:trPr>
        <w:tc>
          <w:tcPr>
            <w:tcW w:w="2480" w:type="dxa"/>
            <w:vAlign w:val="bottom"/>
            <w:tcBorders>
              <w:left w:val="single" w:sz="8" w:color="auto"/>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r>
      <w:tr>
        <w:trPr>
          <w:trHeight w:val="604"/>
        </w:trPr>
        <w:tc>
          <w:tcPr>
            <w:tcW w:w="24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 Following consummation of the Sky</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acquisition, the notes will be structurally subordinated to all of Sky’s outstanding</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indebtedness. As of June 30, 2018, Sky had outstanding indebtedness of approximately</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£8.2 billion (or approximately $10.8 billion using the exchange rate as of such date).</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Comcast Cable Communications and NBCUniversal. The notes are not and will not be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guaranteed by Comcast Bidco or any of its subsidiaries.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 Following</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consummation of the Sky acquisition, the notes will be structurally subordinated to all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Sky’s outstanding indebtedness. As of June 30, 2018, Sky had outstanding indebtedness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approximately £8.2 billion (or approximately $10.8 billion using the exchange rate as of</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such date).</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floating rate notes are not redeemable at our option prior to maturity.</w:t>
            </w:r>
          </w:p>
        </w:tc>
      </w:tr>
      <w:tr>
        <w:trPr>
          <w:trHeight w:val="458"/>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We may, at our option, redeem any series of fixed rate notes, in whole or in part, at any</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time at the applicable Redemption Price determined as set forth under the heading</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“Description of the Notes—Optional Redemption—Fixed Rate Notes.”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We intend to use the net proceeds of this offering, together with the net proceeds from</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loans under our Term Loan Facilities, to finance our purchase of Sky Shares from Sky</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shareholders who validly accept the Sky Offer, to settle a portion of our Market Purchases</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and to pay related fees and expenses. We have also made Market Purchases with cash on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hand and the net proceeds from (i) the issuance of commercial paper, (ii) loans under our</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Term Loan Facilities and (iii) revolving loans drawn under our Revolving Credit Facility.</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We may use a portion of the net proceeds from this offering to repay commercial paper</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outstanding, to repay amounts drawn under our Revolving Credit Facility and/or to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replenish a portion of our cash, in each case, that was previously used for Market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Purchases. This offering of notes, which will close prior to the First Sky Settlement Date, 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 conditioned on the occurrence of the First Sky Settlement Date.</w:t>
            </w:r>
          </w:p>
        </w:tc>
      </w:tr>
      <w:tr>
        <w:trPr>
          <w:trHeight w:val="445"/>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As of October 1, 2018, we had $3.0 billion of borrowings outstanding under the Comcast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Corporation commercial paper program at a weighted average annual interest rate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approximately 2.46% and a weighted average remaining maturity of approximately</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18 days, and</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64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w w:val="96"/>
              </w:rPr>
              <w:t>we had $7.26 billion outstanding under our April Term Loan Credit Agreement (using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exchange rate as of October 1, 2018) at a weighted average interest rate of 1.66% and</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$1.5 billion outstanding under our Revolving Credit Facility at an interest rate of 5.25%.</w:t>
            </w:r>
          </w:p>
        </w:tc>
      </w:tr>
      <w:tr>
        <w:trPr>
          <w:trHeight w:val="458"/>
        </w:trPr>
        <w:tc>
          <w:tcPr>
            <w:tcW w:w="264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As at the close of business in London on September 21, 2018, we had received valid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acceptances of the Sky Offer in respect of Sky Shares representing approximately 0.22% of</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the issued ordinary share capital of Sky (based on the number of Sky Shares in issue 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1"/>
              </w:rPr>
              <w:t>September 21, 2018). Market Purchases through September 26, 2018 and the purchase and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settlement or acceptance of the Sky Offer in respect of the Fox Shares, will result in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Comcast Bidco holding or having received acceptances in respect of over 75% in aggregate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of Sky Shares in issue at the time.</w:t>
            </w:r>
          </w:p>
        </w:tc>
      </w:tr>
      <w:tr>
        <w:trPr>
          <w:trHeight w:val="459"/>
        </w:trPr>
        <w:tc>
          <w:tcPr>
            <w:tcW w:w="264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See “Use of Proceeds.”</w:t>
            </w:r>
          </w:p>
        </w:tc>
      </w:tr>
      <w:tr>
        <w:trPr>
          <w:trHeight w:val="445"/>
        </w:trPr>
        <w:tc>
          <w:tcPr>
            <w:tcW w:w="2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240"/>
        </w:trPr>
        <w:tc>
          <w:tcPr>
            <w:tcW w:w="2640" w:type="dxa"/>
            <w:vAlign w:val="bottom"/>
            <w:tcBorders>
              <w:left w:val="single" w:sz="8" w:color="auto"/>
              <w:bottom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r>
      <w:tr>
        <w:trPr>
          <w:trHeight w:val="604"/>
        </w:trPr>
        <w:tc>
          <w:tcPr>
            <w:tcW w:w="26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intend to use the net proceeds of this offering, together with the net proceeds from loans under our Term Loan Facilities, to finance our purchase of Sky Shares from Sky shareholders who validly accept the Sky Offer, to settle a portion of our Market Purchases and to pay related fees and expenses. We have also made Market Purchases with cash on hand and the net proceeds from (i) the issuance of commercial paper, (ii) loans under our Term Loan Facilities and (iii) revolving loans drawn under our Revolving Credit Facility.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is not conditioned on the occurrence of the First Sky Settlement Date.</w:t>
      </w:r>
    </w:p>
    <w:p>
      <w:pPr>
        <w:spacing w:after="0" w:line="17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As of October 1, 2018, we had $3.0 billion of borrowings outstanding under the Comcast Corporation commercial paper program at a weighted average annual interest rate of approximately 2.46% and a weighted average remaining maturity of approximately 18 days, and we had $7.26 billion outstanding under our April Term Loan Credit Agreement (using the exchange rate as of October 1, 2018) at a weighted average interest rate of 1.66% and $1.5 billion outstanding under our Revolving Credit Facility at an interest rate of 5.25%.</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As at the close of business in London on September 21, 2018, we had received valid acceptances of the Sky Offer in respect of Sky Shares representing approximately 0.22% of the issued ordinary share capital of Sky (based on the number of Sky Shares in issue on September 21, 2018). Market Purchases through September 26, 2018 and the purchase and settlement or acceptance of the Sky Offer in respect of the Fox Shares, will result in Comcast Bidco holding or having received acceptances in respect of over 75% in aggregate of Sky Shares in issue at the time.</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outlines the expected sources and uses of funds from this offering and from our Term Loan Facilities. Amounts in the table are in millions of dollars and are estimated, and actual amounts may vary from the estimated amounts.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Sources of Funds</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Uses of Funds</w:t>
            </w:r>
          </w:p>
        </w:tc>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offered hereby(1)</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 of Sky Shares(2), (3)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Term Loan Facilities</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12,129</w:t>
            </w:r>
          </w:p>
        </w:tc>
        <w:tc>
          <w:tcPr>
            <w:tcW w:w="3360" w:type="dxa"/>
            <w:vAlign w:val="bottom"/>
            <w:gridSpan w:val="2"/>
          </w:tcPr>
          <w:p>
            <w:pPr>
              <w:ind w:left="360"/>
              <w:spacing w:after="0"/>
              <w:rPr>
                <w:sz w:val="20"/>
                <w:szCs w:val="20"/>
                <w:color w:val="auto"/>
              </w:rPr>
            </w:pPr>
            <w:r>
              <w:rPr>
                <w:rFonts w:ascii="Arial" w:cs="Arial" w:eastAsia="Arial" w:hAnsi="Arial"/>
                <w:sz w:val="18"/>
                <w:szCs w:val="18"/>
                <w:color w:val="auto"/>
              </w:rPr>
              <w:t>Transactions fees and expenses(4)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260" w:type="dxa"/>
            <w:vAlign w:val="bottom"/>
            <w:gridSpan w:val="4"/>
          </w:tcPr>
          <w:p>
            <w:pPr>
              <w:spacing w:after="0"/>
              <w:rPr>
                <w:sz w:val="20"/>
                <w:szCs w:val="20"/>
                <w:color w:val="auto"/>
              </w:rPr>
            </w:pPr>
            <w:r>
              <w:rPr>
                <w:rFonts w:ascii="Arial" w:cs="Arial" w:eastAsia="Arial" w:hAnsi="Arial"/>
                <w:sz w:val="18"/>
                <w:szCs w:val="18"/>
                <w:color w:val="auto"/>
              </w:rPr>
              <w:t>Total Sources</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40,373</w:t>
            </w:r>
          </w:p>
        </w:tc>
        <w:tc>
          <w:tcPr>
            <w:tcW w:w="3360" w:type="dxa"/>
            <w:vAlign w:val="bottom"/>
            <w:gridSpan w:val="2"/>
          </w:tcPr>
          <w:p>
            <w:pPr>
              <w:ind w:left="360"/>
              <w:spacing w:after="0"/>
              <w:rPr>
                <w:sz w:val="20"/>
                <w:szCs w:val="20"/>
                <w:color w:val="auto"/>
              </w:rPr>
            </w:pPr>
            <w:r>
              <w:rPr>
                <w:rFonts w:ascii="Arial" w:cs="Arial" w:eastAsia="Arial" w:hAnsi="Arial"/>
                <w:sz w:val="18"/>
                <w:szCs w:val="18"/>
                <w:color w:val="auto"/>
              </w:rPr>
              <w:t>Total Uses</w:t>
            </w:r>
          </w:p>
        </w:tc>
        <w:tc>
          <w:tcPr>
            <w:tcW w:w="1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40,373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underwriting discounts and expenses.</w:t>
      </w:r>
    </w:p>
    <w:p>
      <w:pPr>
        <w:spacing w:after="0" w:line="23"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purchase of the entire issued and to be issued share capital of Sky. This amount also includes our expected use of a portion of the net proceeds of this offering and our Term Loan Facilities to repay commercial paper outstanding, to repay amounts drawn under our Revolving Credit Facility and/or to replenish a portion of our cash, in each case, previously used for Market Purchases. After the Sky Offer becomes unconditional, Sky shareholders holding Sky Shares that are not Accepted Sky Shares will have a further period of time to validly accept the Sky Offer. We will settle purchases of any such additional Accepted Sky Shares on a rolling basis within fourteen (14) days (or, to the extent practicable, within seven (7) to ten (10) days) of their valid acceptance.</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the Sky Shares are not validly accepted in the Sky Offer or otherwise purchased by us directly from Sky shareholders, a portion of the net proceeds from this offering may be held as cash and cash equivalents and available for working capital or general corporate purposes in lieu of purchases of Sky Shares.</w:t>
      </w:r>
    </w:p>
    <w:p>
      <w:pPr>
        <w:spacing w:after="0" w:line="1" w:lineRule="exact"/>
        <w:rPr>
          <w:rFonts w:ascii="Arial" w:cs="Arial" w:eastAsia="Arial" w:hAnsi="Arial"/>
          <w:sz w:val="18"/>
          <w:szCs w:val="18"/>
          <w:color w:val="auto"/>
        </w:rPr>
      </w:pPr>
    </w:p>
    <w:p>
      <w:pPr>
        <w:ind w:left="640" w:right="400" w:hanging="436"/>
        <w:spacing w:after="0" w:line="26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underwriting discounts and expenses of this offering and fees and expenses of Comcast relating to the Sky acquisition and the Credit Agreements.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21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40" w:type="dxa"/>
            <w:vAlign w:val="bottom"/>
            <w:gridSpan w:val="3"/>
          </w:tcPr>
          <w:p>
            <w:pPr>
              <w:jc w:val="center"/>
              <w:ind w:left="1548"/>
              <w:spacing w:after="0"/>
              <w:rPr>
                <w:sz w:val="20"/>
                <w:szCs w:val="20"/>
                <w:color w:val="auto"/>
              </w:rPr>
            </w:pPr>
            <w:r>
              <w:rPr>
                <w:rFonts w:ascii="Arial" w:cs="Arial" w:eastAsia="Arial" w:hAnsi="Arial"/>
                <w:sz w:val="14"/>
                <w:szCs w:val="14"/>
                <w:b w:val="1"/>
                <w:bCs w:val="1"/>
                <w:color w:val="auto"/>
                <w:w w:val="93"/>
              </w:rPr>
              <w:t>For the Six Months</w:t>
            </w:r>
          </w:p>
        </w:tc>
        <w:tc>
          <w:tcPr>
            <w:tcW w:w="460" w:type="dxa"/>
            <w:vAlign w:val="bottom"/>
          </w:tcPr>
          <w:p>
            <w:pPr>
              <w:spacing w:after="0"/>
              <w:rPr>
                <w:sz w:val="14"/>
                <w:szCs w:val="14"/>
                <w:color w:val="auto"/>
              </w:rPr>
            </w:pPr>
          </w:p>
        </w:tc>
        <w:tc>
          <w:tcPr>
            <w:tcW w:w="246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460" w:type="dxa"/>
            <w:vAlign w:val="bottom"/>
          </w:tcPr>
          <w:p>
            <w:pPr>
              <w:spacing w:after="0"/>
              <w:rPr>
                <w:sz w:val="14"/>
                <w:szCs w:val="14"/>
                <w:color w:val="auto"/>
              </w:rPr>
            </w:pPr>
          </w:p>
        </w:tc>
        <w:tc>
          <w:tcPr>
            <w:tcW w:w="246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80" w:type="dxa"/>
            <w:vAlign w:val="bottom"/>
            <w:tcBorders>
              <w:top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5.59x</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5.26x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5.48x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4.85x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w:t>
      </w:r>
    </w:p>
    <w:p>
      <w:pPr>
        <w:ind w:left="200" w:right="40" w:firstLine="4"/>
        <w:spacing w:after="0" w:line="268" w:lineRule="auto"/>
        <w:tabs>
          <w:tab w:leader="none" w:pos="445"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87"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the Floating Rate Notes</w:t>
      </w:r>
    </w:p>
    <w:p>
      <w:pPr>
        <w:spacing w:after="0" w:line="117"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b w:val="1"/>
          <w:bCs w:val="1"/>
          <w:color w:val="auto"/>
        </w:rPr>
        <w:t>The amount of interest payable on the floating rate notes is set only once per quarter based on the three-month LIBOR rate on the interest determination date, which rate may fluctuate substantially.</w:t>
      </w:r>
    </w:p>
    <w:p>
      <w:pPr>
        <w:spacing w:after="0" w:line="5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the past, the level of the three-month LIBOR rate has experienced significant fluctuations. You should note that historical levels, fluctuations and trends of the three-month LIBOR rate are not necessarily indicative of future levels. Any historical upward or downward trend in the three-month LIBOR rate is not an indication that the three-month LIBOR rate is more or less likely to increase or decrease at any time, and you should not take the historical levels of the three-month LIBOR rate as an indication of its future performance. Additionally, although the actual three-month LIBOR rate on an interest payment date or at other times during an interest period may be higher than the three-month LIBOR rate on the applicable interest determination date, the only relevant date for purposes of determining the interest payable on the floating rate notes is the three-month LIBOR rate as of the interest determination date for such interest period. Changes in the three-month LIBOR rates between interest determination dates will not affect the interest payable on the floating rate notes. As a result, changes in the three-month LIBOR rate may not result in a comparable change in the market value of the floating rate notes.</w:t>
      </w:r>
    </w:p>
    <w:p>
      <w:pPr>
        <w:spacing w:after="0" w:line="28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Uncertainty relating to the calculation of LIBOR and other reference rates and their potential discontinuance may materially adversely affect the value of the floating rate notes.</w:t>
      </w:r>
    </w:p>
    <w:p>
      <w:pPr>
        <w:spacing w:after="0" w:line="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National and international regulators and law enforcement agencies have conducted investigations into a number of rates or indices which are deemed to be “reference rates.” Actions by such regulators and law enforcement agencies may result in changes to the manner in which certain reference rates are determined, their discontinuance, or the establishment of alternative reference rates. In particular, on July 27, 2017, the Chief Executive of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Notwithstanding the foregoing, it appears highly likely that LIBOR will be discontinued or modified by 2021.</w:t>
      </w:r>
    </w:p>
    <w:p>
      <w:pPr>
        <w:spacing w:after="0" w:line="16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At this time, it is not possible to predict the effect that these developments, any discontinuance, modification or other reforms to LIBOR or any other reference rate, or the establishment of alternative reference rates may have on LIBOR, other benchmarks or floating rate debt securities, including the floating rate notes. Uncertainty as to the nature of such potential discontinuance, modification, alternative reference rates or other reforms may materially adversely affect the trading market for securities linked to such benchmarks, including the floating rate notes. Furthermore, the use of alternative reference rates or other reforms could cause the interest rate calculated for the floating rate notes to be materially different than expected.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 alternative reference rate for LIBOR (as defined herein) is determined as described in “Description of the Notes—Interest Payments,” certain adjustments to such rate may be made, including applying a spread thereon or with respect to the business day convention, interest determination dates and related provisions and definitions, to make such alternative reference rate comparable to LIBOR, in a manner that is consistent with industry-accepted practices for such alternative reference rate. See “Description of the Notes—Interest Payments.”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120" w:firstLine="441"/>
        <w:spacing w:after="0" w:line="285" w:lineRule="auto"/>
        <w:rPr>
          <w:sz w:val="20"/>
          <w:szCs w:val="20"/>
          <w:color w:val="auto"/>
        </w:rPr>
      </w:pPr>
      <w:r>
        <w:rPr>
          <w:rFonts w:ascii="Arial" w:cs="Arial" w:eastAsia="Arial" w:hAnsi="Arial"/>
          <w:sz w:val="16"/>
          <w:szCs w:val="16"/>
          <w:color w:val="auto"/>
        </w:rPr>
        <w:t>We are offering $1,250,000,000 aggregate principal amount of our Floating Rate Notes due October 1, 2020, $1,000,000,000 aggregate principal amount of our Floating Rate Notes due October 1, 2021 and $500,000,000 aggregate principal amount of our Floating Rate Notes due April 15, 2024 (collectively, the “floating rate notes”) and $1,750,000,000 aggregate principal amount of our 3.300% Notes due October 1, 2020, $2,000,000,000 aggregate principal amount of our 3.450% Notes due October 1, 2021, $2,500,000,000 aggregate principal amount of our 3.700% Notes due April 15, 2024, $3,000,000,000 aggregate principal amount of our 3.950% Notes due October 15, 2025, $4,000,000,000 aggregate principal amount of our</w:t>
      </w:r>
    </w:p>
    <w:p>
      <w:pPr>
        <w:spacing w:after="0" w:line="2"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4.150% Notes due October 15, 2028, $1,500,000,000 aggregate principal amount of our 4.250% Notes due October 15, 2030, $3,000,000,000 aggregate principal amount of our 4.600% Notes due October 15, 2038, $4,000,000,000 aggregate principal amount of our 4.700% Notes due October 15, 2048 and $2,500,000,000 aggregate principal amount of our 4.950% Notes due October 15, 2058 (collectively, the “fixed rate notes”). We refer to the floating rate notes, collectively with the fixed rate notes, as the “notes.”</w:t>
      </w:r>
    </w:p>
    <w:p>
      <w:pPr>
        <w:spacing w:after="0" w:line="1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Each series of notes will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6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60" w:right="34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consummation of the Sky acquisition, will be structurally subordinated to all of Sky’s outstanding 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$27,000,000,000 comprised as follows:</w:t>
      </w:r>
    </w:p>
    <w:p>
      <w:pPr>
        <w:spacing w:after="0" w:line="130" w:lineRule="exact"/>
        <w:rPr>
          <w:rFonts w:ascii="Arial" w:cs="Arial" w:eastAsia="Arial" w:hAnsi="Arial"/>
          <w:sz w:val="18"/>
          <w:szCs w:val="18"/>
          <w:color w:val="auto"/>
        </w:rPr>
      </w:pPr>
    </w:p>
    <w:p>
      <w:pPr>
        <w:ind w:left="1620" w:right="120" w:hanging="430"/>
        <w:spacing w:after="0" w:line="286"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$1,250,000,000 initial aggregate principal amount of Floating Rate Notes due 2020, maturing on October 1, 2020, with interest payable quarterly in arrears on each January 1, April 1, July 1 and October 1 of each year, beginning on January 1, 2019, to holders of record on the preceding December 15, March 15, June 15 and September 15 of each year;</w:t>
      </w:r>
    </w:p>
    <w:p>
      <w:pPr>
        <w:spacing w:after="0" w:line="70" w:lineRule="exact"/>
        <w:rPr>
          <w:rFonts w:ascii="Arial" w:cs="Arial" w:eastAsia="Arial" w:hAnsi="Arial"/>
          <w:sz w:val="17"/>
          <w:szCs w:val="17"/>
          <w:color w:val="auto"/>
        </w:rPr>
      </w:pPr>
    </w:p>
    <w:p>
      <w:pPr>
        <w:ind w:left="1620" w:right="120" w:hanging="430"/>
        <w:spacing w:after="0" w:line="286"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$1,000,000,000 initial aggregate principal amount of Floating Rate Notes due 2021, maturing on October 1, 2021, with interest payable quarterly in arrears on each January 1, April 1, July 1 and October 1 of each year, beginning on January 1, 2019, to holders of record on the preceding December 15, March 15, June 15 and September 15 of each year;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$500,000,000 initial aggregate principal amount of Floating Rate Notes due 2024, maturing on April 15, 2024, with interest payable quarterly in arrears on each January 15, April 15, July 15 and October 15 of each year, beginning on January 15, 2019, to holders of record on the preceding January 1, April 1, July 1 and October 15 of each year;</w:t>
      </w:r>
    </w:p>
    <w:p>
      <w:pPr>
        <w:spacing w:after="0" w:line="86" w:lineRule="exact"/>
        <w:rPr>
          <w:rFonts w:ascii="Arial" w:cs="Arial" w:eastAsia="Arial" w:hAnsi="Arial"/>
          <w:sz w:val="18"/>
          <w:szCs w:val="18"/>
          <w:color w:val="auto"/>
        </w:rPr>
      </w:pPr>
    </w:p>
    <w:p>
      <w:pPr>
        <w:ind w:left="1620" w:right="26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$1,750,000,000 initial aggregate principal amount of 3.300% Notes due 2020, maturing on October 1, 2020, with interest payable semiannually on each April 1 and October 1, beginning April 1, 2019, to holders of record on the preceding March 15 and September 15;</w:t>
      </w:r>
    </w:p>
    <w:p>
      <w:pPr>
        <w:spacing w:after="0" w:line="86" w:lineRule="exact"/>
        <w:rPr>
          <w:rFonts w:ascii="Arial" w:cs="Arial" w:eastAsia="Arial" w:hAnsi="Arial"/>
          <w:sz w:val="18"/>
          <w:szCs w:val="18"/>
          <w:color w:val="auto"/>
        </w:rPr>
      </w:pPr>
    </w:p>
    <w:p>
      <w:pPr>
        <w:ind w:left="1620" w:right="26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$2,000,000,000 initial aggregate principal amount of 3.450% Notes due 2021, maturing on October 1, 2021, with interest payable semiannually on each April 1 and October 1, beginning April 1, 2019, to holders of record on the preceding March 15 and September 15;</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$2,500,000,000 initial aggregate principal amount of 3.700% Notes due 2024, maturing on April 15, 2024, with interest payable semiannually on each April 15 and October 15, beginning April 15, 2019, to holders of record on the preceding April 1 and October 1;</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$3,000,000,000 initial aggregate principal amount of 3.950% Notes due 2025, maturing on October 15, 2025, with interest payable semiannually on each April 15 and October 15, beginning April 15, 2019, to holders of record on the preceding April 1 and October 1;</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$4,000,000,000 initial aggregate principal amount of 4.150% Notes due 2028, maturing on October 15, 2028, with interest payable semiannually on each April 15 and October 15, beginning April 15, 2019, to holders of record on the preceding April 1 and October 1;</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$1,500,000,000 initial aggregate principal amount of 4.250% Notes due 2030, maturing on October 15, 2030, with interest payable semiannually on each April 15 and October 15, beginning April 15, 2019, to holders of record on the preceding April 1 and October 1;</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$3,000,000,000 initial aggregate principal amount of 4.600% Notes due 2038, maturing on October 15, 2038, with interest payable semiannually on each April 15 and October 15, beginning April 15, 2019, to holders of record on the preceding April 1 and October 1;</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$4,000,000,000 initial aggregate principal amount of 4.700% Notes due 2048, maturing on October 15, 2048, with interest payable semiannually on each April 15 and October 15, beginning April 15, 2019, to holders of record on the preceding April 1 and October 1; and</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$2,500,000,000 initial aggregate principal amount of 4.950% Notes due 2058, maturing on October 15, 2058, with interest payable semiannually on each April 15 and October 15, beginning April 15, 2019, to holders of record on the preceding April 1 and October 1;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June 30, 2018, Sky had outstanding indebtedness of approximately £8.2 billion (or approximately $10.8 billion using the exchange rate as of such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Floating Rate Notes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floating rate notes will bear interest from October 5, 2018 or from the most recent interest payment date (as defined below) on which we have paid or provided for interest on the floating rate notes. The interest rate per annum for each interest period (as defined below) will be equal to LIBOR (as defined below) plus 0.330% (in the case of the Floating Rate Notes due 2020), 0.440% (in the case of the Floating Rate Notes due 2021) and 0.630% (in the case of the Floating Rate Notes due 2024), as determined on the applicable interest determination date by the calculation agent (except for the first interest period (as defined below)). Following the first interest period,</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the interest rate per annum for the floating rate notes will be reset quarterly on the first day of each interest period. The Bank of New York Mellon is initially acting as calculation agent. The interest determination date for an interest period will be the second business day preceding such interest period (the “interest determination date”). The interest determination date for the first interest period will be October 3, 2018.</w:t>
      </w:r>
    </w:p>
    <w:p>
      <w:pPr>
        <w:spacing w:after="0" w:line="166" w:lineRule="exact"/>
        <w:rPr>
          <w:sz w:val="20"/>
          <w:szCs w:val="20"/>
          <w:color w:val="auto"/>
        </w:rPr>
      </w:pPr>
    </w:p>
    <w:p>
      <w:pPr>
        <w:jc w:val="both"/>
        <w:ind w:left="200" w:right="460" w:firstLine="441"/>
        <w:spacing w:after="0" w:line="259" w:lineRule="auto"/>
        <w:rPr>
          <w:sz w:val="20"/>
          <w:szCs w:val="20"/>
          <w:color w:val="auto"/>
        </w:rPr>
      </w:pPr>
      <w:r>
        <w:rPr>
          <w:rFonts w:ascii="Arial" w:cs="Arial" w:eastAsia="Arial" w:hAnsi="Arial"/>
          <w:sz w:val="18"/>
          <w:szCs w:val="18"/>
          <w:color w:val="auto"/>
        </w:rPr>
        <w:t>The amount of interest for each day the floating rate notes are outstanding, which we refer to as the “daily interest amount,” is calculated by dividing the interest rate in effect with respect to the floating rate notes for that day by 360 and multiplying the result by the principal amount. The amount of interest to be paid on the floating rate notes for each interest period is calculated by adding the daily interest amounts applicable to such floating rate notes for each day in the interest period.</w:t>
      </w:r>
    </w:p>
    <w:p>
      <w:pPr>
        <w:spacing w:after="0" w:line="18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will pay interest on the Floating Rate Notes due 2020 and the Floating Rate Notes due 2021 on January 1, April 1, July 1 and October 1 of each year, beginning on January 1, 2019, and at maturity. We will pay interest on the Floating Rate Notes due 2024 on January 15, April 15, July 15 and October 15 of each year, beginning on January 15, 2019, and at maturity. Each of these dates on which we will pay interest is referred to as an “interest payment date.” If any interest payment date would fall on a day that is not a business day, other than the interest payment date that is also the date of maturity for the floating rate notes, that interest payment date will be postponed to the following day that is a business day, except that if such next business day is in a different month, then that payment date will be the immediately preceding day that is a business day. If the date of maturity for the floating rate notes is not a business day, payment of principal and interest on the floating rate notes will be made on the following day that is a business day and no interest will accrue for the period from and after such date of maturity. Interest on the floating rate notes will be paid to the person in whose name such floating rate note was registered at the close of business on December 15, March 15, June 15 or September 15 (in the case of the Floating Rate Notes due 2020 and the Floating Rate Notes due 2021) and January 1, April 1, July 1 and October 1 (in the case of the Floating Rate Notes due 2024) (whether or not such day is a business day) preceding the applicable interest payment date. However, interest that we pay on the maturity date will be payable to the person to whom the principal will be payable.</w:t>
      </w:r>
    </w:p>
    <w:p>
      <w:pPr>
        <w:spacing w:after="0" w:line="18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Except as described below for the first interest period, on each interest payment date, we will pay interest for the period commencing on and including the immediately preceding interest payment date and ending on and including the next day preceding that interest payment date. We refer to this period as an “interest period.” The “first interest period” will begin on and include October 5, 2018 and will end on but exclude January 1, 2019 (in the case of the Floating Rate Notes due 2020 and the Floating Rate Notes due 2021) and January 15, 2019 (in the case of the Floating Rate Notes due 2024).</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“LIBOR” will be determined by the calculation agent in accordance with the following provisions:</w:t>
      </w:r>
    </w:p>
    <w:p>
      <w:pPr>
        <w:spacing w:after="0" w:line="131" w:lineRule="exact"/>
        <w:rPr>
          <w:sz w:val="20"/>
          <w:szCs w:val="20"/>
          <w:color w:val="auto"/>
        </w:rPr>
      </w:pPr>
    </w:p>
    <w:p>
      <w:pPr>
        <w:ind w:left="1060" w:hanging="424"/>
        <w:spacing w:after="0" w:line="297"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any interest determination date, LIBOR shall be the rate for deposits in United States dollars having a maturity of three-months beginning on the first day of the applicable interest period that appears on Bloomberg L.P.’s page “BBAM” as of 11:00 a.m., London time, on that interest determination date. If no rate appears on Bloomberg L.P.’s page “BBAM”, the calculation agent will obtain such rate from Reuters Screen LIBOR01 Page. If no rate appears on Bloomberg L.P.’s page “BBAM” or Reuters Screen LIBOR01 Page, then LIBOR, in respect of that interest determination date, will be determined in accordance with the provisions described in (ii) and (iii) below.</w:t>
      </w:r>
    </w:p>
    <w:p>
      <w:pPr>
        <w:spacing w:after="0" w:line="63" w:lineRule="exact"/>
        <w:rPr>
          <w:rFonts w:ascii="Arial" w:cs="Arial" w:eastAsia="Arial" w:hAnsi="Arial"/>
          <w:sz w:val="16"/>
          <w:szCs w:val="16"/>
          <w:color w:val="auto"/>
        </w:rPr>
      </w:pPr>
    </w:p>
    <w:p>
      <w:pPr>
        <w:ind w:left="1060" w:right="100" w:hanging="424"/>
        <w:spacing w:after="0" w:line="293"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Bloomberg L.P.’s page “BBAM” or Reuters Screen LIBOR01 Page, except as provided in clause (iii) below, as specified in (i) above, we will request the principal London offices of each of four major reference banks in the London interbank market, as selected by us, to provide the calculation agent with its offered quotation for deposits in United States dollars for the period of three months, commencing on the first day of the applicable interest period, to prime banks in the London interbank market at approximately 11:00 a.m., London time, on that interest determination date and in a principal amount that is representative for a single transaction in United States dollars in that market at that time. If at least two quotations are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 xml:space="preserve">provided, then LIBOR on that interest determination date will be the arithmetic average of those quotations. If fewer than two quotations are provided, we will select three major banks in the City of New York and shall request each of them to provide to the calculation agent a quotation of the rate offered by them at approximately 11:00 a.m., in the City of New York, on the interest determination date for loans in United States dollars to leading European banks, having a three-month maturity and in a principal amount that is representative for a single transaction in United States dollars in that market at that time. If three quotations are provided, LIBOR will be the arithmetic average of the quotations provided;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banks selected by us are not providing quotations in the manner described by this sentence, LIBOR will be the same as the rate determined for the immediately preceding interest reset date.</w:t>
      </w:r>
    </w:p>
    <w:p>
      <w:pPr>
        <w:spacing w:after="0" w:line="73" w:lineRule="exact"/>
        <w:rPr>
          <w:sz w:val="20"/>
          <w:szCs w:val="20"/>
          <w:color w:val="auto"/>
        </w:rPr>
      </w:pPr>
    </w:p>
    <w:p>
      <w:pPr>
        <w:ind w:left="1060" w:hanging="424"/>
        <w:spacing w:after="0" w:line="287"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Notwithstanding clause (ii) above, if we determine that LIBOR has been permanently discontinued, the calculation agent will use, as directed by us, as a substitute for LIBOR (the “Alternative Rate”) and for each future interest determination date, the alternative reference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or the spread thereon, as well as the business day convention, interest determination dates and related provisions and definitions, in each case that are consistent with accepted market practice for the use of such Alternative Rate for debt obligations such as the floating rate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we determine that there is no alternative reference rate selected by the central bank, reserve bank, monetary authority or any similar institution (including any committee or working group thereof) that is consistent with accepted market practice regarding a substitute for LIBOR, we will appoint in our sole discretion an independent financial advisor (the “IFA”) to determine the Alternative Rate and make any Adjustments thereon, and whose determinations will be binding on us, the trustee and the holders of the floating rate notes. If, however, we determine that LIBOR has been discontinued, but for any reason an Alternative Rate has not been determined, LIBOR will be equal to the rate of LIBOR for the current interest period.</w:t>
      </w:r>
    </w:p>
    <w:p>
      <w:pPr>
        <w:spacing w:after="0" w:line="16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A “business day” is any Monday, Tuesday, Wednesday, Thursday or Friday that is not a day on which banking institutions in the City of New York are authorized or obligated by law or executive order to close,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floating rate notes, the day is also a London Banking Day.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“London Banking Day” is any day in which dealings in United States dollars are transacted in the London interbank market.</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“Bloomberg L.P.’s page “BBAM”” means the display designated as Bloomberg L.P.’s page “BBAM” (or such other page as may replace page BBAM on that service or any successor service for the purpose of displaying London interbank offered rates for United States dollar deposits of major banks).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“Reuters Screen LIBOR01 Page” means the display designated on page “LIBOR01” on Reuters (or such other page as may replace the LIBOR01 page on that service or any successor service for the purpose of displaying London interbank offered rates for United States dollar deposits of major banks).</w:t>
      </w:r>
    </w:p>
    <w:p>
      <w:pPr>
        <w:spacing w:after="0" w:line="18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hundred-thousandth of a percentage point, with five one-millionths of a percentage point rounded upwards (e.g., 9.876545% (or .09876545) being rounded to 9.87655% (or .0987655)) and all dollar amounts used in or resulting from such calculations will be rounded to the nearest cent (with one-half cent being rounded upwards).</w:t>
      </w:r>
    </w:p>
    <w:p>
      <w:pPr>
        <w:spacing w:after="0" w:line="14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interest rate on the floating rate notes will in no event be higher than the maximum rate permitted by New York law as the same may be modified by United States law of general application. Additionally, the interest rate on the floating rate notes will in no event be lower than zero.</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calculation agent will, upon the request of the holder of any floating rate note, provide the interest rate then in effect. All calculations of the calculation agent, in the absence of manifest error, shall be conclusive for all purposes and binding on us and holders of the floating rate notes. We may appoint a successor calculation agent without the consent of the holders of the floating rate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Fixed Rate Notes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Interest on the fixed rate notes will be computed on the basis of a 360-day year consisting of twelve 30-day months. Interest on the fixed rate notes will accrue from (i) the earlier of October 5, 2018 and the date of original issuance or (ii) from the most recent interest payment date to which interest has been paid, and will be payable semiannually on interest payment dates described for each year.</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Floating Rate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floating rate notes are not redeemable at our option prior to maturity.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Fixed Rate Notes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will have the right at our option to redeem any of the fixed rate notes of each series in whole or in part, at any time or from time to time prior to their maturity, on at least 15 days, but not more than 30 days, prior notice delivered electronically (in the case of Global Notes) or mailed to the registered address of each holder of fixed rate notes, at the applicable Redemption Price. We will calculate the Redemption Price in connection with any redemption hereunder.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“Redemption Price” means:</w:t>
      </w:r>
    </w:p>
    <w:p>
      <w:pPr>
        <w:spacing w:after="0" w:line="117" w:lineRule="exact"/>
        <w:rPr>
          <w:sz w:val="20"/>
          <w:szCs w:val="20"/>
          <w:color w:val="auto"/>
        </w:rPr>
      </w:pPr>
    </w:p>
    <w:p>
      <w:pPr>
        <w:jc w:val="both"/>
        <w:ind w:left="200" w:right="60" w:firstLine="444"/>
        <w:spacing w:after="0" w:line="259" w:lineRule="auto"/>
        <w:tabs>
          <w:tab w:leader="none" w:pos="8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the Notes due 2020, at any time, the greater of (i) 100% of the principal amount of such notes and (ii) the sum of the present values of the principal amount of such notes and the scheduled payments of interest thereon (exclusive of interest accrued to the date of redemption) from the redemption date to October 1, 2020, in each case discounted to the redemption date on a semiannual basis (assuming a 360-day year consisting of twelve 30-day months) at the Treasury Rate plus 10 basis points;</w:t>
      </w:r>
    </w:p>
    <w:p>
      <w:pPr>
        <w:spacing w:after="0" w:line="186" w:lineRule="exact"/>
        <w:rPr>
          <w:rFonts w:ascii="Arial" w:cs="Arial" w:eastAsia="Arial" w:hAnsi="Arial"/>
          <w:sz w:val="18"/>
          <w:szCs w:val="18"/>
          <w:color w:val="auto"/>
        </w:rPr>
      </w:pPr>
    </w:p>
    <w:p>
      <w:pPr>
        <w:jc w:val="both"/>
        <w:ind w:left="200" w:right="60" w:firstLine="444"/>
        <w:spacing w:after="0" w:line="259" w:lineRule="auto"/>
        <w:tabs>
          <w:tab w:leader="none" w:pos="8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the Notes due 2021, at any time, the greater of (i) 100% of the principal amount of such notes and (ii) the sum of the present values of the principal amount of such notes and the scheduled payments of interest thereon (exclusive of interest accrued to the date of redemption) from the redemption date to October 1, 2021, in each case discounted to the redemption date on a semiannual basis (assuming a 360-day year consisting of twelve 30-day months) at the Treasury Rate plus 10 basis points;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255" w:lineRule="auto"/>
        <w:tabs>
          <w:tab w:leader="none" w:pos="8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2024, at any time prior to March 15, 2024 (1 month prior to the maturity of the Notes due 2024) (the “2024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2024 Par Call Date, in each case discounted to the redemption date on a semiannual basis (assuming a 360-day year consisting of twelve 30-day months) at the Treasury Rate plus 15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2024 are redeemed on or after the 2024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firstLine="444"/>
        <w:spacing w:after="0" w:line="255"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2025, at any time prior to August 15, 2025 (2 months prior to the maturity of the Notes due 2025) (the “2025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2025 Par Call Date, in each case discounted to the redemption date on a semiannual basis (assuming a 360-day year consisting of twelve 30-day months) at the Treasury Rate plus 15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2025 are redeemed on or after the 2025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firstLine="444"/>
        <w:spacing w:after="0" w:line="255" w:lineRule="auto"/>
        <w:tabs>
          <w:tab w:leader="none" w:pos="8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2028, at any time prior to July 15, 2028 (3 months prior to the maturity of the Notes due 2028) (the “2028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2028 Par Call Date, in each case discounted to the redemption date on a semiannual basis (assuming a 360-day year consisting of twelve 30-day months) at the Treasury Rate plus 20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2028 are redeemed on or after the 2028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firstLine="444"/>
        <w:spacing w:after="0" w:line="255" w:lineRule="auto"/>
        <w:tabs>
          <w:tab w:leader="none" w:pos="8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2030, at any time prior to July 15, 2030 (3 months prior to the maturity of the Notes due 2030) (the “2030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2030 Par Call Date, in each case discounted to the redemption date on a semiannual basis (assuming a 360-day year consisting of twelve 30-day months) at the Treasury Rate plus 20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2030 are redeemed on or after the 2030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firstLine="444"/>
        <w:spacing w:after="0" w:line="255"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2038, at any time prior to April 15, 2038 (6 months prior to the maturity of the Notes due 2038) (the “2038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2038 Par Call Date, in each case discounted to the redemption date on a semiannual basis (assuming a 360-day year consisting of twelve 30-day months) at the Treasury Rate plus 25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2038 are redeemed on or after the 2038 Par Call Date, the Redemption Price will equal 100% of the principal amount of such notes;</w:t>
      </w:r>
    </w:p>
    <w:p>
      <w:pPr>
        <w:spacing w:after="0" w:line="193" w:lineRule="exact"/>
        <w:rPr>
          <w:rFonts w:ascii="Arial" w:cs="Arial" w:eastAsia="Arial" w:hAnsi="Arial"/>
          <w:sz w:val="18"/>
          <w:szCs w:val="18"/>
          <w:color w:val="auto"/>
        </w:rPr>
      </w:pPr>
    </w:p>
    <w:p>
      <w:pPr>
        <w:ind w:left="200" w:firstLine="444"/>
        <w:spacing w:after="0" w:line="255"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 respect to the Notes due 2048, at any time prior to April 15, 2048 (6 months prior to the maturity of the Notes due 2048) (the “2048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2048 Par Call Date, in each case discounted to the redemption date on a semiannual basis (assuming a 360-day year consisting of twelve 30-day months) at the Treasury Rate plus 25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2048 are redeemed on or after the 2048 Par Call Date, the Redemption Price will equal 100% of the principal amount of such notes;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255" w:lineRule="auto"/>
        <w:tabs>
          <w:tab w:leader="none" w:pos="8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with respect to the Notes due 2058, at any time prior to April 15, 2058 (6 months prior to the maturity of the Notes due 2058) (the “2058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2058 Par Call Date, in each case discounted to the redemption date on a semiannual basis (assuming a 360-day year consisting of twelve 30-day months) at the Treasury Rate plus 30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2058 are redeemed on or after the 2058 Par Call Date, the Redemption Price will equal 100% of the principal amount of such notes;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trustee shall have no obligation to determine the Redemption Price for any of the notes.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(x) in the case of the Notes due 2020 and the Notes due 2021, the remaining term of the notes to be redeemed or (y) in the case of all other fixed rate notes, the remaining term of the notes to be redeemed calculated as if the maturity date of such series of fixed rate notes were the applicable Par Call Date (the “Remaining Life”), in each case, that would be utilized, at the time of selection and in accordance with customary financial practice, in pricing new issues of corporate debt securities of comparable maturity to the Remaining Life of such fixed rate notes.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“Reference Treasury Dealer”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“Primary Treasury Dealer”), we will substitute therefor another Primary Treasury Dealer.</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and after the redemption date, interest will cease to accrue on the fixed rate notes or any portion of the fixed rate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fixed rate notes to be redeemed on such date. If less than all of the fixed rate notes of any series are to be redeemed, the fixed rate notes to be redeemed shall be selected by the trustee by such method as the trustee shall deem fair and appropriate (provided that interests in fixed rate notes represented by a Global Note will be selected for redemption by The Depository Trust Company in accordance with its standard procedures therefor).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we may at any time repurchase floating rate notes or fixed rate notes in the open market and may hold or surrender such notes to the trustee for cancellation.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7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6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9"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4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95"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76" w:lineRule="exact"/>
        <w:rPr>
          <w:sz w:val="20"/>
          <w:szCs w:val="20"/>
          <w:color w:val="auto"/>
        </w:rPr>
      </w:pPr>
    </w:p>
    <w:p>
      <w:pPr>
        <w:ind w:left="10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24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1060" w:right="260" w:hanging="316"/>
        <w:spacing w:after="0" w:line="28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1060" w:right="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81"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intend to offer the notes through the underwriters named below for which Merrill Lynch, Pierce, Fenner and Smith Incorporated and Wells Fargo Securities, LLC are serving as representatives.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Floating Rate</w:t>
            </w:r>
          </w:p>
        </w:tc>
        <w:tc>
          <w:tcPr>
            <w:tcW w:w="2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Floating Rate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Floating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Rate Notes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Notes due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Notes due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due 2024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To Be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To Be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58"/>
        </w:trPr>
        <w:tc>
          <w:tcPr>
            <w:tcW w:w="40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2"/>
              </w:rPr>
              <w:t>Purchased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0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Merrill Lynch, Pierce, Fenner &amp; Smith</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Incorporated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306,250,000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Wells Fargo Securities,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162,500,000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130,000,000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227,500,000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260,000,000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Suisse Securities (USA)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Mizuho Securities USA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150,500,000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MUFG Securities Americas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SMBC Nikko Securities America,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150,500,000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TD Securities (USA)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RBC Capital Markets,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BNP Paribas Securities Corp.</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Commerz Markets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SG Americas Securities,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DNB Markets,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PNC Capital Markets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U.S. Bancorp Investments,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Santander Investment Securities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43,750,000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Academy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Apto Partners,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CastleOak Securities, L.P.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 Pacific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MFR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Mischler Financial Group,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Multi-Bank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 Seelaus &amp; Co.,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Samuel A. Ramirez &amp; Company,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Williams Capital Group, L.P.</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1,250,000,000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1,000,000,000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500,000,000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1,750,000,000</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2,000,000,000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2,500,000,000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Notes due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Notes due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Notes due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2038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2048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2058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To Be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To Be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To Be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9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Merrill Lynch, Pierce, Fenner &amp; Smith</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Incorporated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Wells Fargo Securities,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390,000,000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520,000,000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195,000,000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390,000,000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520,000,000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Suisse Securities (USA)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Mizuho Securities USA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MUFG Securities Americas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SMBC Nikko Securities America,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258,000,000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TD Securities (USA)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RBC Capital Markets,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BNP Paribas Securities Corp.</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Commerz Markets LLC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SG Americas Securities,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DNB Markets,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PNC Capital Markets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U.S. Bancorp Investments,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Santander Investment Securities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Academy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Apto Partners, LLC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CastleOak Securities, L.P.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 Pacific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MFR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Mischler Financial Group,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Multi-Bank Securities,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 Seelaus &amp; Co., Inc.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Samuel A. Ramirez &amp; Company,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Williams Capital Group, L.P.</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3,000,000,000</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4,000,000,000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1,500,000,000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3,000,000,000</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4,000,000,000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2,500,000,000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It is expected that delivery of the notes will be made against payment therefor on or about October 5, 2018, which is the third business day following the date hereof (such settlement cycle being referred to as “T+3”). Under Rule 15c6-1 under the Exchange Act,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260" w:firstLine="441"/>
        <w:spacing w:after="0" w:line="288"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and to dealers at that price less a concession not in excess of 0.100%, 0.120%, and 0.150% of the principal amount of the Floating Rate Notes due 2020, the Floating Rate Notes due 2021 and the Floating Rate Notes due 2024, respectively, and 0.100%, 0.120%, 0.150%,</w:t>
      </w:r>
    </w:p>
    <w:p>
      <w:pPr>
        <w:ind w:left="200" w:right="220"/>
        <w:spacing w:after="0" w:line="281" w:lineRule="auto"/>
        <w:rPr>
          <w:sz w:val="20"/>
          <w:szCs w:val="20"/>
          <w:color w:val="auto"/>
        </w:rPr>
      </w:pPr>
      <w:r>
        <w:rPr>
          <w:rFonts w:ascii="Arial" w:cs="Arial" w:eastAsia="Arial" w:hAnsi="Arial"/>
          <w:sz w:val="16"/>
          <w:szCs w:val="16"/>
          <w:color w:val="auto"/>
        </w:rPr>
        <w:t>0.200%, 0.250%, 0.255%, 0.350%, 0.450% and 0.500% of the principal amount of the Notes due 2020, the Notes due 2021, the Notes due 2024, the Notes due 2025, the Notes due 2028, the Notes due 2030, the Notes due 2038, the Notes due 2048 and the Notes due 2058, respectively. The underwriters may allow, and the dealers may reallow, a discount not in excess of 0.050%, 0.080% and 0.100% of the principal amount of the Floating Rate Notes due 2020, the Floating Rate Notes due 2021 and the Floating Rate Notes due 2024, respectively, and 0.050%, 0.080%, 0.100%, 0.150%,</w:t>
      </w:r>
    </w:p>
    <w:p>
      <w:pPr>
        <w:spacing w:after="0" w:line="3"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0.150%, 0.170%, 0.250%, 0.300% and 0.300% of the principal amount of the Notes due 2020, the Notes due 2021, the Notes due 2024, the Notes due 2025, the Notes due 2028, the Notes due 2030, the Notes due 2038, the Notes due 2048 and the Notes due 2058, respectively, to other dealers. After the initial public offering, the public offering prices, concessions and discounts may be changed.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of the offering, not including the underwriting discount, are estimated to be $9,000,000 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8"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 In addition, Merrill Lynch, Pierce, Fenner &amp; Smith Incorporated and Wells Fargo Securities, LLC are acting as financial advisors to us in connection with the Sky acquisition. Additionally,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Bank of America, N.A., an affiliate of Merrill Lynch, Pierce, Fenner &amp; Smith Incorporated, is acting as administrative agent, Wells Fargo Bank, National Association, an affiliate of Wells Fargo Securities, LLC, is acting as syndication agent, and Merrill Lynch, Pierce, Fenner &amp; Smith Incorporated and Wells Fargo Securities, LLC are acting as joint lead arrangers and joint bookrunners under our Credit Agreements, and such entities have received or will receive customary fees and expenses in connection therewith.</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The aforementioned underwriters and/or their affiliates and certain other underwriters and/or their affiliates have agreed to provide us with the commitments under the Bridge Loan Facility and/or are lenders under our Term Loan Facilities and the Revolving Credit Facility and have received or will receive customary fees and expenses in connection therewith. The commitments under the Bridge Term Loan Facility will be reduced by an amount equal to the aggregate gross proceeds of this offering.</w:t>
      </w:r>
    </w:p>
    <w:p>
      <w:pPr>
        <w:spacing w:after="0" w:line="18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described under “Use of Proceeds”, a portion of the net proceeds from the offering of the notes will be used to pay fees and expenses relating to the Sky acquisition and the Credit Agreements, and a portion of the net proceeds from this offering of notes may also be used to repay commercial paper outstanding and amounts drawn under our Revolving Credit Facility, in each case, used in open market purchases of Sky Shares prior to the First Sky Settlement Date. Accordingly, certain of the underwriters and/or their respective affiliates may receive, directly or indirectly, a portion of the net proceeds from this offering.</w:t>
      </w:r>
    </w:p>
    <w:p>
      <w:pPr>
        <w:spacing w:after="0" w:line="188"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is not a prospectus for the purposes of the Prospectus Directive.</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76"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17" w:lineRule="exact"/>
        <w:rPr>
          <w:sz w:val="20"/>
          <w:szCs w:val="20"/>
          <w:color w:val="auto"/>
        </w:rPr>
      </w:pPr>
    </w:p>
    <w:p>
      <w:pPr>
        <w:ind w:left="640" w:right="80" w:firstLine="428"/>
        <w:spacing w:after="0" w:line="277"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640" w:firstLine="428"/>
        <w:spacing w:after="0" w:line="276" w:lineRule="auto"/>
        <w:tabs>
          <w:tab w:leader="none" w:pos="13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39" w:lineRule="exact"/>
        <w:rPr>
          <w:sz w:val="20"/>
          <w:szCs w:val="20"/>
          <w:color w:val="auto"/>
        </w:rPr>
      </w:pPr>
    </w:p>
    <w:p>
      <w:pPr>
        <w:ind w:left="640" w:right="300" w:firstLine="428"/>
        <w:spacing w:after="0" w:line="277" w:lineRule="auto"/>
        <w:tabs>
          <w:tab w:leader="none" w:pos="13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2" w:lineRule="exact"/>
        <w:rPr>
          <w:rFonts w:ascii="Arial" w:cs="Arial" w:eastAsia="Arial" w:hAnsi="Arial"/>
          <w:sz w:val="18"/>
          <w:szCs w:val="18"/>
          <w:color w:val="auto"/>
        </w:rPr>
      </w:pPr>
    </w:p>
    <w:p>
      <w:pPr>
        <w:ind w:left="640" w:firstLine="428"/>
        <w:spacing w:after="0" w:line="277" w:lineRule="auto"/>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2" w:lineRule="exact"/>
        <w:rPr>
          <w:rFonts w:ascii="Arial" w:cs="Arial" w:eastAsia="Arial" w:hAnsi="Arial"/>
          <w:sz w:val="18"/>
          <w:szCs w:val="18"/>
          <w:color w:val="auto"/>
        </w:rPr>
      </w:pPr>
    </w:p>
    <w:p>
      <w:pPr>
        <w:ind w:left="640" w:right="200" w:firstLine="428"/>
        <w:spacing w:after="0" w:line="277" w:lineRule="auto"/>
        <w:tabs>
          <w:tab w:leader="none" w:pos="13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LLP, New York, New York, is representing the underwriters.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incorporated herein by reference from Comcast Corporation’s Annual Report on Form 10-K for the year ended December 31, 2017,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9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2017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923925</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37"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233045</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0" w:right="38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184785</wp:posOffset>
            </wp:positionV>
            <wp:extent cx="1466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6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The Companies</w:t>
              </w:r>
            </w:hyperlink>
          </w:p>
        </w:tc>
        <w:tc>
          <w:tcPr>
            <w:tcW w:w="7960" w:type="dxa"/>
            <w:vAlign w:val="bottom"/>
            <w:gridSpan w:val="10"/>
            <w:vMerge w:val="restart"/>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7960" w:type="dxa"/>
            <w:vAlign w:val="bottom"/>
            <w:gridSpan w:val="10"/>
            <w:vMerge w:val="continue"/>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Caution Concerning Forward-Looking Statements</w:t>
              </w:r>
            </w:hyperlink>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5560" w:type="dxa"/>
            <w:vAlign w:val="bottom"/>
            <w:gridSpan w:val="2"/>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Dividend Policy</w:t>
              </w:r>
            </w:hyperlink>
          </w:p>
        </w:tc>
        <w:tc>
          <w:tcPr>
            <w:tcW w:w="7920" w:type="dxa"/>
            <w:vAlign w:val="bottom"/>
            <w:gridSpan w:val="8"/>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Ratios of Earnings to Fixed Charges and of Earnings to Combined Fixed Charges and Preferred Dividends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 and Guarantees</w:t>
              </w:r>
            </w:hyperlink>
          </w:p>
        </w:tc>
        <w:tc>
          <w:tcPr>
            <w:tcW w:w="1600" w:type="dxa"/>
            <w:vAlign w:val="bottom"/>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5820" w:type="dxa"/>
            <w:vAlign w:val="bottom"/>
            <w:gridSpan w:val="3"/>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Description of Capital Stock</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7080" w:type="dxa"/>
            <w:vAlign w:val="bottom"/>
            <w:gridSpan w:val="4"/>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Experts</w:t>
              </w:r>
            </w:hyperlink>
          </w:p>
        </w:tc>
        <w:tc>
          <w:tcPr>
            <w:tcW w:w="8100" w:type="dxa"/>
            <w:vAlign w:val="bottom"/>
            <w:gridSpan w:val="11"/>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Available Information</w:t>
              </w:r>
            </w:hyperlink>
          </w:p>
        </w:tc>
        <w:tc>
          <w:tcPr>
            <w:tcW w:w="7520" w:type="dxa"/>
            <w:vAlign w:val="bottom"/>
            <w:gridSpan w:val="5"/>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Incorporation of Certain Documents by Reference</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420" w:hanging="316"/>
        <w:spacing w:after="0" w:line="262"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200" w:hanging="316"/>
        <w:spacing w:after="0" w:line="27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620" w:hanging="316"/>
        <w:spacing w:after="0" w:line="27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40" w:hanging="316"/>
        <w:spacing w:after="0" w:line="27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880" w:hanging="316"/>
        <w:spacing w:after="0" w:line="339"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Theme Parks</w:t>
      </w:r>
      <w:r>
        <w:rPr>
          <w:rFonts w:ascii="Arial" w:cs="Arial" w:eastAsia="Arial" w:hAnsi="Arial"/>
          <w:sz w:val="16"/>
          <w:szCs w:val="16"/>
          <w:color w:val="auto"/>
        </w:rPr>
        <w:t>: 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800" w:firstLine="441"/>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60" w:hanging="316"/>
        <w:spacing w:after="0" w:line="26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80" w:firstLine="441"/>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60" w:right="8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60" w:right="28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60" w:right="82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spacing w:after="0" w:line="50" w:lineRule="exact"/>
        <w:rPr>
          <w:rFonts w:ascii="Arial" w:cs="Arial" w:eastAsia="Arial" w:hAnsi="Arial"/>
          <w:sz w:val="18"/>
          <w:szCs w:val="18"/>
          <w:color w:val="auto"/>
        </w:rPr>
      </w:pPr>
    </w:p>
    <w:p>
      <w:pPr>
        <w:ind w:left="1060" w:right="74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spacing w:after="0" w:line="50" w:lineRule="exact"/>
        <w:rPr>
          <w:rFonts w:ascii="Arial" w:cs="Arial" w:eastAsia="Arial" w:hAnsi="Arial"/>
          <w:sz w:val="18"/>
          <w:szCs w:val="18"/>
          <w:color w:val="auto"/>
        </w:rPr>
      </w:pPr>
    </w:p>
    <w:p>
      <w:pPr>
        <w:ind w:left="1060" w:right="66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1060" w:right="14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60" w:right="680" w:hanging="316"/>
        <w:spacing w:after="0" w:line="26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acquisitions and other strategic initiatives present many risks, and we may not realize the financial and strategic goals that we had contemplated;</w:t>
      </w:r>
    </w:p>
    <w:p>
      <w:pPr>
        <w:spacing w:after="0" w:line="124" w:lineRule="exact"/>
        <w:rPr>
          <w:rFonts w:ascii="Arial" w:cs="Arial" w:eastAsia="Arial" w:hAnsi="Arial"/>
          <w:sz w:val="15"/>
          <w:szCs w:val="15"/>
          <w:color w:val="auto"/>
        </w:rPr>
      </w:pPr>
    </w:p>
    <w:p>
      <w:pPr>
        <w:ind w:left="1060" w:hanging="316"/>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60" w:hanging="316"/>
        <w:spacing w:after="0" w:line="33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459" w:right="8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RATIOS OF EARNINGS TO FIXED CHARGES AND OF EARNINGS TO COMBINED FIXED CHARGES AND PREFERRED DIVIDENDS</w:t>
      </w:r>
    </w:p>
    <w:p>
      <w:pPr>
        <w:spacing w:after="0" w:line="20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For the Six Months Ended</w:t>
            </w: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For the Years Ended December 31,</w:t>
            </w:r>
          </w:p>
        </w:tc>
        <w:tc>
          <w:tcPr>
            <w:tcW w:w="1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620" w:type="dxa"/>
            <w:vAlign w:val="bottom"/>
            <w:gridSpan w:val="2"/>
          </w:tcPr>
          <w:p>
            <w:pPr>
              <w:jc w:val="center"/>
              <w:ind w:right="840"/>
              <w:spacing w:after="0" w:line="142" w:lineRule="exact"/>
              <w:rPr>
                <w:sz w:val="20"/>
                <w:szCs w:val="20"/>
                <w:color w:val="auto"/>
              </w:rPr>
            </w:pPr>
            <w:r>
              <w:rPr>
                <w:rFonts w:ascii="Arial" w:cs="Arial" w:eastAsia="Arial" w:hAnsi="Arial"/>
                <w:sz w:val="14"/>
                <w:szCs w:val="14"/>
                <w:b w:val="1"/>
                <w:bCs w:val="1"/>
                <w:color w:val="auto"/>
                <w:w w:val="85"/>
              </w:rPr>
              <w:t>June 30, 2016</w:t>
            </w:r>
          </w:p>
        </w:tc>
        <w:tc>
          <w:tcPr>
            <w:tcW w:w="132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340" w:type="dxa"/>
            <w:vAlign w:val="bottom"/>
          </w:tcPr>
          <w:p>
            <w:pPr>
              <w:jc w:val="right"/>
              <w:ind w:right="442"/>
              <w:spacing w:after="0" w:line="142" w:lineRule="exact"/>
              <w:rPr>
                <w:sz w:val="20"/>
                <w:szCs w:val="20"/>
                <w:color w:val="auto"/>
              </w:rPr>
            </w:pPr>
            <w:r>
              <w:rPr>
                <w:rFonts w:ascii="Arial" w:cs="Arial" w:eastAsia="Arial" w:hAnsi="Arial"/>
                <w:sz w:val="14"/>
                <w:szCs w:val="14"/>
                <w:b w:val="1"/>
                <w:bCs w:val="1"/>
                <w:color w:val="auto"/>
              </w:rPr>
              <w:t>2014</w:t>
            </w:r>
          </w:p>
        </w:tc>
        <w:tc>
          <w:tcPr>
            <w:tcW w:w="1820" w:type="dxa"/>
            <w:vAlign w:val="bottom"/>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36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34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2011</w:t>
            </w:r>
          </w:p>
        </w:tc>
      </w:tr>
      <w:tr>
        <w:trPr>
          <w:trHeight w:val="203"/>
        </w:trPr>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5.20x</w:t>
            </w:r>
          </w:p>
        </w:tc>
        <w:tc>
          <w:tcPr>
            <w:tcW w:w="8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5.48x</w:t>
            </w:r>
          </w:p>
        </w:tc>
        <w:tc>
          <w:tcPr>
            <w:tcW w:w="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4.85x</w:t>
            </w:r>
          </w:p>
        </w:tc>
        <w:tc>
          <w:tcPr>
            <w:tcW w:w="4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1060" w:right="200" w:hanging="316"/>
        <w:spacing w:after="0" w:line="25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60" w:right="34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60" w:right="2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60" w:right="260" w:hanging="316"/>
        <w:spacing w:after="0" w:line="26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left="200" w:right="200" w:firstLine="444"/>
        <w:spacing w:after="0" w:line="268" w:lineRule="auto"/>
        <w:tabs>
          <w:tab w:leader="none" w:pos="8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firstLine="444"/>
        <w:spacing w:after="0" w:line="268" w:lineRule="auto"/>
        <w:tabs>
          <w:tab w:leader="none" w:pos="8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left="200" w:right="120" w:firstLine="444"/>
        <w:spacing w:after="0" w:line="268"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20" w:firstLine="444"/>
        <w:spacing w:after="0" w:line="306" w:lineRule="auto"/>
        <w:tabs>
          <w:tab w:leader="none" w:pos="8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1" w:lineRule="exact"/>
        <w:rPr>
          <w:sz w:val="20"/>
          <w:szCs w:val="20"/>
          <w:color w:val="auto"/>
        </w:rPr>
      </w:pPr>
    </w:p>
    <w:p>
      <w:pPr>
        <w:ind w:left="200" w:right="20" w:firstLine="44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left="200" w:right="60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Worth</w:t>
      </w:r>
      <w:r>
        <w:rPr>
          <w:rFonts w:ascii="Arial" w:cs="Arial" w:eastAsia="Arial" w:hAnsi="Arial"/>
          <w:sz w:val="16"/>
          <w:szCs w:val="16"/>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74"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3" w:lineRule="exact"/>
        <w:rPr>
          <w:sz w:val="20"/>
          <w:szCs w:val="20"/>
          <w:color w:val="auto"/>
        </w:rPr>
      </w:pPr>
    </w:p>
    <w:p>
      <w:pPr>
        <w:ind w:left="200" w:right="220" w:firstLine="44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left="200" w:right="30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jc w:val="both"/>
        <w:ind w:left="200" w:right="180" w:firstLine="444"/>
        <w:spacing w:after="0" w:line="259" w:lineRule="auto"/>
        <w:tabs>
          <w:tab w:leader="none" w:pos="8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200" w:right="840" w:firstLine="444"/>
        <w:spacing w:after="0" w:line="268"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16"/>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left="200" w:firstLine="444"/>
        <w:spacing w:after="0" w:line="268" w:lineRule="auto"/>
        <w:tabs>
          <w:tab w:leader="none" w:pos="9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left="200" w:right="94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74" w:lineRule="exact"/>
        <w:rPr>
          <w:sz w:val="20"/>
          <w:szCs w:val="20"/>
          <w:color w:val="auto"/>
        </w:rPr>
      </w:pPr>
    </w:p>
    <w:p>
      <w:pPr>
        <w:ind w:left="200" w:right="32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20"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80" w:hanging="316"/>
        <w:spacing w:after="0" w:line="268"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60" w:right="40" w:hanging="316"/>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1060" w:right="200" w:hanging="316"/>
        <w:spacing w:after="0" w:line="256"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380" w:firstLine="441"/>
        <w:spacing w:after="0" w:line="306"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060" w:right="40" w:hanging="316"/>
        <w:spacing w:after="0" w:line="25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060" w:right="860" w:hanging="316"/>
        <w:spacing w:after="0" w:line="26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60" w:right="440" w:hanging="316"/>
        <w:spacing w:after="0" w:line="268"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w:t>
      </w: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620" w:right="120" w:hanging="430"/>
        <w:spacing w:after="0" w:line="268"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620" w:right="220" w:hanging="430"/>
        <w:spacing w:after="0" w:line="268"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1060" w:right="40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60" w:right="120" w:hanging="316"/>
        <w:spacing w:after="0" w:line="370"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60" w:right="500" w:hanging="316"/>
        <w:spacing w:after="0" w:line="306"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60" w:right="220" w:hanging="316"/>
        <w:spacing w:after="0" w:line="268"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60" w:right="80" w:hanging="316"/>
        <w:spacing w:after="0" w:line="332"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620" w:hanging="430"/>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jc w:val="both"/>
        <w:ind w:left="1080" w:right="1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60" w:right="320" w:hanging="316"/>
        <w:spacing w:after="0" w:line="268"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1060" w:right="20" w:hanging="316"/>
        <w:spacing w:after="0" w:line="256"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060" w:right="220" w:hanging="316"/>
        <w:spacing w:after="0" w:line="268"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1060" w:right="40" w:hanging="316"/>
        <w:spacing w:after="0" w:line="357" w:lineRule="auto"/>
        <w:tabs>
          <w:tab w:leader="none" w:pos="10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1060" w:right="60" w:hanging="316"/>
        <w:spacing w:after="0" w:line="268"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60" w:right="60" w:hanging="316"/>
        <w:spacing w:after="0" w:line="268"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60" w:right="60" w:hanging="316"/>
        <w:spacing w:after="0" w:line="268"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60" w:right="120" w:hanging="316"/>
        <w:spacing w:after="0" w:line="268"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60" w:right="40" w:hanging="316"/>
        <w:spacing w:after="0" w:line="268"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6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 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transfer agent and registrar for our Class A common stock is Wells Fargo Shareowner Services, P.O. Box 64874, St. Paul, Minnesota 55164-0874.</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Its telephone number is (888) 883-8903.</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09"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1060" w:right="140" w:hanging="316"/>
        <w:spacing w:after="0" w:line="268"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1060" w:right="200" w:hanging="316"/>
        <w:spacing w:after="0" w:line="268"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1060" w:right="480" w:hanging="316"/>
        <w:spacing w:after="0" w:line="332"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6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175260</wp:posOffset>
            </wp:positionV>
            <wp:extent cx="1397635" cy="488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$1,250,000,000 Floating Rate Notes due 2020</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$1,000,000,000 Floating Rate Notes due 2021</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$500,000,000 Floating Rate Notes due 2024</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$1,750,000,000 3.300% Notes due 2020</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$2,000,000,000 3.450% Notes due 2021</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$2,500,000,000 3.700% Notes due 2024</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$3,000,000,000 3.950% Notes due 2025</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$4,000,000,000 4.150% Notes due 2028</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$1,500,000,000 4.250% Notes due 2030</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$3,000,000,000 4.600% Notes due 2038</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$4,000,000,000 4.700% Notes due 2048</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$2,500,000,000 4.950% Notes due 2058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406400</wp:posOffset>
            </wp:positionV>
            <wp:extent cx="1466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375"/>
        </w:trPr>
        <w:tc>
          <w:tcPr>
            <w:tcW w:w="3540" w:type="dxa"/>
            <w:vAlign w:val="bottom"/>
          </w:tcPr>
          <w:p>
            <w:pPr>
              <w:spacing w:after="0"/>
              <w:rPr>
                <w:sz w:val="20"/>
                <w:szCs w:val="20"/>
                <w:color w:val="auto"/>
              </w:rPr>
            </w:pPr>
            <w:r>
              <w:rPr>
                <w:rFonts w:ascii="Arial" w:cs="Arial" w:eastAsia="Arial" w:hAnsi="Arial"/>
                <w:sz w:val="29"/>
                <w:szCs w:val="29"/>
                <w:b w:val="1"/>
                <w:bCs w:val="1"/>
                <w:color w:val="auto"/>
              </w:rPr>
              <w:t>BofA Merrill Lynch</w:t>
            </w: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29"/>
                <w:szCs w:val="29"/>
                <w:b w:val="1"/>
                <w:bCs w:val="1"/>
                <w:color w:val="auto"/>
              </w:rPr>
              <w:t>Wells Fargo Securities</w:t>
            </w:r>
          </w:p>
        </w:tc>
        <w:tc>
          <w:tcPr>
            <w:tcW w:w="0" w:type="dxa"/>
            <w:vAlign w:val="bottom"/>
          </w:tcPr>
          <w:p>
            <w:pPr>
              <w:spacing w:after="0"/>
              <w:rPr>
                <w:sz w:val="1"/>
                <w:szCs w:val="1"/>
                <w:color w:val="auto"/>
              </w:rPr>
            </w:pPr>
          </w:p>
        </w:tc>
      </w:tr>
      <w:tr>
        <w:trPr>
          <w:trHeight w:val="473"/>
        </w:trPr>
        <w:tc>
          <w:tcPr>
            <w:tcW w:w="3540" w:type="dxa"/>
            <w:vAlign w:val="bottom"/>
          </w:tcPr>
          <w:p>
            <w:pPr>
              <w:spacing w:after="0"/>
              <w:rPr>
                <w:sz w:val="20"/>
                <w:szCs w:val="20"/>
                <w:color w:val="auto"/>
              </w:rPr>
            </w:pPr>
            <w:r>
              <w:rPr>
                <w:rFonts w:ascii="Arial" w:cs="Arial" w:eastAsia="Arial" w:hAnsi="Arial"/>
                <w:sz w:val="29"/>
                <w:szCs w:val="29"/>
                <w:b w:val="1"/>
                <w:bCs w:val="1"/>
                <w:color w:val="auto"/>
              </w:rPr>
              <w:t>Credit Suisse</w:t>
            </w: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29"/>
                <w:szCs w:val="29"/>
                <w:b w:val="1"/>
                <w:bCs w:val="1"/>
                <w:color w:val="auto"/>
              </w:rPr>
              <w:t>Mizuho Securities</w:t>
            </w:r>
          </w:p>
        </w:tc>
        <w:tc>
          <w:tcPr>
            <w:tcW w:w="0" w:type="dxa"/>
            <w:vAlign w:val="bottom"/>
          </w:tcPr>
          <w:p>
            <w:pPr>
              <w:spacing w:after="0"/>
              <w:rPr>
                <w:sz w:val="1"/>
                <w:szCs w:val="1"/>
                <w:color w:val="auto"/>
              </w:rPr>
            </w:pPr>
          </w:p>
        </w:tc>
      </w:tr>
      <w:tr>
        <w:trPr>
          <w:trHeight w:val="473"/>
        </w:trPr>
        <w:tc>
          <w:tcPr>
            <w:tcW w:w="3540" w:type="dxa"/>
            <w:vAlign w:val="bottom"/>
          </w:tcPr>
          <w:p>
            <w:pPr>
              <w:spacing w:after="0"/>
              <w:rPr>
                <w:sz w:val="20"/>
                <w:szCs w:val="20"/>
                <w:color w:val="auto"/>
              </w:rPr>
            </w:pPr>
            <w:r>
              <w:rPr>
                <w:rFonts w:ascii="Arial" w:cs="Arial" w:eastAsia="Arial" w:hAnsi="Arial"/>
                <w:sz w:val="29"/>
                <w:szCs w:val="29"/>
                <w:b w:val="1"/>
                <w:bCs w:val="1"/>
                <w:color w:val="auto"/>
              </w:rPr>
              <w:t>MUFG</w:t>
            </w: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29"/>
                <w:szCs w:val="29"/>
                <w:b w:val="1"/>
                <w:bCs w:val="1"/>
                <w:color w:val="auto"/>
              </w:rPr>
              <w:t>SMBC Nikko</w:t>
            </w:r>
          </w:p>
        </w:tc>
        <w:tc>
          <w:tcPr>
            <w:tcW w:w="0" w:type="dxa"/>
            <w:vAlign w:val="bottom"/>
          </w:tcPr>
          <w:p>
            <w:pPr>
              <w:spacing w:after="0"/>
              <w:rPr>
                <w:sz w:val="1"/>
                <w:szCs w:val="1"/>
                <w:color w:val="auto"/>
              </w:rPr>
            </w:pPr>
          </w:p>
        </w:tc>
      </w:tr>
      <w:tr>
        <w:trPr>
          <w:trHeight w:val="495"/>
        </w:trPr>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gridSpan w:val="2"/>
          </w:tcPr>
          <w:p>
            <w:pPr>
              <w:jc w:val="center"/>
              <w:ind w:right="780"/>
              <w:spacing w:after="0"/>
              <w:rPr>
                <w:sz w:val="20"/>
                <w:szCs w:val="20"/>
                <w:color w:val="auto"/>
              </w:rPr>
            </w:pPr>
            <w:r>
              <w:rPr>
                <w:rFonts w:ascii="Arial" w:cs="Arial" w:eastAsia="Arial" w:hAnsi="Arial"/>
                <w:sz w:val="22"/>
                <w:szCs w:val="22"/>
                <w:b w:val="1"/>
                <w:bCs w:val="1"/>
                <w:i w:val="1"/>
                <w:iCs w:val="1"/>
                <w:color w:val="auto"/>
                <w:w w:val="87"/>
              </w:rPr>
              <w:t>Co-Managers</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540" w:type="dxa"/>
            <w:vAlign w:val="bottom"/>
          </w:tcPr>
          <w:p>
            <w:pPr>
              <w:jc w:val="center"/>
              <w:ind w:left="12"/>
              <w:spacing w:after="0"/>
              <w:rPr>
                <w:sz w:val="20"/>
                <w:szCs w:val="20"/>
                <w:color w:val="auto"/>
              </w:rPr>
            </w:pPr>
            <w:r>
              <w:rPr>
                <w:rFonts w:ascii="Arial" w:cs="Arial" w:eastAsia="Arial" w:hAnsi="Arial"/>
                <w:sz w:val="18"/>
                <w:szCs w:val="18"/>
                <w:b w:val="1"/>
                <w:bCs w:val="1"/>
                <w:color w:val="auto"/>
                <w:w w:val="95"/>
              </w:rPr>
              <w:t>BNP PARIBAS</w:t>
            </w:r>
          </w:p>
        </w:tc>
        <w:tc>
          <w:tcPr>
            <w:tcW w:w="820" w:type="dxa"/>
            <w:vAlign w:val="bottom"/>
          </w:tcPr>
          <w:p>
            <w:pPr>
              <w:spacing w:after="0"/>
              <w:rPr>
                <w:sz w:val="24"/>
                <w:szCs w:val="24"/>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RBC Capital Markets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TD Securities</w:t>
            </w:r>
          </w:p>
        </w:tc>
        <w:tc>
          <w:tcPr>
            <w:tcW w:w="0" w:type="dxa"/>
            <w:vAlign w:val="bottom"/>
          </w:tcPr>
          <w:p>
            <w:pPr>
              <w:spacing w:after="0"/>
              <w:rPr>
                <w:sz w:val="1"/>
                <w:szCs w:val="1"/>
                <w:color w:val="auto"/>
              </w:rPr>
            </w:pPr>
          </w:p>
        </w:tc>
      </w:tr>
      <w:tr>
        <w:trPr>
          <w:trHeight w:val="216"/>
        </w:trPr>
        <w:tc>
          <w:tcPr>
            <w:tcW w:w="3540" w:type="dxa"/>
            <w:vAlign w:val="bottom"/>
          </w:tcPr>
          <w:p>
            <w:pPr>
              <w:jc w:val="center"/>
              <w:ind w:left="12"/>
              <w:spacing w:after="0"/>
              <w:rPr>
                <w:sz w:val="20"/>
                <w:szCs w:val="20"/>
                <w:color w:val="auto"/>
              </w:rPr>
            </w:pPr>
            <w:r>
              <w:rPr>
                <w:rFonts w:ascii="Arial" w:cs="Arial" w:eastAsia="Arial" w:hAnsi="Arial"/>
                <w:sz w:val="18"/>
                <w:szCs w:val="18"/>
                <w:b w:val="1"/>
                <w:bCs w:val="1"/>
                <w:color w:val="auto"/>
              </w:rPr>
              <w:t>COMMERZBANK</w:t>
            </w:r>
          </w:p>
        </w:tc>
        <w:tc>
          <w:tcPr>
            <w:tcW w:w="82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DNB Markets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6"/>
              </w:rPr>
              <w:t>PNC Capital Markets LLC</w:t>
            </w:r>
          </w:p>
        </w:tc>
        <w:tc>
          <w:tcPr>
            <w:tcW w:w="0" w:type="dxa"/>
            <w:vAlign w:val="bottom"/>
          </w:tcPr>
          <w:p>
            <w:pPr>
              <w:spacing w:after="0"/>
              <w:rPr>
                <w:sz w:val="1"/>
                <w:szCs w:val="1"/>
                <w:color w:val="auto"/>
              </w:rPr>
            </w:pPr>
          </w:p>
        </w:tc>
      </w:tr>
      <w:tr>
        <w:trPr>
          <w:trHeight w:val="234"/>
        </w:trPr>
        <w:tc>
          <w:tcPr>
            <w:tcW w:w="3540" w:type="dxa"/>
            <w:vAlign w:val="bottom"/>
          </w:tcPr>
          <w:p>
            <w:pPr>
              <w:jc w:val="center"/>
              <w:ind w:left="12"/>
              <w:spacing w:after="0"/>
              <w:rPr>
                <w:sz w:val="20"/>
                <w:szCs w:val="20"/>
                <w:color w:val="auto"/>
              </w:rPr>
            </w:pPr>
            <w:r>
              <w:rPr>
                <w:rFonts w:ascii="Arial" w:cs="Arial" w:eastAsia="Arial" w:hAnsi="Arial"/>
                <w:sz w:val="18"/>
                <w:szCs w:val="18"/>
                <w:b w:val="1"/>
                <w:bCs w:val="1"/>
                <w:color w:val="auto"/>
              </w:rPr>
              <w:t>SOCIETE GENERALE</w:t>
            </w:r>
          </w:p>
        </w:tc>
        <w:tc>
          <w:tcPr>
            <w:tcW w:w="820" w:type="dxa"/>
            <w:vAlign w:val="bottom"/>
          </w:tcPr>
          <w:p>
            <w:pPr>
              <w:spacing w:after="0"/>
              <w:rPr>
                <w:sz w:val="20"/>
                <w:szCs w:val="20"/>
                <w:color w:val="auto"/>
              </w:rPr>
            </w:pPr>
          </w:p>
        </w:tc>
        <w:tc>
          <w:tcPr>
            <w:tcW w:w="3080" w:type="dxa"/>
            <w:vAlign w:val="bottom"/>
            <w:gridSpan w:val="2"/>
            <w:vMerge w:val="restart"/>
          </w:tcPr>
          <w:p>
            <w:pPr>
              <w:jc w:val="center"/>
              <w:ind w:right="640"/>
              <w:spacing w:after="0"/>
              <w:rPr>
                <w:sz w:val="20"/>
                <w:szCs w:val="20"/>
                <w:color w:val="auto"/>
              </w:rPr>
            </w:pPr>
            <w:r>
              <w:rPr>
                <w:rFonts w:ascii="Arial" w:cs="Arial" w:eastAsia="Arial" w:hAnsi="Arial"/>
                <w:sz w:val="18"/>
                <w:szCs w:val="18"/>
                <w:b w:val="1"/>
                <w:bCs w:val="1"/>
                <w:color w:val="auto"/>
                <w:w w:val="90"/>
              </w:rPr>
              <w:t>Santander</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US Bancorp</w:t>
            </w: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Academy Securities</w:t>
            </w:r>
          </w:p>
        </w:tc>
        <w:tc>
          <w:tcPr>
            <w:tcW w:w="82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5"/>
              </w:rPr>
              <w:t>Apto Partners, LLC</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CastleOak Securities, L.P.</w:t>
            </w:r>
          </w:p>
        </w:tc>
        <w:tc>
          <w:tcPr>
            <w:tcW w:w="0" w:type="dxa"/>
            <w:vAlign w:val="bottom"/>
          </w:tcPr>
          <w:p>
            <w:pPr>
              <w:spacing w:after="0"/>
              <w:rPr>
                <w:sz w:val="1"/>
                <w:szCs w:val="1"/>
                <w:color w:val="auto"/>
              </w:rPr>
            </w:pPr>
          </w:p>
        </w:tc>
      </w:tr>
      <w:tr>
        <w:trPr>
          <w:trHeight w:val="216"/>
        </w:trPr>
        <w:tc>
          <w:tcPr>
            <w:tcW w:w="354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Great Pacific Securities</w:t>
            </w:r>
          </w:p>
        </w:tc>
        <w:tc>
          <w:tcPr>
            <w:tcW w:w="820" w:type="dxa"/>
            <w:vAlign w:val="bottom"/>
          </w:tcPr>
          <w:p>
            <w:pPr>
              <w:spacing w:after="0"/>
              <w:rPr>
                <w:sz w:val="18"/>
                <w:szCs w:val="18"/>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MFR Securities, Inc.</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Mischler Financial Group, Inc.</w:t>
            </w: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Multi-Bank Securities, Inc.</w:t>
            </w:r>
          </w:p>
        </w:tc>
        <w:tc>
          <w:tcPr>
            <w:tcW w:w="820" w:type="dxa"/>
            <w:vAlign w:val="bottom"/>
          </w:tcPr>
          <w:p>
            <w:pPr>
              <w:spacing w:after="0"/>
              <w:rPr>
                <w:sz w:val="19"/>
                <w:szCs w:val="19"/>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R. Seelaus &amp; Co., Inc.</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5"/>
              </w:rPr>
              <w:t>Ramirez &amp; Co., Inc.</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The Williams Capital Group, L.P.</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October 2, 2018</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411480</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471805</wp:posOffset>
            </wp:positionV>
            <wp:extent cx="699770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6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
      <w:numFmt w:val="bullet"/>
      <w:start w:val="1"/>
    </w:lvl>
    <w:lvl w:ilvl="1">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1)"/>
      <w:numFmt w:val="lowerRoman"/>
      <w:start w:val="1"/>
    </w:lvl>
  </w:abstractNum>
  <w:abstractNum w:abstractNumId="11">
    <w:nsid w:val="22221A70"/>
    <w:multiLevelType w:val="hybridMultilevel"/>
    <w:lvl w:ilvl="0">
      <w:lvlJc w:val="left"/>
      <w:lvlText w:val="(%1)"/>
      <w:numFmt w:val="lowerRoman"/>
      <w:start w:val="3"/>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3"/>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Roman"/>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2"/>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3"/>
    </w:lvl>
  </w:abstractNum>
  <w:abstractNum w:abstractNumId="34">
    <w:nsid w:val="725A06FB"/>
    <w:multiLevelType w:val="hybridMultilevel"/>
    <w:lvl w:ilvl="0">
      <w:lvlJc w:val="left"/>
      <w:lvlText w:val="(%1)"/>
      <w:numFmt w:val="lowerLetter"/>
      <w:start w:val="12"/>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
      <w:numFmt w:val="bullet"/>
      <w:start w:val="1"/>
    </w:lvl>
    <w:lvl w:ilvl="1">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lvl w:ilvl="1">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2019-12-06T20:21:18Z</dcterms:created>
  <dcterms:modified xsi:type="dcterms:W3CDTF">2019-12-06T20:21:18Z</dcterms:modified>
</cp:coreProperties>
</file>