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29,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001-32871</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One Comcast Center</w:t>
            </w:r>
          </w:p>
        </w:tc>
        <w:tc>
          <w:tcPr>
            <w:tcW w:w="4020" w:type="dxa"/>
            <w:vAlign w:val="bottom"/>
          </w:tcPr>
          <w:p>
            <w:pPr>
              <w:spacing w:after="0"/>
              <w:rPr>
                <w:sz w:val="24"/>
                <w:szCs w:val="24"/>
                <w:color w:val="auto"/>
              </w:rPr>
            </w:pPr>
          </w:p>
        </w:tc>
      </w:t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Philadelphia, PA</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(Address of Principal Executive Offices)</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20" w:firstLine="332"/>
        <w:spacing w:after="0" w:line="509"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5740" w:type="dxa"/>
            <w:vAlign w:val="bottom"/>
            <w:tcBorders>
              <w:top w:val="single" w:sz="8" w:color="auto"/>
              <w:left w:val="single" w:sz="8" w:color="auto"/>
              <w:right w:val="single" w:sz="8" w:color="auto"/>
            </w:tcBorders>
          </w:tcPr>
          <w:p>
            <w:pPr>
              <w:spacing w:after="0"/>
              <w:rPr>
                <w:sz w:val="19"/>
                <w:szCs w:val="19"/>
                <w:color w:val="auto"/>
              </w:rPr>
            </w:pPr>
          </w:p>
        </w:tc>
        <w:tc>
          <w:tcPr>
            <w:tcW w:w="2260" w:type="dxa"/>
            <w:vAlign w:val="bottom"/>
            <w:tcBorders>
              <w:top w:val="single" w:sz="8" w:color="auto"/>
              <w:right w:val="single" w:sz="8" w:color="auto"/>
            </w:tcBorders>
          </w:tcPr>
          <w:p>
            <w:pPr>
              <w:spacing w:after="0"/>
              <w:rPr>
                <w:sz w:val="19"/>
                <w:szCs w:val="19"/>
                <w:color w:val="auto"/>
              </w:rPr>
            </w:pPr>
          </w:p>
        </w:tc>
        <w:tc>
          <w:tcPr>
            <w:tcW w:w="34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Name of each exchange on which</w:t>
            </w:r>
          </w:p>
        </w:tc>
      </w:tr>
      <w:tr>
        <w:trPr>
          <w:trHeight w:val="234"/>
        </w:trPr>
        <w:tc>
          <w:tcPr>
            <w:tcW w:w="5740" w:type="dxa"/>
            <w:vAlign w:val="bottom"/>
            <w:tcBorders>
              <w:left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Trading Symbol(s)</w:t>
            </w:r>
          </w:p>
        </w:tc>
        <w:tc>
          <w:tcPr>
            <w:tcW w:w="3420" w:type="dxa"/>
            <w:vAlign w:val="bottom"/>
            <w:tcBorders>
              <w:right w:val="single" w:sz="8" w:color="auto"/>
            </w:tcBorders>
          </w:tcPr>
          <w:p>
            <w:pPr>
              <w:ind w:left="1320"/>
              <w:spacing w:after="0"/>
              <w:rPr>
                <w:sz w:val="20"/>
                <w:szCs w:val="20"/>
                <w:color w:val="auto"/>
              </w:rPr>
            </w:pPr>
            <w:r>
              <w:rPr>
                <w:rFonts w:ascii="Arial" w:cs="Arial" w:eastAsia="Arial" w:hAnsi="Arial"/>
                <w:sz w:val="18"/>
                <w:szCs w:val="18"/>
                <w:b w:val="1"/>
                <w:bCs w:val="1"/>
                <w:color w:val="auto"/>
              </w:rPr>
              <w:t>registered</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 $0.01 par value</w:t>
            </w:r>
          </w:p>
        </w:tc>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CMCSA</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Nasdaq Global Select Market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 Exchangeable Subordinated Debentures due 2029</w:t>
            </w:r>
          </w:p>
        </w:tc>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CCZ</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5.50% Notes due 2029</w:t>
            </w:r>
          </w:p>
        </w:tc>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CCGBP29</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9.455% Guaranteed Notes due 2022</w:t>
            </w:r>
          </w:p>
        </w:tc>
        <w:tc>
          <w:tcPr>
            <w:tcW w:w="2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CMCSA/22</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As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previously reported on April 26, 2019, Sky Limited (formerly known as Sky plc) had received all requisite consents with respect amending certain terms of the Notes (as defined below). Accordingly, on and effective as of May 29, 2019, Comcast irrevocably, fully and unconditionally guaranteed the payment of principal and interest on each series of the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Notes</w:t>
      </w:r>
      <w:r>
        <w:rPr>
          <w:rFonts w:ascii="Arial" w:cs="Arial" w:eastAsia="Arial" w:hAnsi="Arial"/>
          <w:sz w:val="18"/>
          <w:szCs w:val="18"/>
          <w:color w:val="auto"/>
        </w:rPr>
        <w:t>” means the following series of notes: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$750,000,000 2.625% Notes due 2019 (ISIN: USG15632AQ89/US111013AM04);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£450,000,000 2.875% Guaranteed Notes due 2020 (ISIN: XS1141970092);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€600,000,000 Guaranteed Floating Rate Notes due 2020 (ISIN XS1212467911);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€1,500,000,000 1.500% Guaranteed Notes due 2021 (ISIN: XS1109741246);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$800,000,000 3.125% Notes due 2022 (ISIN: USG15632AN58/US111013AK48);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€850,000,000 1.875% Notes due 2023 (ISIN: XS1141969912);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$1,250,000,000 3.750 Notes due 2024 (ISIN: USG15632AP07/US111013AL21);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€500,000,000 2.250% Guaranteed Notes due 2025 (ISIN: XS1321424670);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€1,000,000,000 2.500% Guaranteed Notes due 2026 (ISIN: XS1109741329);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£300,000,000 6.000% Guaranteed Notes due 2027 (ISIN: XS0301676861);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£300,000,000 4.000% Guaranteed Notes due 2029 (ISIN: XS1141970175);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€400,000,000 2.750% Guaranteed Notes due 2029 (ISIN: XS1143502901);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$350,000,000 6.500% Notes due 2035 (ISIN: USG1658KAB73/US11778BAB80).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62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COMCAST CORPORATION</w:t>
            </w:r>
          </w:p>
        </w:tc>
        <w:tc>
          <w:tcPr>
            <w:tcW w:w="11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May 29, 2019</w:t>
            </w:r>
          </w:p>
        </w:tc>
        <w:tc>
          <w:tcPr>
            <w:tcW w:w="6620" w:type="dxa"/>
            <w:vAlign w:val="bottom"/>
            <w:gridSpan w:val="2"/>
          </w:tcPr>
          <w:p>
            <w:pPr>
              <w:ind w:left="2060"/>
              <w:spacing w:after="0"/>
              <w:rPr>
                <w:sz w:val="20"/>
                <w:szCs w:val="20"/>
                <w:color w:val="auto"/>
              </w:rPr>
            </w:pPr>
            <w:r>
              <w:rPr>
                <w:rFonts w:ascii="Arial" w:cs="Arial" w:eastAsia="Arial" w:hAnsi="Arial"/>
                <w:sz w:val="18"/>
                <w:szCs w:val="18"/>
                <w:color w:val="auto"/>
              </w:rPr>
              <w:t>By:  /s/ Thomas J. Reid</w:t>
            </w:r>
          </w:p>
        </w:tc>
        <w:tc>
          <w:tcPr>
            <w:tcW w:w="11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J. Reid</w:t>
            </w:r>
          </w:p>
        </w:tc>
        <w:tc>
          <w:tcPr>
            <w:tcW w:w="11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Senior Executive Vice President, General Counsel and</w:t>
            </w:r>
          </w:p>
        </w:tc>
        <w:tc>
          <w:tcPr>
            <w:tcW w:w="11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Secretary</w:t>
            </w:r>
          </w:p>
        </w:tc>
        <w:tc>
          <w:tcPr>
            <w:tcW w:w="1140" w:type="dxa"/>
            <w:vAlign w:val="bottom"/>
          </w:tcPr>
          <w:p>
            <w:pPr>
              <w:spacing w:after="0"/>
              <w:rPr>
                <w:sz w:val="20"/>
                <w:szCs w:val="20"/>
                <w:color w:val="auto"/>
              </w:rPr>
            </w:pPr>
          </w:p>
        </w:tc>
      </w:tr>
      <w:tr>
        <w:trPr>
          <w:trHeight w:val="311"/>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2019-12-02T07:05:05Z</dcterms:created>
  <dcterms:modified xsi:type="dcterms:W3CDTF">2019-12-02T07:05:05Z</dcterms:modified>
</cp:coreProperties>
</file>