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3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EVINE Live, Inc.</w:t>
      </w:r>
    </w:p>
    <w:p>
      <w:pPr>
        <w:spacing w:after="0" w:line="3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92047K-10-7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Arthur R. Block,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and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Philadelphia, Pennsylvania 19103-2838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 Chudd,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Davis Polk &amp; Wardwell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450-4000</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Receive Notices and Communications)</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29, 2016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 o</w:t>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671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671945"/>
                    </a:xfrm>
                    <a:prstGeom prst="rect">
                      <a:avLst/>
                    </a:prstGeom>
                    <a:noFill/>
                  </pic:spPr>
                </pic:pic>
              </a:graphicData>
            </a:graphic>
          </wp:anchor>
        </w:drawing>
        <w:t>CUSIP No. 92047K-10-7</w:t>
      </w:r>
    </w:p>
    <w:p>
      <w:pPr>
        <w:spacing w:after="0" w:line="148" w:lineRule="exact"/>
        <w:rPr>
          <w:sz w:val="20"/>
          <w:szCs w:val="20"/>
          <w:color w:val="auto"/>
        </w:rPr>
      </w:pPr>
    </w:p>
    <w:p>
      <w:pPr>
        <w:ind w:left="1140" w:hanging="661"/>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8"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Comcast Corporation</w:t>
      </w:r>
    </w:p>
    <w:p>
      <w:pPr>
        <w:spacing w:after="0" w:line="80" w:lineRule="exact"/>
        <w:rPr>
          <w:rFonts w:ascii="Times New Roman" w:cs="Times New Roman" w:eastAsia="Times New Roman" w:hAnsi="Times New Roman"/>
          <w:sz w:val="18"/>
          <w:szCs w:val="18"/>
          <w:color w:val="auto"/>
        </w:rPr>
      </w:pPr>
    </w:p>
    <w:p>
      <w:pPr>
        <w:ind w:left="1140" w:hanging="661"/>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rFonts w:ascii="Times New Roman" w:cs="Times New Roman" w:eastAsia="Times New Roman" w:hAnsi="Times New Roman"/>
          <w:sz w:val="18"/>
          <w:szCs w:val="18"/>
          <w:color w:val="auto"/>
        </w:rPr>
      </w:pPr>
    </w:p>
    <w:p>
      <w:pPr>
        <w:ind w:left="1400" w:hanging="255"/>
        <w:spacing w:after="0"/>
        <w:tabs>
          <w:tab w:leader="none" w:pos="1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7" w:lineRule="exact"/>
        <w:rPr>
          <w:rFonts w:ascii="Times New Roman" w:cs="Times New Roman" w:eastAsia="Times New Roman" w:hAnsi="Times New Roman"/>
          <w:sz w:val="18"/>
          <w:szCs w:val="18"/>
          <w:color w:val="auto"/>
        </w:rPr>
      </w:pPr>
    </w:p>
    <w:p>
      <w:pPr>
        <w:ind w:left="1400" w:hanging="255"/>
        <w:spacing w:after="0" w:line="207" w:lineRule="exact"/>
        <w:tabs>
          <w:tab w:leader="none" w:pos="1400" w:val="left"/>
        </w:tabs>
        <w:numPr>
          <w:ilvl w:val="1"/>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8" w:lineRule="exact"/>
        <w:rPr>
          <w:rFonts w:ascii="Times New Roman" w:cs="Times New Roman" w:eastAsia="Times New Roman" w:hAnsi="Times New Roman"/>
          <w:sz w:val="18"/>
          <w:szCs w:val="18"/>
          <w:color w:val="auto"/>
        </w:rPr>
      </w:pPr>
    </w:p>
    <w:p>
      <w:pPr>
        <w:ind w:left="1140" w:hanging="661"/>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140" w:hanging="661"/>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00" w:type="dxa"/>
            <w:vAlign w:val="bottom"/>
          </w:tcPr>
          <w:p>
            <w:pPr>
              <w:spacing w:after="0"/>
              <w:rPr>
                <w:sz w:val="20"/>
                <w:szCs w:val="20"/>
                <w:color w:val="auto"/>
              </w:rPr>
            </w:pPr>
          </w:p>
        </w:tc>
      </w:tr>
      <w:tr>
        <w:trPr>
          <w:trHeight w:val="28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5.</w:t>
            </w:r>
          </w:p>
        </w:tc>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30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70"/>
              </w:rPr>
              <w:t>o</w:t>
            </w:r>
          </w:p>
        </w:tc>
      </w:tr>
    </w:tbl>
    <w:p>
      <w:pPr>
        <w:spacing w:after="0" w:line="292" w:lineRule="exact"/>
        <w:rPr>
          <w:sz w:val="20"/>
          <w:szCs w:val="20"/>
          <w:color w:val="auto"/>
        </w:rPr>
      </w:pPr>
    </w:p>
    <w:p>
      <w:pPr>
        <w:ind w:left="1140" w:hanging="661"/>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Pennsylvania</w:t>
      </w:r>
    </w:p>
    <w:p>
      <w:pPr>
        <w:spacing w:after="0" w:line="80" w:lineRule="exact"/>
        <w:rPr>
          <w:rFonts w:ascii="Times New Roman" w:cs="Times New Roman" w:eastAsia="Times New Roman" w:hAnsi="Times New Roman"/>
          <w:sz w:val="18"/>
          <w:szCs w:val="18"/>
          <w:color w:val="auto"/>
        </w:rPr>
      </w:pPr>
    </w:p>
    <w:p>
      <w:pPr>
        <w:ind w:left="2840" w:hanging="652"/>
        <w:spacing w:after="0"/>
        <w:tabs>
          <w:tab w:leader="none" w:pos="28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7,141,849 (see Item 5)</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920" w:type="dxa"/>
            <w:vAlign w:val="bottom"/>
            <w:tcBorders>
              <w:bottom w:val="single" w:sz="8" w:color="auto"/>
            </w:tcBorders>
          </w:tcPr>
          <w:p>
            <w:pPr>
              <w:spacing w:after="0"/>
              <w:rPr>
                <w:sz w:val="21"/>
                <w:szCs w:val="21"/>
                <w:color w:val="auto"/>
              </w:rPr>
            </w:pPr>
          </w:p>
        </w:tc>
        <w:tc>
          <w:tcPr>
            <w:tcW w:w="8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920" w:type="dxa"/>
            <w:vAlign w:val="bottom"/>
          </w:tcPr>
          <w:p>
            <w:pPr>
              <w:spacing w:after="0"/>
              <w:rPr>
                <w:sz w:val="18"/>
                <w:szCs w:val="18"/>
                <w:color w:val="auto"/>
              </w:rPr>
            </w:pP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0 (see Item 5)</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92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REPORTING</w:t>
            </w:r>
          </w:p>
        </w:tc>
        <w:tc>
          <w:tcPr>
            <w:tcW w:w="92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9.</w:t>
            </w:r>
          </w:p>
        </w:tc>
        <w:tc>
          <w:tcPr>
            <w:tcW w:w="878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7,141,849 (see Item 5)</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840" w:hanging="697"/>
        <w:spacing w:after="0"/>
        <w:tabs>
          <w:tab w:leader="none" w:pos="28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1" w:lineRule="exact"/>
        <w:rPr>
          <w:rFonts w:ascii="Times New Roman" w:cs="Times New Roman" w:eastAsia="Times New Roman" w:hAnsi="Times New Roman"/>
          <w:sz w:val="18"/>
          <w:szCs w:val="18"/>
          <w:color w:val="auto"/>
        </w:rPr>
      </w:pPr>
    </w:p>
    <w:p>
      <w:pPr>
        <w:ind w:left="2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 (see Item 5)</w:t>
      </w:r>
    </w:p>
    <w:p>
      <w:pPr>
        <w:spacing w:after="0" w:line="80" w:lineRule="exact"/>
        <w:rPr>
          <w:rFonts w:ascii="Times New Roman" w:cs="Times New Roman" w:eastAsia="Times New Roman" w:hAnsi="Times New Roman"/>
          <w:sz w:val="18"/>
          <w:szCs w:val="18"/>
          <w:color w:val="auto"/>
        </w:rPr>
      </w:pPr>
    </w:p>
    <w:p>
      <w:pPr>
        <w:ind w:left="1140" w:hanging="70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7,141,849 (see Item 5)</w:t>
      </w:r>
    </w:p>
    <w:p>
      <w:pPr>
        <w:spacing w:after="0" w:line="81"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12.</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o</w:t>
            </w:r>
          </w:p>
        </w:tc>
      </w:tr>
    </w:tbl>
    <w:p>
      <w:pPr>
        <w:spacing w:after="0" w:line="292" w:lineRule="exact"/>
        <w:rPr>
          <w:sz w:val="20"/>
          <w:szCs w:val="20"/>
          <w:color w:val="auto"/>
        </w:rPr>
      </w:pPr>
    </w:p>
    <w:p>
      <w:pPr>
        <w:ind w:left="1140" w:hanging="706"/>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12.5% (see Item 5)</w:t>
      </w:r>
    </w:p>
    <w:p>
      <w:pPr>
        <w:spacing w:after="0" w:line="80" w:lineRule="exact"/>
        <w:rPr>
          <w:rFonts w:ascii="Times New Roman" w:cs="Times New Roman" w:eastAsia="Times New Roman" w:hAnsi="Times New Roman"/>
          <w:sz w:val="18"/>
          <w:szCs w:val="18"/>
          <w:color w:val="auto"/>
        </w:rPr>
      </w:pPr>
    </w:p>
    <w:p>
      <w:pPr>
        <w:ind w:left="1140" w:hanging="706"/>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Page 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198"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551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551930"/>
                    </a:xfrm>
                    <a:prstGeom prst="rect">
                      <a:avLst/>
                    </a:prstGeom>
                    <a:noFill/>
                  </pic:spPr>
                </pic:pic>
              </a:graphicData>
            </a:graphic>
          </wp:anchor>
        </w:drawing>
        <w:t>CUSIP No. 92047K-10-7</w:t>
      </w:r>
    </w:p>
    <w:p>
      <w:pPr>
        <w:spacing w:after="0" w:line="148" w:lineRule="exact"/>
        <w:rPr>
          <w:sz w:val="20"/>
          <w:szCs w:val="20"/>
          <w:color w:val="auto"/>
        </w:rPr>
      </w:pPr>
    </w:p>
    <w:p>
      <w:pPr>
        <w:ind w:left="1140" w:hanging="661"/>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8"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NBCUniversal, LLC</w:t>
      </w:r>
    </w:p>
    <w:p>
      <w:pPr>
        <w:spacing w:after="0" w:line="80" w:lineRule="exact"/>
        <w:rPr>
          <w:rFonts w:ascii="Times New Roman" w:cs="Times New Roman" w:eastAsia="Times New Roman" w:hAnsi="Times New Roman"/>
          <w:sz w:val="18"/>
          <w:szCs w:val="18"/>
          <w:color w:val="auto"/>
        </w:rPr>
      </w:pPr>
    </w:p>
    <w:p>
      <w:pPr>
        <w:ind w:left="1140" w:hanging="661"/>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rFonts w:ascii="Times New Roman" w:cs="Times New Roman" w:eastAsia="Times New Roman" w:hAnsi="Times New Roman"/>
          <w:sz w:val="18"/>
          <w:szCs w:val="18"/>
          <w:color w:val="auto"/>
        </w:rPr>
      </w:pPr>
    </w:p>
    <w:p>
      <w:pPr>
        <w:ind w:left="1400" w:hanging="255"/>
        <w:spacing w:after="0"/>
        <w:tabs>
          <w:tab w:leader="none" w:pos="14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7" w:lineRule="exact"/>
        <w:rPr>
          <w:rFonts w:ascii="Times New Roman" w:cs="Times New Roman" w:eastAsia="Times New Roman" w:hAnsi="Times New Roman"/>
          <w:sz w:val="18"/>
          <w:szCs w:val="18"/>
          <w:color w:val="auto"/>
        </w:rPr>
      </w:pPr>
    </w:p>
    <w:p>
      <w:pPr>
        <w:ind w:left="1400" w:hanging="255"/>
        <w:spacing w:after="0" w:line="207" w:lineRule="exact"/>
        <w:tabs>
          <w:tab w:leader="none" w:pos="140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8" w:lineRule="exact"/>
        <w:rPr>
          <w:rFonts w:ascii="Times New Roman" w:cs="Times New Roman" w:eastAsia="Times New Roman" w:hAnsi="Times New Roman"/>
          <w:sz w:val="18"/>
          <w:szCs w:val="18"/>
          <w:color w:val="auto"/>
        </w:rPr>
      </w:pPr>
    </w:p>
    <w:p>
      <w:pPr>
        <w:ind w:left="1140" w:hanging="661"/>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140" w:hanging="661"/>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40" w:type="dxa"/>
            <w:vAlign w:val="bottom"/>
          </w:tcPr>
          <w:p>
            <w:pPr>
              <w:spacing w:after="0"/>
              <w:rPr>
                <w:sz w:val="20"/>
                <w:szCs w:val="20"/>
                <w:color w:val="auto"/>
              </w:rPr>
            </w:pPr>
          </w:p>
        </w:tc>
      </w:tr>
      <w:tr>
        <w:trPr>
          <w:trHeight w:val="311"/>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5.</w:t>
            </w:r>
          </w:p>
        </w:tc>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o</w:t>
            </w:r>
          </w:p>
        </w:tc>
      </w:tr>
    </w:tbl>
    <w:p>
      <w:pPr>
        <w:spacing w:after="0" w:line="292" w:lineRule="exact"/>
        <w:rPr>
          <w:sz w:val="20"/>
          <w:szCs w:val="20"/>
          <w:color w:val="auto"/>
        </w:rPr>
      </w:pPr>
    </w:p>
    <w:p>
      <w:pPr>
        <w:ind w:left="1140" w:hanging="661"/>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80" w:lineRule="exact"/>
        <w:rPr>
          <w:rFonts w:ascii="Times New Roman" w:cs="Times New Roman" w:eastAsia="Times New Roman" w:hAnsi="Times New Roman"/>
          <w:sz w:val="18"/>
          <w:szCs w:val="18"/>
          <w:color w:val="auto"/>
        </w:rPr>
      </w:pPr>
    </w:p>
    <w:p>
      <w:pPr>
        <w:ind w:left="2840" w:hanging="652"/>
        <w:spacing w:after="0"/>
        <w:tabs>
          <w:tab w:leader="none" w:pos="2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920" w:type="dxa"/>
            <w:vAlign w:val="bottom"/>
          </w:tcPr>
          <w:p>
            <w:pPr>
              <w:spacing w:after="0"/>
              <w:rPr>
                <w:sz w:val="20"/>
                <w:szCs w:val="20"/>
                <w:color w:val="auto"/>
              </w:rPr>
            </w:pPr>
          </w:p>
        </w:tc>
        <w:tc>
          <w:tcPr>
            <w:tcW w:w="8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7,141,849 (see Item 5)</w:t>
            </w:r>
          </w:p>
        </w:tc>
        <w:tc>
          <w:tcPr>
            <w:tcW w:w="0" w:type="dxa"/>
            <w:vAlign w:val="bottom"/>
          </w:tcPr>
          <w:p>
            <w:pPr>
              <w:spacing w:after="0"/>
              <w:rPr>
                <w:sz w:val="1"/>
                <w:szCs w:val="1"/>
                <w:color w:val="auto"/>
              </w:rPr>
            </w:pPr>
          </w:p>
        </w:tc>
      </w:tr>
      <w:tr>
        <w:trPr>
          <w:trHeight w:val="27"/>
        </w:trPr>
        <w:tc>
          <w:tcPr>
            <w:tcW w:w="1660" w:type="dxa"/>
            <w:vAlign w:val="bottom"/>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60" w:type="dxa"/>
            <w:vAlign w:val="bottom"/>
            <w:vMerge w:val="continue"/>
          </w:tcPr>
          <w:p>
            <w:pPr>
              <w:spacing w:after="0"/>
              <w:rPr>
                <w:sz w:val="11"/>
                <w:szCs w:val="11"/>
                <w:color w:val="auto"/>
              </w:rPr>
            </w:pPr>
          </w:p>
        </w:tc>
        <w:tc>
          <w:tcPr>
            <w:tcW w:w="9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vMerge w:val="continue"/>
          </w:tcPr>
          <w:p>
            <w:pPr>
              <w:spacing w:after="0"/>
              <w:rPr>
                <w:sz w:val="8"/>
                <w:szCs w:val="8"/>
                <w:color w:val="auto"/>
              </w:rPr>
            </w:pPr>
          </w:p>
        </w:tc>
        <w:tc>
          <w:tcPr>
            <w:tcW w:w="8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8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920" w:type="dxa"/>
            <w:vAlign w:val="bottom"/>
          </w:tcPr>
          <w:p>
            <w:pPr>
              <w:spacing w:after="0"/>
              <w:rPr>
                <w:sz w:val="18"/>
                <w:szCs w:val="18"/>
                <w:color w:val="auto"/>
              </w:rPr>
            </w:pP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0 (see Item 5)</w:t>
            </w:r>
          </w:p>
        </w:tc>
        <w:tc>
          <w:tcPr>
            <w:tcW w:w="0" w:type="dxa"/>
            <w:vAlign w:val="bottom"/>
          </w:tcPr>
          <w:p>
            <w:pPr>
              <w:spacing w:after="0"/>
              <w:rPr>
                <w:sz w:val="1"/>
                <w:szCs w:val="1"/>
                <w:color w:val="auto"/>
              </w:rPr>
            </w:pPr>
          </w:p>
        </w:tc>
      </w:tr>
      <w:tr>
        <w:trPr>
          <w:trHeight w:val="99"/>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920" w:type="dxa"/>
            <w:vAlign w:val="bottom"/>
          </w:tcPr>
          <w:p>
            <w:pPr>
              <w:spacing w:after="0"/>
              <w:rPr>
                <w:sz w:val="8"/>
                <w:szCs w:val="8"/>
                <w:color w:val="auto"/>
              </w:rPr>
            </w:pPr>
          </w:p>
        </w:tc>
        <w:tc>
          <w:tcPr>
            <w:tcW w:w="8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60" w:type="dxa"/>
            <w:vAlign w:val="bottom"/>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60" w:type="dxa"/>
            <w:vAlign w:val="bottom"/>
            <w:vMerge w:val="continue"/>
          </w:tcPr>
          <w:p>
            <w:pPr>
              <w:spacing w:after="0"/>
              <w:rPr>
                <w:sz w:val="6"/>
                <w:szCs w:val="6"/>
                <w:color w:val="auto"/>
              </w:rPr>
            </w:pPr>
          </w:p>
        </w:tc>
        <w:tc>
          <w:tcPr>
            <w:tcW w:w="9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920" w:type="dxa"/>
            <w:vAlign w:val="bottom"/>
            <w:vMerge w:val="continue"/>
          </w:tcPr>
          <w:p>
            <w:pPr>
              <w:spacing w:after="0"/>
              <w:rPr>
                <w:sz w:val="14"/>
                <w:szCs w:val="14"/>
                <w:color w:val="auto"/>
              </w:rPr>
            </w:pPr>
          </w:p>
        </w:tc>
        <w:tc>
          <w:tcPr>
            <w:tcW w:w="8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6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20" w:type="dxa"/>
            <w:vAlign w:val="bottom"/>
          </w:tcPr>
          <w:p>
            <w:pPr>
              <w:spacing w:after="0"/>
              <w:rPr>
                <w:sz w:val="20"/>
                <w:szCs w:val="20"/>
                <w:color w:val="auto"/>
              </w:rPr>
            </w:pP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7,141,849 (see Item 5)</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840" w:hanging="697"/>
        <w:spacing w:after="0"/>
        <w:tabs>
          <w:tab w:leader="none" w:pos="2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1" w:lineRule="exact"/>
        <w:rPr>
          <w:rFonts w:ascii="Times New Roman" w:cs="Times New Roman" w:eastAsia="Times New Roman" w:hAnsi="Times New Roman"/>
          <w:sz w:val="18"/>
          <w:szCs w:val="18"/>
          <w:color w:val="auto"/>
        </w:rPr>
      </w:pPr>
    </w:p>
    <w:p>
      <w:pPr>
        <w:ind w:left="2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 (see Item 5)</w:t>
      </w:r>
    </w:p>
    <w:p>
      <w:pPr>
        <w:spacing w:after="0" w:line="80" w:lineRule="exact"/>
        <w:rPr>
          <w:rFonts w:ascii="Times New Roman" w:cs="Times New Roman" w:eastAsia="Times New Roman" w:hAnsi="Times New Roman"/>
          <w:sz w:val="18"/>
          <w:szCs w:val="18"/>
          <w:color w:val="auto"/>
        </w:rPr>
      </w:pPr>
    </w:p>
    <w:p>
      <w:pPr>
        <w:ind w:left="1140" w:hanging="70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7,141,849 (see Item 5)</w:t>
      </w:r>
    </w:p>
    <w:p>
      <w:pPr>
        <w:spacing w:after="0" w:line="81"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12.</w:t>
            </w: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70"/>
              </w:rPr>
              <w:t>o</w:t>
            </w:r>
          </w:p>
        </w:tc>
      </w:tr>
    </w:tbl>
    <w:p>
      <w:pPr>
        <w:spacing w:after="0" w:line="292" w:lineRule="exact"/>
        <w:rPr>
          <w:sz w:val="20"/>
          <w:szCs w:val="20"/>
          <w:color w:val="auto"/>
        </w:rPr>
      </w:pPr>
    </w:p>
    <w:p>
      <w:pPr>
        <w:ind w:left="1140" w:hanging="70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12.5% (see Item 5)</w:t>
      </w:r>
    </w:p>
    <w:p>
      <w:pPr>
        <w:spacing w:after="0" w:line="80" w:lineRule="exact"/>
        <w:rPr>
          <w:rFonts w:ascii="Times New Roman" w:cs="Times New Roman" w:eastAsia="Times New Roman" w:hAnsi="Times New Roman"/>
          <w:sz w:val="18"/>
          <w:szCs w:val="18"/>
          <w:color w:val="auto"/>
        </w:rPr>
      </w:pPr>
    </w:p>
    <w:p>
      <w:pPr>
        <w:ind w:left="1140" w:hanging="70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Page 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19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534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6534785"/>
                    </a:xfrm>
                    <a:prstGeom prst="rect">
                      <a:avLst/>
                    </a:prstGeom>
                    <a:noFill/>
                  </pic:spPr>
                </pic:pic>
              </a:graphicData>
            </a:graphic>
          </wp:anchor>
        </w:drawing>
        <w:t>CUSIP No. 92047K-10-7</w:t>
      </w:r>
    </w:p>
    <w:p>
      <w:pPr>
        <w:spacing w:after="0" w:line="148" w:lineRule="exact"/>
        <w:rPr>
          <w:sz w:val="20"/>
          <w:szCs w:val="20"/>
          <w:color w:val="auto"/>
        </w:rPr>
      </w:pPr>
    </w:p>
    <w:p>
      <w:pPr>
        <w:ind w:left="1140" w:hanging="66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8"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NBCUniversal Media, LLC</w:t>
      </w:r>
    </w:p>
    <w:p>
      <w:pPr>
        <w:spacing w:after="0" w:line="80" w:lineRule="exact"/>
        <w:rPr>
          <w:rFonts w:ascii="Times New Roman" w:cs="Times New Roman" w:eastAsia="Times New Roman" w:hAnsi="Times New Roman"/>
          <w:sz w:val="18"/>
          <w:szCs w:val="18"/>
          <w:color w:val="auto"/>
        </w:rPr>
      </w:pPr>
    </w:p>
    <w:p>
      <w:pPr>
        <w:ind w:left="1140" w:hanging="66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rFonts w:ascii="Times New Roman" w:cs="Times New Roman" w:eastAsia="Times New Roman" w:hAnsi="Times New Roman"/>
          <w:sz w:val="18"/>
          <w:szCs w:val="18"/>
          <w:color w:val="auto"/>
        </w:rPr>
      </w:pPr>
    </w:p>
    <w:p>
      <w:pPr>
        <w:ind w:left="1400" w:hanging="255"/>
        <w:spacing w:after="0"/>
        <w:tabs>
          <w:tab w:leader="none" w:pos="1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7" w:lineRule="exact"/>
        <w:rPr>
          <w:rFonts w:ascii="Times New Roman" w:cs="Times New Roman" w:eastAsia="Times New Roman" w:hAnsi="Times New Roman"/>
          <w:sz w:val="18"/>
          <w:szCs w:val="18"/>
          <w:color w:val="auto"/>
        </w:rPr>
      </w:pPr>
    </w:p>
    <w:p>
      <w:pPr>
        <w:ind w:left="1400" w:hanging="255"/>
        <w:spacing w:after="0" w:line="207" w:lineRule="exact"/>
        <w:tabs>
          <w:tab w:leader="none" w:pos="140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8" w:lineRule="exact"/>
        <w:rPr>
          <w:rFonts w:ascii="Times New Roman" w:cs="Times New Roman" w:eastAsia="Times New Roman" w:hAnsi="Times New Roman"/>
          <w:sz w:val="18"/>
          <w:szCs w:val="18"/>
          <w:color w:val="auto"/>
        </w:rPr>
      </w:pPr>
    </w:p>
    <w:p>
      <w:pPr>
        <w:ind w:left="1140" w:hanging="66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140" w:hanging="66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40" w:type="dxa"/>
            <w:vAlign w:val="bottom"/>
          </w:tcPr>
          <w:p>
            <w:pPr>
              <w:spacing w:after="0"/>
              <w:rPr>
                <w:sz w:val="20"/>
                <w:szCs w:val="20"/>
                <w:color w:val="auto"/>
              </w:rPr>
            </w:pPr>
          </w:p>
        </w:tc>
      </w:tr>
      <w:tr>
        <w:trPr>
          <w:trHeight w:val="28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5.</w:t>
            </w:r>
          </w:p>
        </w:tc>
        <w:tc>
          <w:tcPr>
            <w:tcW w:w="6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o</w:t>
            </w:r>
          </w:p>
        </w:tc>
      </w:tr>
    </w:tbl>
    <w:p>
      <w:pPr>
        <w:spacing w:after="0" w:line="292" w:lineRule="exact"/>
        <w:rPr>
          <w:sz w:val="20"/>
          <w:szCs w:val="20"/>
          <w:color w:val="auto"/>
        </w:rPr>
      </w:pPr>
    </w:p>
    <w:p>
      <w:pPr>
        <w:ind w:left="1140" w:hanging="661"/>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80" w:lineRule="exact"/>
        <w:rPr>
          <w:rFonts w:ascii="Times New Roman" w:cs="Times New Roman" w:eastAsia="Times New Roman" w:hAnsi="Times New Roman"/>
          <w:sz w:val="18"/>
          <w:szCs w:val="18"/>
          <w:color w:val="auto"/>
        </w:rPr>
      </w:pPr>
    </w:p>
    <w:p>
      <w:pPr>
        <w:ind w:left="2840" w:hanging="652"/>
        <w:spacing w:after="0"/>
        <w:tabs>
          <w:tab w:leader="none" w:pos="2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920" w:type="dxa"/>
            <w:vAlign w:val="bottom"/>
          </w:tcPr>
          <w:p>
            <w:pPr>
              <w:spacing w:after="0"/>
              <w:rPr>
                <w:sz w:val="20"/>
                <w:szCs w:val="20"/>
                <w:color w:val="auto"/>
              </w:rPr>
            </w:pPr>
          </w:p>
        </w:tc>
        <w:tc>
          <w:tcPr>
            <w:tcW w:w="8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7,141,849 (see Item 5)</w:t>
            </w:r>
          </w:p>
        </w:tc>
        <w:tc>
          <w:tcPr>
            <w:tcW w:w="0" w:type="dxa"/>
            <w:vAlign w:val="bottom"/>
          </w:tcPr>
          <w:p>
            <w:pPr>
              <w:spacing w:after="0"/>
              <w:rPr>
                <w:sz w:val="1"/>
                <w:szCs w:val="1"/>
                <w:color w:val="auto"/>
              </w:rPr>
            </w:pPr>
          </w:p>
        </w:tc>
      </w:tr>
      <w:tr>
        <w:trPr>
          <w:trHeight w:val="27"/>
        </w:trPr>
        <w:tc>
          <w:tcPr>
            <w:tcW w:w="1660" w:type="dxa"/>
            <w:vAlign w:val="bottom"/>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60" w:type="dxa"/>
            <w:vAlign w:val="bottom"/>
            <w:vMerge w:val="continue"/>
          </w:tcPr>
          <w:p>
            <w:pPr>
              <w:spacing w:after="0"/>
              <w:rPr>
                <w:sz w:val="11"/>
                <w:szCs w:val="11"/>
                <w:color w:val="auto"/>
              </w:rPr>
            </w:pPr>
          </w:p>
        </w:tc>
        <w:tc>
          <w:tcPr>
            <w:tcW w:w="9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vMerge w:val="continue"/>
          </w:tcPr>
          <w:p>
            <w:pPr>
              <w:spacing w:after="0"/>
              <w:rPr>
                <w:sz w:val="8"/>
                <w:szCs w:val="8"/>
                <w:color w:val="auto"/>
              </w:rPr>
            </w:pPr>
          </w:p>
        </w:tc>
        <w:tc>
          <w:tcPr>
            <w:tcW w:w="8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8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920" w:type="dxa"/>
            <w:vAlign w:val="bottom"/>
          </w:tcPr>
          <w:p>
            <w:pPr>
              <w:spacing w:after="0"/>
              <w:rPr>
                <w:sz w:val="18"/>
                <w:szCs w:val="18"/>
                <w:color w:val="auto"/>
              </w:rPr>
            </w:pP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0 (see Item 5)</w:t>
            </w:r>
          </w:p>
        </w:tc>
        <w:tc>
          <w:tcPr>
            <w:tcW w:w="0" w:type="dxa"/>
            <w:vAlign w:val="bottom"/>
          </w:tcPr>
          <w:p>
            <w:pPr>
              <w:spacing w:after="0"/>
              <w:rPr>
                <w:sz w:val="1"/>
                <w:szCs w:val="1"/>
                <w:color w:val="auto"/>
              </w:rPr>
            </w:pPr>
          </w:p>
        </w:tc>
      </w:tr>
      <w:tr>
        <w:trPr>
          <w:trHeight w:val="99"/>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920" w:type="dxa"/>
            <w:vAlign w:val="bottom"/>
          </w:tcPr>
          <w:p>
            <w:pPr>
              <w:spacing w:after="0"/>
              <w:rPr>
                <w:sz w:val="8"/>
                <w:szCs w:val="8"/>
                <w:color w:val="auto"/>
              </w:rPr>
            </w:pPr>
          </w:p>
        </w:tc>
        <w:tc>
          <w:tcPr>
            <w:tcW w:w="8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60" w:type="dxa"/>
            <w:vAlign w:val="bottom"/>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60" w:type="dxa"/>
            <w:vAlign w:val="bottom"/>
            <w:vMerge w:val="continue"/>
          </w:tcPr>
          <w:p>
            <w:pPr>
              <w:spacing w:after="0"/>
              <w:rPr>
                <w:sz w:val="6"/>
                <w:szCs w:val="6"/>
                <w:color w:val="auto"/>
              </w:rPr>
            </w:pPr>
          </w:p>
        </w:tc>
        <w:tc>
          <w:tcPr>
            <w:tcW w:w="9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920" w:type="dxa"/>
            <w:vAlign w:val="bottom"/>
            <w:vMerge w:val="continue"/>
          </w:tcPr>
          <w:p>
            <w:pPr>
              <w:spacing w:after="0"/>
              <w:rPr>
                <w:sz w:val="14"/>
                <w:szCs w:val="14"/>
                <w:color w:val="auto"/>
              </w:rPr>
            </w:pPr>
          </w:p>
        </w:tc>
        <w:tc>
          <w:tcPr>
            <w:tcW w:w="8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6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20" w:type="dxa"/>
            <w:vAlign w:val="bottom"/>
          </w:tcPr>
          <w:p>
            <w:pPr>
              <w:spacing w:after="0"/>
              <w:rPr>
                <w:sz w:val="20"/>
                <w:szCs w:val="20"/>
                <w:color w:val="auto"/>
              </w:rPr>
            </w:pP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7,141,849 (see Item 5)</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840" w:hanging="697"/>
        <w:spacing w:after="0"/>
        <w:tabs>
          <w:tab w:leader="none" w:pos="2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1" w:lineRule="exact"/>
        <w:rPr>
          <w:rFonts w:ascii="Times New Roman" w:cs="Times New Roman" w:eastAsia="Times New Roman" w:hAnsi="Times New Roman"/>
          <w:sz w:val="18"/>
          <w:szCs w:val="18"/>
          <w:color w:val="auto"/>
        </w:rPr>
      </w:pPr>
    </w:p>
    <w:p>
      <w:pPr>
        <w:ind w:left="2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 (see Item 5)</w:t>
      </w:r>
    </w:p>
    <w:p>
      <w:pPr>
        <w:spacing w:after="0" w:line="80" w:lineRule="exact"/>
        <w:rPr>
          <w:rFonts w:ascii="Times New Roman" w:cs="Times New Roman" w:eastAsia="Times New Roman" w:hAnsi="Times New Roman"/>
          <w:sz w:val="18"/>
          <w:szCs w:val="18"/>
          <w:color w:val="auto"/>
        </w:rPr>
      </w:pPr>
    </w:p>
    <w:p>
      <w:pPr>
        <w:ind w:left="1140" w:hanging="70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7,141,849 (see Item 5)</w:t>
      </w:r>
    </w:p>
    <w:p>
      <w:pPr>
        <w:spacing w:after="0" w:line="81"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12.</w:t>
            </w:r>
          </w:p>
        </w:tc>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o</w:t>
            </w:r>
          </w:p>
        </w:tc>
      </w:tr>
    </w:tbl>
    <w:p>
      <w:pPr>
        <w:spacing w:after="0" w:line="292" w:lineRule="exact"/>
        <w:rPr>
          <w:sz w:val="20"/>
          <w:szCs w:val="20"/>
          <w:color w:val="auto"/>
        </w:rPr>
      </w:pPr>
    </w:p>
    <w:p>
      <w:pPr>
        <w:ind w:left="1140" w:hanging="70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12.5% (see Item 5)</w:t>
      </w:r>
    </w:p>
    <w:p>
      <w:pPr>
        <w:spacing w:after="0" w:line="80" w:lineRule="exact"/>
        <w:rPr>
          <w:rFonts w:ascii="Times New Roman" w:cs="Times New Roman" w:eastAsia="Times New Roman" w:hAnsi="Times New Roman"/>
          <w:sz w:val="18"/>
          <w:szCs w:val="18"/>
          <w:color w:val="auto"/>
        </w:rPr>
      </w:pPr>
    </w:p>
    <w:p>
      <w:pPr>
        <w:ind w:left="1140" w:hanging="70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Page 4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198" w:right="239" w:bottom="1440" w:gutter="0" w:footer="0" w:header="0"/>
        </w:sectPr>
      </w:pPr>
    </w:p>
    <w:bookmarkStart w:id="4" w:name="page5"/>
    <w:bookmarkEnd w:id="4"/>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This Amendment No. 3 amends the Schedule 13D originally filed on February 7, 2011, as amended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and is filed by Comcast Corporation (“</w:t>
      </w:r>
      <w:r>
        <w:rPr>
          <w:rFonts w:ascii="Times New Roman" w:cs="Times New Roman" w:eastAsia="Times New Roman" w:hAnsi="Times New Roman"/>
          <w:sz w:val="18"/>
          <w:szCs w:val="18"/>
          <w:u w:val="single" w:color="auto"/>
          <w:color w:val="auto"/>
        </w:rPr>
        <w:t>Comcast</w:t>
      </w:r>
      <w:r>
        <w:rPr>
          <w:rFonts w:ascii="Times New Roman" w:cs="Times New Roman" w:eastAsia="Times New Roman" w:hAnsi="Times New Roman"/>
          <w:sz w:val="18"/>
          <w:szCs w:val="18"/>
          <w:color w:val="auto"/>
        </w:rPr>
        <w:t>”), for and on behalf of itself, NBCUniversal, LLC (“</w:t>
      </w:r>
      <w:r>
        <w:rPr>
          <w:rFonts w:ascii="Times New Roman" w:cs="Times New Roman" w:eastAsia="Times New Roman" w:hAnsi="Times New Roman"/>
          <w:sz w:val="18"/>
          <w:szCs w:val="18"/>
          <w:u w:val="single" w:color="auto"/>
          <w:color w:val="auto"/>
        </w:rPr>
        <w:t>NBCUniversal Holdings</w:t>
      </w:r>
      <w:r>
        <w:rPr>
          <w:rFonts w:ascii="Times New Roman" w:cs="Times New Roman" w:eastAsia="Times New Roman" w:hAnsi="Times New Roman"/>
          <w:sz w:val="18"/>
          <w:szCs w:val="18"/>
          <w:color w:val="auto"/>
        </w:rPr>
        <w:t>”) and NBCUniversal Media, LLC (“</w:t>
      </w:r>
      <w:r>
        <w:rPr>
          <w:rFonts w:ascii="Times New Roman" w:cs="Times New Roman" w:eastAsia="Times New Roman" w:hAnsi="Times New Roman"/>
          <w:sz w:val="18"/>
          <w:szCs w:val="18"/>
          <w:u w:val="single" w:color="auto"/>
          <w:color w:val="auto"/>
        </w:rPr>
        <w:t>NBCUniversal</w:t>
      </w:r>
      <w:r>
        <w:rPr>
          <w:rFonts w:ascii="Times New Roman" w:cs="Times New Roman" w:eastAsia="Times New Roman" w:hAnsi="Times New Roman"/>
          <w:sz w:val="18"/>
          <w:szCs w:val="18"/>
          <w:color w:val="auto"/>
        </w:rPr>
        <w:t>” and, together with Comcast and NBCUniversal Holdings,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with respect to the common stock, $0.01 per share par value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EVINE Live, Inc. (formerly ValueVision Media, Inc.), a Minnesota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NBCUniversal is a wholly owned subsidiary of NBCUniversal Holdings; Comcast owns 100% of NBCUniversal Holdings’ common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4 of the Schedule 13D is hereby supplemented as follows:</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April 29, 2016, in connection with the transfer by GE Capital Equity Investments, Inc. (“</w:t>
      </w:r>
      <w:r>
        <w:rPr>
          <w:rFonts w:ascii="Times New Roman" w:cs="Times New Roman" w:eastAsia="Times New Roman" w:hAnsi="Times New Roman"/>
          <w:sz w:val="18"/>
          <w:szCs w:val="18"/>
          <w:u w:val="single" w:color="auto"/>
          <w:color w:val="auto"/>
        </w:rPr>
        <w:t>GCEI</w:t>
      </w:r>
      <w:r>
        <w:rPr>
          <w:rFonts w:ascii="Times New Roman" w:cs="Times New Roman" w:eastAsia="Times New Roman" w:hAnsi="Times New Roman"/>
          <w:sz w:val="18"/>
          <w:szCs w:val="18"/>
          <w:color w:val="auto"/>
        </w:rPr>
        <w:t>”) of all of its shares of Common Stock to ASF Radio, L.P., a Delaware limited partnership (“</w:t>
      </w:r>
      <w:r>
        <w:rPr>
          <w:rFonts w:ascii="Times New Roman" w:cs="Times New Roman" w:eastAsia="Times New Roman" w:hAnsi="Times New Roman"/>
          <w:sz w:val="18"/>
          <w:szCs w:val="18"/>
          <w:u w:val="single" w:color="auto"/>
          <w:color w:val="auto"/>
        </w:rPr>
        <w:t>ASF Radio</w:t>
      </w:r>
      <w:r>
        <w:rPr>
          <w:rFonts w:ascii="Times New Roman" w:cs="Times New Roman" w:eastAsia="Times New Roman" w:hAnsi="Times New Roman"/>
          <w:sz w:val="18"/>
          <w:szCs w:val="18"/>
          <w:color w:val="auto"/>
        </w:rPr>
        <w:t>”), (i) the Issuer, GCEI and NBCUniversal entered into an agreement (the “</w:t>
      </w:r>
      <w:r>
        <w:rPr>
          <w:rFonts w:ascii="Times New Roman" w:cs="Times New Roman" w:eastAsia="Times New Roman" w:hAnsi="Times New Roman"/>
          <w:sz w:val="18"/>
          <w:szCs w:val="18"/>
          <w:u w:val="single" w:color="auto"/>
          <w:color w:val="auto"/>
        </w:rPr>
        <w:t>Termination Agreement</w:t>
      </w:r>
      <w:r>
        <w:rPr>
          <w:rFonts w:ascii="Times New Roman" w:cs="Times New Roman" w:eastAsia="Times New Roman" w:hAnsi="Times New Roman"/>
          <w:sz w:val="18"/>
          <w:szCs w:val="18"/>
          <w:color w:val="auto"/>
        </w:rPr>
        <w:t>”) that terminated, effective as of the execution of the Termination Agreement, that certain Amended and Restated Shareholder Agreement, dated as of February 25, 2009, among the same parties (the “</w:t>
      </w:r>
      <w:r>
        <w:rPr>
          <w:rFonts w:ascii="Times New Roman" w:cs="Times New Roman" w:eastAsia="Times New Roman" w:hAnsi="Times New Roman"/>
          <w:sz w:val="18"/>
          <w:szCs w:val="18"/>
          <w:u w:val="single" w:color="auto"/>
          <w:color w:val="auto"/>
        </w:rPr>
        <w:t>Pre-Existing Shareholder Agreement</w:t>
      </w:r>
      <w:r>
        <w:rPr>
          <w:rFonts w:ascii="Times New Roman" w:cs="Times New Roman" w:eastAsia="Times New Roman" w:hAnsi="Times New Roman"/>
          <w:sz w:val="18"/>
          <w:szCs w:val="18"/>
          <w:color w:val="auto"/>
        </w:rPr>
        <w:t>”), (ii) the Issuer and NBCUniversal entered into a new Shareholder Agreement (the “</w:t>
      </w:r>
      <w:r>
        <w:rPr>
          <w:rFonts w:ascii="Times New Roman" w:cs="Times New Roman" w:eastAsia="Times New Roman" w:hAnsi="Times New Roman"/>
          <w:sz w:val="18"/>
          <w:szCs w:val="18"/>
          <w:u w:val="single" w:color="auto"/>
          <w:color w:val="auto"/>
        </w:rPr>
        <w:t>Shareholder Agreement</w:t>
      </w:r>
      <w:r>
        <w:rPr>
          <w:rFonts w:ascii="Times New Roman" w:cs="Times New Roman" w:eastAsia="Times New Roman" w:hAnsi="Times New Roman"/>
          <w:sz w:val="18"/>
          <w:szCs w:val="18"/>
          <w:color w:val="auto"/>
        </w:rPr>
        <w:t>”) setting forth, among other things, NBCUniversal’s board and committee representation rights in effect from and after April 29, 2016 and (iii) the Issuer, ASF Radio (as successor to GCEI) and NBCUniversal entered into an amendment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that certain Amended and Restated Registration Rights Agreement, dated as of February 25, 2009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among the Issuer, GCEI and NBCUniversal to, among other things, allocate “demand” registration rights among NBCUniversal and ASF Radio. The terms of the Termination Agreement, the Shareholder Agreement and the Registration Rights Agreement Amendment are described in more detail in Item 6 below.</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Reporting Persons hold the Common Stock beneficially owned by them as an investment. The Reporting Persons no longer believe that their investment in the Common Stock is strategic and therefore may seek, subject to the terms of the Shareholder Agreement, to dispose of some or all of their interest in the Common Stock owned by them, at such time or times as the Reporting Persons determine, in the open market, in privately negotiated transactions, through a public offering upon exercise of registration rights or otherwise, depending on the course of action the Reporting Persons determine to pursue, the price and liquidity of the Common Stock, subsequent developments affecting the Company, the Company’s business and prospects, market and economic conditions, regulatory considerations and other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firstLine="332"/>
        <w:spacing w:after="0" w:line="256" w:lineRule="auto"/>
        <w:tabs>
          <w:tab w:leader="none" w:pos="5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of the Reporting Persons to Rows (11) through (13) of the cover pages of this Schedule 13D are incorporated herein by reference. As of the date of the filing, NBCUniversal beneficially owned in the aggregate 7,141,849 shares of Common Stock, representing approximately 12.5% of the shares of Common Stock outstanding determined in accordance with Rule 13d-3(d)(1)(i) under the Exchange Act (based on the number of shares of Common Stock outstanding as of March 28, 2016, as reported in the Issuer’s Form 10-K filed on April 1, 2016). By virtue of the fact that NBCUniversal is a direct or indirect subsidiary of each of the other Reporting Persons, Comcast and NBCUniversal Holdings may each be deemed to beneficially own the shares of Common Stock owned by NBCUniversal.</w:t>
      </w:r>
    </w:p>
    <w:p>
      <w:pPr>
        <w:spacing w:after="0" w:line="18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in this Item 5(a), none of the Reporting Persons, nor, to the best of their knowledge, any of their directors or executive officers, beneficially owns any shares of Common Stock.</w:t>
      </w:r>
    </w:p>
    <w:p>
      <w:pPr>
        <w:spacing w:after="0" w:line="162" w:lineRule="exact"/>
        <w:rPr>
          <w:sz w:val="20"/>
          <w:szCs w:val="20"/>
          <w:color w:val="auto"/>
        </w:rPr>
      </w:pPr>
    </w:p>
    <w:p>
      <w:pPr>
        <w:ind w:right="960" w:firstLine="332"/>
        <w:spacing w:after="0" w:line="282" w:lineRule="auto"/>
        <w:tabs>
          <w:tab w:leader="none" w:pos="5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of the Reporting Persons to (i) Rows (7) through (10) of the cover pages of this Schedule 13D and (ii) Item 5(a) hereof are incorporated herein by reference.</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Except as disclosed in this Item 5(b), none of the Reporting Persons, nor to the best of their knowledge, any of their directors or executive officers, presently has the power to vote or direct the vote or to dispose or direct the disposition of any of the shares of Common Stock which they may be deemed to beneficially own.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420" w:firstLine="332"/>
        <w:spacing w:after="0" w:line="282" w:lineRule="auto"/>
        <w:tabs>
          <w:tab w:leader="none" w:pos="5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nor, to the best of their knowledge, any of their directors or executive officers, has effected any transaction in the shares of Common Stock during the past 60 days.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On April 29, 2016, NBCUniversal entered into the Termination Agreement, the Shareholder Agreement and the Registration Rights Agreement Amendment.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Termination Agreement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Termination Agreement, the Issuer, GCEI and NBCUniversal agreed to terminate the Pre-Existing Shareholder Agreement, effective as of the execution of the Termination Agreement. In addition, pursuant to the Termination Agreement, GCEI and the Issuer agreed to release certain claims against the other, and NBCUniversal agreed to waive certain claims against the Issuer with respect to the failure to have obtained NBCUniversal’s consent prior to April 29, 2016 pursuant to the Pre-Existing Shareholder Agreement.</w:t>
      </w:r>
    </w:p>
    <w:p>
      <w:pPr>
        <w:spacing w:after="0" w:line="18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Termination Agreement does not purport to be complete and is subject to, and qualified in its entirety by, the full text of the Termination Agreement, a copy of which is attached here as Exhibit 99.1.</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Shareholder Agreement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As long as NBCUniversal together with certain Restricted Parties (as defined in the Shareholder Agreement) (collectively,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continue to beneficially own at least 5% of the total number of shares of outstanding Common Stock at any such time, the Investor will be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designate one individual (the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to be nominated to the Board of Directors of the Issuer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Board Committees</w:t>
      </w:r>
      <w:r>
        <w:rPr>
          <w:rFonts w:ascii="Times New Roman" w:cs="Times New Roman" w:eastAsia="Times New Roman" w:hAnsi="Times New Roman"/>
          <w:sz w:val="18"/>
          <w:szCs w:val="18"/>
          <w:color w:val="auto"/>
        </w:rPr>
        <w:t>. As long as the Investor has the right to designate a Designee to the Board, unless otherwise agreed to by the Investor, (i)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by applicable law and the rules of and regulations of the securities exchange on which the Common Stock is listed, each of the Audit Committee, Human Resources and Compensation Committee and Corporate Governance and Nominating Committees of the Board must contain the Designee and (ii) the Investor has the right to designate the Designee to serve on each other committee of the Board.</w:t>
      </w:r>
    </w:p>
    <w:p>
      <w:pPr>
        <w:spacing w:after="0" w:line="180"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Information Rights</w:t>
      </w:r>
      <w:r>
        <w:rPr>
          <w:rFonts w:ascii="Times New Roman" w:cs="Times New Roman" w:eastAsia="Times New Roman" w:hAnsi="Times New Roman"/>
          <w:sz w:val="18"/>
          <w:szCs w:val="18"/>
          <w:color w:val="auto"/>
        </w:rPr>
        <w:t>. So long as the Investor has the right to designate a Designee to the Board, the Issuer will provide it, but only upon written request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Investor and subject to confidentiality restrictions contained in the Shareholder Agreement, with certain monthly, quarterly and annual financial reports and budgets and other information.</w:t>
      </w:r>
    </w:p>
    <w:p>
      <w:pPr>
        <w:spacing w:after="0" w:line="174"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Certain Approval Matters</w:t>
      </w:r>
      <w:r>
        <w:rPr>
          <w:rFonts w:ascii="Times New Roman" w:cs="Times New Roman" w:eastAsia="Times New Roman" w:hAnsi="Times New Roman"/>
          <w:sz w:val="18"/>
          <w:szCs w:val="18"/>
          <w:color w:val="auto"/>
        </w:rPr>
        <w:t>. The Issuer has agreed not to take certain actions, including adopting or amending any shareholders rights plan or amending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its organizational documents in a manner that would disadvantage the Investor in certain respects, without the prior written consent of the Investor.</w:t>
      </w:r>
    </w:p>
    <w:p>
      <w:pPr>
        <w:spacing w:after="0" w:line="158"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No Reinstatement of Rights</w:t>
      </w:r>
      <w:r>
        <w:rPr>
          <w:rFonts w:ascii="Times New Roman" w:cs="Times New Roman" w:eastAsia="Times New Roman" w:hAnsi="Times New Roman"/>
          <w:sz w:val="18"/>
          <w:szCs w:val="18"/>
          <w:color w:val="auto"/>
        </w:rPr>
        <w:t>. The Issuer and the Investor have agreed that to the extent the Investor fails to satisfy any ownership threshold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Agreement such that any rights of the Investor under the Shareholder Agreement and/or obligations of the Issuer under the Shareholder Agreement terminate, such terminated rights and/or obligations will not be reinstated if the Investor thereafter satisfies such ownership threshold.</w:t>
      </w:r>
    </w:p>
    <w:p>
      <w:pPr>
        <w:spacing w:after="0" w:line="17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Unless the Investor beneficially owns less than 5% or more than 90% of the outstanding Common Stock, the Investor may not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or otherwise dispose of any of the shares of Common Stock, except for transfers: (i) to certain affiliates who agree to be bound by the provisions of the Shareholder Agreement; (ii) which have been consented to by the Issuer; (iii) pursuant to a third party tender offer; (iv) pursuant to a merger, consolidation or reorganization to which the Issuer is a party; (v) in a bona fide public distribution or bona fide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100"/>
        <w:spacing w:after="0" w:line="261" w:lineRule="auto"/>
        <w:rPr>
          <w:sz w:val="20"/>
          <w:szCs w:val="20"/>
          <w:color w:val="auto"/>
        </w:rPr>
      </w:pPr>
      <w:r>
        <w:rPr>
          <w:rFonts w:ascii="Times New Roman" w:cs="Times New Roman" w:eastAsia="Times New Roman" w:hAnsi="Times New Roman"/>
          <w:sz w:val="18"/>
          <w:szCs w:val="18"/>
          <w:color w:val="auto"/>
        </w:rPr>
        <w:t>public offering; (vi) pursuant to Rule 144 of the Securities Act of 1933; or (vii) in a private sale or pursuant to Rule 144A of the Securities Act of 1933; provided that, in the case of any transfer by the Investor pursuant to clause (v), (vi) or (vii), such transfer does not result in, to the knowledge of the Investor after reasonable inquiry, any other person acquiring, after giving effect to such transfer, beneficial ownership of more than 20% of the outstanding Common Stock without the prior written consent of the Issuer, which consent may not be unreasonably withheld.</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Shareholder Agreement does not purport to be complete and is subject to, and qualified in its entirety by, the full text of the Shareholder Agreement, a copy of which is attached here as Exhibit 99.2.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 Amendment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Registration Rights Agreement, the Issuer has granted ASF Radio (as successor to GCEI), NBCUniversal and their affiliates and any transferees and assigns, an aggregate of five demand registration and unlimited piggy-back registration rights. Pursuant to the Registration Rights Agreement Amendment, the Issuer, ASF Radio and NBCUniversal have agreed, among other things, to allocate three of the five demand registration rights to NBCUniversal and its affiliates and the remaining two demand registration rights to ASF Radio and its affiliates.</w:t>
      </w:r>
    </w:p>
    <w:p>
      <w:pPr>
        <w:spacing w:after="0" w:line="18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Amendment does not purport to be complete and is subject to, and qualified in its entirety by, the full text of the Registration Rights Agreement Amendment, a copy of which is attached here as Exhibit 99.3.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as exhibits:</w:t>
      </w:r>
    </w:p>
    <w:p>
      <w:pPr>
        <w:sectPr>
          <w:pgSz w:w="11900" w:h="16838" w:orient="portrait"/>
          <w:cols w:equalWidth="0" w:num="1">
            <w:col w:w="11340"/>
          </w:cols>
          <w:pgMar w:left="240" w:top="121" w:right="319" w:bottom="1440" w:gutter="0" w:footer="0" w:header="0"/>
        </w:sect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0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jc w:val="center"/>
        <w:ind w:right="492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27305</wp:posOffset>
            </wp:positionV>
            <wp:extent cx="6766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4820" w:space="720"/>
            <w:col w:w="5800"/>
          </w:cols>
          <w:pgMar w:left="240" w:top="121" w:right="319" w:bottom="1440" w:gutter="0" w:footer="0" w:header="0"/>
          <w:type w:val="continuous"/>
        </w:sectPr>
      </w:pPr>
    </w:p>
    <w:p>
      <w:pPr>
        <w:ind w:left="140"/>
        <w:spacing w:after="0"/>
        <w:tabs>
          <w:tab w:leader="none" w:pos="640" w:val="left"/>
        </w:tabs>
        <w:rPr>
          <w:sz w:val="20"/>
          <w:szCs w:val="20"/>
          <w:color w:val="auto"/>
        </w:rPr>
      </w:pPr>
      <w:r>
        <w:rPr>
          <w:rFonts w:ascii="Times New Roman" w:cs="Times New Roman" w:eastAsia="Times New Roman" w:hAnsi="Times New Roman"/>
          <w:sz w:val="18"/>
          <w:szCs w:val="18"/>
          <w:color w:val="auto"/>
        </w:rPr>
        <w:t>99.1</w:t>
        <w:tab/>
        <w:t>Letter Agreement, dated as of April 29, 2016, among EVINE Live, Inc., GE Capital Equity Investments, Inc. and NBCUniversal Media, LLC</w:t>
      </w:r>
    </w:p>
    <w:p>
      <w:pPr>
        <w:spacing w:after="0" w:line="144" w:lineRule="exact"/>
        <w:rPr>
          <w:sz w:val="20"/>
          <w:szCs w:val="20"/>
          <w:color w:val="auto"/>
        </w:rPr>
      </w:pPr>
    </w:p>
    <w:p>
      <w:pPr>
        <w:ind w:left="140"/>
        <w:spacing w:after="0"/>
        <w:tabs>
          <w:tab w:leader="none" w:pos="640" w:val="left"/>
        </w:tabs>
        <w:rPr>
          <w:sz w:val="20"/>
          <w:szCs w:val="20"/>
          <w:color w:val="auto"/>
        </w:rPr>
      </w:pPr>
      <w:r>
        <w:rPr>
          <w:rFonts w:ascii="Times New Roman" w:cs="Times New Roman" w:eastAsia="Times New Roman" w:hAnsi="Times New Roman"/>
          <w:sz w:val="18"/>
          <w:szCs w:val="18"/>
          <w:color w:val="auto"/>
        </w:rPr>
        <w:t>99.2</w:t>
        <w:tab/>
        <w:t>Shareholder Agreement, dated as of April 29, 2016, between EVINE Live, Inc. and NBCUniversal Media, LLC</w:t>
      </w:r>
    </w:p>
    <w:p>
      <w:pPr>
        <w:spacing w:after="0" w:line="144" w:lineRule="exact"/>
        <w:rPr>
          <w:sz w:val="20"/>
          <w:szCs w:val="20"/>
          <w:color w:val="auto"/>
        </w:rPr>
      </w:pPr>
    </w:p>
    <w:p>
      <w:pPr>
        <w:ind w:left="660" w:right="20" w:hanging="53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99.3</w:t>
        <w:tab/>
        <w:t>Amendment to Amended and Restated Registration Rights Agreement, dated as of April 29, 2016, among EVINE Live, Inc., NBCUniversal Media, LLC and ASF Radio, L.P.</w:t>
      </w: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7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2016</w:t>
      </w:r>
    </w:p>
    <w:p>
      <w:pPr>
        <w:spacing w:after="0" w:line="2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Arthur R. Block</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Executive Vice President, General Counsel and Secretary</w:t>
      </w:r>
    </w:p>
    <w:p>
      <w:pPr>
        <w:spacing w:after="0" w:line="28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NBCUNIVERSAL, LLC</w:t>
      </w:r>
    </w:p>
    <w:p>
      <w:pPr>
        <w:spacing w:after="0" w:line="22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Arthur R. Block</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8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NBCUNIVERSAL MEDIA, LLC</w:t>
      </w:r>
    </w:p>
    <w:p>
      <w:pPr>
        <w:spacing w:after="0" w:line="22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Arthur R. Block</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8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COMCAST CORPORATION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name, business address, title, present principal occupation or employment of each of the directors and executive officers of Comcast Corporation (“Comcast”) are set forth below. If no business address is given, the director’s or officer’s business address is One Comcast Center, Philadelphia, Pennsylvania 19103-2838. Unless otherwise indicated, each occupation set forth opposite an individual’s name refers to Comcast. All of the persons listed below are citizens of the United States of America.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c>
          <w:tcPr>
            <w:tcW w:w="6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3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Name and Business Address</w:t>
            </w:r>
          </w:p>
        </w:tc>
        <w:tc>
          <w:tcPr>
            <w:tcW w:w="80" w:type="dxa"/>
            <w:vAlign w:val="bottom"/>
          </w:tcPr>
          <w:p>
            <w:pPr>
              <w:spacing w:after="0"/>
              <w:rPr>
                <w:sz w:val="20"/>
                <w:szCs w:val="20"/>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Principal Business of Employer)</w:t>
            </w:r>
          </w:p>
        </w:tc>
        <w:tc>
          <w:tcPr>
            <w:tcW w:w="660" w:type="dxa"/>
            <w:vAlign w:val="bottom"/>
          </w:tcPr>
          <w:p>
            <w:pPr>
              <w:spacing w:after="0"/>
              <w:rPr>
                <w:sz w:val="20"/>
                <w:szCs w:val="20"/>
                <w:color w:val="auto"/>
              </w:rPr>
            </w:pPr>
          </w:p>
        </w:tc>
      </w:tr>
      <w:tr>
        <w:trPr>
          <w:trHeight w:val="277"/>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Kenneth J. Bacon</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Partner at RailField Partners, a financial advisory and asset management firm</w:t>
            </w:r>
          </w:p>
        </w:tc>
        <w:tc>
          <w:tcPr>
            <w:tcW w:w="660" w:type="dxa"/>
            <w:vAlign w:val="bottom"/>
          </w:tcPr>
          <w:p>
            <w:pPr>
              <w:spacing w:after="0"/>
              <w:rPr>
                <w:sz w:val="24"/>
                <w:szCs w:val="24"/>
                <w:color w:val="auto"/>
              </w:rPr>
            </w:pP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Madeline S. Bell</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 of The Children’s Hospital of</w:t>
            </w:r>
          </w:p>
        </w:tc>
        <w:tc>
          <w:tcPr>
            <w:tcW w:w="6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Philadelphia, a top-ranked children’s hospital in the United States</w:t>
            </w:r>
          </w:p>
        </w:tc>
        <w:tc>
          <w:tcPr>
            <w:tcW w:w="660" w:type="dxa"/>
            <w:vAlign w:val="bottom"/>
          </w:tcPr>
          <w:p>
            <w:pPr>
              <w:spacing w:after="0"/>
              <w:rPr>
                <w:sz w:val="20"/>
                <w:szCs w:val="20"/>
                <w:color w:val="auto"/>
              </w:rPr>
            </w:pPr>
          </w:p>
        </w:tc>
      </w:tr>
      <w:tr>
        <w:trPr>
          <w:trHeight w:val="351"/>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Sheldon M. Bonovitz</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Emeritus of Duane Morris LLP, a law firm</w:t>
            </w:r>
          </w:p>
        </w:tc>
        <w:tc>
          <w:tcPr>
            <w:tcW w:w="660" w:type="dxa"/>
            <w:vAlign w:val="bottom"/>
          </w:tcPr>
          <w:p>
            <w:pPr>
              <w:spacing w:after="0"/>
              <w:rPr>
                <w:sz w:val="24"/>
                <w:szCs w:val="24"/>
                <w:color w:val="auto"/>
              </w:rPr>
            </w:pP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Edward D. Breen</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 of E.I. du Pont de Nemours</w:t>
            </w:r>
          </w:p>
        </w:tc>
        <w:tc>
          <w:tcPr>
            <w:tcW w:w="6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Company</w:t>
            </w:r>
          </w:p>
        </w:tc>
        <w:tc>
          <w:tcPr>
            <w:tcW w:w="660" w:type="dxa"/>
            <w:vAlign w:val="bottom"/>
          </w:tcPr>
          <w:p>
            <w:pPr>
              <w:spacing w:after="0"/>
              <w:rPr>
                <w:sz w:val="20"/>
                <w:szCs w:val="20"/>
                <w:color w:val="auto"/>
              </w:rPr>
            </w:pPr>
          </w:p>
        </w:tc>
      </w:tr>
      <w:tr>
        <w:trPr>
          <w:trHeight w:val="351"/>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Joseph J. Collins</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of Aegis, LLC</w:t>
            </w:r>
          </w:p>
        </w:tc>
        <w:tc>
          <w:tcPr>
            <w:tcW w:w="660" w:type="dxa"/>
            <w:vAlign w:val="bottom"/>
          </w:tcPr>
          <w:p>
            <w:pPr>
              <w:spacing w:after="0"/>
              <w:rPr>
                <w:sz w:val="24"/>
                <w:szCs w:val="24"/>
                <w:color w:val="auto"/>
              </w:rPr>
            </w:pPr>
          </w:p>
        </w:tc>
      </w:tr>
      <w:tr>
        <w:trPr>
          <w:trHeight w:val="351"/>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J. Michael Cook</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Retired Chairman and Chief Executive Officer of Deloitte &amp; Touche</w:t>
            </w:r>
          </w:p>
        </w:tc>
        <w:tc>
          <w:tcPr>
            <w:tcW w:w="660" w:type="dxa"/>
            <w:vAlign w:val="bottom"/>
          </w:tcPr>
          <w:p>
            <w:pPr>
              <w:spacing w:after="0"/>
              <w:rPr>
                <w:sz w:val="24"/>
                <w:szCs w:val="24"/>
                <w:color w:val="auto"/>
              </w:rPr>
            </w:pP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Gerald L. Hassell</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and Chief Executive Officer of The Bank of New York Mellon</w:t>
            </w:r>
          </w:p>
        </w:tc>
        <w:tc>
          <w:tcPr>
            <w:tcW w:w="6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Corporation, a global investments company</w:t>
            </w:r>
          </w:p>
        </w:tc>
        <w:tc>
          <w:tcPr>
            <w:tcW w:w="660" w:type="dxa"/>
            <w:vAlign w:val="bottom"/>
          </w:tcPr>
          <w:p>
            <w:pPr>
              <w:spacing w:after="0"/>
              <w:rPr>
                <w:sz w:val="20"/>
                <w:szCs w:val="20"/>
                <w:color w:val="auto"/>
              </w:rPr>
            </w:pP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Jeffrey A. Honickman</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 of Pepsi-Cola and National Brand Beverages, Ltd., a</w:t>
            </w:r>
          </w:p>
        </w:tc>
        <w:tc>
          <w:tcPr>
            <w:tcW w:w="6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bottling and distribution company</w:t>
            </w:r>
          </w:p>
        </w:tc>
        <w:tc>
          <w:tcPr>
            <w:tcW w:w="660" w:type="dxa"/>
            <w:vAlign w:val="bottom"/>
          </w:tcPr>
          <w:p>
            <w:pPr>
              <w:spacing w:after="0"/>
              <w:rPr>
                <w:sz w:val="20"/>
                <w:szCs w:val="20"/>
                <w:color w:val="auto"/>
              </w:rPr>
            </w:pP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Eduardo G. Mestre</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Advisor to Evercore Partners Inc., an independent investment banking</w:t>
            </w:r>
          </w:p>
        </w:tc>
        <w:tc>
          <w:tcPr>
            <w:tcW w:w="6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advisory firm</w:t>
            </w:r>
          </w:p>
        </w:tc>
        <w:tc>
          <w:tcPr>
            <w:tcW w:w="660" w:type="dxa"/>
            <w:vAlign w:val="bottom"/>
          </w:tcPr>
          <w:p>
            <w:pPr>
              <w:spacing w:after="0"/>
              <w:rPr>
                <w:sz w:val="20"/>
                <w:szCs w:val="20"/>
                <w:color w:val="auto"/>
              </w:rPr>
            </w:pPr>
          </w:p>
        </w:tc>
      </w:tr>
      <w:tr>
        <w:trPr>
          <w:trHeight w:val="351"/>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Brian L. Roberts</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660" w:type="dxa"/>
            <w:vAlign w:val="bottom"/>
          </w:tcPr>
          <w:p>
            <w:pPr>
              <w:spacing w:after="0"/>
              <w:rPr>
                <w:sz w:val="24"/>
                <w:szCs w:val="24"/>
                <w:color w:val="auto"/>
              </w:rPr>
            </w:pPr>
          </w:p>
        </w:tc>
      </w:tr>
      <w:tr>
        <w:trPr>
          <w:trHeight w:val="351"/>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Johnathan A. Rodgers</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Retired President and Chief Executive Officer of TVOne, a cable network</w:t>
            </w:r>
          </w:p>
        </w:tc>
        <w:tc>
          <w:tcPr>
            <w:tcW w:w="660" w:type="dxa"/>
            <w:vAlign w:val="bottom"/>
          </w:tcPr>
          <w:p>
            <w:pPr>
              <w:spacing w:after="0"/>
              <w:rPr>
                <w:sz w:val="24"/>
                <w:szCs w:val="24"/>
                <w:color w:val="auto"/>
              </w:rPr>
            </w:pPr>
          </w:p>
        </w:tc>
      </w:tr>
      <w:tr>
        <w:trPr>
          <w:trHeight w:val="351"/>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Dr. Judith Rodin</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of The Rockefeller Foundation</w:t>
            </w:r>
          </w:p>
        </w:tc>
        <w:tc>
          <w:tcPr>
            <w:tcW w:w="660" w:type="dxa"/>
            <w:vAlign w:val="bottom"/>
          </w:tcPr>
          <w:p>
            <w:pPr>
              <w:spacing w:after="0"/>
              <w:rPr>
                <w:sz w:val="24"/>
                <w:szCs w:val="24"/>
                <w:color w:val="auto"/>
              </w:rPr>
            </w:pPr>
          </w:p>
        </w:tc>
      </w:tr>
      <w:tr>
        <w:trPr>
          <w:trHeight w:val="392"/>
        </w:trPr>
        <w:tc>
          <w:tcPr>
            <w:tcW w:w="5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Page 9 of 13</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238"/>
        </w:trPr>
        <w:tc>
          <w:tcPr>
            <w:tcW w:w="580" w:type="dxa"/>
            <w:vAlign w:val="bottom"/>
          </w:tcPr>
          <w:p>
            <w:pPr>
              <w:spacing w:after="0"/>
              <w:rPr>
                <w:sz w:val="20"/>
                <w:szCs w:val="20"/>
                <w:color w:val="auto"/>
              </w:rPr>
            </w:pPr>
          </w:p>
        </w:tc>
        <w:tc>
          <w:tcPr>
            <w:tcW w:w="43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Name and Business Address</w:t>
            </w:r>
          </w:p>
        </w:tc>
        <w:tc>
          <w:tcPr>
            <w:tcW w:w="80" w:type="dxa"/>
            <w:vAlign w:val="bottom"/>
          </w:tcPr>
          <w:p>
            <w:pPr>
              <w:spacing w:after="0"/>
              <w:rPr>
                <w:sz w:val="20"/>
                <w:szCs w:val="20"/>
                <w:color w:val="auto"/>
              </w:rPr>
            </w:pPr>
          </w:p>
        </w:tc>
        <w:tc>
          <w:tcPr>
            <w:tcW w:w="57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(Name and Principal Business of Employer)</w:t>
            </w:r>
          </w:p>
        </w:tc>
      </w:tr>
      <w:tr>
        <w:trPr>
          <w:trHeight w:val="345"/>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Brian L. Roberts</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and Chief Executive Officer and President;</w:t>
            </w: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Executive Officer, NBCUniversal, LLC and NBCUniversal Media,</w:t>
            </w: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Arthur R. Block, Esq.</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Executive Vice President, NBCUniversal, LLC and NBCUniversal Media, LLC</w:t>
            </w: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Stephen B. Burke</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w:t>
            </w:r>
          </w:p>
        </w:tc>
      </w:tr>
      <w:tr>
        <w:trPr>
          <w:trHeight w:val="216"/>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30 Rockefeller Plaza</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New York, New York 10112</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NBCUniversal, LLC and NBCUniversal Media, LLC</w:t>
            </w: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Michael J. Cavanagh</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Financial Officer, NBCUniversal, LLC and NBCUniversal Media,</w:t>
            </w: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David L. Cohen</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w:t>
            </w: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 NBCUniversal, LLC and NBCUniversal</w:t>
            </w: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Media, LLC</w:t>
            </w: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Lawrence J. Salva</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Executive Vice President, NBCUniversal, LLC and NBCUniversal Media, LLC</w:t>
            </w: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Neil Smit</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w:t>
            </w: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 Comcast Cable Communications, LLC</w:t>
            </w:r>
          </w:p>
        </w:tc>
      </w:tr>
      <w:tr>
        <w:trPr>
          <w:trHeight w:val="265"/>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80" w:type="dxa"/>
            <w:vAlign w:val="bottom"/>
          </w:tcPr>
          <w:p>
            <w:pPr>
              <w:spacing w:after="0"/>
              <w:rPr>
                <w:sz w:val="23"/>
                <w:szCs w:val="23"/>
                <w:color w:val="auto"/>
              </w:rPr>
            </w:pPr>
          </w:p>
        </w:tc>
        <w:tc>
          <w:tcPr>
            <w:tcW w:w="5760" w:type="dxa"/>
            <w:vAlign w:val="bottom"/>
          </w:tcPr>
          <w:p>
            <w:pPr>
              <w:spacing w:after="0"/>
              <w:rPr>
                <w:sz w:val="23"/>
                <w:szCs w:val="23"/>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80" w:type="dxa"/>
            <w:vAlign w:val="bottom"/>
          </w:tcPr>
          <w:p>
            <w:pPr>
              <w:spacing w:after="0"/>
              <w:rPr>
                <w:sz w:val="20"/>
                <w:szCs w:val="20"/>
                <w:color w:val="auto"/>
              </w:rPr>
            </w:pPr>
          </w:p>
        </w:tc>
        <w:tc>
          <w:tcPr>
            <w:tcW w:w="576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other individuals identified on this Schedule A-1 may have beneficial ownership of de minimis amounts of Issuer Common Stock held in investment accounts for which such individuals hold discretionary authority. Comcast disclaims beneficial ownership of any such shares.</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Page 10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85" w:right="419" w:bottom="1440" w:gutter="0" w:footer="0" w:header="0"/>
        </w:sectPr>
      </w:pPr>
    </w:p>
    <w:bookmarkStart w:id="10" w:name="page11"/>
    <w:bookmarkEnd w:id="10"/>
    <w:p>
      <w:pPr>
        <w:ind w:left="10100"/>
        <w:spacing w:after="0"/>
        <w:rPr>
          <w:sz w:val="20"/>
          <w:szCs w:val="20"/>
          <w:color w:val="auto"/>
        </w:rPr>
      </w:pPr>
      <w:r>
        <w:rPr>
          <w:rFonts w:ascii="Times New Roman" w:cs="Times New Roman" w:eastAsia="Times New Roman" w:hAnsi="Times New Roman"/>
          <w:sz w:val="18"/>
          <w:szCs w:val="18"/>
          <w:b w:val="1"/>
          <w:bCs w:val="1"/>
          <w:color w:val="auto"/>
        </w:rPr>
        <w:t>SCHEDULE A-2</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DIRECTORS OF NBCUNIVERSAL, LLC AND EXECUTIVE OFFICERS OF NBCUNIVERSAL, LLC AND NBCUNIVERSAL MEDIA, LLC</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name, business address, title, present principal occupation or employment of each of the directors of NBCUniversal, LLC (“NBCUniversal Holdings”) and each of the executive officers of NBCUniversal Holdings and NBCUniversal Media, LLC (“NBCUniversal”) are set forth below. If no business address is given, the director’s or officer’s business address is One Comcast Center, Philadelphia, Pennsylvania 19103-2838. All of the persons listed below are citizens of the United States of America.</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238"/>
        </w:trPr>
        <w:tc>
          <w:tcPr>
            <w:tcW w:w="43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Name and Business Address</w:t>
            </w:r>
          </w:p>
        </w:tc>
        <w:tc>
          <w:tcPr>
            <w:tcW w:w="80" w:type="dxa"/>
            <w:vAlign w:val="bottom"/>
          </w:tcPr>
          <w:p>
            <w:pPr>
              <w:spacing w:after="0"/>
              <w:rPr>
                <w:sz w:val="20"/>
                <w:szCs w:val="20"/>
                <w:color w:val="auto"/>
              </w:rPr>
            </w:pPr>
          </w:p>
        </w:tc>
        <w:tc>
          <w:tcPr>
            <w:tcW w:w="57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(Name and Principal Business of Employer)</w:t>
            </w:r>
          </w:p>
        </w:tc>
      </w:tr>
      <w:tr>
        <w:trPr>
          <w:trHeight w:val="345"/>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 of NBCUniversal Holdings</w:t>
            </w:r>
          </w:p>
        </w:tc>
        <w:tc>
          <w:tcPr>
            <w:tcW w:w="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Arthur R. Block</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Vice President, NBCUniversal Holdings and NBCUniversal;</w:t>
            </w:r>
          </w:p>
        </w:tc>
      </w:tr>
      <w:tr>
        <w:trPr>
          <w:trHeight w:val="234"/>
        </w:trPr>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Executive Vice President, General Counsel and Secretary, Comcast Corporation</w:t>
            </w:r>
          </w:p>
        </w:tc>
      </w:tr>
      <w:tr>
        <w:trPr>
          <w:trHeight w:val="3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Michael J. Cavanagh</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Financial Officer, NBCUniversal Holdings and NBCUniversal;</w:t>
            </w:r>
          </w:p>
        </w:tc>
      </w:tr>
      <w:tr>
        <w:trPr>
          <w:trHeight w:val="216"/>
        </w:trPr>
        <w:tc>
          <w:tcPr>
            <w:tcW w:w="4340" w:type="dxa"/>
            <w:vAlign w:val="bottom"/>
          </w:tcPr>
          <w:p>
            <w:pPr>
              <w:spacing w:after="0"/>
              <w:rPr>
                <w:sz w:val="18"/>
                <w:szCs w:val="18"/>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 Comcast</w:t>
            </w:r>
          </w:p>
        </w:tc>
      </w:tr>
      <w:tr>
        <w:trPr>
          <w:trHeight w:val="234"/>
        </w:trPr>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Corporation</w:t>
            </w:r>
          </w:p>
        </w:tc>
      </w:tr>
      <w:tr>
        <w:trPr>
          <w:trHeight w:val="3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David L. Cohen</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 NBCUniversal Holdings and NBCUniversal;</w:t>
            </w:r>
          </w:p>
        </w:tc>
      </w:tr>
      <w:tr>
        <w:trPr>
          <w:trHeight w:val="234"/>
        </w:trPr>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 Comcast Corporation</w:t>
            </w:r>
          </w:p>
        </w:tc>
      </w:tr>
    </w:tbl>
    <w:p>
      <w:pPr>
        <w:spacing w:after="0" w:line="200" w:lineRule="exact"/>
        <w:rPr>
          <w:sz w:val="20"/>
          <w:szCs w:val="20"/>
          <w:color w:val="auto"/>
        </w:rPr>
      </w:pPr>
    </w:p>
    <w:p>
      <w:pPr>
        <w:spacing w:after="0" w:line="39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238"/>
        </w:trPr>
        <w:tc>
          <w:tcPr>
            <w:tcW w:w="43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Name and Business Address</w:t>
            </w:r>
          </w:p>
        </w:tc>
        <w:tc>
          <w:tcPr>
            <w:tcW w:w="80" w:type="dxa"/>
            <w:vAlign w:val="bottom"/>
          </w:tcPr>
          <w:p>
            <w:pPr>
              <w:spacing w:after="0"/>
              <w:rPr>
                <w:sz w:val="20"/>
                <w:szCs w:val="20"/>
                <w:color w:val="auto"/>
              </w:rPr>
            </w:pPr>
          </w:p>
        </w:tc>
        <w:tc>
          <w:tcPr>
            <w:tcW w:w="57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(Name and Principal Business of Employer)</w:t>
            </w:r>
          </w:p>
        </w:tc>
      </w:tr>
      <w:tr>
        <w:trPr>
          <w:trHeight w:val="345"/>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Executive Officers of NBCUniversal Holdings and NBCUniversal</w:t>
            </w:r>
          </w:p>
        </w:tc>
      </w:tr>
      <w:tr>
        <w:trPr>
          <w:trHeight w:val="3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Executive Officer, NBCUniversal Holdings and NBCUniversal;</w:t>
            </w:r>
          </w:p>
        </w:tc>
      </w:tr>
      <w:tr>
        <w:trPr>
          <w:trHeight w:val="234"/>
        </w:trPr>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and Chief Executive Officer and President, Comcast Corporation</w:t>
            </w:r>
          </w:p>
        </w:tc>
      </w:tr>
      <w:tr>
        <w:trPr>
          <w:trHeight w:val="3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Arthur R. Block</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Vice President, NBCUniversal Holdings and NBCUniversal;</w:t>
            </w:r>
          </w:p>
        </w:tc>
      </w:tr>
      <w:tr>
        <w:trPr>
          <w:trHeight w:val="234"/>
        </w:trPr>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Executive Vice President, General Counsel and Secretary, Comcast Corporation</w:t>
            </w:r>
          </w:p>
        </w:tc>
      </w:tr>
      <w:tr>
        <w:trPr>
          <w:trHeight w:val="3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Stephen B. Burke</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 and President, NBCUniversal Holdings and</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30 Rockefeller Plaza</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NBCUniversal;</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10112</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 Comcast Corporation</w:t>
            </w:r>
          </w:p>
        </w:tc>
      </w:tr>
      <w:tr>
        <w:trPr>
          <w:trHeight w:val="3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Michael J. Cavanagh</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Financial Officer, NBCUniversal Holdings and NBCUniversal;</w:t>
            </w:r>
          </w:p>
        </w:tc>
      </w:tr>
      <w:tr>
        <w:trPr>
          <w:trHeight w:val="216"/>
        </w:trPr>
        <w:tc>
          <w:tcPr>
            <w:tcW w:w="4340" w:type="dxa"/>
            <w:vAlign w:val="bottom"/>
          </w:tcPr>
          <w:p>
            <w:pPr>
              <w:spacing w:after="0"/>
              <w:rPr>
                <w:sz w:val="18"/>
                <w:szCs w:val="18"/>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 Comcast</w:t>
            </w:r>
          </w:p>
        </w:tc>
      </w:tr>
      <w:tr>
        <w:trPr>
          <w:trHeight w:val="234"/>
        </w:trPr>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Corporation</w:t>
            </w: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238"/>
        </w:trPr>
        <w:tc>
          <w:tcPr>
            <w:tcW w:w="580" w:type="dxa"/>
            <w:vAlign w:val="bottom"/>
          </w:tcPr>
          <w:p>
            <w:pPr>
              <w:spacing w:after="0"/>
              <w:rPr>
                <w:sz w:val="20"/>
                <w:szCs w:val="20"/>
                <w:color w:val="auto"/>
              </w:rPr>
            </w:pPr>
          </w:p>
        </w:tc>
        <w:tc>
          <w:tcPr>
            <w:tcW w:w="43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Name and Business Address</w:t>
            </w:r>
          </w:p>
        </w:tc>
        <w:tc>
          <w:tcPr>
            <w:tcW w:w="80" w:type="dxa"/>
            <w:vAlign w:val="bottom"/>
          </w:tcPr>
          <w:p>
            <w:pPr>
              <w:spacing w:after="0"/>
              <w:rPr>
                <w:sz w:val="20"/>
                <w:szCs w:val="20"/>
                <w:color w:val="auto"/>
              </w:rPr>
            </w:pPr>
          </w:p>
        </w:tc>
        <w:tc>
          <w:tcPr>
            <w:tcW w:w="57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(Name and Principal Business of Employer)</w:t>
            </w:r>
          </w:p>
        </w:tc>
      </w:tr>
      <w:tr>
        <w:trPr>
          <w:trHeight w:val="326"/>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David L. Cohen</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 NBCUniversal Holdings and NBCUniversal;</w:t>
            </w: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Executive Vice President, Comcast Corporation</w:t>
            </w:r>
          </w:p>
        </w:tc>
      </w:tr>
      <w:tr>
        <w:trPr>
          <w:trHeight w:val="33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Lawrence J. Salva</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Vice President, NBCUniversal Holdings and NBCUniversal;</w:t>
            </w: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Accounting Officer, Comcast Corporation</w:t>
            </w:r>
          </w:p>
        </w:tc>
      </w:tr>
      <w:tr>
        <w:trPr>
          <w:trHeight w:val="481"/>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80" w:type="dxa"/>
            <w:vAlign w:val="bottom"/>
          </w:tcPr>
          <w:p>
            <w:pPr>
              <w:spacing w:after="0"/>
              <w:rPr>
                <w:sz w:val="20"/>
                <w:szCs w:val="20"/>
                <w:color w:val="auto"/>
              </w:rPr>
            </w:pPr>
          </w:p>
        </w:tc>
        <w:tc>
          <w:tcPr>
            <w:tcW w:w="576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 does not have a board of directors, and is managed by NBCUniversal Holdings as its sole member.</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other individuals identified on this Schedule A-2 may have beneficial ownership of de minimis amounts of Issuer Common Stock held in investment accounts for which such individuals hold discretionary authority. Comcast disclaims beneficial ownership of any such shares.</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Page 12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85" w:right="4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60" w:type="dxa"/>
            <w:vAlign w:val="bottom"/>
          </w:tcPr>
          <w:p>
            <w:pPr>
              <w:ind w:left="430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693"/>
        </w:trPr>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660" w:type="dxa"/>
            <w:vAlign w:val="bottom"/>
          </w:tcPr>
          <w:p>
            <w:pPr>
              <w:spacing w:after="0"/>
              <w:rPr>
                <w:sz w:val="24"/>
                <w:szCs w:val="24"/>
                <w:color w:val="auto"/>
              </w:rPr>
            </w:pPr>
          </w:p>
        </w:tc>
      </w:tr>
      <w:tr>
        <w:trPr>
          <w:trHeight w:val="238"/>
        </w:trPr>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80" w:type="dxa"/>
            <w:vAlign w:val="bottom"/>
          </w:tcPr>
          <w:p>
            <w:pPr>
              <w:spacing w:after="0"/>
              <w:rPr>
                <w:sz w:val="20"/>
                <w:szCs w:val="20"/>
                <w:color w:val="auto"/>
              </w:rPr>
            </w:pPr>
          </w:p>
        </w:tc>
        <w:tc>
          <w:tcPr>
            <w:tcW w:w="10660" w:type="dxa"/>
            <w:vAlign w:val="bottom"/>
            <w:tcBorders>
              <w:bottom w:val="single" w:sz="8" w:color="auto"/>
            </w:tcBorders>
          </w:tcPr>
          <w:p>
            <w:pPr>
              <w:ind w:left="4880"/>
              <w:spacing w:after="0"/>
              <w:rPr>
                <w:sz w:val="20"/>
                <w:szCs w:val="20"/>
                <w:color w:val="auto"/>
              </w:rPr>
            </w:pPr>
            <w:r>
              <w:rPr>
                <w:rFonts w:ascii="Times New Roman" w:cs="Times New Roman" w:eastAsia="Times New Roman" w:hAnsi="Times New Roman"/>
                <w:sz w:val="18"/>
                <w:szCs w:val="18"/>
                <w:b w:val="1"/>
                <w:bCs w:val="1"/>
                <w:color w:val="auto"/>
              </w:rPr>
              <w:t>Description</w:t>
            </w:r>
          </w:p>
        </w:tc>
      </w:tr>
    </w:tbl>
    <w:p>
      <w:pPr>
        <w:spacing w:after="0" w:line="117" w:lineRule="exact"/>
        <w:rPr>
          <w:sz w:val="20"/>
          <w:szCs w:val="20"/>
          <w:color w:val="auto"/>
        </w:rPr>
      </w:pPr>
    </w:p>
    <w:p>
      <w:pPr>
        <w:ind w:left="140"/>
        <w:spacing w:after="0"/>
        <w:tabs>
          <w:tab w:leader="none" w:pos="640" w:val="left"/>
        </w:tabs>
        <w:rPr>
          <w:sz w:val="20"/>
          <w:szCs w:val="20"/>
          <w:color w:val="auto"/>
        </w:rPr>
      </w:pPr>
      <w:r>
        <w:rPr>
          <w:rFonts w:ascii="Times New Roman" w:cs="Times New Roman" w:eastAsia="Times New Roman" w:hAnsi="Times New Roman"/>
          <w:sz w:val="18"/>
          <w:szCs w:val="18"/>
          <w:color w:val="auto"/>
        </w:rPr>
        <w:t>99.1</w:t>
        <w:tab/>
        <w:t>Letter Agreement, dated as of April 29, 2016, among EVINE Live, Inc., GE Capital Equity Investments, Inc. and NBCUniversal Media, LLC</w:t>
      </w:r>
    </w:p>
    <w:p>
      <w:pPr>
        <w:spacing w:after="0" w:line="144" w:lineRule="exact"/>
        <w:rPr>
          <w:sz w:val="20"/>
          <w:szCs w:val="20"/>
          <w:color w:val="auto"/>
        </w:rPr>
      </w:pPr>
    </w:p>
    <w:p>
      <w:pPr>
        <w:ind w:left="140"/>
        <w:spacing w:after="0"/>
        <w:tabs>
          <w:tab w:leader="none" w:pos="640" w:val="left"/>
        </w:tabs>
        <w:rPr>
          <w:sz w:val="20"/>
          <w:szCs w:val="20"/>
          <w:color w:val="auto"/>
        </w:rPr>
      </w:pPr>
      <w:r>
        <w:rPr>
          <w:rFonts w:ascii="Times New Roman" w:cs="Times New Roman" w:eastAsia="Times New Roman" w:hAnsi="Times New Roman"/>
          <w:sz w:val="18"/>
          <w:szCs w:val="18"/>
          <w:color w:val="auto"/>
        </w:rPr>
        <w:t>99.2</w:t>
        <w:tab/>
        <w:t>Shareholder Agreement, dated as of April 29, 2016, between EVINE Live, Inc. and NBCUniversal Media, LLC</w:t>
      </w:r>
    </w:p>
    <w:p>
      <w:pPr>
        <w:spacing w:after="0" w:line="144" w:lineRule="exact"/>
        <w:rPr>
          <w:sz w:val="20"/>
          <w:szCs w:val="20"/>
          <w:color w:val="auto"/>
        </w:rPr>
      </w:pPr>
    </w:p>
    <w:p>
      <w:pPr>
        <w:ind w:left="660" w:hanging="53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99.3</w:t>
        <w:tab/>
        <w:t>Amendment to Amended and Restated Registration Rights Agreement, dated as of April 29, 2016, among EVINE Live, Inc., NBCUniversal Media, LLC and ASF Radio, L.P.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13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EVINE Live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6740 Shady Oak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Eden Prairie, MN 55344-3433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 Capital Equity Investments,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Merritt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Norwalk, CT 06856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Gail Pflederer and Karen Austin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ind w:left="340" w:right="60" w:hanging="323"/>
        <w:spacing w:after="0" w:line="266" w:lineRule="auto"/>
        <w:rPr>
          <w:sz w:val="20"/>
          <w:szCs w:val="20"/>
          <w:color w:val="auto"/>
        </w:rPr>
      </w:pPr>
      <w:r>
        <w:rPr>
          <w:rFonts w:ascii="Times New Roman" w:cs="Times New Roman" w:eastAsia="Times New Roman" w:hAnsi="Times New Roman"/>
          <w:sz w:val="18"/>
          <w:szCs w:val="18"/>
          <w:color w:val="auto"/>
        </w:rPr>
        <w:t>RE: Amended and Restated Shareholder Agreement, dated as of February 25, 2009, among EVINE Live Inc., a Minnesota corporation f/k/a ValueVision Media,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 Capital Equity Investments, Inc., a Delaware corporation (“</w:t>
      </w:r>
      <w:r>
        <w:rPr>
          <w:rFonts w:ascii="Times New Roman" w:cs="Times New Roman" w:eastAsia="Times New Roman" w:hAnsi="Times New Roman"/>
          <w:sz w:val="18"/>
          <w:szCs w:val="18"/>
          <w:u w:val="single" w:color="auto"/>
          <w:color w:val="auto"/>
        </w:rPr>
        <w:t>GE Capital</w:t>
      </w:r>
      <w:r>
        <w:rPr>
          <w:rFonts w:ascii="Times New Roman" w:cs="Times New Roman" w:eastAsia="Times New Roman" w:hAnsi="Times New Roman"/>
          <w:sz w:val="18"/>
          <w:szCs w:val="18"/>
          <w:color w:val="auto"/>
        </w:rPr>
        <w:t>”), and NBCUniversal Media, LLC, a Delaware limited liability company (formerly known as NBC Universal, Inc. (“NBCU”) (the “</w:t>
      </w:r>
      <w:r>
        <w:rPr>
          <w:rFonts w:ascii="Times New Roman" w:cs="Times New Roman" w:eastAsia="Times New Roman" w:hAnsi="Times New Roman"/>
          <w:sz w:val="18"/>
          <w:szCs w:val="18"/>
          <w:u w:val="single" w:color="auto"/>
          <w:color w:val="auto"/>
        </w:rPr>
        <w:t>2009 Shareholder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hereby made to the 2009 Shareholder Agreement. Capitalized terms used and not otherwise defined in this letter shall have the respective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meanings assigned to such terms in the 2009 Shareholder Agreement. The Company has been advised that GE Capital intends to sell or otherwise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Company common stock currently owned by it to ASF Radio, L.P. (“</w:t>
      </w:r>
      <w:r>
        <w:rPr>
          <w:rFonts w:ascii="Times New Roman" w:cs="Times New Roman" w:eastAsia="Times New Roman" w:hAnsi="Times New Roman"/>
          <w:sz w:val="18"/>
          <w:szCs w:val="18"/>
          <w:u w:val="single" w:color="auto"/>
          <w:color w:val="auto"/>
        </w:rPr>
        <w:t>ASF</w:t>
      </w:r>
      <w:r>
        <w:rPr>
          <w:rFonts w:ascii="Times New Roman" w:cs="Times New Roman" w:eastAsia="Times New Roman" w:hAnsi="Times New Roman"/>
          <w:sz w:val="18"/>
          <w:szCs w:val="18"/>
          <w:color w:val="auto"/>
        </w:rPr>
        <w:t>”), and that following such transfer, GE Capital will no longer own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the Company common stock. Upon the effectiveness of such transfer, the Company, GE Capital and NBCU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are entering into this letter agreement to terminate the 2009 Shareholder Agreement, and simultaneously the Company and NBCU are entering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separate shareholder agreement between them (the “</w:t>
      </w:r>
      <w:r>
        <w:rPr>
          <w:rFonts w:ascii="Times New Roman" w:cs="Times New Roman" w:eastAsia="Times New Roman" w:hAnsi="Times New Roman"/>
          <w:sz w:val="18"/>
          <w:szCs w:val="18"/>
          <w:u w:val="single" w:color="auto"/>
          <w:color w:val="auto"/>
        </w:rPr>
        <w:t>NBCU Shareholder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2009 Shareholder Agreement</w:t>
      </w:r>
      <w:r>
        <w:rPr>
          <w:rFonts w:ascii="Times New Roman" w:cs="Times New Roman" w:eastAsia="Times New Roman" w:hAnsi="Times New Roman"/>
          <w:sz w:val="18"/>
          <w:szCs w:val="18"/>
          <w:color w:val="auto"/>
        </w:rPr>
        <w:t>. The 2009 Shareholder Agreement is hereby terminated and shall have no further force or effect.</w:t>
      </w:r>
    </w:p>
    <w:p>
      <w:pPr>
        <w:spacing w:after="0" w:line="225" w:lineRule="exact"/>
        <w:rPr>
          <w:rFonts w:ascii="Times New Roman" w:cs="Times New Roman" w:eastAsia="Times New Roman" w:hAnsi="Times New Roman"/>
          <w:sz w:val="18"/>
          <w:szCs w:val="18"/>
          <w:color w:val="auto"/>
        </w:rPr>
      </w:pPr>
    </w:p>
    <w:p>
      <w:pPr>
        <w:jc w:val="center"/>
        <w:ind w:right="16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Reciprocal Release</w:t>
      </w:r>
      <w:r>
        <w:rPr>
          <w:rFonts w:ascii="Times New Roman" w:cs="Times New Roman" w:eastAsia="Times New Roman" w:hAnsi="Times New Roman"/>
          <w:sz w:val="18"/>
          <w:szCs w:val="18"/>
          <w:color w:val="auto"/>
        </w:rPr>
        <w:t>. Each of the Company on the one hand, and GE Capital on the other hand, in each case, for and on behalf of itself and its Affiliates, legal representatives, officers, directors, shareholders, attorneys, insurers, employees, agents, heirs, devisees, subsidiaries, parents, predecessors, successors, assigns, related entities and anyone acting or purporting to act on its behalf (collectively together with the Company on the one hand, and GE Capital on the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EVINE Live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2016</w:t>
      </w:r>
    </w:p>
    <w:p>
      <w:pPr>
        <w:spacing w:after="0" w:line="3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other hand, the “</w:t>
      </w:r>
      <w:r>
        <w:rPr>
          <w:rFonts w:ascii="Times New Roman" w:cs="Times New Roman" w:eastAsia="Times New Roman" w:hAnsi="Times New Roman"/>
          <w:sz w:val="18"/>
          <w:szCs w:val="18"/>
          <w:u w:val="single" w:color="auto"/>
          <w:color w:val="auto"/>
        </w:rPr>
        <w:t>Releasing Parties</w:t>
      </w:r>
      <w:r>
        <w:rPr>
          <w:rFonts w:ascii="Times New Roman" w:cs="Times New Roman" w:eastAsia="Times New Roman" w:hAnsi="Times New Roman"/>
          <w:sz w:val="18"/>
          <w:szCs w:val="18"/>
          <w:color w:val="auto"/>
        </w:rPr>
        <w:t>”) does fully and forever release, remise and discharge GE Capital on the one hand, and the Company on the other hand, and their respective direct and indirect parents, subsidiaries and other Affiliates, together with their respective officers, directors, partners, equityholders, employees and agents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any and all claims, covenants, warranties, promises, undertakings, actions, suits, causes of action, obligations, debts, attorneys’ fees, accounts, judgments, losses and liabilities, of whatsoever kind or nature, in law, equity or otherwise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that the Releasing Parties had, may have had, or now have against any Released Party, for or by reason of any matter, cause or thing whatsoever, of whatever kind or nature, whether known or unknown, asserted or unasserted, suspected or claimed, from the beginning of time to the date hereof, including without limitation any foreign claims, arising out of or related or attributable to GE Capital’s interest as a stockholder of the Company, the 2009 Shareholder Agreement or the termination of the 2009 Shareholder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release shall not apply to (i) any obligations of the Company or GE Capital under the letter agreement dated July 9, 2015 between the Company and GE Capital pertaining to the Company’s Shareholder Rights Plan or</w:t>
      </w:r>
    </w:p>
    <w:p>
      <w:pPr>
        <w:spacing w:after="0" w:line="7" w:lineRule="exact"/>
        <w:rPr>
          <w:sz w:val="20"/>
          <w:szCs w:val="20"/>
          <w:color w:val="auto"/>
        </w:rPr>
      </w:pPr>
    </w:p>
    <w:p>
      <w:pPr>
        <w:ind w:right="100" w:firstLine="8"/>
        <w:spacing w:after="0" w:line="261"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of the Parties under that certain Amended and Restated Registration Rights Agreement among the Parties dated as of February 25, 2009, as amended.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GE Capital and the Company hereto further represents and warrants that neither it nor any other Releasing Party with respect to it has filed or permitted to be filed against any Released Party, individually or collectively, any lawsuits or arbitrations related to any of the Claims released pursuant to this agreement, and each of GE Capital and the Company covenants and agrees that neither it nor any other Releasing Party with respect to it will file or permit to be filed any lawsuits at any time hereafter with respect to any Claims released pursuant to this agreement.</w:t>
      </w:r>
    </w:p>
    <w:p>
      <w:pPr>
        <w:spacing w:after="0" w:line="180" w:lineRule="exact"/>
        <w:rPr>
          <w:sz w:val="20"/>
          <w:szCs w:val="20"/>
          <w:color w:val="auto"/>
        </w:rPr>
      </w:pPr>
    </w:p>
    <w:p>
      <w:pPr>
        <w:ind w:firstLine="8"/>
        <w:spacing w:after="0" w:line="255"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NBCU Waiver</w:t>
      </w:r>
      <w:r>
        <w:rPr>
          <w:rFonts w:ascii="Times New Roman" w:cs="Times New Roman" w:eastAsia="Times New Roman" w:hAnsi="Times New Roman"/>
          <w:sz w:val="18"/>
          <w:szCs w:val="18"/>
          <w:color w:val="auto"/>
        </w:rPr>
        <w:t>. As between the Company and NBCU, neither the Company nor NBCU shall be relieved of any liability under the 2009 Shareholder Agreement arising from any breach of its obligations under the 2009 Shareholder Agreement occurring prior to the termination of the 2009 Shareholder Agreement pursuant to this Agreement; provided that NBCU for and on behalf of itself and its Affiliates, predecessors, successors and assigns (collectively together with NBCU, the “</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xml:space="preserve">”) waives any and all Claims that the Waiving Parties had, may have had, or now have against the Company or any other Released Party with respect to the Company’s failure to obtain NBCU’s consent in accordance with Section 3.02, 3.03 or 3.04 of the 2009 Shareholder Agreement prior to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waiver shall not apply to any failure to obtain NBCU’s consent prior to the date hereof with respect to any action or matter that, if taken or occurring after the date hereof without NBCU’s consent, would constitute a breach of Section 3.04 of the NBCU Shareholder Agreement.</w:t>
      </w:r>
    </w:p>
    <w:p>
      <w:pPr>
        <w:spacing w:after="0" w:line="18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Each of the Parties represents to each of the other Parties that:</w:t>
      </w:r>
    </w:p>
    <w:p>
      <w:pPr>
        <w:spacing w:after="0" w:line="225" w:lineRule="exact"/>
        <w:rPr>
          <w:rFonts w:ascii="Times New Roman" w:cs="Times New Roman" w:eastAsia="Times New Roman" w:hAnsi="Times New Roman"/>
          <w:sz w:val="18"/>
          <w:szCs w:val="18"/>
          <w:color w:val="auto"/>
        </w:rPr>
      </w:pPr>
    </w:p>
    <w:p>
      <w:pPr>
        <w:ind w:right="100" w:firstLine="332"/>
        <w:spacing w:after="0" w:line="266" w:lineRule="auto"/>
        <w:tabs>
          <w:tab w:leader="none" w:pos="56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has the full legal right and capacity to enter into this Agreement and perform its respective obligations hereunder. This Agreement has been duly and validly executed and delivered by such Party and, assuming due authorization, execution and delivery by the other Parties, constitutes a legal, valid and binding obligation of such Party, enforceable</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EVINE Live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2016</w:t>
      </w:r>
    </w:p>
    <w:p>
      <w:pPr>
        <w:spacing w:after="0" w:line="9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against such Party in accordance with its terms, except as enforceability may be limited by applicable bankruptcy, insolvency or similar laws affecting the enforcement of creditors' rights generally or by general principles of equity.</w:t>
      </w:r>
    </w:p>
    <w:p>
      <w:pPr>
        <w:spacing w:after="0" w:line="162" w:lineRule="exact"/>
        <w:rPr>
          <w:sz w:val="20"/>
          <w:szCs w:val="20"/>
          <w:color w:val="auto"/>
        </w:rPr>
      </w:pPr>
    </w:p>
    <w:p>
      <w:pPr>
        <w:ind w:firstLine="332"/>
        <w:spacing w:after="0" w:line="254" w:lineRule="auto"/>
        <w:tabs>
          <w:tab w:leader="none" w:pos="5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such Party of this agreement, the performance by such Party of its obligations hereunder and the consummation of the transactions contemplated hereby, will not (a) violate, conflict with or result in the breach of any provision of the operating agreement (or other organizational documents) of such Party; (b) result in the violation by such Party of any applicable law or order of any governmental or regulatory authority applicable to such Party or any of such Party’s assets or properties; or (c) conflict with, result in a violation or breach of, constitute (with or without notice or lapse of time or both) a default under, require such Party to obtain any consent, approval or action of, make any filing with or give any notice to any Person pursuant to, result in or give to any Person any right of payment or reimbursement, termination, cancellation, modification or acceleration of, or result in the creation or imposition of any Liens upon any of the assets or properties of such Party under, any of the terms, conditions or provisions of any agreement to which such Party is a party or by which Party or any of the assets or properties of such Party is bound, other than any such consent, approval, action, filing or notice that has not been obtained, made or given or any required filings pursuant to the Exchange Act or the rules of the SEC.</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EVINE Live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2016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EVINE Live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Damon E. Schramm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Damon E. Schramm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432"/>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 Capital Equity Investments Inc.</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 Austin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Karen A. Austin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64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NBCUniversal Media, LLC</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Eatroff</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Eatroff</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96"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letter agreement dated April 2016</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SHAREHOLDER AGREEMENT</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dated as of April 29, 2016</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EVINE Live Inc.</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1175385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SHAREHOLDER AGREEMENT, dated as of April 29, 2016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EVINE Live Inc. (formerly ValueVision Media, Inc.), a Minnesota corporation (together with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NBCUniversal Media, LLC (formerly NBC Universal Inc.), a Delaware limited liability company (together with its successors, “</w:t>
      </w:r>
      <w:r>
        <w:rPr>
          <w:rFonts w:ascii="Times New Roman" w:cs="Times New Roman" w:eastAsia="Times New Roman" w:hAnsi="Times New Roman"/>
          <w:sz w:val="18"/>
          <w:szCs w:val="18"/>
          <w:u w:val="single" w:color="auto"/>
          <w:color w:val="auto"/>
        </w:rPr>
        <w:t>NBC</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GE Capital Equity Investments, Inc., a Delaware corporation (“</w:t>
      </w:r>
      <w:r>
        <w:rPr>
          <w:rFonts w:ascii="Times New Roman" w:cs="Times New Roman" w:eastAsia="Times New Roman" w:hAnsi="Times New Roman"/>
          <w:sz w:val="18"/>
          <w:szCs w:val="18"/>
          <w:u w:val="single" w:color="auto"/>
          <w:color w:val="auto"/>
        </w:rPr>
        <w:t>GECEI</w:t>
      </w:r>
      <w:r>
        <w:rPr>
          <w:rFonts w:ascii="Times New Roman" w:cs="Times New Roman" w:eastAsia="Times New Roman" w:hAnsi="Times New Roman"/>
          <w:sz w:val="18"/>
          <w:szCs w:val="18"/>
          <w:color w:val="auto"/>
        </w:rPr>
        <w:t>”), and NBC entered into an amended and restated shareholder agreement dated as of February 25, 2009 (the “</w:t>
      </w:r>
      <w:r>
        <w:rPr>
          <w:rFonts w:ascii="Times New Roman" w:cs="Times New Roman" w:eastAsia="Times New Roman" w:hAnsi="Times New Roman"/>
          <w:sz w:val="18"/>
          <w:szCs w:val="18"/>
          <w:u w:val="single" w:color="auto"/>
          <w:color w:val="auto"/>
        </w:rPr>
        <w:t>2009 Shareholder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as of the date hereof, NBC’s outstanding equity interests in the Company consist of 7,141,849 shares of Common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as of the date hereof, GECEI has transferred to ASF Radio, L.P., a Delaware limited partnership, all of its outstanding equity interests in the Company, consisting of 3,545,049 shares of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GECEI and NBC are, by separate agreement, terminating the 2009 Shareholder Agreement effective as of the date hereof;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hereto deem it in their best interests and in the best interests of the Company to provide for certain matters with respect to the governance of the Company and desire to enter into this Agreement relating to the rights and obligations of NBC as a shareholder of the Company.</w:t>
      </w:r>
    </w:p>
    <w:p>
      <w:pPr>
        <w:spacing w:after="0" w:line="16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and understandings set forth herein, the parties hereto hereby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DEFINITIONS</w:t>
      </w:r>
    </w:p>
    <w:p>
      <w:pPr>
        <w:spacing w:after="0" w:line="22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in this Agreement, the following terms shall have the meanings set forth below: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any other Person that directly or indirectly controls, is controlled by, or is under common control with, such Person. As used in this definition, “control” (including its correlative meanings, “controlled by” and “under common control with”) shall mean the possession, directly or indirectly, of power to direct or cause the direction of management or policies (whether through ownership of securities or partnership or other ownership interests, by contract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this Agreement as in effect on the date hereof and as hereafter from time to time amended, modified or supplemented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set forth in Rule 13d-3 under the Exchange Act, except that a Person shall be deemed to “</w:t>
      </w:r>
      <w:r>
        <w:rPr>
          <w:rFonts w:ascii="Times New Roman" w:cs="Times New Roman" w:eastAsia="Times New Roman" w:hAnsi="Times New Roman"/>
          <w:sz w:val="18"/>
          <w:szCs w:val="18"/>
          <w:u w:val="single" w:color="auto"/>
          <w:color w:val="auto"/>
        </w:rPr>
        <w:t>Beneficially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all securities that such Person has a right to acquire, whether such right is exercisable immediately or only after the passage of time (and without any additional condition).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the Board of Directors of the Company as from time to time hereafter constituted.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par value $0.01 per share, of the Company and any securities of the Company into which such Common Stock may be reclassified, exchanged or converted.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shall have the meaning set forth in Section 2.01(b).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shall mean NBC, together with its permitted assigns pursuant to Section 6.06.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Common Stock</w:t>
      </w:r>
      <w:r>
        <w:rPr>
          <w:rFonts w:ascii="Times New Roman" w:cs="Times New Roman" w:eastAsia="Times New Roman" w:hAnsi="Times New Roman"/>
          <w:sz w:val="18"/>
          <w:szCs w:val="18"/>
          <w:color w:val="auto"/>
        </w:rPr>
        <w:t>” shall mean, at any time, the total number of shares of outstanding Common Stock at such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corporation, unincorporated association, partnership, group (as defined in Section 13(d)(3) of the Exchange Act), trust, joint stock company, joint venture, business trust or unincorporated organization, limited liability company, any governmental entity or any other entity of whatever nature.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with respect to any Person, such Person’s directors, officers, employees, agents and other representatives acting in such capacity.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Parties</w:t>
      </w:r>
      <w:r>
        <w:rPr>
          <w:rFonts w:ascii="Times New Roman" w:cs="Times New Roman" w:eastAsia="Times New Roman" w:hAnsi="Times New Roman"/>
          <w:sz w:val="18"/>
          <w:szCs w:val="18"/>
          <w:color w:val="auto"/>
        </w:rPr>
        <w:t>” shall mean each of (i) NBC, its Ultimate Parent Entity (if any), each Subsidiary of NBC and each Subsidiary of its Ultimate Parent Entity, and (ii) any Affiliate of any Person that is a Restricted Party if (and only if) such Restricted Party has the right or power (acting alone or solely with other Restricted Parties) to either cause such Affiliate to comply with or prevent such Affiliate from not complying with all of the terms of this Agreement that are applicable to Restricted Parties.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as to any Person, a corporation, partnership, limited liability company, joint venture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owned, directly or indirectly through one or more intermediaries (including, without limitation, other Subsidiaries), or both, by such Person.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Tender Offer</w:t>
      </w:r>
      <w:r>
        <w:rPr>
          <w:rFonts w:ascii="Times New Roman" w:cs="Times New Roman" w:eastAsia="Times New Roman" w:hAnsi="Times New Roman"/>
          <w:sz w:val="18"/>
          <w:szCs w:val="18"/>
          <w:color w:val="auto"/>
        </w:rPr>
        <w:t>” shall mean a bona fide public offer subject to the provisions of Regulation 14D under the Exchange Act, by a Person (which is not made by and does not include any of the Company, a Restricted Party or any Affiliate of any of them or any 13D Group that includes the Company, a Restricted Party or any Affiliate of them) to purchase or exchange for cash or other consideration any Voting Stock and which consists of an offer to acquire 25% or more of the then Total Current Voting Power of the Company.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13D Group</w:t>
      </w:r>
      <w:r>
        <w:rPr>
          <w:rFonts w:ascii="Times New Roman" w:cs="Times New Roman" w:eastAsia="Times New Roman" w:hAnsi="Times New Roman"/>
          <w:sz w:val="18"/>
          <w:szCs w:val="18"/>
          <w:color w:val="auto"/>
        </w:rPr>
        <w:t>” means any “group” (within the meaning of Section 13(d) of the Exchange Act) formed for the purpose of acquiring, holding, voting or disposing of Voting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Current Voting Power</w:t>
      </w:r>
      <w:r>
        <w:rPr>
          <w:rFonts w:ascii="Times New Roman" w:cs="Times New Roman" w:eastAsia="Times New Roman" w:hAnsi="Times New Roman"/>
          <w:sz w:val="18"/>
          <w:szCs w:val="18"/>
          <w:color w:val="auto"/>
        </w:rPr>
        <w:t>” shall mean, with respect to any corporation the total number of votes which may be cast in the election of members of the Board of Directors of the corporation if all securities entitled to vote in the election of such directors (excluding shares of preferred stock that are entitled to elect directors only upon the occurrence of customary events of default) are present and voted.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the meaning set forth in Section 4.02.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Ultimate Parent Entity</w:t>
      </w:r>
      <w:r>
        <w:rPr>
          <w:rFonts w:ascii="Times New Roman" w:cs="Times New Roman" w:eastAsia="Times New Roman" w:hAnsi="Times New Roman"/>
          <w:sz w:val="18"/>
          <w:szCs w:val="18"/>
          <w:color w:val="auto"/>
        </w:rPr>
        <w:t>” shall mean, with respect to any Person (the “</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the Person (if any) that (i) owns, directly or indirectly through one or more intermediaries, or both, shares of stock or other ownership interests having ordinary voting power (other than stock or such other ownership interests having such power only by reason of the happening of a contingency) to elect a majority of the board of directors or other managers of the Subject Person and (ii) is not itself a Subsidiary of any other Person or is a natural person.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shall mean shares of the Common Stock and any other securities of the Company having the ordinary power to vote in the election of members of the Board of Directors of the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 — CORPORATE GOVERNANCE</w:t>
      </w:r>
    </w:p>
    <w:p>
      <w:pPr>
        <w:spacing w:after="0" w:line="22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82" w:lineRule="auto"/>
        <w:tabs>
          <w:tab w:leader="none" w:pos="19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Restricted Parties shall continue to Beneficially Own at least 5% of the Outstanding Common Stock, the Investor shall be entitled to designate one individual to be nominated to the Board of Directors.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0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so designated by the Investor pursuant to paragraph (a) of this Section 2.01 (each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that has not previously served as a member of the Board of Directors shall be subject to the reasonable approval of a majority of the members of the Board of Directors.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9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nominate each such Designee for election as a director as part of the management slate that is included in the proxy statement (or consent solicitation or similar document) of the Company relating to the election of directors, and shall provide the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same support for the election of each such Designee as it provides to other persons standing for election as directors of the Company as part of the Company’s management slate.</w:t>
      </w:r>
    </w:p>
    <w:p>
      <w:pPr>
        <w:spacing w:after="0" w:line="162" w:lineRule="exact"/>
        <w:rPr>
          <w:sz w:val="20"/>
          <w:szCs w:val="20"/>
          <w:color w:val="auto"/>
        </w:rPr>
      </w:pPr>
    </w:p>
    <w:p>
      <w:pPr>
        <w:jc w:val="both"/>
        <w:ind w:firstLine="1305"/>
        <w:spacing w:after="0" w:line="266" w:lineRule="auto"/>
        <w:tabs>
          <w:tab w:leader="none" w:pos="19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in the event that any Designee on the Board of Directors shall cease to serve as a director for any reason (other than the failure of the shareholders of the Company to elect such person as director), the vacancy resulting therefrom shall be filled by another Designee.</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8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Section 2.01 or elsewhere in this Agreement is intended to prohibit the Restricted Parties from nominating and electing a majority of the members of the Board of Directors if the Restricted Parties have actual ownership of Voting Stock representing in the aggregate a majority of the Total Current Voting Power.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Board Committees</w:t>
      </w:r>
      <w:r>
        <w:rPr>
          <w:rFonts w:ascii="Times New Roman" w:cs="Times New Roman" w:eastAsia="Times New Roman" w:hAnsi="Times New Roman"/>
          <w:sz w:val="18"/>
          <w:szCs w:val="18"/>
          <w:color w:val="auto"/>
        </w:rPr>
        <w:t xml:space="preserve">. As long as the Investor has the right to designate a Designee to the Board of Directors pursuant to Section 2.01, unless otherwise agreed to by the Investor or otherwise prohibited by applicable law or the rules and regulations of the securities exchange or automated quotation system upon which the Common Stock is listed, (a) so long as applicable law or the rules and regulations of the securities exchange or automated quotation system upon which the Common Stock is listed do not permit the Investor’s Designee to serve on the Audit Committee, Human Resources and Compensation Committee or Corporate Governance and Nominating Committees pursuant to the independence requirements of such law or rules and regulations or otherwise, the Investor shall have the right to designate the Designee to serve as a non-voting observer to each of the Audit Committee, Human Resources and Compensation Committee and Corporate Governance and Nominating Committee of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such law or rules and regulations in the future do permit the Investor’s Designee to serve on such Committees, effective as of the time of such change in applicable law or rules and regulations, the Investor shall have the right to designate the Designee to serve on each of the Audit Committee, Human Resources and Compensation Committee, and Corporate Governance and Nominating Committee, and (b) the Investor shall have the right to designate the Designee to serve on each other committee of the Board of Directors.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Reimbursement of Expenses; Attendance at Board Meetings; Indemnification</w:t>
      </w:r>
      <w:r>
        <w:rPr>
          <w:rFonts w:ascii="Times New Roman" w:cs="Times New Roman" w:eastAsia="Times New Roman" w:hAnsi="Times New Roman"/>
          <w:sz w:val="18"/>
          <w:szCs w:val="18"/>
          <w:color w:val="auto"/>
        </w:rPr>
        <w:t>. The Company will reimburse each Designee that serves as a director for all reasonable costs and expenses (including travel expenses) incurred in connection with such director’s attendance at meetings of the Board of Directors or any committee of the Board of Directors upon which such director serves. The Company will not pay such director annual fees and fees for attending Board of Directors or committee meetings. The Company shall indemnify each such director to the same extent it indemnifies its other directors pursuant to its organizational documents and applicable law.</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Consultation and Other Rights</w:t>
      </w:r>
      <w:r>
        <w:rPr>
          <w:rFonts w:ascii="Times New Roman" w:cs="Times New Roman" w:eastAsia="Times New Roman" w:hAnsi="Times New Roman"/>
          <w:sz w:val="18"/>
          <w:szCs w:val="18"/>
          <w:color w:val="auto"/>
        </w:rPr>
        <w:t>. As long as the Investor has the right to designate a Designee to the Board of Directors pursuant to Section 2.01, the Investor shall have: (i) the right to examine the books and records of the Company and (ii) the right to have its representatives consult with the Company’s executive officers regarding business strategies, operating priorities and other major corporate issues.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CERTAIN 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Financial Statements and Other Reports</w:t>
      </w:r>
      <w:r>
        <w:rPr>
          <w:rFonts w:ascii="Times New Roman" w:cs="Times New Roman" w:eastAsia="Times New Roman" w:hAnsi="Times New Roman"/>
          <w:sz w:val="18"/>
          <w:szCs w:val="18"/>
          <w:color w:val="auto"/>
        </w:rPr>
        <w:t>. For so long as the Investor has the right to designate a Designee to the Board of Directors pursuant to Section 2.01, the Company will deliver, or cause to be delivered, to the Investor, only upon written request by the Investor, the following information:</w:t>
      </w:r>
    </w:p>
    <w:p>
      <w:pPr>
        <w:spacing w:after="0" w:line="176" w:lineRule="exact"/>
        <w:rPr>
          <w:sz w:val="20"/>
          <w:szCs w:val="20"/>
          <w:color w:val="auto"/>
        </w:rPr>
      </w:pPr>
    </w:p>
    <w:p>
      <w:pPr>
        <w:jc w:val="both"/>
        <w:ind w:firstLine="1305"/>
        <w:spacing w:after="0" w:line="266" w:lineRule="auto"/>
        <w:tabs>
          <w:tab w:leader="none" w:pos="20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then-current budget (on a monthly basis) for the Company and its Subsidiaries (including consolidating and consolidated statements of operations) for the current fiscal year and, if and when available (which shall in no event be later than the later of 30 days (i) prior to the end of the preceding fiscal year and (ii) following the date of the request), for the following fiscal year;</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9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on or before the date that is 45 days after the later of (i) the end of each applicable month for which such information is requested and (ii) the date of such request, consolidating and consolidated statements of operations of the Company and its Subsidiaries for such month and for the period from the beginning of the current fiscal year to the end of such month and a consolidated balance sheet of the Company and its Subsidiaries as at the end of such period and setting forth, in each case, in comparative form, figures for the corresponding month and period in the preceding fiscal year and the budget for such month and for the period from the beginning of the current fiscal year to the end of such month, all in reasonable detail and certified by an authorized financial officer of the Company as fairly presenting in all material respects the financial condition and results of operations of the Company and its Subsidiaries on a consolidated basis in accordance with GAAP;</w:t>
      </w:r>
    </w:p>
    <w:p>
      <w:pPr>
        <w:spacing w:after="0" w:line="189" w:lineRule="exact"/>
        <w:rPr>
          <w:rFonts w:ascii="Times New Roman" w:cs="Times New Roman" w:eastAsia="Times New Roman" w:hAnsi="Times New Roman"/>
          <w:sz w:val="18"/>
          <w:szCs w:val="18"/>
          <w:color w:val="auto"/>
        </w:rPr>
      </w:pPr>
    </w:p>
    <w:p>
      <w:pPr>
        <w:jc w:val="both"/>
        <w:ind w:firstLine="1305"/>
        <w:spacing w:after="0" w:line="255" w:lineRule="auto"/>
        <w:tabs>
          <w:tab w:leader="none" w:pos="19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and in any event on or before the date that is 45 days after the later of (i) the end of each applicable fiscal quarter of the Company for which such information is requested and (ii) the date of such request, consolidating and consolidated statements of operations and cash flow of the Company and its Subsidiaries for such quarter and for the period from the beginning of the current fiscal year to the end of such quarter and a consolidated balance sheet of the Company and its Subsidiaries as at the end of such quarter, setting forth, in each case, in comparative form, figures for the corresponding quarter in the preceding fiscal year and the budget for such quarter, all in reasonable detail, and certified by an authorized financial officer of the Company as fairly presenting in all material respects the financial condition and results of operations of the Company and its Subsidiaries on a consolidated basis in accordance with GAAP;</w:t>
      </w:r>
    </w:p>
    <w:p>
      <w:pPr>
        <w:spacing w:after="0" w:line="189" w:lineRule="exact"/>
        <w:rPr>
          <w:rFonts w:ascii="Times New Roman" w:cs="Times New Roman" w:eastAsia="Times New Roman" w:hAnsi="Times New Roman"/>
          <w:sz w:val="18"/>
          <w:szCs w:val="18"/>
          <w:color w:val="auto"/>
        </w:rPr>
      </w:pPr>
    </w:p>
    <w:p>
      <w:pPr>
        <w:jc w:val="both"/>
        <w:ind w:firstLine="1305"/>
        <w:spacing w:after="0" w:line="255" w:lineRule="auto"/>
        <w:tabs>
          <w:tab w:leader="none" w:pos="18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on or before the date that is 120 days after the later of (i) the end of each applicable fiscal year of the Company for which such information is requested and (ii) the date on which such information is requested, consolidating and consolidated statements of operations, shareholders’ equity and cash flow of the Company and its Subsidiaries for such fiscal year, and the related consolidating and consolidated balance sheets of the Company and its Subsidiaries as at the end of such fiscal year, setting forth, in each case, in comparative form, corresponding consolidated and consolidating figures from the preceding fiscal year, all in reasonable detail and accompanied (i) in the case of such consolidated statements and balance sheet of the Company, by an opinion thereon of independent certified public accountants of recognized national standing (which shall be generally recognized</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as one of the “</w:t>
      </w:r>
      <w:r>
        <w:rPr>
          <w:rFonts w:ascii="Times New Roman" w:cs="Times New Roman" w:eastAsia="Times New Roman" w:hAnsi="Times New Roman"/>
          <w:sz w:val="18"/>
          <w:szCs w:val="18"/>
          <w:u w:val="single" w:color="auto"/>
          <w:color w:val="auto"/>
        </w:rPr>
        <w:t>Big Four</w:t>
      </w:r>
      <w:r>
        <w:rPr>
          <w:rFonts w:ascii="Times New Roman" w:cs="Times New Roman" w:eastAsia="Times New Roman" w:hAnsi="Times New Roman"/>
          <w:sz w:val="18"/>
          <w:szCs w:val="18"/>
          <w:color w:val="auto"/>
        </w:rPr>
        <w:t>” independent public accounting firms), which opinion shall state that such consolidated financial statements fairly present the consolidated financial condition and results of operations of the Company and its Subsidiaries as at the end of, and for, such fiscal year in accordance with GAAP, and (ii) in the case of such consolidating statements and balance sheets, by a certificate of an authorized financial officer of the Company, which certificate shall state that such consolidating financial statements fairly present, in all material respects, the respective individual unconsolidated financial condition and results of operations of the Company and of each of its Subsidiaries, in each case in accordance with GAAP, consistently applied, as at the end of, and for, such fiscal year;</w:t>
      </w:r>
    </w:p>
    <w:p>
      <w:pPr>
        <w:spacing w:after="0" w:line="188" w:lineRule="exact"/>
        <w:rPr>
          <w:sz w:val="20"/>
          <w:szCs w:val="20"/>
          <w:color w:val="auto"/>
        </w:rPr>
      </w:pPr>
    </w:p>
    <w:p>
      <w:pPr>
        <w:jc w:val="both"/>
        <w:ind w:firstLine="1305"/>
        <w:spacing w:after="0" w:line="266" w:lineRule="auto"/>
        <w:tabs>
          <w:tab w:leader="none" w:pos="19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advance, promptly upon transmission thereof to the shareholders of the Company generally or to any other security holder of the Company, including, without limitation, any holder of debt, copies of all financial statements, notices, certificates, annual reports and proxy statements so transmitted;</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20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advance, promptly upon receipt thereof, a copy of each other report submitted to the Company or any of its Subsidiaries by independent accountants in connection with any annual, interim or special audit of the books of the Company or any of its Subsidiaries made by such accountants, or any management letters or similar document submitted to the Company or any of its Subsidiaries by such accountants;</w:t>
      </w:r>
    </w:p>
    <w:p>
      <w:pPr>
        <w:spacing w:after="0" w:line="176" w:lineRule="exact"/>
        <w:rPr>
          <w:rFonts w:ascii="Times New Roman" w:cs="Times New Roman" w:eastAsia="Times New Roman" w:hAnsi="Times New Roman"/>
          <w:sz w:val="18"/>
          <w:szCs w:val="18"/>
          <w:color w:val="auto"/>
        </w:rPr>
      </w:pPr>
    </w:p>
    <w:p>
      <w:pPr>
        <w:ind w:left="2040" w:hanging="735"/>
        <w:spacing w:after="0"/>
        <w:tabs>
          <w:tab w:leader="none" w:pos="2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advance, promptly upon any material revision to the budgets referred to in paragraph (a) above, such monthly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budgets, as revised;</w:t>
      </w:r>
    </w:p>
    <w:p>
      <w:pPr>
        <w:spacing w:after="0" w:line="206" w:lineRule="exact"/>
        <w:rPr>
          <w:rFonts w:ascii="Times New Roman" w:cs="Times New Roman" w:eastAsia="Times New Roman" w:hAnsi="Times New Roman"/>
          <w:sz w:val="18"/>
          <w:szCs w:val="18"/>
          <w:color w:val="auto"/>
        </w:rPr>
      </w:pPr>
    </w:p>
    <w:p>
      <w:pPr>
        <w:ind w:right="20" w:firstLine="1305"/>
        <w:spacing w:after="0" w:line="282" w:lineRule="auto"/>
        <w:tabs>
          <w:tab w:leader="none" w:pos="19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advance, promptly upon any officer of the Company obtaining knowledge thereof, notice of any event of default under any credit agreement, loan agreement or indenture that the Company is party to; and</w:t>
      </w:r>
    </w:p>
    <w:p>
      <w:pPr>
        <w:spacing w:after="0" w:line="161" w:lineRule="exact"/>
        <w:rPr>
          <w:rFonts w:ascii="Times New Roman" w:cs="Times New Roman" w:eastAsia="Times New Roman" w:hAnsi="Times New Roman"/>
          <w:sz w:val="18"/>
          <w:szCs w:val="18"/>
          <w:color w:val="auto"/>
        </w:rPr>
      </w:pPr>
    </w:p>
    <w:p>
      <w:pPr>
        <w:ind w:left="1900" w:hanging="595"/>
        <w:spacing w:after="0"/>
        <w:tabs>
          <w:tab w:leader="none" w:pos="1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reasonable promptness, such other information and data with respect to the Company or any of its Subsidiaries as the Investor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reasonably request.</w:t>
      </w:r>
    </w:p>
    <w:p>
      <w:pPr>
        <w:spacing w:after="0" w:line="20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 (a) The Company agrees that, except with the prior written consent of the Investor and except as otherwise expressly permitted by this Agreement, the Company and its Subsidiaries shall not, directly or indirectly:</w:t>
      </w:r>
    </w:p>
    <w:p>
      <w:pPr>
        <w:spacing w:after="0" w:line="162" w:lineRule="exact"/>
        <w:rPr>
          <w:sz w:val="20"/>
          <w:szCs w:val="20"/>
          <w:color w:val="auto"/>
        </w:rPr>
      </w:pPr>
    </w:p>
    <w:p>
      <w:pPr>
        <w:jc w:val="both"/>
        <w:ind w:left="660" w:firstLine="1293"/>
        <w:spacing w:after="0" w:line="258" w:lineRule="auto"/>
        <w:tabs>
          <w:tab w:leader="none" w:pos="26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amend any shareholders rights plan or amend any of its organizational documents in a manner which would disadvantage the Restricted Parties relative to other shareholders on the basis of the size of their shareholdings or otherwise restrict or impede the ability of the Restricted Parties to acquire additional shares of Voting Stock or dispose of such Voting Stock in any manner permitted by Section 4.02 to any Restricted Party or to any Person that would Beneficially Own (together with such Person’s Ultimate Parent Entity, Subsidiaries and Affiliates) less than 10% of the Outstanding Common Stock;</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ind w:left="660" w:right="20" w:firstLine="1293"/>
        <w:spacing w:after="0" w:line="282" w:lineRule="auto"/>
        <w:tabs>
          <w:tab w:leader="none" w:pos="260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result in any Restricted Party being deemed to be in violation of Section 73.3555 of the rules and regulations of the Federal Communications Commission, as the same may be amended from time to time.</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9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3.04(a)(i) shall terminate and be of no further force or effect at such time as the Investor is no longer entitled to designate a Designee to the Board of Directors pursuant to Section 2.01.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No Reinstatement of Rights</w:t>
      </w:r>
      <w:r>
        <w:rPr>
          <w:rFonts w:ascii="Times New Roman" w:cs="Times New Roman" w:eastAsia="Times New Roman" w:hAnsi="Times New Roman"/>
          <w:sz w:val="18"/>
          <w:szCs w:val="18"/>
          <w:color w:val="auto"/>
        </w:rPr>
        <w:t>. Anything in this Agreement to the contrary notwithstanding, to the extent the Restricted Parties fail to satisfy any ownership threshold set forth herein so that any rights of the Investor under this Agreement and/or obligations of the Company under this Agreement terminate, such terminated rights and/or obligations will not be reinstated if the Restricted Parties thereafter satisfy such ownership threshold.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TRANSFER RESTRICTIONS</w:t>
      </w:r>
    </w:p>
    <w:p>
      <w:pPr>
        <w:spacing w:after="0" w:line="22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Unless the Restricted Parties Beneficially Own in the aggregate less than 5% of the Outstanding Common Stock or until the Restricted Parties Beneficially Own in the aggregate at least 90% of the Outstanding Common Stock, the Restricted Parties shall not, directly or indirectly, sell, transfer or otherwise dispose of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any of the shares of Common Stock Beneficially Owned by such Persons, except for Transfers: (i) to Restricted Parties or to Affiliates who agree to be Restricted Parties bound by the provisions of this Agreement, (ii) which have been consented to by the Company, (iii) pursuant to a Third Party Tender Offer, (iv) pursuant to a merger, consolidation or reorganization to which the Company is a party, (v) in a public offering pursuant to an effective registration statement, (vi) pursuant to Rule 144 of the Securities Act or (vii) in a private sale or pursuant to Rule 144A of the Securities Act; provided that, in the case of any Transfer by the Investor pursuant to clause (v), (vi) or (vii), such Transfer does not result in, to the knowledge of the Investor after reasonable inquiry, any other Person acquiring, after giving effect to such Transfer, Beneficial Ownership, individually or in the aggregate with such Person’s Ultimate Parent Entity, Subsidiaries and Affiliates, of more than 20% of the Outstanding Common Stock without the prior written consent of the Company, which shall not be unreasonably withheld.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 MISCELLANEOUS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delivered personally or sent by overnight courier as follows:</w:t>
      </w:r>
    </w:p>
    <w:p>
      <w:pPr>
        <w:spacing w:after="0" w:line="162" w:lineRule="exact"/>
        <w:rPr>
          <w:sz w:val="20"/>
          <w:szCs w:val="20"/>
          <w:color w:val="auto"/>
        </w:rPr>
      </w:pPr>
    </w:p>
    <w:p>
      <w:pPr>
        <w:ind w:left="2040" w:hanging="735"/>
        <w:spacing w:after="0"/>
        <w:tabs>
          <w:tab w:leader="none" w:pos="2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NBC,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ind w:left="1960"/>
        <w:spacing w:after="0"/>
        <w:rPr>
          <w:sz w:val="20"/>
          <w:szCs w:val="20"/>
          <w:color w:val="auto"/>
        </w:rPr>
      </w:pPr>
      <w:r>
        <w:rPr>
          <w:rFonts w:ascii="Times New Roman" w:cs="Times New Roman" w:eastAsia="Times New Roman" w:hAnsi="Times New Roman"/>
          <w:sz w:val="18"/>
          <w:szCs w:val="18"/>
          <w:color w:val="auto"/>
        </w:rPr>
        <w:t>New York, New York 10112</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10112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1701 John F. Kennedy Blvd.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2000" w:hanging="695"/>
        <w:spacing w:after="0"/>
        <w:tabs>
          <w:tab w:leader="none" w:pos="2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EVINE Live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6740 Shady Oak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Eden Prairie, MN 55344-3433</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Davis &amp; Gilbert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1740 Broadway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Brad Schwartzberg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or addresses as shall be designated in writing. All notices shall be effective when received.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and that certain letter agreement, dated as of July 9, 2015, by and between the Company and GECEI (of which NBC is a third-party beneficiary) together set forth the entire agreement between the parties hereto with respect to the transactions contemplated by this Agreement. Any provision of this Agreement may be amended or modified in whole or in part at any time by an agreement in writing between the parties hereto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contained in this Agreement or in any other instrument referred to herein, shall, for any reason, be held to</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 invalid, illegal or unenforceable in any respect, such invalidity, illegality or unenforceability shall not affect any other provision of this Agreement or any other such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 original, but all of which together shall constitute one and the same document.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 This Agreement shall be governed and construed in accordance with the laws of the State of New York applicable to contracts executed and performed within such state, and each party hereby submits to the jurisdiction of any state or U.S. federal court sitting within the County of New York, New York or the County of Hennepin, Minnesota. The parties hereto waive all right to trial by jury in any action, suit or proceeding brought to enforce or defend any rights or remedies under this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Successors and Assigns; Third Party Beneficiaries</w:t>
      </w:r>
      <w:r>
        <w:rPr>
          <w:rFonts w:ascii="Times New Roman" w:cs="Times New Roman" w:eastAsia="Times New Roman" w:hAnsi="Times New Roman"/>
          <w:sz w:val="18"/>
          <w:szCs w:val="18"/>
          <w:color w:val="auto"/>
        </w:rPr>
        <w:t>. Subject to applicable law, the Investor may assign its rights under this Agreement in whole or in part only to a Restricted Party, but no such assignment shall relieve the Investor of its obligations hereunder unless the Investor’s obligations hereunder are assumed by its Ultimate Parent Entity (if any) in a written agreement reasonably acceptable to the Company delivered to the Company (in which case the Investor will be released from its obligations hereunder except for its obligations as a Restricted Party to comply with the terms hereof). The Company may not assign any of its rights or delegate any of its duties under this Agreement without the prior written consent of the Investor. Any purported assignment in violation of this Section shall be void. Nothing expressed or mentioned in this Agreement is intended or shall be construed to give any Person other than the Restricted Parties (who shall be third party beneficiaries of this Agreement entitled to the benefit of, and to enforce, its terms) and the Company and their respective successors, any legal or equitable right, remedy or claim under or in respect of this Agreement or any provision herein contained. This Agreement and all conditions and provisions hereof are intended to be for the sole and exclusive benefit of the Restricted Parties and the Company and their respective successors, and for the benefit of no other Person. No purchaser of Common Stock from a Restricted Party (other than another Restricted Party) shall be deemed to be a successor or assignee by reason merely of such purchase.</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controversy, dispute or claim arising out of, in connection with or in relation to the interpretation, performance or breach of this Agreement, shall be determined, at the request of any party, by arbitration in a city mutually agreeable to the parties to such controversy, dispute or claim before and in accordance with the then-existing Rules for Commercial Arbitration of the American Arbitration Association, and any judgment or award rendered by the arbitrator will be final, binding and unappealable and judgment may be entered by any state or Federal court having jurisdiction thereof. The pre-trial discovery procedures of the Federal Rules of Civil Procedure shall apply to any arbitration under this Section 6.07. Any controversy concerning whether a dispute is an arbitrable dispute or as to the interpretation or enforceability of this Section 6.07 shall be determined by the arbitrator. The arbitrator shall be a retired or former United States District Judge or other person acceptable to each of the parties, provided such individual has substantial professional experience with regard</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to corporate or partnership legal matters. The parties intend that this agreement to arbitrate be valid, enforceable and irrevocable.</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any provision of this Agreement was not performed in accordance with the terms hereof and that the parties shall be entitled to an injunction or injunctions to prevent breaches of this Agreement and to enforce specifically the terms and provisions of this Agreement in addition to any other remedy to which they are entitled at law or in equity.</w:t>
      </w:r>
    </w:p>
    <w:p>
      <w:pPr>
        <w:spacing w:after="0" w:line="4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Headings, Captions and Table of Contents</w:t>
      </w:r>
      <w:r>
        <w:rPr>
          <w:rFonts w:ascii="Times New Roman" w:cs="Times New Roman" w:eastAsia="Times New Roman" w:hAnsi="Times New Roman"/>
          <w:sz w:val="18"/>
          <w:szCs w:val="18"/>
          <w:color w:val="auto"/>
        </w:rPr>
        <w:t>. The section headings, captions and table of contents contained in this Agreement are for reference purposes only, are not part of this Agreement and shall not affect the meaning or interpretation of this Agreement.</w:t>
      </w:r>
    </w:p>
    <w:p>
      <w:pPr>
        <w:spacing w:after="0" w:line="16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1" w:lineRule="auto"/>
        <w:tabs>
          <w:tab w:leader="none" w:pos="196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it will not use, or direct the use of, any of (x) the information of the Company of the nature described in Section 3.01 of this Agreement that was furnished or made available to the Investor on or prior to the date hereof pursuant to Section 3.01 of the 2009 Shareholder Agreement and (y) the information requested in writing by the Investor and furnished or made available to the Investor by the Company after the date hereof pursuant to Section 3.01 of this Agreement (collectively,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for any purpose or in any manner other than solely in connection with its investment in the Company, and that it will not disclose, divulge or provide (collectively, “</w:t>
      </w:r>
      <w:r>
        <w:rPr>
          <w:rFonts w:ascii="Times New Roman" w:cs="Times New Roman" w:eastAsia="Times New Roman" w:hAnsi="Times New Roman"/>
          <w:sz w:val="18"/>
          <w:szCs w:val="18"/>
          <w:b w:val="1"/>
          <w:bCs w:val="1"/>
          <w:color w:val="auto"/>
        </w:rPr>
        <w:t>Disclose</w:t>
      </w:r>
      <w:r>
        <w:rPr>
          <w:rFonts w:ascii="Times New Roman" w:cs="Times New Roman" w:eastAsia="Times New Roman" w:hAnsi="Times New Roman"/>
          <w:sz w:val="18"/>
          <w:szCs w:val="18"/>
          <w:color w:val="auto"/>
        </w:rPr>
        <w:t>,” with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to have a correlative meaning), or direct the Disclosure of, any of the Information to any Person, other than (i) solely to its Affiliates or its or their respective directors, officers, employees, investment advisors, accountants, counsel, consultants, and other authorized representatives, advisors and agents (collectively, such Party’s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in each case who reasonably need the Information in connection with the Investor’s investment in the Company (including for tax treatment and tax structure of the Investor’s investment in the Company) or to carry out the purposes of this Agreement, (ii) Disclosures necessary to be made by the Investor or its Representatives in connection with the enforcement of any right or remedy relating to the Investor’s investment in the Company or this Agreement or the transactions contemplated hereby, (iii) Disclosure of any information required to be included in filings, presentations or document productions required to be made under applicable law, rule, regulations or requirements of stock exchanges or rating agencies, (iv) except as may be required by judicial or administrative process (including by subpoena, civil investigative demand or similar process) or by other requirements of applicable law, rule, regulation, (v) to any Person to whom the Investor is contemplating a Transfer of any of the shares of Common Stock Beneficially Owned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would not be in violation of the terms of this Agreement and such potential transferee is advised of the confidential nature of the Information or</w:t>
      </w:r>
    </w:p>
    <w:p>
      <w:pPr>
        <w:spacing w:after="0" w:line="12" w:lineRule="exact"/>
        <w:rPr>
          <w:rFonts w:ascii="Times New Roman" w:cs="Times New Roman" w:eastAsia="Times New Roman" w:hAnsi="Times New Roman"/>
          <w:sz w:val="18"/>
          <w:szCs w:val="18"/>
          <w:color w:val="auto"/>
        </w:rPr>
      </w:pPr>
    </w:p>
    <w:p>
      <w:pPr>
        <w:jc w:val="both"/>
        <w:ind w:right="20" w:firstLine="8"/>
        <w:spacing w:after="0" w:line="254" w:lineRule="auto"/>
        <w:tabs>
          <w:tab w:leader="none" w:pos="3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prior consent of the Company. Notwithstanding the foregoing, the Investor’s obligations to keep Information confidential shall not be deemed to be breached by any disclosure by the Investor or any of its Affiliates in the ordinary course of their business of disseminating news and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individuals involved in such dissemination received such Information from a source other than the Investor’s Representatives who received such Information pursuant to this Section 6.10.</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jc w:val="both"/>
        <w:ind w:firstLine="1305"/>
        <w:spacing w:after="0" w:line="257" w:lineRule="auto"/>
        <w:tabs>
          <w:tab w:leader="none" w:pos="1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as used in Section 6.10 shall not include any information that: (i) has rightfully been in the Investor’s or any of its Representatives’ possession prior to its receipt from or on behalf of the Company; (ii) is already or later becomes generally available to the public through no breach of the Investor of this Section 6.10; (iii) has been or is received by the Investor or any of its Representatives on a non-confidential basis from a person not known by the Investor to be bound by an obligation of confidentiality to the Company or its Affiliates with respect to such information; or</w:t>
      </w: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developed independently by the Investor or any of its Representatives without any reference to the Information.</w:t>
      </w:r>
    </w:p>
    <w:p>
      <w:pPr>
        <w:spacing w:after="0" w:line="20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87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Information may constitute material non-public information about the Company, and is aware that United States securities laws prohibit any person who has material non-public information about a company from purchasing or selling securities of such company, or from communicating such information to any other person under circumstances in which it is reasonably foreseeable that such person is likely to purchase or sell such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and, except as set forth in the next sentence, be of no further force or effect upon the earlier to occur of (i) the date on which the parties hereto mutually agree that this Agreement shall be terminated, and (ii) the date on which none of the Restricted Parties own any Company Common Stock. Notwithstanding the foregoing, the provisions of Section 6.10 of this Agreement shall survive any termination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9" w:name="page30"/>
    <w:bookmarkEnd w:id="2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or by their respective duly authorized representatives, all as of the date first above written.</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EVINE LIVE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Damon E. Schramm</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Damon E. Schramm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Senior Vice President and General Counsel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Robert Eatroff</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THE SHAREHOLDER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color w:val="auto"/>
        </w:rPr>
        <w:t>Exhibit 99.3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Amended and Restated Registration Rights Agreement</w:t>
      </w:r>
    </w:p>
    <w:p>
      <w:pPr>
        <w:spacing w:after="0" w:line="229" w:lineRule="exact"/>
        <w:rPr>
          <w:sz w:val="20"/>
          <w:szCs w:val="20"/>
          <w:color w:val="auto"/>
        </w:rPr>
      </w:pPr>
    </w:p>
    <w:p>
      <w:pPr>
        <w:ind w:right="240" w:firstLine="1297"/>
        <w:spacing w:after="0" w:line="258" w:lineRule="auto"/>
        <w:rPr>
          <w:sz w:val="20"/>
          <w:szCs w:val="20"/>
          <w:color w:val="auto"/>
        </w:rPr>
      </w:pPr>
      <w:r>
        <w:rPr>
          <w:rFonts w:ascii="Times New Roman" w:cs="Times New Roman" w:eastAsia="Times New Roman" w:hAnsi="Times New Roman"/>
          <w:sz w:val="18"/>
          <w:szCs w:val="18"/>
          <w:color w:val="auto"/>
        </w:rPr>
        <w:t>This Amendment to Amended and Restated Registration Rights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into as of April 29, 2016, by and among EVINE Live Inc. (formerly known as ValueVision Media, Inc.), a Minnesota corporation (together with its successors and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ASF Radio, L.P., a Delaware limited partnership (together with its successors and assigns, “</w:t>
      </w:r>
      <w:r>
        <w:rPr>
          <w:rFonts w:ascii="Times New Roman" w:cs="Times New Roman" w:eastAsia="Times New Roman" w:hAnsi="Times New Roman"/>
          <w:sz w:val="18"/>
          <w:szCs w:val="18"/>
          <w:u w:val="single" w:color="auto"/>
          <w:color w:val="auto"/>
        </w:rPr>
        <w:t>ASF Radio</w:t>
      </w:r>
      <w:r>
        <w:rPr>
          <w:rFonts w:ascii="Times New Roman" w:cs="Times New Roman" w:eastAsia="Times New Roman" w:hAnsi="Times New Roman"/>
          <w:sz w:val="18"/>
          <w:szCs w:val="18"/>
          <w:color w:val="auto"/>
        </w:rPr>
        <w:t>”), and NBCUniversal Media, LLC (formerly NBC Universal, Inc.), a Delaware limited liability company (together with its successors and assigns, “</w:t>
      </w:r>
      <w:r>
        <w:rPr>
          <w:rFonts w:ascii="Times New Roman" w:cs="Times New Roman" w:eastAsia="Times New Roman" w:hAnsi="Times New Roman"/>
          <w:sz w:val="18"/>
          <w:szCs w:val="18"/>
          <w:u w:val="single" w:color="auto"/>
          <w:color w:val="auto"/>
        </w:rPr>
        <w:t>NBC</w:t>
      </w:r>
      <w:r>
        <w:rPr>
          <w:rFonts w:ascii="Times New Roman" w:cs="Times New Roman" w:eastAsia="Times New Roman" w:hAnsi="Times New Roman"/>
          <w:sz w:val="18"/>
          <w:szCs w:val="18"/>
          <w:color w:val="auto"/>
        </w:rPr>
        <w:t>”). Capitalized terms used herein but not defined herein shall have the meanings given to such terms in the Registration Rights Agreement (as herein defined).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520" w:firstLine="1297"/>
        <w:spacing w:after="0" w:line="282" w:lineRule="auto"/>
        <w:rPr>
          <w:sz w:val="20"/>
          <w:szCs w:val="20"/>
          <w:color w:val="auto"/>
        </w:rPr>
      </w:pPr>
      <w:r>
        <w:rPr>
          <w:rFonts w:ascii="Times New Roman" w:cs="Times New Roman" w:eastAsia="Times New Roman" w:hAnsi="Times New Roman"/>
          <w:sz w:val="18"/>
          <w:szCs w:val="18"/>
          <w:color w:val="auto"/>
        </w:rPr>
        <w:t>WHEREAS, each of the Company, GE Capital Equity Investments, Inc. (“</w:t>
      </w:r>
      <w:r>
        <w:rPr>
          <w:rFonts w:ascii="Times New Roman" w:cs="Times New Roman" w:eastAsia="Times New Roman" w:hAnsi="Times New Roman"/>
          <w:sz w:val="18"/>
          <w:szCs w:val="18"/>
          <w:u w:val="single" w:color="auto"/>
          <w:color w:val="auto"/>
        </w:rPr>
        <w:t>GECEI</w:t>
      </w:r>
      <w:r>
        <w:rPr>
          <w:rFonts w:ascii="Times New Roman" w:cs="Times New Roman" w:eastAsia="Times New Roman" w:hAnsi="Times New Roman"/>
          <w:sz w:val="18"/>
          <w:szCs w:val="18"/>
          <w:color w:val="auto"/>
        </w:rPr>
        <w:t>”) and NBC entered into an Amended and Restated Registration Rights Agreement, dated as of February 25, 2009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20" w:firstLine="1297"/>
        <w:spacing w:after="0" w:line="266" w:lineRule="auto"/>
        <w:rPr>
          <w:sz w:val="20"/>
          <w:szCs w:val="20"/>
          <w:color w:val="auto"/>
        </w:rPr>
      </w:pPr>
      <w:r>
        <w:rPr>
          <w:rFonts w:ascii="Times New Roman" w:cs="Times New Roman" w:eastAsia="Times New Roman" w:hAnsi="Times New Roman"/>
          <w:sz w:val="18"/>
          <w:szCs w:val="18"/>
          <w:color w:val="auto"/>
        </w:rPr>
        <w:t>WHEREAS, in connection with that certain Trademark License Agreement, dated as of November 16, 2000, between NBC and the Company (as subsequently amended), the Registration Rights Agreement was amended to increase the aggregate number of Demand Registrations that Holders may make under the Registration Rights Agreement from four to five;</w:t>
      </w:r>
    </w:p>
    <w:p>
      <w:pPr>
        <w:spacing w:after="0" w:line="176" w:lineRule="exact"/>
        <w:rPr>
          <w:sz w:val="20"/>
          <w:szCs w:val="20"/>
          <w:color w:val="auto"/>
        </w:rPr>
      </w:pPr>
    </w:p>
    <w:p>
      <w:pPr>
        <w:ind w:right="140" w:firstLine="1297"/>
        <w:spacing w:after="0" w:line="282" w:lineRule="auto"/>
        <w:rPr>
          <w:sz w:val="20"/>
          <w:szCs w:val="20"/>
          <w:color w:val="auto"/>
        </w:rPr>
      </w:pPr>
      <w:r>
        <w:rPr>
          <w:rFonts w:ascii="Times New Roman" w:cs="Times New Roman" w:eastAsia="Times New Roman" w:hAnsi="Times New Roman"/>
          <w:sz w:val="18"/>
          <w:szCs w:val="18"/>
          <w:color w:val="auto"/>
        </w:rPr>
        <w:t>WHEREAS, as of the date hereof, GECEI is transferring to ASF Radio all of its outstanding equity interests in the Company, consisting of 3,545,049 shares of Common Stock;</w:t>
      </w:r>
    </w:p>
    <w:p>
      <w:pPr>
        <w:spacing w:after="0" w:line="162" w:lineRule="exact"/>
        <w:rPr>
          <w:sz w:val="20"/>
          <w:szCs w:val="20"/>
          <w:color w:val="auto"/>
        </w:rPr>
      </w:pPr>
    </w:p>
    <w:p>
      <w:pPr>
        <w:ind w:right="100" w:firstLine="1297"/>
        <w:spacing w:after="0" w:line="282" w:lineRule="auto"/>
        <w:rPr>
          <w:sz w:val="20"/>
          <w:szCs w:val="20"/>
          <w:color w:val="auto"/>
        </w:rPr>
      </w:pPr>
      <w:r>
        <w:rPr>
          <w:rFonts w:ascii="Times New Roman" w:cs="Times New Roman" w:eastAsia="Times New Roman" w:hAnsi="Times New Roman"/>
          <w:sz w:val="18"/>
          <w:szCs w:val="18"/>
          <w:color w:val="auto"/>
        </w:rPr>
        <w:t>WHEREAS, as of the date hereof, the Amended and Restated Shareholder Agreement dated as of February 25, 2009, among the Company, GECEI and NBC is being terminated, and the Company is entering into a new shareholder agreement with NBC;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hereto desire to amend the Registration Rights Agreement as set forth in this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and understandings set forth herein, the parties hereto agree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Section 1 of the Registration Rights Agreement is hereby amended by the addition of the following:</w:t>
      </w:r>
    </w:p>
    <w:p>
      <w:pPr>
        <w:spacing w:after="0" w:line="225" w:lineRule="exact"/>
        <w:rPr>
          <w:sz w:val="20"/>
          <w:szCs w:val="20"/>
          <w:color w:val="auto"/>
        </w:rPr>
      </w:pPr>
    </w:p>
    <w:p>
      <w:pPr>
        <w:ind w:left="660" w:right="780" w:firstLine="324"/>
        <w:spacing w:after="0" w:line="256" w:lineRule="auto"/>
        <w:rPr>
          <w:sz w:val="20"/>
          <w:szCs w:val="20"/>
          <w:color w:val="auto"/>
        </w:rPr>
      </w:pPr>
      <w:r>
        <w:rPr>
          <w:rFonts w:ascii="Times New Roman" w:cs="Times New Roman" w:eastAsia="Times New Roman" w:hAnsi="Times New Roman"/>
          <w:sz w:val="18"/>
          <w:szCs w:val="18"/>
          <w:color w:val="auto"/>
        </w:rPr>
        <w:t>“ASF Restricted Parties: Each of (i) ASF Radio, its Ultimate Parent Entity (if any), each Subsdiary of ASF Radio and each Subsidiary of its Ultimate Parent Entity, and (ii) any Affiliate of any Person that is an ASF Restricted Party if (and only if) such Restricted Party has the right or power (acting alone or solely with other ASF Restricted Parties) to either cause such Affiliate to comply with or prevent such Affiliate from not complying with all of the terms of this Agreement that are applicable to ASF Restricted Parties. For purposes of this definition, “Ultimate Parent Entity” means, with respect to any Person (the “Subject Person”), the Person (if any) that (i) owns, directly or indirectly through one or more intermediaries, or both, shares of stock or other ownership interests having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ind w:left="660" w:right="680"/>
        <w:spacing w:after="0" w:line="253" w:lineRule="auto"/>
        <w:rPr>
          <w:sz w:val="20"/>
          <w:szCs w:val="20"/>
          <w:color w:val="auto"/>
        </w:rPr>
      </w:pPr>
      <w:r>
        <w:rPr>
          <w:rFonts w:ascii="Times New Roman" w:cs="Times New Roman" w:eastAsia="Times New Roman" w:hAnsi="Times New Roman"/>
          <w:sz w:val="18"/>
          <w:szCs w:val="18"/>
          <w:color w:val="auto"/>
        </w:rPr>
        <w:t>ordinary voting power (other than stock or such other ownership interests having such power only by reason of the happening of a contingency) to elect a majority of the board of directors or other managers of the Subject Person and (ii) is not itself a Subsidiary of any other Person or is a natural person; “Subsidiary” shall mean, as to any Person, a corporation, partnership, limited liability company, joint venture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directly or indirectly through one or more intermediaries (including, without limitation, other Subsidiaries), or both, by such Person; “Affiliate” means, with respect to any Person, any other Person that directly or indirectly controls, is controlled by, or is under common control with, such Person; “Person” means an individual, corporation, unincorporated association, partnership, group (as defined in Section 13(d)(3) of the Securities Exchange Act of 1934, as amended), trust, joint stock company, joint venture, business trust or unincorporated organization, limited liability company, any governmental entity or any other entity of whatever nature; and “control” (including its correlative meanings, “controlled by” and “under common control with”) shall mean the possession, directly or indirectly, of power to direct or cause the direction of management or policies (whether through ownership of securities or partnership or other ownership interests, by contract or otherwise).</w:t>
      </w:r>
    </w:p>
    <w:p>
      <w:pPr>
        <w:spacing w:after="0" w:line="189" w:lineRule="exact"/>
        <w:rPr>
          <w:sz w:val="20"/>
          <w:szCs w:val="20"/>
          <w:color w:val="auto"/>
        </w:rPr>
      </w:pPr>
    </w:p>
    <w:p>
      <w:pPr>
        <w:ind w:right="20" w:firstLine="332"/>
        <w:spacing w:after="0" w:line="282" w:lineRule="auto"/>
        <w:tabs>
          <w:tab w:leader="none" w:pos="5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“Restricted Parties” in Section 1 of the Registration Rights Agreement is hereby deleted and replaced in its entirety with the following definition:</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“Restricted Parties”: (i) when in the context of ASF Radio, the ASF Restricted Parties; and (ii) when in the context of NBC, as defined in the Shareholder Agreement.</w:t>
      </w:r>
    </w:p>
    <w:p>
      <w:pPr>
        <w:spacing w:after="0" w:line="162" w:lineRule="exact"/>
        <w:rPr>
          <w:sz w:val="20"/>
          <w:szCs w:val="20"/>
          <w:color w:val="auto"/>
        </w:rPr>
      </w:pPr>
    </w:p>
    <w:p>
      <w:pPr>
        <w:ind w:right="260" w:firstLine="332"/>
        <w:spacing w:after="0" w:line="282" w:lineRule="auto"/>
        <w:tabs>
          <w:tab w:leader="none" w:pos="5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“Shareholder Agreement” in Section 1 of the Registration Rights Agreement is hereby deleted and replaced in its entirety with the following definition:</w:t>
      </w:r>
    </w:p>
    <w:p>
      <w:pPr>
        <w:spacing w:after="0" w:line="162" w:lineRule="exact"/>
        <w:rPr>
          <w:sz w:val="20"/>
          <w:szCs w:val="20"/>
          <w:color w:val="auto"/>
        </w:rPr>
      </w:pPr>
    </w:p>
    <w:p>
      <w:pPr>
        <w:ind w:left="660" w:right="1420" w:firstLine="324"/>
        <w:spacing w:after="0" w:line="282" w:lineRule="auto"/>
        <w:rPr>
          <w:sz w:val="20"/>
          <w:szCs w:val="20"/>
          <w:color w:val="auto"/>
        </w:rPr>
      </w:pPr>
      <w:r>
        <w:rPr>
          <w:rFonts w:ascii="Times New Roman" w:cs="Times New Roman" w:eastAsia="Times New Roman" w:hAnsi="Times New Roman"/>
          <w:sz w:val="18"/>
          <w:szCs w:val="18"/>
          <w:color w:val="auto"/>
        </w:rPr>
        <w:t>“Shareholder Agreement”: The Shareholder Agreement, dated as of April 29, 2016, between the Company and NBC, as such agreement may be amended, supplemented or otherwise modified from time to time.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 The first sentence of Section 2(a) of the Registration Rights Agreement is hereby amended to read as follows:</w:t>
      </w:r>
    </w:p>
    <w:p>
      <w:pPr>
        <w:spacing w:after="0" w:line="225" w:lineRule="exact"/>
        <w:rPr>
          <w:sz w:val="20"/>
          <w:szCs w:val="20"/>
          <w:color w:val="auto"/>
        </w:rPr>
      </w:pPr>
    </w:p>
    <w:p>
      <w:pPr>
        <w:ind w:left="660" w:right="7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Shareholder Agreement, at any time and from time to time, subject to the conditions set forth in this Agreement, one or more Holders will have the right, by written notice delivered to the Company (a “Demand Notice”), to require the Company to register Registrable Securities under and in accordance with the provisions of the Securities Act (a “Demand Registration”); provided that (i) ASF Radio and the ASF Restricted Parties may not make in the aggregate more than two (2) Demand Registrations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2" w:name="page33"/>
    <w:bookmarkEnd w:id="32"/>
    <w:p>
      <w:pPr>
        <w:ind w:left="660" w:right="680"/>
        <w:spacing w:after="0" w:line="255" w:lineRule="auto"/>
        <w:rPr>
          <w:sz w:val="20"/>
          <w:szCs w:val="20"/>
          <w:color w:val="auto"/>
        </w:rPr>
      </w:pPr>
      <w:r>
        <w:rPr>
          <w:rFonts w:ascii="Times New Roman" w:cs="Times New Roman" w:eastAsia="Times New Roman" w:hAnsi="Times New Roman"/>
          <w:sz w:val="18"/>
          <w:szCs w:val="18"/>
          <w:color w:val="auto"/>
        </w:rPr>
        <w:t>Agreement and (ii) NBC and the Restricted Parties under its Shareholder Agreement may not make in the aggregate more than three (3) Demand Registrations under this Agreement; provided, further, that: (A) no such Demand Registration may be required unless the Holders requesting such Demand Registration provide to the Company a certificate (the “Authorizing Certificate”), seeking to include at least two million (2,000,000) shares of Registrable Securities in such Demand Registration as of the date the Demand Notice is given; and (B) no Demand Notice may be given prior to six (6) months after the effective date of the immediately preceding Demand Registration or, if later, the date on which a registration pursuant to this Section 2 is terminated in its entirety prior to the effective date of the applicable registration statement.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 The last sentence of Section 2(c) of the Registration Rights Agreement is hereby amended to read as follows:</w:t>
      </w:r>
    </w:p>
    <w:p>
      <w:pPr>
        <w:spacing w:after="0" w:line="225" w:lineRule="exact"/>
        <w:rPr>
          <w:sz w:val="20"/>
          <w:szCs w:val="20"/>
          <w:color w:val="auto"/>
        </w:rPr>
      </w:pPr>
    </w:p>
    <w:p>
      <w:pPr>
        <w:ind w:left="660" w:right="900"/>
        <w:spacing w:after="0" w:line="261" w:lineRule="auto"/>
        <w:rPr>
          <w:sz w:val="20"/>
          <w:szCs w:val="20"/>
          <w:color w:val="auto"/>
        </w:rPr>
      </w:pPr>
      <w:r>
        <w:rPr>
          <w:rFonts w:ascii="Times New Roman" w:cs="Times New Roman" w:eastAsia="Times New Roman" w:hAnsi="Times New Roman"/>
          <w:sz w:val="18"/>
          <w:szCs w:val="18"/>
          <w:color w:val="auto"/>
        </w:rPr>
        <w:t>In the event of a reduction in the number of Registrable Securities to be included in a Demand Registration pursuant to the preceding sentence, the Registrable Securities to be so included shall be allocated among all Holders requesting inclusion of Registrable Securities therein on the basis of the amount of Registrable Securities requested to be included therein by each such Holder, without priority for the Holder or Holders initiating such Demand Registration.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 The notice addresses in Section 9(c) of the Registration Rights Agreement are hereby amended to read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If to the Company:</w:t>
            </w: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EVINE Live Inc.</w:t>
            </w:r>
          </w:p>
        </w:tc>
      </w:tr>
      <w:tr>
        <w:trPr>
          <w:trHeight w:val="216"/>
        </w:trPr>
        <w:tc>
          <w:tcPr>
            <w:tcW w:w="326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6740 Shady Oak Road</w:t>
            </w:r>
          </w:p>
        </w:tc>
      </w:tr>
      <w:tr>
        <w:trPr>
          <w:trHeight w:val="216"/>
        </w:trPr>
        <w:tc>
          <w:tcPr>
            <w:tcW w:w="326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Eden Prairie, MN 55344-3433</w:t>
            </w:r>
          </w:p>
        </w:tc>
      </w:tr>
      <w:tr>
        <w:trPr>
          <w:trHeight w:val="234"/>
        </w:trPr>
        <w:tc>
          <w:tcPr>
            <w:tcW w:w="3260" w:type="dxa"/>
            <w:vAlign w:val="bottom"/>
          </w:tcPr>
          <w:p>
            <w:pPr>
              <w:spacing w:after="0"/>
              <w:rPr>
                <w:sz w:val="20"/>
                <w:szCs w:val="20"/>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414"/>
        </w:trPr>
        <w:tc>
          <w:tcPr>
            <w:tcW w:w="3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With copies (which shall not</w:t>
            </w: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Davis &amp; Gilbert LLP</w:t>
            </w:r>
          </w:p>
        </w:tc>
      </w:tr>
      <w:tr>
        <w:trPr>
          <w:trHeight w:val="216"/>
        </w:trPr>
        <w:tc>
          <w:tcPr>
            <w:tcW w:w="3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constitute notice) to:</w:t>
            </w: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1740 Broadway</w:t>
            </w:r>
          </w:p>
        </w:tc>
      </w:tr>
      <w:tr>
        <w:trPr>
          <w:trHeight w:val="216"/>
        </w:trPr>
        <w:tc>
          <w:tcPr>
            <w:tcW w:w="326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New York, NY 10019</w:t>
            </w:r>
          </w:p>
        </w:tc>
      </w:tr>
      <w:tr>
        <w:trPr>
          <w:trHeight w:val="234"/>
        </w:trPr>
        <w:tc>
          <w:tcPr>
            <w:tcW w:w="3260" w:type="dxa"/>
            <w:vAlign w:val="bottom"/>
          </w:tcPr>
          <w:p>
            <w:pPr>
              <w:spacing w:after="0"/>
              <w:rPr>
                <w:sz w:val="20"/>
                <w:szCs w:val="20"/>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Attention: Brad Schwartzberg</w:t>
            </w:r>
          </w:p>
        </w:tc>
      </w:tr>
      <w:tr>
        <w:trPr>
          <w:trHeight w:val="414"/>
        </w:trPr>
        <w:tc>
          <w:tcPr>
            <w:tcW w:w="3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If to ASF Radio:</w:t>
            </w: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ASF Radio, L.P.</w:t>
            </w:r>
          </w:p>
        </w:tc>
      </w:tr>
      <w:tr>
        <w:trPr>
          <w:trHeight w:val="220"/>
        </w:trPr>
        <w:tc>
          <w:tcPr>
            <w:tcW w:w="326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 ASF Radio GP, LLC</w:t>
            </w:r>
          </w:p>
        </w:tc>
      </w:tr>
      <w:tr>
        <w:trPr>
          <w:trHeight w:val="253"/>
        </w:trPr>
        <w:tc>
          <w:tcPr>
            <w:tcW w:w="3260" w:type="dxa"/>
            <w:vAlign w:val="bottom"/>
          </w:tcPr>
          <w:p>
            <w:pPr>
              <w:spacing w:after="0"/>
              <w:rPr>
                <w:sz w:val="21"/>
                <w:szCs w:val="21"/>
                <w:color w:val="auto"/>
              </w:rPr>
            </w:pPr>
          </w:p>
        </w:tc>
        <w:tc>
          <w:tcPr>
            <w:tcW w:w="8160" w:type="dxa"/>
            <w:vAlign w:val="bottom"/>
          </w:tcPr>
          <w:p>
            <w:pPr>
              <w:ind w:left="520"/>
              <w:spacing w:after="0" w:line="253" w:lineRule="exact"/>
              <w:rPr>
                <w:sz w:val="20"/>
                <w:szCs w:val="20"/>
                <w:color w:val="auto"/>
              </w:rPr>
            </w:pPr>
            <w:r>
              <w:rPr>
                <w:rFonts w:ascii="Times New Roman" w:cs="Times New Roman" w:eastAsia="Times New Roman" w:hAnsi="Times New Roman"/>
                <w:sz w:val="18"/>
                <w:szCs w:val="18"/>
                <w:color w:val="auto"/>
              </w:rPr>
              <w:t>1370 Avenue of the Americas,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tc>
      </w:tr>
      <w:tr>
        <w:trPr>
          <w:trHeight w:val="216"/>
        </w:trPr>
        <w:tc>
          <w:tcPr>
            <w:tcW w:w="326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New York, NY 10019</w:t>
            </w:r>
          </w:p>
        </w:tc>
      </w:tr>
      <w:tr>
        <w:trPr>
          <w:trHeight w:val="234"/>
        </w:trPr>
        <w:tc>
          <w:tcPr>
            <w:tcW w:w="3260" w:type="dxa"/>
            <w:vAlign w:val="bottom"/>
          </w:tcPr>
          <w:p>
            <w:pPr>
              <w:spacing w:after="0"/>
              <w:rPr>
                <w:sz w:val="20"/>
                <w:szCs w:val="20"/>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Attention: Mark Benedetti</w:t>
            </w:r>
          </w:p>
        </w:tc>
      </w:tr>
      <w:tr>
        <w:trPr>
          <w:trHeight w:val="414"/>
        </w:trPr>
        <w:tc>
          <w:tcPr>
            <w:tcW w:w="3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With a copy (which shall not</w:t>
            </w: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Proskauer Rose LLP</w:t>
            </w:r>
          </w:p>
        </w:tc>
      </w:tr>
      <w:tr>
        <w:trPr>
          <w:trHeight w:val="216"/>
        </w:trPr>
        <w:tc>
          <w:tcPr>
            <w:tcW w:w="3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constitute notice) to:</w:t>
            </w: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110 Bishopsgate</w:t>
            </w:r>
          </w:p>
        </w:tc>
      </w:tr>
      <w:tr>
        <w:trPr>
          <w:trHeight w:val="216"/>
        </w:trPr>
        <w:tc>
          <w:tcPr>
            <w:tcW w:w="326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London</w:t>
            </w:r>
          </w:p>
        </w:tc>
      </w:tr>
      <w:tr>
        <w:trPr>
          <w:trHeight w:val="234"/>
        </w:trPr>
        <w:tc>
          <w:tcPr>
            <w:tcW w:w="3260" w:type="dxa"/>
            <w:vAlign w:val="bottom"/>
          </w:tcPr>
          <w:p>
            <w:pPr>
              <w:spacing w:after="0"/>
              <w:rPr>
                <w:sz w:val="20"/>
                <w:szCs w:val="20"/>
                <w:color w:val="auto"/>
              </w:rPr>
            </w:pPr>
          </w:p>
        </w:tc>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EC2N 4AY</w:t>
            </w:r>
          </w:p>
        </w:tc>
      </w:tr>
      <w:tr>
        <w:trPr>
          <w:trHeight w:val="743"/>
        </w:trPr>
        <w:tc>
          <w:tcPr>
            <w:tcW w:w="326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ind w:left="3448"/>
        <w:spacing w:after="0"/>
        <w:rPr>
          <w:sz w:val="20"/>
          <w:szCs w:val="20"/>
          <w:color w:val="auto"/>
        </w:rPr>
      </w:pPr>
      <w:r>
        <w:rPr>
          <w:rFonts w:ascii="Times New Roman" w:cs="Times New Roman" w:eastAsia="Times New Roman" w:hAnsi="Times New Roman"/>
          <w:sz w:val="18"/>
          <w:szCs w:val="18"/>
          <w:color w:val="auto"/>
        </w:rPr>
        <w:t>United Kingdom</w:t>
      </w:r>
    </w:p>
    <w:p>
      <w:pPr>
        <w:spacing w:after="0" w:line="27" w:lineRule="exact"/>
        <w:rPr>
          <w:sz w:val="20"/>
          <w:szCs w:val="20"/>
          <w:color w:val="auto"/>
        </w:rPr>
      </w:pPr>
    </w:p>
    <w:p>
      <w:pPr>
        <w:ind w:left="3448"/>
        <w:spacing w:after="0"/>
        <w:rPr>
          <w:sz w:val="20"/>
          <w:szCs w:val="20"/>
          <w:color w:val="auto"/>
        </w:rPr>
      </w:pPr>
      <w:r>
        <w:rPr>
          <w:rFonts w:ascii="Times New Roman" w:cs="Times New Roman" w:eastAsia="Times New Roman" w:hAnsi="Times New Roman"/>
          <w:sz w:val="17"/>
          <w:szCs w:val="17"/>
          <w:color w:val="auto"/>
        </w:rPr>
        <w:t>Attention: Bruno Bertrand-Delfau</w:t>
      </w:r>
    </w:p>
    <w:p>
      <w:pPr>
        <w:sectPr>
          <w:pgSz w:w="11900" w:h="16838" w:orient="portrait"/>
          <w:cols w:equalWidth="0" w:num="1">
            <w:col w:w="11088"/>
          </w:cols>
          <w:pgMar w:left="572" w:top="796" w:right="239" w:bottom="1440" w:gutter="0" w:footer="0" w:header="0"/>
        </w:sectPr>
      </w:pPr>
    </w:p>
    <w:p>
      <w:pPr>
        <w:spacing w:after="0" w:line="21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7"/>
          <w:szCs w:val="17"/>
          <w:color w:val="auto"/>
        </w:rPr>
        <w:t>If to NBC:</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0" w:lineRule="exact"/>
        <w:rPr>
          <w:sz w:val="20"/>
          <w:szCs w:val="20"/>
          <w:color w:val="auto"/>
        </w:rPr>
      </w:pPr>
    </w:p>
    <w:p>
      <w:pPr>
        <w:sectPr>
          <w:pgSz w:w="11900" w:h="16838" w:orient="portrait"/>
          <w:cols w:equalWidth="0" w:num="2">
            <w:col w:w="2728" w:space="720"/>
            <w:col w:w="7640"/>
          </w:cols>
          <w:pgMar w:left="572" w:top="796" w:right="239" w:bottom="1440" w:gutter="0" w:footer="0" w:header="0"/>
          <w:type w:val="continuous"/>
        </w:sectPr>
      </w:pPr>
    </w:p>
    <w:p>
      <w:pPr>
        <w:spacing w:after="0" w:line="7" w:lineRule="exact"/>
        <w:rPr>
          <w:sz w:val="20"/>
          <w:szCs w:val="20"/>
          <w:color w:val="auto"/>
        </w:rPr>
      </w:pPr>
    </w:p>
    <w:p>
      <w:pPr>
        <w:ind w:left="328" w:right="340"/>
        <w:spacing w:after="0" w:line="282" w:lineRule="auto"/>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10112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ectPr>
          <w:pgSz w:w="11900" w:h="16838" w:orient="portrait"/>
          <w:cols w:equalWidth="0" w:num="2">
            <w:col w:w="2728" w:space="720"/>
            <w:col w:w="7640"/>
          </w:cols>
          <w:pgMar w:left="572" w:top="796" w:right="239" w:bottom="1440" w:gutter="0" w:footer="0" w:header="0"/>
          <w:type w:val="continuous"/>
        </w:sectPr>
      </w:pPr>
    </w:p>
    <w:p>
      <w:pPr>
        <w:spacing w:after="0" w:line="7" w:lineRule="exact"/>
        <w:rPr>
          <w:sz w:val="20"/>
          <w:szCs w:val="20"/>
          <w:color w:val="auto"/>
        </w:rPr>
      </w:pPr>
    </w:p>
    <w:p>
      <w:pPr>
        <w:ind w:left="3448"/>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448"/>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3448"/>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3448"/>
        <w:spacing w:after="0"/>
        <w:rPr>
          <w:sz w:val="20"/>
          <w:szCs w:val="20"/>
          <w:color w:val="auto"/>
        </w:rPr>
      </w:pPr>
      <w:r>
        <w:rPr>
          <w:rFonts w:ascii="Times New Roman" w:cs="Times New Roman" w:eastAsia="Times New Roman" w:hAnsi="Times New Roman"/>
          <w:sz w:val="17"/>
          <w:szCs w:val="17"/>
          <w:color w:val="auto"/>
        </w:rPr>
        <w:t>1701 John F. Kennedy Blvd.</w:t>
      </w:r>
    </w:p>
    <w:p>
      <w:pPr>
        <w:spacing w:after="0" w:line="21" w:lineRule="exact"/>
        <w:rPr>
          <w:sz w:val="20"/>
          <w:szCs w:val="20"/>
          <w:color w:val="auto"/>
        </w:rPr>
      </w:pPr>
    </w:p>
    <w:p>
      <w:pPr>
        <w:ind w:left="3448"/>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3448"/>
        <w:spacing w:after="0"/>
        <w:rPr>
          <w:sz w:val="20"/>
          <w:szCs w:val="20"/>
          <w:color w:val="auto"/>
        </w:rPr>
      </w:pPr>
      <w:r>
        <w:rPr>
          <w:rFonts w:ascii="Times New Roman" w:cs="Times New Roman" w:eastAsia="Times New Roman" w:hAnsi="Times New Roman"/>
          <w:sz w:val="18"/>
          <w:szCs w:val="18"/>
          <w:color w:val="auto"/>
        </w:rPr>
        <w:t>Attention: General Counsel</w:t>
      </w:r>
    </w:p>
    <w:p>
      <w:pPr>
        <w:sectPr>
          <w:pgSz w:w="11900" w:h="16838" w:orient="portrait"/>
          <w:cols w:equalWidth="0" w:num="1">
            <w:col w:w="11088"/>
          </w:cols>
          <w:pgMar w:left="572" w:top="796" w:right="239" w:bottom="1440" w:gutter="0" w:footer="0" w:header="0"/>
          <w:type w:val="continuous"/>
        </w:sectPr>
      </w:pPr>
    </w:p>
    <w:p>
      <w:pPr>
        <w:spacing w:after="0" w:line="207" w:lineRule="exact"/>
        <w:rPr>
          <w:sz w:val="20"/>
          <w:szCs w:val="20"/>
          <w:color w:val="auto"/>
        </w:rPr>
      </w:pPr>
    </w:p>
    <w:p>
      <w:pPr>
        <w:ind w:left="-332" w:right="20" w:firstLine="332"/>
        <w:spacing w:after="0" w:line="266" w:lineRule="auto"/>
        <w:tabs>
          <w:tab w:leader="none" w:pos="1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the Registration Rights Agreement shall continue in full force and effect as originally constituted and is ratified and affirmed by the parties hereto. The provisions of this Amendment may not be amended, modified or supplemented without the prior written consent of the parties hereto.</w:t>
      </w:r>
    </w:p>
    <w:p>
      <w:pPr>
        <w:spacing w:after="0" w:line="176" w:lineRule="exact"/>
        <w:rPr>
          <w:rFonts w:ascii="Times New Roman" w:cs="Times New Roman" w:eastAsia="Times New Roman" w:hAnsi="Times New Roman"/>
          <w:sz w:val="18"/>
          <w:szCs w:val="18"/>
          <w:color w:val="auto"/>
        </w:rPr>
      </w:pPr>
    </w:p>
    <w:p>
      <w:pPr>
        <w:ind w:left="-332" w:right="200" w:firstLine="332"/>
        <w:spacing w:after="0" w:line="282" w:lineRule="auto"/>
        <w:tabs>
          <w:tab w:leader="none" w:pos="1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and by the parties hereto in separate counterparts, each of which when so executed will be deemed to be an original and all of which taken together will constitute one and the same instrument.</w:t>
      </w:r>
    </w:p>
    <w:p>
      <w:pPr>
        <w:spacing w:after="0" w:line="161" w:lineRule="exact"/>
        <w:rPr>
          <w:rFonts w:ascii="Times New Roman" w:cs="Times New Roman" w:eastAsia="Times New Roman" w:hAnsi="Times New Roman"/>
          <w:sz w:val="18"/>
          <w:szCs w:val="18"/>
          <w:color w:val="auto"/>
        </w:rPr>
      </w:pPr>
    </w:p>
    <w:p>
      <w:pPr>
        <w:ind w:left="-332" w:firstLine="332"/>
        <w:spacing w:after="0" w:line="282" w:lineRule="auto"/>
        <w:tabs>
          <w:tab w:leader="none" w:pos="1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will be governed by and construed in accordance with the laws of the State of New York, as applied to contracts made and performed within the State of New York, without regard to principles of conflict of laws.</w:t>
      </w:r>
    </w:p>
    <w:p>
      <w:pPr>
        <w:spacing w:after="0" w:line="162"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351790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796" w:right="239" w:bottom="1440" w:gutter="0" w:footer="0" w:header="0"/>
          <w:type w:val="continuous"/>
        </w:sectPr>
      </w:pPr>
    </w:p>
    <w:bookmarkStart w:id="34" w:name="page35"/>
    <w:bookmarkEnd w:id="34"/>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Amendment to Amended and Restated Registration Rights Agreement as of the date first written above.</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EVINE LIVE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Damon E. Schramm</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Damon E. Schramm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3152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Senior Vice President and General Counsel</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ASF RADIO, L.P.</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Michel Fellmann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Michel Fellmann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3152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NBCUNIVERSAL MEDIA,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Robert Eatroff</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3152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20"/>
      </w:cols>
      <w:pgMar w:left="240" w:top="796"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lvl w:ilvl="1">
      <w:lvlJc w:val="left"/>
      <w:lvlText w:val="(%2)"/>
      <w:numFmt w:val="lowerLetter"/>
      <w:start w:val="1"/>
    </w:lvl>
  </w:abstractNum>
  <w:abstractNum w:abstractNumId="1">
    <w:nsid w:val="628C895D"/>
    <w:multiLevelType w:val="hybridMultilevel"/>
    <w:lvl w:ilvl="0">
      <w:lvlJc w:val="left"/>
      <w:lvlText w:val="%1."/>
      <w:numFmt w:val="decimal"/>
      <w:start w:val="6"/>
    </w:lvl>
    <w:lvl w:ilvl="1">
      <w:lvlJc w:val="left"/>
      <w:lvlText w:val="%2."/>
      <w:numFmt w:val="decimal"/>
      <w:start w:val="7"/>
    </w:lvl>
  </w:abstractNum>
  <w:abstractNum w:abstractNumId="2">
    <w:nsid w:val="333AB105"/>
    <w:multiLevelType w:val="hybridMultilevel"/>
    <w:lvl w:ilvl="0">
      <w:lvlJc w:val="left"/>
      <w:lvlText w:val="%1"/>
      <w:numFmt w:val="decimal"/>
      <w:start w:val="1"/>
    </w:lvl>
    <w:lvl w:ilvl="1">
      <w:lvlJc w:val="left"/>
      <w:lvlText w:val="%2."/>
      <w:numFmt w:val="decimal"/>
      <w:start w:val="10"/>
    </w:lvl>
  </w:abstractNum>
  <w:abstractNum w:abstractNumId="3">
    <w:nsid w:val="721DA317"/>
    <w:multiLevelType w:val="hybridMultilevel"/>
    <w:lvl w:ilvl="0">
      <w:lvlJc w:val="left"/>
      <w:lvlText w:val="%1."/>
      <w:numFmt w:val="decimal"/>
      <w:start w:val="11"/>
    </w:lvl>
    <w:lvl w:ilvl="1">
      <w:lvlJc w:val="left"/>
      <w:lvlText w:val="%2"/>
      <w:numFmt w:val="decimal"/>
      <w:start w:val="1"/>
    </w:lvl>
  </w:abstractNum>
  <w:abstractNum w:abstractNumId="4">
    <w:nsid w:val="2443A858"/>
    <w:multiLevelType w:val="hybridMultilevel"/>
    <w:lvl w:ilvl="0">
      <w:lvlJc w:val="left"/>
      <w:lvlText w:val="%1."/>
      <w:numFmt w:val="decimal"/>
      <w:start w:val="13"/>
    </w:lvl>
  </w:abstractNum>
  <w:abstractNum w:abstractNumId="5">
    <w:nsid w:val="2D1D5AE9"/>
    <w:multiLevelType w:val="hybridMultilevel"/>
    <w:lvl w:ilvl="0">
      <w:lvlJc w:val="left"/>
      <w:lvlText w:val="%1."/>
      <w:numFmt w:val="decimal"/>
      <w:start w:val="1"/>
    </w:lvl>
    <w:lvl w:ilvl="1">
      <w:lvlJc w:val="left"/>
      <w:lvlText w:val="(%2)"/>
      <w:numFmt w:val="lowerLetter"/>
      <w:start w:val="1"/>
    </w:lvl>
  </w:abstractNum>
  <w:abstractNum w:abstractNumId="6">
    <w:nsid w:val="6763845E"/>
    <w:multiLevelType w:val="hybridMultilevel"/>
    <w:lvl w:ilvl="0">
      <w:lvlJc w:val="left"/>
      <w:lvlText w:val="%1."/>
      <w:numFmt w:val="decimal"/>
      <w:start w:val="6"/>
    </w:lvl>
    <w:lvl w:ilvl="1">
      <w:lvlJc w:val="left"/>
      <w:lvlText w:val="%2."/>
      <w:numFmt w:val="decimal"/>
      <w:start w:val="7"/>
    </w:lvl>
  </w:abstractNum>
  <w:abstractNum w:abstractNumId="7">
    <w:nsid w:val="75A2A8D4"/>
    <w:multiLevelType w:val="hybridMultilevel"/>
    <w:lvl w:ilvl="0">
      <w:lvlJc w:val="left"/>
      <w:lvlText w:val="%1"/>
      <w:numFmt w:val="decimal"/>
      <w:start w:val="1"/>
    </w:lvl>
    <w:lvl w:ilvl="1">
      <w:lvlJc w:val="left"/>
      <w:lvlText w:val="%2."/>
      <w:numFmt w:val="decimal"/>
      <w:start w:val="10"/>
    </w:lvl>
  </w:abstractNum>
  <w:abstractNum w:abstractNumId="8">
    <w:nsid w:val="8EDBDAB"/>
    <w:multiLevelType w:val="hybridMultilevel"/>
    <w:lvl w:ilvl="0">
      <w:lvlJc w:val="left"/>
      <w:lvlText w:val="%1."/>
      <w:numFmt w:val="decimal"/>
      <w:start w:val="11"/>
    </w:lvl>
    <w:lvl w:ilvl="1">
      <w:lvlJc w:val="left"/>
      <w:lvlText w:val="%2"/>
      <w:numFmt w:val="decimal"/>
      <w:start w:val="1"/>
    </w:lvl>
  </w:abstractNum>
  <w:abstractNum w:abstractNumId="9">
    <w:nsid w:val="79838CB2"/>
    <w:multiLevelType w:val="hybridMultilevel"/>
    <w:lvl w:ilvl="0">
      <w:lvlJc w:val="left"/>
      <w:lvlText w:val="%1."/>
      <w:numFmt w:val="decimal"/>
      <w:start w:val="13"/>
    </w:lvl>
  </w:abstractNum>
  <w:abstractNum w:abstractNumId="10">
    <w:nsid w:val="4353D0CD"/>
    <w:multiLevelType w:val="hybridMultilevel"/>
    <w:lvl w:ilvl="0">
      <w:lvlJc w:val="left"/>
      <w:lvlText w:val="%1."/>
      <w:numFmt w:val="decimal"/>
      <w:start w:val="1"/>
    </w:lvl>
    <w:lvl w:ilvl="1">
      <w:lvlJc w:val="left"/>
      <w:lvlText w:val="(%2)"/>
      <w:numFmt w:val="lowerLetter"/>
      <w:start w:val="1"/>
    </w:lvl>
  </w:abstractNum>
  <w:abstractNum w:abstractNumId="11">
    <w:nsid w:val="B03E0C6"/>
    <w:multiLevelType w:val="hybridMultilevel"/>
    <w:lvl w:ilvl="0">
      <w:lvlJc w:val="left"/>
      <w:lvlText w:val="%1."/>
      <w:numFmt w:val="decimal"/>
      <w:start w:val="6"/>
    </w:lvl>
    <w:lvl w:ilvl="1">
      <w:lvlJc w:val="left"/>
      <w:lvlText w:val="%2."/>
      <w:numFmt w:val="decimal"/>
      <w:start w:val="7"/>
    </w:lvl>
  </w:abstractNum>
  <w:abstractNum w:abstractNumId="12">
    <w:nsid w:val="189A769B"/>
    <w:multiLevelType w:val="hybridMultilevel"/>
    <w:lvl w:ilvl="0">
      <w:lvlJc w:val="left"/>
      <w:lvlText w:val="%1"/>
      <w:numFmt w:val="decimal"/>
      <w:start w:val="1"/>
    </w:lvl>
    <w:lvl w:ilvl="1">
      <w:lvlJc w:val="left"/>
      <w:lvlText w:val="%2."/>
      <w:numFmt w:val="decimal"/>
      <w:start w:val="10"/>
    </w:lvl>
  </w:abstractNum>
  <w:abstractNum w:abstractNumId="13">
    <w:nsid w:val="54E49EB4"/>
    <w:multiLevelType w:val="hybridMultilevel"/>
    <w:lvl w:ilvl="0">
      <w:lvlJc w:val="left"/>
      <w:lvlText w:val="%1."/>
      <w:numFmt w:val="decimal"/>
      <w:start w:val="11"/>
    </w:lvl>
    <w:lvl w:ilvl="1">
      <w:lvlJc w:val="left"/>
      <w:lvlText w:val="%2"/>
      <w:numFmt w:val="decimal"/>
      <w:start w:val="1"/>
    </w:lvl>
  </w:abstractNum>
  <w:abstractNum w:abstractNumId="14">
    <w:nsid w:val="71F32454"/>
    <w:multiLevelType w:val="hybridMultilevel"/>
    <w:lvl w:ilvl="0">
      <w:lvlJc w:val="left"/>
      <w:lvlText w:val="%1."/>
      <w:numFmt w:val="decimal"/>
      <w:start w:val="13"/>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2"/>
    </w:lvl>
  </w:abstractNum>
  <w:abstractNum w:abstractNumId="17">
    <w:nsid w:val="2901D82"/>
    <w:multiLevelType w:val="hybridMultilevel"/>
    <w:lvl w:ilvl="0">
      <w:lvlJc w:val="left"/>
      <w:lvlText w:val="(%1)"/>
      <w:numFmt w:val="lowerLetter"/>
      <w:start w:val="3"/>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lowerRoman"/>
      <w:start w:val="2"/>
    </w:lvl>
  </w:abstractNum>
  <w:abstractNum w:abstractNumId="22">
    <w:nsid w:val="737B8DDC"/>
    <w:multiLevelType w:val="hybridMultilevel"/>
    <w:lvl w:ilvl="0">
      <w:lvlJc w:val="left"/>
      <w:lvlText w:val="%1."/>
      <w:numFmt w:val="decimal"/>
      <w:start w:val="3"/>
    </w:lvl>
    <w:lvl w:ilvl="1">
      <w:lvlJc w:val="left"/>
      <w:lvlText w:val="(%2)"/>
      <w:numFmt w:val="lowerLetter"/>
      <w:start w:val="1"/>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4"/>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5"/>
    </w:lvl>
  </w:abstractNum>
  <w:abstractNum w:abstractNumId="28">
    <w:nsid w:val="419AC241"/>
    <w:multiLevelType w:val="hybridMultilevel"/>
    <w:lvl w:ilvl="0">
      <w:lvlJc w:val="left"/>
      <w:lvlText w:val="(%1)"/>
      <w:numFmt w:val="lowerRoman"/>
      <w:start w:val="1"/>
    </w:lvl>
  </w:abstractNum>
  <w:abstractNum w:abstractNumId="29">
    <w:nsid w:val="5577F8E1"/>
    <w:multiLevelType w:val="hybridMultilevel"/>
    <w:lvl w:ilvl="0">
      <w:lvlJc w:val="left"/>
      <w:lvlText w:val="%1"/>
      <w:numFmt w:val="lowerLetter"/>
      <w:start w:val="1"/>
    </w:lvl>
    <w:lvl w:ilvl="1">
      <w:lvlJc w:val="left"/>
      <w:lvlText w:val="(%2)"/>
      <w:numFmt w:val="lowerLetter"/>
      <w:start w:val="35"/>
    </w:lvl>
  </w:abstractNum>
  <w:abstractNum w:abstractNumId="30">
    <w:nsid w:val="440BADFC"/>
    <w:multiLevelType w:val="hybridMultilevel"/>
    <w:lvl w:ilvl="0">
      <w:lvlJc w:val="left"/>
      <w:lvlText w:val="(%1)"/>
      <w:numFmt w:val="lowerLetter"/>
      <w:start w:val="2"/>
    </w:lvl>
    <w:lvl w:ilvl="1">
      <w:lvlJc w:val="left"/>
      <w:lvlText w:val="%2"/>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2"/>
    </w:lvl>
  </w:abstractNum>
  <w:abstractNum w:abstractNumId="33">
    <w:nsid w:val="77465F01"/>
    <w:multiLevelType w:val="hybridMultilevel"/>
    <w:lvl w:ilvl="0">
      <w:lvlJc w:val="left"/>
      <w:lvlText w:val="%1"/>
      <w:numFmt w:val="lowerRoman"/>
      <w:start w:val="1"/>
    </w:lvl>
    <w:lvl w:ilvl="1">
      <w:lvlJc w:val="left"/>
      <w:lvlText w:val="(%2)"/>
      <w:numFmt w:val="lowerLetter"/>
      <w:start w:val="1"/>
    </w:lvl>
  </w:abstractNum>
  <w:abstractNum w:abstractNumId="34">
    <w:nsid w:val="7724C67E"/>
    <w:multiLevelType w:val="hybridMultilevel"/>
    <w:lvl w:ilvl="0">
      <w:lvlJc w:val="left"/>
      <w:lvlText w:val="(%1)"/>
      <w:numFmt w:val="lowerRoman"/>
      <w:start w:val="6"/>
    </w:lvl>
    <w:lvl w:ilvl="1">
      <w:lvlJc w:val="left"/>
      <w:lvlText w:val="%2"/>
      <w:numFmt w:val="lowerLetter"/>
      <w:start w:val="1"/>
    </w:lvl>
  </w:abstractNum>
  <w:abstractNum w:abstractNumId="35">
    <w:nsid w:val="5C482A97"/>
    <w:multiLevelType w:val="hybridMultilevel"/>
    <w:lvl w:ilvl="0">
      <w:lvlJc w:val="left"/>
      <w:lvlText w:val="%1"/>
      <w:numFmt w:val="lowerRoman"/>
      <w:start w:val="1"/>
    </w:lvl>
    <w:lvl w:ilvl="1">
      <w:lvlJc w:val="left"/>
      <w:lvlText w:val="(%2)"/>
      <w:numFmt w:val="lowerLetter"/>
      <w:start w:val="2"/>
    </w:lvl>
  </w:abstractNum>
  <w:abstractNum w:abstractNumId="36">
    <w:nsid w:val="2463B9EA"/>
    <w:multiLevelType w:val="hybridMultilevel"/>
    <w:lvl w:ilvl="0">
      <w:lvlJc w:val="left"/>
      <w:lvlText w:val="(%1)"/>
      <w:numFmt w:val="lowerRoman"/>
      <w:start w:val="4"/>
    </w:lvl>
    <w:lvl w:ilvl="1">
      <w:lvlJc w:val="left"/>
      <w:lvlText w:val="(%2)"/>
      <w:numFmt w:val="lowerLetter"/>
      <w:start w:val="3"/>
    </w:lvl>
  </w:abstractNum>
  <w:abstractNum w:abstractNumId="37">
    <w:nsid w:val="5E884ADC"/>
    <w:multiLevelType w:val="hybridMultilevel"/>
    <w:lvl w:ilvl="0">
      <w:lvlJc w:val="left"/>
      <w:lvlText w:val="%1."/>
      <w:numFmt w:val="decimal"/>
      <w:start w:val="2"/>
    </w:lvl>
  </w:abstractNum>
  <w:abstractNum w:abstractNumId="38">
    <w:nsid w:val="51EAD36B"/>
    <w:multiLevelType w:val="hybridMultilevel"/>
    <w:lvl w:ilvl="0">
      <w:lvlJc w:val="left"/>
      <w:lvlText w:val="%1."/>
      <w:numFmt w:val="decimal"/>
      <w:start w:val="3"/>
    </w:lvl>
  </w:abstractNum>
  <w:abstractNum w:abstractNumId="39">
    <w:nsid w:val="2D51779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2019-12-07T15:55:10Z</dcterms:created>
  <dcterms:modified xsi:type="dcterms:W3CDTF">2019-12-07T15:55:10Z</dcterms:modified>
</cp:coreProperties>
</file>