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2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3820" w:type="dxa"/>
            <w:vAlign w:val="bottom"/>
          </w:tcPr>
          <w:p>
            <w:pPr>
              <w:jc w:val="right"/>
              <w:spacing w:after="0"/>
              <w:rPr>
                <w:sz w:val="20"/>
                <w:szCs w:val="20"/>
                <w:color w:val="auto"/>
              </w:rPr>
            </w:pPr>
            <w:r>
              <w:rPr>
                <w:rFonts w:ascii="Arial" w:cs="Arial" w:eastAsia="Arial" w:hAnsi="Arial"/>
                <w:sz w:val="18"/>
                <w:szCs w:val="18"/>
                <w:color w:val="auto"/>
              </w:rPr>
              <w:t>ISSUER FREE WRITING PROSPECTUS</w:t>
            </w:r>
          </w:p>
        </w:tc>
      </w:tr>
      <w:tr>
        <w:trPr>
          <w:trHeight w:val="216"/>
        </w:trPr>
        <w:tc>
          <w:tcPr>
            <w:tcW w:w="2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0" w:type="dxa"/>
            <w:vAlign w:val="bottom"/>
            <w:gridSpan w:val="2"/>
          </w:tcPr>
          <w:p>
            <w:pPr>
              <w:jc w:val="right"/>
              <w:spacing w:after="0"/>
              <w:rPr>
                <w:sz w:val="20"/>
                <w:szCs w:val="20"/>
                <w:color w:val="auto"/>
              </w:rPr>
            </w:pPr>
            <w:r>
              <w:rPr>
                <w:rFonts w:ascii="Arial" w:cs="Arial" w:eastAsia="Arial" w:hAnsi="Arial"/>
                <w:sz w:val="18"/>
                <w:szCs w:val="18"/>
                <w:color w:val="auto"/>
              </w:rPr>
              <w:t>(SUPPLEMENTING PROSPECTUS DATED MARCH 26, 2003)</w:t>
            </w:r>
          </w:p>
        </w:tc>
      </w:tr>
      <w:tr>
        <w:trPr>
          <w:trHeight w:val="216"/>
        </w:trPr>
        <w:tc>
          <w:tcPr>
            <w:tcW w:w="2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3820" w:type="dxa"/>
            <w:vAlign w:val="bottom"/>
          </w:tcPr>
          <w:p>
            <w:pPr>
              <w:jc w:val="right"/>
              <w:spacing w:after="0"/>
              <w:rPr>
                <w:sz w:val="20"/>
                <w:szCs w:val="20"/>
                <w:color w:val="auto"/>
              </w:rPr>
            </w:pPr>
            <w:r>
              <w:rPr>
                <w:rFonts w:ascii="Arial" w:cs="Arial" w:eastAsia="Arial" w:hAnsi="Arial"/>
                <w:sz w:val="18"/>
                <w:szCs w:val="18"/>
                <w:color w:val="auto"/>
              </w:rPr>
              <w:t>FILED PURSUANT TO RULE 433</w:t>
            </w:r>
          </w:p>
        </w:tc>
      </w:tr>
      <w:tr>
        <w:trPr>
          <w:trHeight w:val="230"/>
        </w:trPr>
        <w:tc>
          <w:tcPr>
            <w:tcW w:w="26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3820" w:type="dxa"/>
            <w:vAlign w:val="bottom"/>
          </w:tcPr>
          <w:p>
            <w:pPr>
              <w:jc w:val="right"/>
              <w:spacing w:after="0"/>
              <w:rPr>
                <w:sz w:val="20"/>
                <w:szCs w:val="20"/>
                <w:color w:val="auto"/>
              </w:rPr>
            </w:pPr>
            <w:r>
              <w:rPr>
                <w:rFonts w:ascii="Arial" w:cs="Arial" w:eastAsia="Arial" w:hAnsi="Arial"/>
                <w:sz w:val="18"/>
                <w:szCs w:val="18"/>
                <w:color w:val="auto"/>
                <w:w w:val="98"/>
              </w:rPr>
              <w:t>REGISTRATION STATEMENT NO. 333-104034</w:t>
            </w:r>
          </w:p>
        </w:tc>
      </w:tr>
      <w:tr>
        <w:trPr>
          <w:trHeight w:val="500"/>
        </w:trPr>
        <w:tc>
          <w:tcPr>
            <w:tcW w:w="2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600" w:type="dxa"/>
            <w:vAlign w:val="bottom"/>
            <w:gridSpan w:val="2"/>
          </w:tcPr>
          <w:p>
            <w:pPr>
              <w:jc w:val="right"/>
              <w:ind w:right="3730"/>
              <w:spacing w:after="0"/>
              <w:rPr>
                <w:sz w:val="20"/>
                <w:szCs w:val="20"/>
                <w:color w:val="auto"/>
              </w:rPr>
            </w:pPr>
            <w:r>
              <w:rPr>
                <w:rFonts w:ascii="Arial" w:cs="Arial" w:eastAsia="Arial" w:hAnsi="Arial"/>
                <w:sz w:val="18"/>
                <w:szCs w:val="18"/>
                <w:color w:val="auto"/>
                <w:w w:val="95"/>
              </w:rPr>
              <w:t>FINAL PRICING TERMS ON COMCAST NOTES</w:t>
            </w:r>
          </w:p>
        </w:tc>
      </w:tr>
      <w:tr>
        <w:trPr>
          <w:trHeight w:val="20"/>
        </w:trPr>
        <w:tc>
          <w:tcPr>
            <w:tcW w:w="2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780" w:type="dxa"/>
            <w:vAlign w:val="bottom"/>
            <w:shd w:val="clear" w:color="auto" w:fill="000000"/>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r>
      <w:tr>
        <w:trPr>
          <w:trHeight w:val="453"/>
        </w:trPr>
        <w:tc>
          <w:tcPr>
            <w:tcW w:w="2640" w:type="dxa"/>
            <w:vAlign w:val="bottom"/>
          </w:tcPr>
          <w:p>
            <w:pPr>
              <w:spacing w:after="0"/>
              <w:rPr>
                <w:sz w:val="20"/>
                <w:szCs w:val="20"/>
                <w:color w:val="auto"/>
              </w:rPr>
            </w:pPr>
            <w:r>
              <w:rPr>
                <w:rFonts w:ascii="Arial" w:cs="Arial" w:eastAsia="Arial" w:hAnsi="Arial"/>
                <w:sz w:val="18"/>
                <w:szCs w:val="18"/>
                <w:color w:val="auto"/>
              </w:rPr>
              <w:t>Issuer:</w:t>
            </w:r>
          </w:p>
        </w:tc>
        <w:tc>
          <w:tcPr>
            <w:tcW w:w="8780" w:type="dxa"/>
            <w:vAlign w:val="bottom"/>
            <w:gridSpan w:val="3"/>
          </w:tcPr>
          <w:p>
            <w:pPr>
              <w:ind w:left="340"/>
              <w:spacing w:after="0"/>
              <w:rPr>
                <w:sz w:val="20"/>
                <w:szCs w:val="20"/>
                <w:color w:val="auto"/>
              </w:rPr>
            </w:pPr>
            <w:r>
              <w:rPr>
                <w:rFonts w:ascii="Arial" w:cs="Arial" w:eastAsia="Arial" w:hAnsi="Arial"/>
                <w:sz w:val="18"/>
                <w:szCs w:val="18"/>
                <w:color w:val="auto"/>
              </w:rPr>
              <w:t>Comcast Corporation (the “</w:t>
            </w:r>
            <w:r>
              <w:rPr>
                <w:rFonts w:ascii="Arial" w:cs="Arial" w:eastAsia="Arial" w:hAnsi="Arial"/>
                <w:sz w:val="18"/>
                <w:szCs w:val="18"/>
                <w:b w:val="1"/>
                <w:bCs w:val="1"/>
                <w:color w:val="auto"/>
              </w:rPr>
              <w:t>Company</w:t>
            </w:r>
            <w:r>
              <w:rPr>
                <w:rFonts w:ascii="Arial" w:cs="Arial" w:eastAsia="Arial" w:hAnsi="Arial"/>
                <w:sz w:val="18"/>
                <w:szCs w:val="18"/>
                <w:color w:val="auto"/>
              </w:rPr>
              <w:t>”)</w:t>
            </w:r>
          </w:p>
        </w:tc>
      </w:tr>
      <w:tr>
        <w:trPr>
          <w:trHeight w:val="414"/>
        </w:trPr>
        <w:tc>
          <w:tcPr>
            <w:tcW w:w="2640" w:type="dxa"/>
            <w:vAlign w:val="bottom"/>
          </w:tcPr>
          <w:p>
            <w:pPr>
              <w:spacing w:after="0"/>
              <w:rPr>
                <w:sz w:val="20"/>
                <w:szCs w:val="20"/>
                <w:color w:val="auto"/>
              </w:rPr>
            </w:pPr>
            <w:r>
              <w:rPr>
                <w:rFonts w:ascii="Arial" w:cs="Arial" w:eastAsia="Arial" w:hAnsi="Arial"/>
                <w:sz w:val="18"/>
                <w:szCs w:val="18"/>
                <w:color w:val="auto"/>
              </w:rPr>
              <w:t>Guarantors:</w:t>
            </w:r>
          </w:p>
        </w:tc>
        <w:tc>
          <w:tcPr>
            <w:tcW w:w="8780" w:type="dxa"/>
            <w:vAlign w:val="bottom"/>
            <w:gridSpan w:val="3"/>
          </w:tcPr>
          <w:p>
            <w:pPr>
              <w:ind w:left="340"/>
              <w:spacing w:after="0"/>
              <w:rPr>
                <w:sz w:val="20"/>
                <w:szCs w:val="20"/>
                <w:color w:val="auto"/>
              </w:rPr>
            </w:pPr>
            <w:r>
              <w:rPr>
                <w:rFonts w:ascii="Arial" w:cs="Arial" w:eastAsia="Arial" w:hAnsi="Arial"/>
                <w:sz w:val="18"/>
                <w:szCs w:val="18"/>
                <w:color w:val="auto"/>
                <w:w w:val="93"/>
              </w:rPr>
              <w:t>Comcast Cable Communications, LLC, Comcast Cable Communications Holdings, Inc., Comcast Cable Holdings,</w:t>
            </w:r>
          </w:p>
        </w:tc>
      </w:tr>
      <w:tr>
        <w:trPr>
          <w:trHeight w:val="234"/>
        </w:trPr>
        <w:tc>
          <w:tcPr>
            <w:tcW w:w="2640" w:type="dxa"/>
            <w:vAlign w:val="bottom"/>
          </w:tcPr>
          <w:p>
            <w:pPr>
              <w:spacing w:after="0"/>
              <w:rPr>
                <w:sz w:val="20"/>
                <w:szCs w:val="20"/>
                <w:color w:val="auto"/>
              </w:rPr>
            </w:pPr>
          </w:p>
        </w:tc>
        <w:tc>
          <w:tcPr>
            <w:tcW w:w="8780" w:type="dxa"/>
            <w:vAlign w:val="bottom"/>
            <w:gridSpan w:val="3"/>
          </w:tcPr>
          <w:p>
            <w:pPr>
              <w:ind w:left="340"/>
              <w:spacing w:after="0"/>
              <w:rPr>
                <w:sz w:val="20"/>
                <w:szCs w:val="20"/>
                <w:color w:val="auto"/>
              </w:rPr>
            </w:pPr>
            <w:r>
              <w:rPr>
                <w:rFonts w:ascii="Arial" w:cs="Arial" w:eastAsia="Arial" w:hAnsi="Arial"/>
                <w:sz w:val="18"/>
                <w:szCs w:val="18"/>
                <w:color w:val="auto"/>
              </w:rPr>
              <w:t>LLC, Comcast MO Group, Inc. and Comcast MO of Delaware, LLC (the “</w:t>
            </w:r>
            <w:r>
              <w:rPr>
                <w:rFonts w:ascii="Arial" w:cs="Arial" w:eastAsia="Arial" w:hAnsi="Arial"/>
                <w:sz w:val="18"/>
                <w:szCs w:val="18"/>
                <w:b w:val="1"/>
                <w:bCs w:val="1"/>
                <w:color w:val="auto"/>
              </w:rPr>
              <w:t>Cable Guarantors</w:t>
            </w:r>
            <w:r>
              <w:rPr>
                <w:rFonts w:ascii="Arial" w:cs="Arial" w:eastAsia="Arial" w:hAnsi="Arial"/>
                <w:sz w:val="18"/>
                <w:szCs w:val="18"/>
                <w:color w:val="auto"/>
              </w:rPr>
              <w:t>”)</w:t>
            </w:r>
          </w:p>
        </w:tc>
      </w:tr>
      <w:tr>
        <w:trPr>
          <w:trHeight w:val="418"/>
        </w:trPr>
        <w:tc>
          <w:tcPr>
            <w:tcW w:w="2640" w:type="dxa"/>
            <w:vAlign w:val="bottom"/>
          </w:tcPr>
          <w:p>
            <w:pPr>
              <w:spacing w:after="0"/>
              <w:rPr>
                <w:sz w:val="20"/>
                <w:szCs w:val="20"/>
                <w:color w:val="auto"/>
              </w:rPr>
            </w:pPr>
            <w:r>
              <w:rPr>
                <w:rFonts w:ascii="Arial" w:cs="Arial" w:eastAsia="Arial" w:hAnsi="Arial"/>
                <w:sz w:val="18"/>
                <w:szCs w:val="18"/>
                <w:color w:val="auto"/>
              </w:rPr>
              <w:t>Lead Managers:</w:t>
            </w:r>
          </w:p>
        </w:tc>
        <w:tc>
          <w:tcPr>
            <w:tcW w:w="8780" w:type="dxa"/>
            <w:vAlign w:val="bottom"/>
            <w:gridSpan w:val="3"/>
          </w:tcPr>
          <w:p>
            <w:pPr>
              <w:ind w:left="340"/>
              <w:spacing w:after="0"/>
              <w:rPr>
                <w:sz w:val="20"/>
                <w:szCs w:val="20"/>
                <w:color w:val="auto"/>
              </w:rPr>
            </w:pPr>
            <w:r>
              <w:rPr>
                <w:rFonts w:ascii="Arial" w:cs="Arial" w:eastAsia="Arial" w:hAnsi="Arial"/>
                <w:sz w:val="18"/>
                <w:szCs w:val="18"/>
                <w:color w:val="auto"/>
              </w:rPr>
              <w:t>Deutsche Bank Securities Inc.</w:t>
            </w:r>
          </w:p>
        </w:tc>
      </w:tr>
      <w:tr>
        <w:trPr>
          <w:trHeight w:val="216"/>
        </w:trPr>
        <w:tc>
          <w:tcPr>
            <w:tcW w:w="2640" w:type="dxa"/>
            <w:vAlign w:val="bottom"/>
          </w:tcPr>
          <w:p>
            <w:pPr>
              <w:spacing w:after="0"/>
              <w:rPr>
                <w:sz w:val="18"/>
                <w:szCs w:val="18"/>
                <w:color w:val="auto"/>
              </w:rPr>
            </w:pPr>
          </w:p>
        </w:tc>
        <w:tc>
          <w:tcPr>
            <w:tcW w:w="8780" w:type="dxa"/>
            <w:vAlign w:val="bottom"/>
            <w:gridSpan w:val="3"/>
          </w:tcPr>
          <w:p>
            <w:pPr>
              <w:ind w:left="340"/>
              <w:spacing w:after="0"/>
              <w:rPr>
                <w:sz w:val="20"/>
                <w:szCs w:val="20"/>
                <w:color w:val="auto"/>
              </w:rPr>
            </w:pPr>
            <w:r>
              <w:rPr>
                <w:rFonts w:ascii="Arial" w:cs="Arial" w:eastAsia="Arial" w:hAnsi="Arial"/>
                <w:sz w:val="18"/>
                <w:szCs w:val="18"/>
                <w:color w:val="auto"/>
              </w:rPr>
              <w:t>Goldman, Sachs &amp; Co.</w:t>
            </w:r>
          </w:p>
        </w:tc>
      </w:tr>
      <w:tr>
        <w:trPr>
          <w:trHeight w:val="230"/>
        </w:trPr>
        <w:tc>
          <w:tcPr>
            <w:tcW w:w="2640" w:type="dxa"/>
            <w:vAlign w:val="bottom"/>
          </w:tcPr>
          <w:p>
            <w:pPr>
              <w:spacing w:after="0"/>
              <w:rPr>
                <w:sz w:val="20"/>
                <w:szCs w:val="20"/>
                <w:color w:val="auto"/>
              </w:rPr>
            </w:pPr>
          </w:p>
        </w:tc>
        <w:tc>
          <w:tcPr>
            <w:tcW w:w="8780" w:type="dxa"/>
            <w:vAlign w:val="bottom"/>
            <w:gridSpan w:val="3"/>
          </w:tcPr>
          <w:p>
            <w:pPr>
              <w:ind w:left="340"/>
              <w:spacing w:after="0"/>
              <w:rPr>
                <w:sz w:val="20"/>
                <w:szCs w:val="20"/>
                <w:color w:val="auto"/>
              </w:rPr>
            </w:pPr>
            <w:r>
              <w:rPr>
                <w:rFonts w:ascii="Arial" w:cs="Arial" w:eastAsia="Arial" w:hAnsi="Arial"/>
                <w:sz w:val="18"/>
                <w:szCs w:val="18"/>
                <w:color w:val="auto"/>
              </w:rPr>
              <w:t>Merrill Lynch, Pierce, Fenner &amp; Smith Incorporated</w:t>
            </w:r>
          </w:p>
        </w:tc>
      </w:tr>
      <w:tr>
        <w:trPr>
          <w:trHeight w:val="414"/>
        </w:trPr>
        <w:tc>
          <w:tcPr>
            <w:tcW w:w="2640" w:type="dxa"/>
            <w:vAlign w:val="bottom"/>
          </w:tcPr>
          <w:p>
            <w:pPr>
              <w:spacing w:after="0"/>
              <w:rPr>
                <w:sz w:val="20"/>
                <w:szCs w:val="20"/>
                <w:color w:val="auto"/>
              </w:rPr>
            </w:pPr>
            <w:r>
              <w:rPr>
                <w:rFonts w:ascii="Arial" w:cs="Arial" w:eastAsia="Arial" w:hAnsi="Arial"/>
                <w:sz w:val="18"/>
                <w:szCs w:val="18"/>
                <w:color w:val="auto"/>
              </w:rPr>
              <w:t>Indenture:</w:t>
            </w:r>
          </w:p>
        </w:tc>
        <w:tc>
          <w:tcPr>
            <w:tcW w:w="8780" w:type="dxa"/>
            <w:vAlign w:val="bottom"/>
            <w:gridSpan w:val="3"/>
          </w:tcPr>
          <w:p>
            <w:pPr>
              <w:ind w:left="340"/>
              <w:spacing w:after="0"/>
              <w:rPr>
                <w:sz w:val="20"/>
                <w:szCs w:val="20"/>
                <w:color w:val="auto"/>
              </w:rPr>
            </w:pPr>
            <w:r>
              <w:rPr>
                <w:rFonts w:ascii="Arial" w:cs="Arial" w:eastAsia="Arial" w:hAnsi="Arial"/>
                <w:sz w:val="18"/>
                <w:szCs w:val="18"/>
                <w:color w:val="auto"/>
                <w:w w:val="89"/>
              </w:rPr>
              <w:t>Indenture dated as of January 7, 2003 by and among the Company, the Cable Guarantors (other than Comcast MO of</w:t>
            </w:r>
          </w:p>
        </w:tc>
      </w:tr>
      <w:tr>
        <w:trPr>
          <w:trHeight w:val="220"/>
        </w:trPr>
        <w:tc>
          <w:tcPr>
            <w:tcW w:w="2640" w:type="dxa"/>
            <w:vAlign w:val="bottom"/>
          </w:tcPr>
          <w:p>
            <w:pPr>
              <w:spacing w:after="0"/>
              <w:rPr>
                <w:sz w:val="19"/>
                <w:szCs w:val="19"/>
                <w:color w:val="auto"/>
              </w:rPr>
            </w:pPr>
          </w:p>
        </w:tc>
        <w:tc>
          <w:tcPr>
            <w:tcW w:w="8780" w:type="dxa"/>
            <w:vAlign w:val="bottom"/>
            <w:gridSpan w:val="3"/>
          </w:tcPr>
          <w:p>
            <w:pPr>
              <w:ind w:left="340"/>
              <w:spacing w:after="0"/>
              <w:rPr>
                <w:sz w:val="20"/>
                <w:szCs w:val="20"/>
                <w:color w:val="auto"/>
              </w:rPr>
            </w:pPr>
            <w:r>
              <w:rPr>
                <w:rFonts w:ascii="Arial" w:cs="Arial" w:eastAsia="Arial" w:hAnsi="Arial"/>
                <w:sz w:val="18"/>
                <w:szCs w:val="18"/>
                <w:color w:val="auto"/>
                <w:w w:val="96"/>
              </w:rPr>
              <w:t>Delaware, LLC) and the Bank of New York, as Trustee (the “</w:t>
            </w:r>
            <w:r>
              <w:rPr>
                <w:rFonts w:ascii="Arial" w:cs="Arial" w:eastAsia="Arial" w:hAnsi="Arial"/>
                <w:sz w:val="18"/>
                <w:szCs w:val="18"/>
                <w:b w:val="1"/>
                <w:bCs w:val="1"/>
                <w:color w:val="auto"/>
                <w:w w:val="96"/>
              </w:rPr>
              <w:t>Trustee</w:t>
            </w:r>
            <w:r>
              <w:rPr>
                <w:rFonts w:ascii="Arial" w:cs="Arial" w:eastAsia="Arial" w:hAnsi="Arial"/>
                <w:sz w:val="18"/>
                <w:szCs w:val="18"/>
                <w:color w:val="auto"/>
                <w:w w:val="96"/>
              </w:rPr>
              <w:t>”), as amended by the First Supplemental</w:t>
            </w:r>
          </w:p>
        </w:tc>
      </w:tr>
      <w:tr>
        <w:trPr>
          <w:trHeight w:val="230"/>
        </w:trPr>
        <w:tc>
          <w:tcPr>
            <w:tcW w:w="2640" w:type="dxa"/>
            <w:vAlign w:val="bottom"/>
          </w:tcPr>
          <w:p>
            <w:pPr>
              <w:spacing w:after="0"/>
              <w:rPr>
                <w:sz w:val="20"/>
                <w:szCs w:val="20"/>
                <w:color w:val="auto"/>
              </w:rPr>
            </w:pPr>
          </w:p>
        </w:tc>
        <w:tc>
          <w:tcPr>
            <w:tcW w:w="8780" w:type="dxa"/>
            <w:vAlign w:val="bottom"/>
            <w:gridSpan w:val="3"/>
          </w:tcPr>
          <w:p>
            <w:pPr>
              <w:ind w:left="340"/>
              <w:spacing w:after="0"/>
              <w:rPr>
                <w:sz w:val="20"/>
                <w:szCs w:val="20"/>
                <w:color w:val="auto"/>
              </w:rPr>
            </w:pPr>
            <w:r>
              <w:rPr>
                <w:rFonts w:ascii="Arial" w:cs="Arial" w:eastAsia="Arial" w:hAnsi="Arial"/>
                <w:sz w:val="18"/>
                <w:szCs w:val="18"/>
                <w:color w:val="auto"/>
                <w:w w:val="99"/>
              </w:rPr>
              <w:t>Indenture dated as of March 25, 2003 by and among the Company, the Cable Guarantors and the Trustee</w:t>
            </w:r>
          </w:p>
        </w:tc>
      </w:tr>
      <w:tr>
        <w:trPr>
          <w:trHeight w:val="432"/>
        </w:trPr>
        <w:tc>
          <w:tcPr>
            <w:tcW w:w="2640" w:type="dxa"/>
            <w:vAlign w:val="bottom"/>
          </w:tcPr>
          <w:p>
            <w:pPr>
              <w:spacing w:after="0"/>
              <w:rPr>
                <w:sz w:val="20"/>
                <w:szCs w:val="20"/>
                <w:color w:val="auto"/>
              </w:rPr>
            </w:pPr>
            <w:r>
              <w:rPr>
                <w:rFonts w:ascii="Arial" w:cs="Arial" w:eastAsia="Arial" w:hAnsi="Arial"/>
                <w:sz w:val="18"/>
                <w:szCs w:val="18"/>
                <w:color w:val="auto"/>
              </w:rPr>
              <w:t>Trustee:</w:t>
            </w:r>
          </w:p>
        </w:tc>
        <w:tc>
          <w:tcPr>
            <w:tcW w:w="8780" w:type="dxa"/>
            <w:vAlign w:val="bottom"/>
            <w:gridSpan w:val="3"/>
          </w:tcPr>
          <w:p>
            <w:pPr>
              <w:ind w:left="340"/>
              <w:spacing w:after="0"/>
              <w:rPr>
                <w:sz w:val="20"/>
                <w:szCs w:val="20"/>
                <w:color w:val="auto"/>
              </w:rPr>
            </w:pPr>
            <w:r>
              <w:rPr>
                <w:rFonts w:ascii="Arial" w:cs="Arial" w:eastAsia="Arial" w:hAnsi="Arial"/>
                <w:sz w:val="18"/>
                <w:szCs w:val="18"/>
                <w:color w:val="auto"/>
              </w:rPr>
              <w:t>The Bank of New York</w:t>
            </w:r>
          </w:p>
        </w:tc>
      </w:tr>
      <w:tr>
        <w:trPr>
          <w:trHeight w:val="432"/>
        </w:trPr>
        <w:tc>
          <w:tcPr>
            <w:tcW w:w="2640" w:type="dxa"/>
            <w:vAlign w:val="bottom"/>
          </w:tcPr>
          <w:p>
            <w:pPr>
              <w:spacing w:after="0"/>
              <w:rPr>
                <w:sz w:val="20"/>
                <w:szCs w:val="20"/>
                <w:color w:val="auto"/>
              </w:rPr>
            </w:pPr>
            <w:r>
              <w:rPr>
                <w:rFonts w:ascii="Arial" w:cs="Arial" w:eastAsia="Arial" w:hAnsi="Arial"/>
                <w:sz w:val="18"/>
                <w:szCs w:val="18"/>
                <w:color w:val="auto"/>
              </w:rPr>
              <w:t>Registration Statement File No:</w:t>
            </w:r>
          </w:p>
        </w:tc>
        <w:tc>
          <w:tcPr>
            <w:tcW w:w="4960" w:type="dxa"/>
            <w:vAlign w:val="bottom"/>
            <w:gridSpan w:val="2"/>
          </w:tcPr>
          <w:p>
            <w:pPr>
              <w:ind w:left="340"/>
              <w:spacing w:after="0"/>
              <w:rPr>
                <w:sz w:val="20"/>
                <w:szCs w:val="20"/>
                <w:color w:val="auto"/>
              </w:rPr>
            </w:pPr>
            <w:r>
              <w:rPr>
                <w:rFonts w:ascii="Arial" w:cs="Arial" w:eastAsia="Arial" w:hAnsi="Arial"/>
                <w:sz w:val="18"/>
                <w:szCs w:val="18"/>
                <w:color w:val="auto"/>
              </w:rPr>
              <w:t>333-104034</w:t>
            </w:r>
          </w:p>
        </w:tc>
        <w:tc>
          <w:tcPr>
            <w:tcW w:w="3820" w:type="dxa"/>
            <w:vAlign w:val="bottom"/>
          </w:tcPr>
          <w:p>
            <w:pPr>
              <w:spacing w:after="0"/>
              <w:rPr>
                <w:sz w:val="24"/>
                <w:szCs w:val="24"/>
                <w:color w:val="auto"/>
              </w:rPr>
            </w:pPr>
          </w:p>
        </w:tc>
      </w:tr>
      <w:tr>
        <w:trPr>
          <w:trHeight w:val="418"/>
        </w:trPr>
        <w:tc>
          <w:tcPr>
            <w:tcW w:w="2640" w:type="dxa"/>
            <w:vAlign w:val="bottom"/>
          </w:tcPr>
          <w:p>
            <w:pPr>
              <w:spacing w:after="0"/>
              <w:rPr>
                <w:sz w:val="20"/>
                <w:szCs w:val="20"/>
                <w:color w:val="auto"/>
              </w:rPr>
            </w:pPr>
            <w:r>
              <w:rPr>
                <w:rFonts w:ascii="Arial" w:cs="Arial" w:eastAsia="Arial" w:hAnsi="Arial"/>
                <w:sz w:val="18"/>
                <w:szCs w:val="18"/>
                <w:color w:val="auto"/>
              </w:rPr>
              <w:t>Securities to be purchased:</w:t>
            </w:r>
          </w:p>
        </w:tc>
        <w:tc>
          <w:tcPr>
            <w:tcW w:w="8780" w:type="dxa"/>
            <w:vAlign w:val="bottom"/>
            <w:gridSpan w:val="3"/>
          </w:tcPr>
          <w:p>
            <w:pPr>
              <w:ind w:left="340"/>
              <w:spacing w:after="0"/>
              <w:rPr>
                <w:sz w:val="20"/>
                <w:szCs w:val="20"/>
                <w:color w:val="auto"/>
              </w:rPr>
            </w:pPr>
            <w:r>
              <w:rPr>
                <w:rFonts w:ascii="Arial" w:cs="Arial" w:eastAsia="Arial" w:hAnsi="Arial"/>
                <w:sz w:val="18"/>
                <w:szCs w:val="18"/>
                <w:color w:val="auto"/>
              </w:rPr>
              <w:t>5.90% Notes Due 2016</w:t>
            </w:r>
          </w:p>
        </w:tc>
      </w:tr>
      <w:tr>
        <w:trPr>
          <w:trHeight w:val="230"/>
        </w:trPr>
        <w:tc>
          <w:tcPr>
            <w:tcW w:w="2640" w:type="dxa"/>
            <w:vAlign w:val="bottom"/>
          </w:tcPr>
          <w:p>
            <w:pPr>
              <w:spacing w:after="0"/>
              <w:rPr>
                <w:sz w:val="20"/>
                <w:szCs w:val="20"/>
                <w:color w:val="auto"/>
              </w:rPr>
            </w:pPr>
          </w:p>
        </w:tc>
        <w:tc>
          <w:tcPr>
            <w:tcW w:w="8780" w:type="dxa"/>
            <w:vAlign w:val="bottom"/>
            <w:gridSpan w:val="3"/>
          </w:tcPr>
          <w:p>
            <w:pPr>
              <w:ind w:left="340"/>
              <w:spacing w:after="0"/>
              <w:rPr>
                <w:sz w:val="20"/>
                <w:szCs w:val="20"/>
                <w:color w:val="auto"/>
              </w:rPr>
            </w:pPr>
            <w:r>
              <w:rPr>
                <w:rFonts w:ascii="Arial" w:cs="Arial" w:eastAsia="Arial" w:hAnsi="Arial"/>
                <w:sz w:val="18"/>
                <w:szCs w:val="18"/>
                <w:color w:val="auto"/>
              </w:rPr>
              <w:t>6.45% Notes Due 2037</w:t>
            </w:r>
          </w:p>
        </w:tc>
      </w:tr>
      <w:tr>
        <w:trPr>
          <w:trHeight w:val="418"/>
        </w:trPr>
        <w:tc>
          <w:tcPr>
            <w:tcW w:w="2640" w:type="dxa"/>
            <w:vAlign w:val="bottom"/>
          </w:tcPr>
          <w:p>
            <w:pPr>
              <w:spacing w:after="0"/>
              <w:rPr>
                <w:sz w:val="20"/>
                <w:szCs w:val="20"/>
                <w:color w:val="auto"/>
              </w:rPr>
            </w:pPr>
            <w:r>
              <w:rPr>
                <w:rFonts w:ascii="Arial" w:cs="Arial" w:eastAsia="Arial" w:hAnsi="Arial"/>
                <w:sz w:val="18"/>
                <w:szCs w:val="18"/>
                <w:color w:val="auto"/>
              </w:rPr>
              <w:t>Use of Proceeds:</w:t>
            </w:r>
          </w:p>
        </w:tc>
        <w:tc>
          <w:tcPr>
            <w:tcW w:w="8780" w:type="dxa"/>
            <w:vAlign w:val="bottom"/>
            <w:gridSpan w:val="3"/>
          </w:tcPr>
          <w:p>
            <w:pPr>
              <w:ind w:left="340"/>
              <w:spacing w:after="0"/>
              <w:rPr>
                <w:sz w:val="20"/>
                <w:szCs w:val="20"/>
                <w:color w:val="auto"/>
              </w:rPr>
            </w:pPr>
            <w:r>
              <w:rPr>
                <w:rFonts w:ascii="Arial" w:cs="Arial" w:eastAsia="Arial" w:hAnsi="Arial"/>
                <w:sz w:val="18"/>
                <w:szCs w:val="18"/>
                <w:color w:val="auto"/>
                <w:w w:val="91"/>
              </w:rPr>
              <w:t>Working capital and general corporate purposes, including for the repayment of commercial paper obligations. As of</w:t>
            </w:r>
          </w:p>
        </w:tc>
      </w:tr>
      <w:tr>
        <w:trPr>
          <w:trHeight w:val="216"/>
        </w:trPr>
        <w:tc>
          <w:tcPr>
            <w:tcW w:w="2640" w:type="dxa"/>
            <w:vAlign w:val="bottom"/>
          </w:tcPr>
          <w:p>
            <w:pPr>
              <w:spacing w:after="0"/>
              <w:rPr>
                <w:sz w:val="18"/>
                <w:szCs w:val="18"/>
                <w:color w:val="auto"/>
              </w:rPr>
            </w:pPr>
          </w:p>
        </w:tc>
        <w:tc>
          <w:tcPr>
            <w:tcW w:w="8780" w:type="dxa"/>
            <w:vAlign w:val="bottom"/>
            <w:gridSpan w:val="3"/>
          </w:tcPr>
          <w:p>
            <w:pPr>
              <w:ind w:left="340"/>
              <w:spacing w:after="0"/>
              <w:rPr>
                <w:sz w:val="20"/>
                <w:szCs w:val="20"/>
                <w:color w:val="auto"/>
              </w:rPr>
            </w:pPr>
            <w:r>
              <w:rPr>
                <w:rFonts w:ascii="Arial" w:cs="Arial" w:eastAsia="Arial" w:hAnsi="Arial"/>
                <w:sz w:val="18"/>
                <w:szCs w:val="18"/>
                <w:color w:val="auto"/>
                <w:w w:val="99"/>
              </w:rPr>
              <w:t>December 31, 2005, the Company’s indebtedness, excluding the derivative component for its indexed debt</w:t>
            </w:r>
          </w:p>
        </w:tc>
      </w:tr>
      <w:tr>
        <w:trPr>
          <w:trHeight w:val="216"/>
        </w:trPr>
        <w:tc>
          <w:tcPr>
            <w:tcW w:w="2640" w:type="dxa"/>
            <w:vAlign w:val="bottom"/>
          </w:tcPr>
          <w:p>
            <w:pPr>
              <w:spacing w:after="0"/>
              <w:rPr>
                <w:sz w:val="18"/>
                <w:szCs w:val="18"/>
                <w:color w:val="auto"/>
              </w:rPr>
            </w:pPr>
          </w:p>
        </w:tc>
        <w:tc>
          <w:tcPr>
            <w:tcW w:w="8780" w:type="dxa"/>
            <w:vAlign w:val="bottom"/>
            <w:gridSpan w:val="3"/>
          </w:tcPr>
          <w:p>
            <w:pPr>
              <w:ind w:left="340"/>
              <w:spacing w:after="0"/>
              <w:rPr>
                <w:sz w:val="20"/>
                <w:szCs w:val="20"/>
                <w:color w:val="auto"/>
              </w:rPr>
            </w:pPr>
            <w:r>
              <w:rPr>
                <w:rFonts w:ascii="Arial" w:cs="Arial" w:eastAsia="Arial" w:hAnsi="Arial"/>
                <w:sz w:val="18"/>
                <w:szCs w:val="18"/>
                <w:color w:val="auto"/>
                <w:w w:val="94"/>
              </w:rPr>
              <w:t>instruments whose changes in fair value are recorded to investment income (loss), net, had a weighted average</w:t>
            </w:r>
          </w:p>
        </w:tc>
      </w:tr>
      <w:tr>
        <w:trPr>
          <w:trHeight w:val="230"/>
        </w:trPr>
        <w:tc>
          <w:tcPr>
            <w:tcW w:w="2640" w:type="dxa"/>
            <w:vAlign w:val="bottom"/>
          </w:tcPr>
          <w:p>
            <w:pPr>
              <w:spacing w:after="0"/>
              <w:rPr>
                <w:sz w:val="20"/>
                <w:szCs w:val="20"/>
                <w:color w:val="auto"/>
              </w:rPr>
            </w:pPr>
          </w:p>
        </w:tc>
        <w:tc>
          <w:tcPr>
            <w:tcW w:w="8780" w:type="dxa"/>
            <w:vAlign w:val="bottom"/>
            <w:gridSpan w:val="3"/>
          </w:tcPr>
          <w:p>
            <w:pPr>
              <w:ind w:left="340"/>
              <w:spacing w:after="0"/>
              <w:rPr>
                <w:sz w:val="20"/>
                <w:szCs w:val="20"/>
                <w:color w:val="auto"/>
              </w:rPr>
            </w:pPr>
            <w:r>
              <w:rPr>
                <w:rFonts w:ascii="Arial" w:cs="Arial" w:eastAsia="Arial" w:hAnsi="Arial"/>
                <w:sz w:val="18"/>
                <w:szCs w:val="18"/>
                <w:color w:val="auto"/>
              </w:rPr>
              <w:t>annual interest rate of 7.32% and an average maturity date in 2016.</w:t>
            </w:r>
          </w:p>
        </w:tc>
      </w:tr>
      <w:tr>
        <w:trPr>
          <w:trHeight w:val="632"/>
        </w:trPr>
        <w:tc>
          <w:tcPr>
            <w:tcW w:w="264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3780" w:type="dxa"/>
            <w:vAlign w:val="bottom"/>
            <w:tcBorders>
              <w:bottom w:val="single" w:sz="8" w:color="808080"/>
            </w:tcBorders>
          </w:tcPr>
          <w:p>
            <w:pPr>
              <w:spacing w:after="0"/>
              <w:rPr>
                <w:sz w:val="24"/>
                <w:szCs w:val="24"/>
                <w:color w:val="auto"/>
              </w:rPr>
            </w:pPr>
          </w:p>
        </w:tc>
        <w:tc>
          <w:tcPr>
            <w:tcW w:w="38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38"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Anticipated Ratings for the</w:t>
            </w:r>
          </w:p>
        </w:tc>
        <w:tc>
          <w:tcPr>
            <w:tcW w:w="8620" w:type="dxa"/>
            <w:vAlign w:val="bottom"/>
          </w:tcPr>
          <w:p>
            <w:pPr>
              <w:ind w:left="180"/>
              <w:spacing w:after="0"/>
              <w:rPr>
                <w:sz w:val="20"/>
                <w:szCs w:val="20"/>
                <w:color w:val="auto"/>
              </w:rPr>
            </w:pPr>
            <w:r>
              <w:rPr>
                <w:rFonts w:ascii="Arial" w:cs="Arial" w:eastAsia="Arial" w:hAnsi="Arial"/>
                <w:sz w:val="18"/>
                <w:szCs w:val="18"/>
                <w:color w:val="auto"/>
              </w:rPr>
              <w:t>Standard &amp; Poors: BBB+</w:t>
            </w: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w w:val="96"/>
              </w:rPr>
              <w:t>Company’s Senior Unsecured Debt:</w:t>
            </w:r>
          </w:p>
        </w:tc>
        <w:tc>
          <w:tcPr>
            <w:tcW w:w="8620" w:type="dxa"/>
            <w:vAlign w:val="bottom"/>
          </w:tcPr>
          <w:p>
            <w:pPr>
              <w:ind w:left="180"/>
              <w:spacing w:after="0"/>
              <w:rPr>
                <w:sz w:val="20"/>
                <w:szCs w:val="20"/>
                <w:color w:val="auto"/>
              </w:rPr>
            </w:pPr>
            <w:r>
              <w:rPr>
                <w:rFonts w:ascii="Arial" w:cs="Arial" w:eastAsia="Arial" w:hAnsi="Arial"/>
                <w:sz w:val="18"/>
                <w:szCs w:val="18"/>
                <w:color w:val="auto"/>
              </w:rPr>
              <w:t>Moody’s: Baa2</w:t>
            </w:r>
          </w:p>
        </w:tc>
      </w:tr>
      <w:tr>
        <w:trPr>
          <w:trHeight w:val="230"/>
        </w:trPr>
        <w:tc>
          <w:tcPr>
            <w:tcW w:w="16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620" w:type="dxa"/>
            <w:vAlign w:val="bottom"/>
          </w:tcPr>
          <w:p>
            <w:pPr>
              <w:ind w:left="180"/>
              <w:spacing w:after="0"/>
              <w:rPr>
                <w:sz w:val="20"/>
                <w:szCs w:val="20"/>
                <w:color w:val="auto"/>
              </w:rPr>
            </w:pPr>
            <w:r>
              <w:rPr>
                <w:rFonts w:ascii="Arial" w:cs="Arial" w:eastAsia="Arial" w:hAnsi="Arial"/>
                <w:sz w:val="18"/>
                <w:szCs w:val="18"/>
                <w:color w:val="auto"/>
              </w:rPr>
              <w:t>Fitch: BBB+</w:t>
            </w:r>
          </w:p>
        </w:tc>
      </w:tr>
      <w:tr>
        <w:trPr>
          <w:trHeight w:val="432"/>
        </w:trPr>
        <w:tc>
          <w:tcPr>
            <w:tcW w:w="2800" w:type="dxa"/>
            <w:vAlign w:val="bottom"/>
            <w:gridSpan w:val="2"/>
          </w:tcPr>
          <w:p>
            <w:pPr>
              <w:spacing w:after="0"/>
              <w:rPr>
                <w:sz w:val="20"/>
                <w:szCs w:val="20"/>
                <w:color w:val="auto"/>
              </w:rPr>
            </w:pPr>
            <w:r>
              <w:rPr>
                <w:rFonts w:ascii="Arial" w:cs="Arial" w:eastAsia="Arial" w:hAnsi="Arial"/>
                <w:sz w:val="18"/>
                <w:szCs w:val="18"/>
                <w:color w:val="auto"/>
              </w:rPr>
              <w:t>Minimum Denomination:</w:t>
            </w:r>
          </w:p>
        </w:tc>
        <w:tc>
          <w:tcPr>
            <w:tcW w:w="8620" w:type="dxa"/>
            <w:vAlign w:val="bottom"/>
          </w:tcPr>
          <w:p>
            <w:pPr>
              <w:ind w:left="180"/>
              <w:spacing w:after="0"/>
              <w:rPr>
                <w:sz w:val="20"/>
                <w:szCs w:val="20"/>
                <w:color w:val="auto"/>
              </w:rPr>
            </w:pPr>
            <w:r>
              <w:rPr>
                <w:rFonts w:ascii="Arial" w:cs="Arial" w:eastAsia="Arial" w:hAnsi="Arial"/>
                <w:sz w:val="18"/>
                <w:szCs w:val="18"/>
                <w:color w:val="auto"/>
              </w:rPr>
              <w:t>$1,000</w:t>
            </w:r>
          </w:p>
        </w:tc>
      </w:tr>
      <w:tr>
        <w:trPr>
          <w:trHeight w:val="392"/>
        </w:trPr>
        <w:tc>
          <w:tcPr>
            <w:tcW w:w="2800" w:type="dxa"/>
            <w:vAlign w:val="bottom"/>
            <w:gridSpan w:val="2"/>
          </w:tcPr>
          <w:p>
            <w:pPr>
              <w:spacing w:after="0"/>
              <w:rPr>
                <w:sz w:val="20"/>
                <w:szCs w:val="20"/>
                <w:color w:val="auto"/>
              </w:rPr>
            </w:pPr>
            <w:r>
              <w:rPr>
                <w:rFonts w:ascii="Arial" w:cs="Arial" w:eastAsia="Arial" w:hAnsi="Arial"/>
                <w:sz w:val="18"/>
                <w:szCs w:val="18"/>
                <w:color w:val="auto"/>
              </w:rPr>
              <w:t>5.</w:t>
            </w:r>
            <w:r>
              <w:rPr>
                <w:rFonts w:ascii="Arial" w:cs="Arial" w:eastAsia="Arial" w:hAnsi="Arial"/>
                <w:sz w:val="18"/>
                <w:szCs w:val="18"/>
                <w:u w:val="single" w:color="auto"/>
                <w:color w:val="auto"/>
              </w:rPr>
              <w:t>90%</w:t>
            </w:r>
            <w:r>
              <w:rPr>
                <w:rFonts w:ascii="Arial" w:cs="Arial" w:eastAsia="Arial" w:hAnsi="Arial"/>
                <w:sz w:val="18"/>
                <w:szCs w:val="18"/>
                <w:color w:val="auto"/>
              </w:rPr>
              <w:t xml:space="preserve"> Notes Due 2016</w:t>
            </w:r>
          </w:p>
        </w:tc>
        <w:tc>
          <w:tcPr>
            <w:tcW w:w="8620" w:type="dxa"/>
            <w:vAlign w:val="bottom"/>
          </w:tcPr>
          <w:p>
            <w:pPr>
              <w:spacing w:after="0"/>
              <w:rPr>
                <w:sz w:val="24"/>
                <w:szCs w:val="24"/>
                <w:color w:val="auto"/>
              </w:rPr>
            </w:pPr>
          </w:p>
        </w:tc>
      </w:tr>
      <w:tr>
        <w:trPr>
          <w:trHeight w:val="20"/>
        </w:trPr>
        <w:tc>
          <w:tcPr>
            <w:tcW w:w="16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r>
      <w:tr>
        <w:trPr>
          <w:trHeight w:val="453"/>
        </w:trPr>
        <w:tc>
          <w:tcPr>
            <w:tcW w:w="2800" w:type="dxa"/>
            <w:vAlign w:val="bottom"/>
            <w:gridSpan w:val="2"/>
          </w:tcPr>
          <w:p>
            <w:pPr>
              <w:spacing w:after="0"/>
              <w:rPr>
                <w:sz w:val="20"/>
                <w:szCs w:val="20"/>
                <w:color w:val="auto"/>
              </w:rPr>
            </w:pPr>
            <w:r>
              <w:rPr>
                <w:rFonts w:ascii="Arial" w:cs="Arial" w:eastAsia="Arial" w:hAnsi="Arial"/>
                <w:sz w:val="18"/>
                <w:szCs w:val="18"/>
                <w:color w:val="auto"/>
              </w:rPr>
              <w:t>Aggregate Principal Amount:</w:t>
            </w:r>
          </w:p>
        </w:tc>
        <w:tc>
          <w:tcPr>
            <w:tcW w:w="8620" w:type="dxa"/>
            <w:vAlign w:val="bottom"/>
          </w:tcPr>
          <w:p>
            <w:pPr>
              <w:ind w:left="180"/>
              <w:spacing w:after="0"/>
              <w:rPr>
                <w:sz w:val="20"/>
                <w:szCs w:val="20"/>
                <w:color w:val="auto"/>
              </w:rPr>
            </w:pPr>
            <w:r>
              <w:rPr>
                <w:rFonts w:ascii="Arial" w:cs="Arial" w:eastAsia="Arial" w:hAnsi="Arial"/>
                <w:sz w:val="18"/>
                <w:szCs w:val="18"/>
                <w:color w:val="auto"/>
              </w:rPr>
              <w:t>$1,000,000,000</w:t>
            </w:r>
          </w:p>
        </w:tc>
      </w:tr>
      <w:tr>
        <w:trPr>
          <w:trHeight w:val="432"/>
        </w:trPr>
        <w:tc>
          <w:tcPr>
            <w:tcW w:w="2800" w:type="dxa"/>
            <w:vAlign w:val="bottom"/>
            <w:gridSpan w:val="2"/>
          </w:tcPr>
          <w:p>
            <w:pPr>
              <w:spacing w:after="0"/>
              <w:rPr>
                <w:sz w:val="20"/>
                <w:szCs w:val="20"/>
                <w:color w:val="auto"/>
              </w:rPr>
            </w:pPr>
            <w:r>
              <w:rPr>
                <w:rFonts w:ascii="Arial" w:cs="Arial" w:eastAsia="Arial" w:hAnsi="Arial"/>
                <w:sz w:val="18"/>
                <w:szCs w:val="18"/>
                <w:color w:val="auto"/>
              </w:rPr>
              <w:t>Purchase Price:</w:t>
            </w:r>
          </w:p>
        </w:tc>
        <w:tc>
          <w:tcPr>
            <w:tcW w:w="8620" w:type="dxa"/>
            <w:vAlign w:val="bottom"/>
          </w:tcPr>
          <w:p>
            <w:pPr>
              <w:ind w:left="180"/>
              <w:spacing w:after="0"/>
              <w:rPr>
                <w:sz w:val="20"/>
                <w:szCs w:val="20"/>
                <w:color w:val="auto"/>
              </w:rPr>
            </w:pPr>
            <w:r>
              <w:rPr>
                <w:rFonts w:ascii="Arial" w:cs="Arial" w:eastAsia="Arial" w:hAnsi="Arial"/>
                <w:sz w:val="18"/>
                <w:szCs w:val="18"/>
                <w:color w:val="auto"/>
              </w:rPr>
              <w:t>99.862% of the principal amount, plus accrued interest, if any, from March 2, 2006</w:t>
            </w:r>
          </w:p>
        </w:tc>
      </w:tr>
      <w:tr>
        <w:trPr>
          <w:trHeight w:val="432"/>
        </w:trPr>
        <w:tc>
          <w:tcPr>
            <w:tcW w:w="2800" w:type="dxa"/>
            <w:vAlign w:val="bottom"/>
            <w:gridSpan w:val="2"/>
          </w:tcPr>
          <w:p>
            <w:pPr>
              <w:spacing w:after="0"/>
              <w:rPr>
                <w:sz w:val="20"/>
                <w:szCs w:val="20"/>
                <w:color w:val="auto"/>
              </w:rPr>
            </w:pPr>
            <w:r>
              <w:rPr>
                <w:rFonts w:ascii="Arial" w:cs="Arial" w:eastAsia="Arial" w:hAnsi="Arial"/>
                <w:sz w:val="18"/>
                <w:szCs w:val="18"/>
                <w:color w:val="auto"/>
              </w:rPr>
              <w:t>Maturity:</w:t>
            </w:r>
          </w:p>
        </w:tc>
        <w:tc>
          <w:tcPr>
            <w:tcW w:w="8620" w:type="dxa"/>
            <w:vAlign w:val="bottom"/>
          </w:tcPr>
          <w:p>
            <w:pPr>
              <w:ind w:left="180"/>
              <w:spacing w:after="0"/>
              <w:rPr>
                <w:sz w:val="20"/>
                <w:szCs w:val="20"/>
                <w:color w:val="auto"/>
              </w:rPr>
            </w:pPr>
            <w:r>
              <w:rPr>
                <w:rFonts w:ascii="Arial" w:cs="Arial" w:eastAsia="Arial" w:hAnsi="Arial"/>
                <w:sz w:val="18"/>
                <w:szCs w:val="18"/>
                <w:color w:val="auto"/>
              </w:rPr>
              <w:t>March 15, 2016</w:t>
            </w:r>
          </w:p>
        </w:tc>
      </w:tr>
      <w:tr>
        <w:trPr>
          <w:trHeight w:val="432"/>
        </w:trPr>
        <w:tc>
          <w:tcPr>
            <w:tcW w:w="2800" w:type="dxa"/>
            <w:vAlign w:val="bottom"/>
            <w:gridSpan w:val="2"/>
          </w:tcPr>
          <w:p>
            <w:pPr>
              <w:spacing w:after="0"/>
              <w:rPr>
                <w:sz w:val="20"/>
                <w:szCs w:val="20"/>
                <w:color w:val="auto"/>
              </w:rPr>
            </w:pPr>
            <w:r>
              <w:rPr>
                <w:rFonts w:ascii="Arial" w:cs="Arial" w:eastAsia="Arial" w:hAnsi="Arial"/>
                <w:sz w:val="18"/>
                <w:szCs w:val="18"/>
                <w:color w:val="auto"/>
              </w:rPr>
              <w:t>Interest Rate:</w:t>
            </w:r>
          </w:p>
        </w:tc>
        <w:tc>
          <w:tcPr>
            <w:tcW w:w="8620" w:type="dxa"/>
            <w:vAlign w:val="bottom"/>
          </w:tcPr>
          <w:p>
            <w:pPr>
              <w:ind w:left="180"/>
              <w:spacing w:after="0"/>
              <w:rPr>
                <w:sz w:val="20"/>
                <w:szCs w:val="20"/>
                <w:color w:val="auto"/>
              </w:rPr>
            </w:pPr>
            <w:r>
              <w:rPr>
                <w:rFonts w:ascii="Arial" w:cs="Arial" w:eastAsia="Arial" w:hAnsi="Arial"/>
                <w:sz w:val="18"/>
                <w:szCs w:val="18"/>
                <w:color w:val="auto"/>
              </w:rPr>
              <w:t>5.90% per annum, accruing from March 2, 2006</w:t>
            </w:r>
          </w:p>
        </w:tc>
      </w:tr>
      <w:tr>
        <w:trPr>
          <w:trHeight w:val="432"/>
        </w:trPr>
        <w:tc>
          <w:tcPr>
            <w:tcW w:w="2800" w:type="dxa"/>
            <w:vAlign w:val="bottom"/>
            <w:gridSpan w:val="2"/>
          </w:tcPr>
          <w:p>
            <w:pPr>
              <w:spacing w:after="0"/>
              <w:rPr>
                <w:sz w:val="20"/>
                <w:szCs w:val="20"/>
                <w:color w:val="auto"/>
              </w:rPr>
            </w:pPr>
            <w:r>
              <w:rPr>
                <w:rFonts w:ascii="Arial" w:cs="Arial" w:eastAsia="Arial" w:hAnsi="Arial"/>
                <w:sz w:val="18"/>
                <w:szCs w:val="18"/>
                <w:color w:val="auto"/>
              </w:rPr>
              <w:t>Interest Payment Dates:</w:t>
            </w:r>
          </w:p>
        </w:tc>
        <w:tc>
          <w:tcPr>
            <w:tcW w:w="8620" w:type="dxa"/>
            <w:vAlign w:val="bottom"/>
          </w:tcPr>
          <w:p>
            <w:pPr>
              <w:ind w:left="180"/>
              <w:spacing w:after="0"/>
              <w:rPr>
                <w:sz w:val="20"/>
                <w:szCs w:val="20"/>
                <w:color w:val="auto"/>
              </w:rPr>
            </w:pPr>
            <w:r>
              <w:rPr>
                <w:rFonts w:ascii="Arial" w:cs="Arial" w:eastAsia="Arial" w:hAnsi="Arial"/>
                <w:sz w:val="18"/>
                <w:szCs w:val="18"/>
                <w:color w:val="auto"/>
              </w:rPr>
              <w:t>March 15 and September 15 commencing September 15, 2006</w:t>
            </w:r>
          </w:p>
        </w:tc>
      </w:tr>
      <w:tr>
        <w:trPr>
          <w:trHeight w:val="432"/>
        </w:trPr>
        <w:tc>
          <w:tcPr>
            <w:tcW w:w="2800" w:type="dxa"/>
            <w:vAlign w:val="bottom"/>
            <w:gridSpan w:val="2"/>
          </w:tcPr>
          <w:p>
            <w:pPr>
              <w:spacing w:after="0"/>
              <w:rPr>
                <w:sz w:val="20"/>
                <w:szCs w:val="20"/>
                <w:color w:val="auto"/>
              </w:rPr>
            </w:pPr>
            <w:r>
              <w:rPr>
                <w:rFonts w:ascii="Arial" w:cs="Arial" w:eastAsia="Arial" w:hAnsi="Arial"/>
                <w:sz w:val="18"/>
                <w:szCs w:val="18"/>
                <w:color w:val="auto"/>
              </w:rPr>
              <w:t>Pricing Benchmark:</w:t>
            </w:r>
          </w:p>
        </w:tc>
        <w:tc>
          <w:tcPr>
            <w:tcW w:w="8620" w:type="dxa"/>
            <w:vAlign w:val="bottom"/>
          </w:tcPr>
          <w:p>
            <w:pPr>
              <w:ind w:left="180"/>
              <w:spacing w:after="0"/>
              <w:rPr>
                <w:sz w:val="20"/>
                <w:szCs w:val="20"/>
                <w:color w:val="auto"/>
              </w:rPr>
            </w:pPr>
            <w:r>
              <w:rPr>
                <w:rFonts w:ascii="Arial" w:cs="Arial" w:eastAsia="Arial" w:hAnsi="Arial"/>
                <w:sz w:val="18"/>
                <w:szCs w:val="18"/>
                <w:color w:val="auto"/>
              </w:rPr>
              <w:t>4.500% U.S. Treasury due 02/16</w:t>
            </w:r>
          </w:p>
        </w:tc>
      </w:tr>
      <w:tr>
        <w:trPr>
          <w:trHeight w:val="432"/>
        </w:trPr>
        <w:tc>
          <w:tcPr>
            <w:tcW w:w="2800" w:type="dxa"/>
            <w:vAlign w:val="bottom"/>
            <w:gridSpan w:val="2"/>
          </w:tcPr>
          <w:p>
            <w:pPr>
              <w:spacing w:after="0"/>
              <w:rPr>
                <w:sz w:val="20"/>
                <w:szCs w:val="20"/>
                <w:color w:val="auto"/>
              </w:rPr>
            </w:pPr>
            <w:r>
              <w:rPr>
                <w:rFonts w:ascii="Arial" w:cs="Arial" w:eastAsia="Arial" w:hAnsi="Arial"/>
                <w:sz w:val="18"/>
                <w:szCs w:val="18"/>
                <w:color w:val="auto"/>
              </w:rPr>
              <w:t>UST Spot (Yield):</w:t>
            </w:r>
          </w:p>
        </w:tc>
        <w:tc>
          <w:tcPr>
            <w:tcW w:w="8620" w:type="dxa"/>
            <w:vAlign w:val="bottom"/>
          </w:tcPr>
          <w:p>
            <w:pPr>
              <w:ind w:left="180"/>
              <w:spacing w:after="0"/>
              <w:rPr>
                <w:sz w:val="20"/>
                <w:szCs w:val="20"/>
                <w:color w:val="auto"/>
              </w:rPr>
            </w:pPr>
            <w:r>
              <w:rPr>
                <w:rFonts w:ascii="Arial" w:cs="Arial" w:eastAsia="Arial" w:hAnsi="Arial"/>
                <w:sz w:val="18"/>
                <w:szCs w:val="18"/>
                <w:color w:val="auto"/>
              </w:rPr>
              <w:t>4.598%</w:t>
            </w:r>
          </w:p>
        </w:tc>
      </w:tr>
      <w:tr>
        <w:trPr>
          <w:trHeight w:val="432"/>
        </w:trPr>
        <w:tc>
          <w:tcPr>
            <w:tcW w:w="2800" w:type="dxa"/>
            <w:vAlign w:val="bottom"/>
            <w:gridSpan w:val="2"/>
          </w:tcPr>
          <w:p>
            <w:pPr>
              <w:spacing w:after="0"/>
              <w:rPr>
                <w:sz w:val="20"/>
                <w:szCs w:val="20"/>
                <w:color w:val="auto"/>
              </w:rPr>
            </w:pPr>
            <w:r>
              <w:rPr>
                <w:rFonts w:ascii="Arial" w:cs="Arial" w:eastAsia="Arial" w:hAnsi="Arial"/>
                <w:sz w:val="18"/>
                <w:szCs w:val="18"/>
                <w:color w:val="auto"/>
              </w:rPr>
              <w:t>Spread to Benchmark:</w:t>
            </w:r>
          </w:p>
        </w:tc>
        <w:tc>
          <w:tcPr>
            <w:tcW w:w="8620" w:type="dxa"/>
            <w:vAlign w:val="bottom"/>
          </w:tcPr>
          <w:p>
            <w:pPr>
              <w:ind w:left="180"/>
              <w:spacing w:after="0"/>
              <w:rPr>
                <w:sz w:val="20"/>
                <w:szCs w:val="20"/>
                <w:color w:val="auto"/>
              </w:rPr>
            </w:pPr>
            <w:r>
              <w:rPr>
                <w:rFonts w:ascii="Arial" w:cs="Arial" w:eastAsia="Arial" w:hAnsi="Arial"/>
                <w:sz w:val="18"/>
                <w:szCs w:val="18"/>
                <w:color w:val="auto"/>
              </w:rPr>
              <w:t>+132 bps</w:t>
            </w:r>
          </w:p>
        </w:tc>
      </w:tr>
      <w:tr>
        <w:trPr>
          <w:trHeight w:val="432"/>
        </w:trPr>
        <w:tc>
          <w:tcPr>
            <w:tcW w:w="2800" w:type="dxa"/>
            <w:vAlign w:val="bottom"/>
            <w:gridSpan w:val="2"/>
          </w:tcPr>
          <w:p>
            <w:pPr>
              <w:spacing w:after="0"/>
              <w:rPr>
                <w:sz w:val="20"/>
                <w:szCs w:val="20"/>
                <w:color w:val="auto"/>
              </w:rPr>
            </w:pPr>
            <w:r>
              <w:rPr>
                <w:rFonts w:ascii="Arial" w:cs="Arial" w:eastAsia="Arial" w:hAnsi="Arial"/>
                <w:sz w:val="18"/>
                <w:szCs w:val="18"/>
                <w:color w:val="auto"/>
              </w:rPr>
              <w:t>Yield to Maturity:</w:t>
            </w:r>
          </w:p>
        </w:tc>
        <w:tc>
          <w:tcPr>
            <w:tcW w:w="8620" w:type="dxa"/>
            <w:vAlign w:val="bottom"/>
          </w:tcPr>
          <w:p>
            <w:pPr>
              <w:ind w:left="180"/>
              <w:spacing w:after="0"/>
              <w:rPr>
                <w:sz w:val="20"/>
                <w:szCs w:val="20"/>
                <w:color w:val="auto"/>
              </w:rPr>
            </w:pPr>
            <w:r>
              <w:rPr>
                <w:rFonts w:ascii="Arial" w:cs="Arial" w:eastAsia="Arial" w:hAnsi="Arial"/>
                <w:sz w:val="18"/>
                <w:szCs w:val="18"/>
                <w:color w:val="auto"/>
              </w:rPr>
              <w:t>5.918%</w:t>
            </w:r>
          </w:p>
        </w:tc>
      </w:tr>
      <w:tr>
        <w:trPr>
          <w:trHeight w:val="418"/>
        </w:trPr>
        <w:tc>
          <w:tcPr>
            <w:tcW w:w="2800" w:type="dxa"/>
            <w:vAlign w:val="bottom"/>
            <w:gridSpan w:val="2"/>
          </w:tcPr>
          <w:p>
            <w:pPr>
              <w:spacing w:after="0"/>
              <w:rPr>
                <w:sz w:val="20"/>
                <w:szCs w:val="20"/>
                <w:color w:val="auto"/>
              </w:rPr>
            </w:pPr>
            <w:r>
              <w:rPr>
                <w:rFonts w:ascii="Arial" w:cs="Arial" w:eastAsia="Arial" w:hAnsi="Arial"/>
                <w:sz w:val="18"/>
                <w:szCs w:val="18"/>
                <w:color w:val="auto"/>
              </w:rPr>
              <w:t>Makewhole Redemption:</w:t>
            </w:r>
          </w:p>
        </w:tc>
        <w:tc>
          <w:tcPr>
            <w:tcW w:w="8620" w:type="dxa"/>
            <w:vAlign w:val="bottom"/>
          </w:tcPr>
          <w:p>
            <w:pPr>
              <w:ind w:left="180"/>
              <w:spacing w:after="0"/>
              <w:rPr>
                <w:sz w:val="20"/>
                <w:szCs w:val="20"/>
                <w:color w:val="auto"/>
              </w:rPr>
            </w:pPr>
            <w:r>
              <w:rPr>
                <w:rFonts w:ascii="Arial" w:cs="Arial" w:eastAsia="Arial" w:hAnsi="Arial"/>
                <w:sz w:val="18"/>
                <w:szCs w:val="18"/>
                <w:color w:val="auto"/>
                <w:w w:val="96"/>
              </w:rPr>
              <w:t>The 5.90% Notes due 2016 are redeemable at the option of the Company at any time, in whole or in part, at a</w:t>
            </w:r>
          </w:p>
        </w:tc>
      </w:tr>
      <w:tr>
        <w:trPr>
          <w:trHeight w:val="216"/>
        </w:trPr>
        <w:tc>
          <w:tcPr>
            <w:tcW w:w="1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620" w:type="dxa"/>
            <w:vAlign w:val="bottom"/>
          </w:tcPr>
          <w:p>
            <w:pPr>
              <w:ind w:left="180"/>
              <w:spacing w:after="0"/>
              <w:rPr>
                <w:sz w:val="20"/>
                <w:szCs w:val="20"/>
                <w:color w:val="auto"/>
              </w:rPr>
            </w:pPr>
            <w:r>
              <w:rPr>
                <w:rFonts w:ascii="Arial" w:cs="Arial" w:eastAsia="Arial" w:hAnsi="Arial"/>
                <w:sz w:val="18"/>
                <w:szCs w:val="18"/>
                <w:color w:val="auto"/>
                <w:w w:val="97"/>
              </w:rPr>
              <w:t>redemption price equal to the greater of (i) 100% of the principal amount of such notes and (ii) the sum of the</w:t>
            </w:r>
          </w:p>
        </w:tc>
      </w:tr>
      <w:tr>
        <w:trPr>
          <w:trHeight w:val="216"/>
        </w:trPr>
        <w:tc>
          <w:tcPr>
            <w:tcW w:w="1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620" w:type="dxa"/>
            <w:vAlign w:val="bottom"/>
          </w:tcPr>
          <w:p>
            <w:pPr>
              <w:ind w:left="180"/>
              <w:spacing w:after="0"/>
              <w:rPr>
                <w:sz w:val="20"/>
                <w:szCs w:val="20"/>
                <w:color w:val="auto"/>
              </w:rPr>
            </w:pPr>
            <w:r>
              <w:rPr>
                <w:rFonts w:ascii="Arial" w:cs="Arial" w:eastAsia="Arial" w:hAnsi="Arial"/>
                <w:sz w:val="18"/>
                <w:szCs w:val="18"/>
                <w:color w:val="auto"/>
                <w:w w:val="90"/>
              </w:rPr>
              <w:t>present values of remaining scheduled payments of principal and interest (exclusive of interest accrued to the date of</w:t>
            </w:r>
          </w:p>
        </w:tc>
      </w:tr>
      <w:tr>
        <w:trPr>
          <w:trHeight w:val="216"/>
        </w:trPr>
        <w:tc>
          <w:tcPr>
            <w:tcW w:w="1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620" w:type="dxa"/>
            <w:vAlign w:val="bottom"/>
          </w:tcPr>
          <w:p>
            <w:pPr>
              <w:ind w:left="180"/>
              <w:spacing w:after="0"/>
              <w:rPr>
                <w:sz w:val="20"/>
                <w:szCs w:val="20"/>
                <w:color w:val="auto"/>
              </w:rPr>
            </w:pPr>
            <w:r>
              <w:rPr>
                <w:rFonts w:ascii="Arial" w:cs="Arial" w:eastAsia="Arial" w:hAnsi="Arial"/>
                <w:sz w:val="18"/>
                <w:szCs w:val="18"/>
                <w:color w:val="auto"/>
                <w:w w:val="90"/>
              </w:rPr>
              <w:t>redemption) discounted to the redemption date on a semiannual basis at the Treasury Rate plus 20 basis points, plus</w:t>
            </w:r>
          </w:p>
        </w:tc>
      </w:tr>
      <w:tr>
        <w:trPr>
          <w:trHeight w:val="230"/>
        </w:trPr>
        <w:tc>
          <w:tcPr>
            <w:tcW w:w="16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620" w:type="dxa"/>
            <w:vAlign w:val="bottom"/>
          </w:tcPr>
          <w:p>
            <w:pPr>
              <w:ind w:left="180"/>
              <w:spacing w:after="0"/>
              <w:rPr>
                <w:sz w:val="20"/>
                <w:szCs w:val="20"/>
                <w:color w:val="auto"/>
              </w:rPr>
            </w:pPr>
            <w:r>
              <w:rPr>
                <w:rFonts w:ascii="Arial" w:cs="Arial" w:eastAsia="Arial" w:hAnsi="Arial"/>
                <w:sz w:val="18"/>
                <w:szCs w:val="18"/>
                <w:color w:val="auto"/>
              </w:rPr>
              <w:t>in each case accrued interest thereon to the date of redemption.</w:t>
            </w:r>
          </w:p>
        </w:tc>
      </w:tr>
      <w:tr>
        <w:trPr>
          <w:trHeight w:val="418"/>
        </w:trPr>
        <w:tc>
          <w:tcPr>
            <w:tcW w:w="2800" w:type="dxa"/>
            <w:vAlign w:val="bottom"/>
            <w:gridSpan w:val="2"/>
          </w:tcPr>
          <w:p>
            <w:pPr>
              <w:spacing w:after="0"/>
              <w:rPr>
                <w:sz w:val="20"/>
                <w:szCs w:val="20"/>
                <w:color w:val="auto"/>
              </w:rPr>
            </w:pPr>
            <w:r>
              <w:rPr>
                <w:rFonts w:ascii="Arial" w:cs="Arial" w:eastAsia="Arial" w:hAnsi="Arial"/>
                <w:sz w:val="18"/>
                <w:szCs w:val="18"/>
                <w:color w:val="auto"/>
              </w:rPr>
              <w:t>Additional Issuances:</w:t>
            </w:r>
          </w:p>
        </w:tc>
        <w:tc>
          <w:tcPr>
            <w:tcW w:w="8620" w:type="dxa"/>
            <w:vAlign w:val="bottom"/>
          </w:tcPr>
          <w:p>
            <w:pPr>
              <w:ind w:left="180"/>
              <w:spacing w:after="0"/>
              <w:rPr>
                <w:sz w:val="20"/>
                <w:szCs w:val="20"/>
                <w:color w:val="auto"/>
              </w:rPr>
            </w:pPr>
            <w:r>
              <w:rPr>
                <w:rFonts w:ascii="Arial" w:cs="Arial" w:eastAsia="Arial" w:hAnsi="Arial"/>
                <w:sz w:val="18"/>
                <w:szCs w:val="18"/>
                <w:color w:val="auto"/>
                <w:w w:val="96"/>
              </w:rPr>
              <w:t>An unlimited amount of additional 5.90% Notes due 2016 may be issued. The 5.90% Notes due 2016 and any</w:t>
            </w:r>
          </w:p>
        </w:tc>
      </w:tr>
      <w:tr>
        <w:trPr>
          <w:trHeight w:val="230"/>
        </w:trPr>
        <w:tc>
          <w:tcPr>
            <w:tcW w:w="16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620" w:type="dxa"/>
            <w:vAlign w:val="bottom"/>
          </w:tcPr>
          <w:p>
            <w:pPr>
              <w:ind w:left="180"/>
              <w:spacing w:after="0"/>
              <w:rPr>
                <w:sz w:val="20"/>
                <w:szCs w:val="20"/>
                <w:color w:val="auto"/>
              </w:rPr>
            </w:pPr>
            <w:r>
              <w:rPr>
                <w:rFonts w:ascii="Arial" w:cs="Arial" w:eastAsia="Arial" w:hAnsi="Arial"/>
                <w:sz w:val="18"/>
                <w:szCs w:val="18"/>
                <w:color w:val="auto"/>
              </w:rPr>
              <w:t>additional 5.90% Notes due 2016 that may be issued will</w:t>
            </w:r>
          </w:p>
        </w:tc>
      </w:tr>
      <w:tr>
        <w:trPr>
          <w:trHeight w:val="632"/>
        </w:trPr>
        <w:tc>
          <w:tcPr>
            <w:tcW w:w="168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86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16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860" w:type="dxa"/>
            <w:vAlign w:val="bottom"/>
          </w:tcPr>
          <w:p>
            <w:pPr>
              <w:ind w:left="420"/>
              <w:spacing w:after="0"/>
              <w:rPr>
                <w:sz w:val="20"/>
                <w:szCs w:val="20"/>
                <w:color w:val="auto"/>
              </w:rPr>
            </w:pPr>
            <w:r>
              <w:rPr>
                <w:rFonts w:ascii="Arial" w:cs="Arial" w:eastAsia="Arial" w:hAnsi="Arial"/>
                <w:sz w:val="18"/>
                <w:szCs w:val="18"/>
                <w:color w:val="auto"/>
              </w:rPr>
              <w:t>be treated as a single series for all purposes under the indenture.</w:t>
            </w:r>
          </w:p>
        </w:tc>
      </w:tr>
      <w:tr>
        <w:trPr>
          <w:trHeight w:val="392"/>
        </w:trPr>
        <w:tc>
          <w:tcPr>
            <w:tcW w:w="2560" w:type="dxa"/>
            <w:vAlign w:val="bottom"/>
            <w:gridSpan w:val="2"/>
          </w:tcPr>
          <w:p>
            <w:pPr>
              <w:spacing w:after="0"/>
              <w:rPr>
                <w:sz w:val="20"/>
                <w:szCs w:val="20"/>
                <w:color w:val="auto"/>
              </w:rPr>
            </w:pPr>
            <w:r>
              <w:rPr>
                <w:rFonts w:ascii="Arial" w:cs="Arial" w:eastAsia="Arial" w:hAnsi="Arial"/>
                <w:sz w:val="18"/>
                <w:szCs w:val="18"/>
                <w:color w:val="auto"/>
              </w:rPr>
              <w:t>6.</w:t>
            </w:r>
            <w:r>
              <w:rPr>
                <w:rFonts w:ascii="Arial" w:cs="Arial" w:eastAsia="Arial" w:hAnsi="Arial"/>
                <w:sz w:val="18"/>
                <w:szCs w:val="18"/>
                <w:u w:val="single" w:color="auto"/>
                <w:color w:val="auto"/>
              </w:rPr>
              <w:t>45%</w:t>
            </w:r>
            <w:r>
              <w:rPr>
                <w:rFonts w:ascii="Arial" w:cs="Arial" w:eastAsia="Arial" w:hAnsi="Arial"/>
                <w:sz w:val="18"/>
                <w:szCs w:val="18"/>
                <w:color w:val="auto"/>
              </w:rPr>
              <w:t xml:space="preserve"> Notes Due 2037</w:t>
            </w:r>
          </w:p>
        </w:tc>
        <w:tc>
          <w:tcPr>
            <w:tcW w:w="8860" w:type="dxa"/>
            <w:vAlign w:val="bottom"/>
          </w:tcPr>
          <w:p>
            <w:pPr>
              <w:spacing w:after="0"/>
              <w:rPr>
                <w:sz w:val="24"/>
                <w:szCs w:val="24"/>
                <w:color w:val="auto"/>
              </w:rPr>
            </w:pPr>
          </w:p>
        </w:tc>
      </w:tr>
      <w:tr>
        <w:trPr>
          <w:trHeight w:val="20"/>
        </w:trPr>
        <w:tc>
          <w:tcPr>
            <w:tcW w:w="16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r>
      <w:tr>
        <w:trPr>
          <w:trHeight w:val="453"/>
        </w:trPr>
        <w:tc>
          <w:tcPr>
            <w:tcW w:w="2560" w:type="dxa"/>
            <w:vAlign w:val="bottom"/>
            <w:gridSpan w:val="2"/>
          </w:tcPr>
          <w:p>
            <w:pPr>
              <w:spacing w:after="0"/>
              <w:rPr>
                <w:sz w:val="20"/>
                <w:szCs w:val="20"/>
                <w:color w:val="auto"/>
              </w:rPr>
            </w:pPr>
            <w:r>
              <w:rPr>
                <w:rFonts w:ascii="Arial" w:cs="Arial" w:eastAsia="Arial" w:hAnsi="Arial"/>
                <w:sz w:val="18"/>
                <w:szCs w:val="18"/>
                <w:color w:val="auto"/>
              </w:rPr>
              <w:t>Aggregate Principal Amount:</w:t>
            </w:r>
          </w:p>
        </w:tc>
        <w:tc>
          <w:tcPr>
            <w:tcW w:w="8860" w:type="dxa"/>
            <w:vAlign w:val="bottom"/>
          </w:tcPr>
          <w:p>
            <w:pPr>
              <w:ind w:left="420"/>
              <w:spacing w:after="0"/>
              <w:rPr>
                <w:sz w:val="20"/>
                <w:szCs w:val="20"/>
                <w:color w:val="auto"/>
              </w:rPr>
            </w:pPr>
            <w:r>
              <w:rPr>
                <w:rFonts w:ascii="Arial" w:cs="Arial" w:eastAsia="Arial" w:hAnsi="Arial"/>
                <w:sz w:val="18"/>
                <w:szCs w:val="18"/>
                <w:color w:val="auto"/>
              </w:rPr>
              <w:t>$1,250,000,000</w:t>
            </w:r>
          </w:p>
        </w:tc>
      </w:tr>
      <w:tr>
        <w:trPr>
          <w:trHeight w:val="432"/>
        </w:trPr>
        <w:tc>
          <w:tcPr>
            <w:tcW w:w="2560" w:type="dxa"/>
            <w:vAlign w:val="bottom"/>
            <w:gridSpan w:val="2"/>
          </w:tcPr>
          <w:p>
            <w:pPr>
              <w:spacing w:after="0"/>
              <w:rPr>
                <w:sz w:val="20"/>
                <w:szCs w:val="20"/>
                <w:color w:val="auto"/>
              </w:rPr>
            </w:pPr>
            <w:r>
              <w:rPr>
                <w:rFonts w:ascii="Arial" w:cs="Arial" w:eastAsia="Arial" w:hAnsi="Arial"/>
                <w:sz w:val="18"/>
                <w:szCs w:val="18"/>
                <w:color w:val="auto"/>
              </w:rPr>
              <w:t>Purchase Price:</w:t>
            </w:r>
          </w:p>
        </w:tc>
        <w:tc>
          <w:tcPr>
            <w:tcW w:w="8860" w:type="dxa"/>
            <w:vAlign w:val="bottom"/>
          </w:tcPr>
          <w:p>
            <w:pPr>
              <w:ind w:left="420"/>
              <w:spacing w:after="0"/>
              <w:rPr>
                <w:sz w:val="20"/>
                <w:szCs w:val="20"/>
                <w:color w:val="auto"/>
              </w:rPr>
            </w:pPr>
            <w:r>
              <w:rPr>
                <w:rFonts w:ascii="Arial" w:cs="Arial" w:eastAsia="Arial" w:hAnsi="Arial"/>
                <w:sz w:val="18"/>
                <w:szCs w:val="18"/>
                <w:color w:val="auto"/>
              </w:rPr>
              <w:t>99.399% of the principal amount, plus accrued interest, if any, from March 2, 2006</w:t>
            </w:r>
          </w:p>
        </w:tc>
      </w:tr>
      <w:tr>
        <w:trPr>
          <w:trHeight w:val="432"/>
        </w:trPr>
        <w:tc>
          <w:tcPr>
            <w:tcW w:w="2560" w:type="dxa"/>
            <w:vAlign w:val="bottom"/>
            <w:gridSpan w:val="2"/>
          </w:tcPr>
          <w:p>
            <w:pPr>
              <w:spacing w:after="0"/>
              <w:rPr>
                <w:sz w:val="20"/>
                <w:szCs w:val="20"/>
                <w:color w:val="auto"/>
              </w:rPr>
            </w:pPr>
            <w:r>
              <w:rPr>
                <w:rFonts w:ascii="Arial" w:cs="Arial" w:eastAsia="Arial" w:hAnsi="Arial"/>
                <w:sz w:val="18"/>
                <w:szCs w:val="18"/>
                <w:color w:val="auto"/>
              </w:rPr>
              <w:t>Maturity:</w:t>
            </w:r>
          </w:p>
        </w:tc>
        <w:tc>
          <w:tcPr>
            <w:tcW w:w="8860" w:type="dxa"/>
            <w:vAlign w:val="bottom"/>
          </w:tcPr>
          <w:p>
            <w:pPr>
              <w:ind w:left="420"/>
              <w:spacing w:after="0"/>
              <w:rPr>
                <w:sz w:val="20"/>
                <w:szCs w:val="20"/>
                <w:color w:val="auto"/>
              </w:rPr>
            </w:pPr>
            <w:r>
              <w:rPr>
                <w:rFonts w:ascii="Arial" w:cs="Arial" w:eastAsia="Arial" w:hAnsi="Arial"/>
                <w:sz w:val="18"/>
                <w:szCs w:val="18"/>
                <w:color w:val="auto"/>
              </w:rPr>
              <w:t>March 15, 2037</w:t>
            </w:r>
          </w:p>
        </w:tc>
      </w:tr>
      <w:tr>
        <w:trPr>
          <w:trHeight w:val="432"/>
        </w:trPr>
        <w:tc>
          <w:tcPr>
            <w:tcW w:w="2560" w:type="dxa"/>
            <w:vAlign w:val="bottom"/>
            <w:gridSpan w:val="2"/>
          </w:tcPr>
          <w:p>
            <w:pPr>
              <w:spacing w:after="0"/>
              <w:rPr>
                <w:sz w:val="20"/>
                <w:szCs w:val="20"/>
                <w:color w:val="auto"/>
              </w:rPr>
            </w:pPr>
            <w:r>
              <w:rPr>
                <w:rFonts w:ascii="Arial" w:cs="Arial" w:eastAsia="Arial" w:hAnsi="Arial"/>
                <w:sz w:val="18"/>
                <w:szCs w:val="18"/>
                <w:color w:val="auto"/>
              </w:rPr>
              <w:t>Interest Rate:</w:t>
            </w:r>
          </w:p>
        </w:tc>
        <w:tc>
          <w:tcPr>
            <w:tcW w:w="8860" w:type="dxa"/>
            <w:vAlign w:val="bottom"/>
          </w:tcPr>
          <w:p>
            <w:pPr>
              <w:ind w:left="420"/>
              <w:spacing w:after="0"/>
              <w:rPr>
                <w:sz w:val="20"/>
                <w:szCs w:val="20"/>
                <w:color w:val="auto"/>
              </w:rPr>
            </w:pPr>
            <w:r>
              <w:rPr>
                <w:rFonts w:ascii="Arial" w:cs="Arial" w:eastAsia="Arial" w:hAnsi="Arial"/>
                <w:sz w:val="18"/>
                <w:szCs w:val="18"/>
                <w:color w:val="auto"/>
              </w:rPr>
              <w:t>6.45% per annum, accruing from March 2, 2006</w:t>
            </w:r>
          </w:p>
        </w:tc>
      </w:tr>
      <w:tr>
        <w:trPr>
          <w:trHeight w:val="432"/>
        </w:trPr>
        <w:tc>
          <w:tcPr>
            <w:tcW w:w="2560" w:type="dxa"/>
            <w:vAlign w:val="bottom"/>
            <w:gridSpan w:val="2"/>
          </w:tcPr>
          <w:p>
            <w:pPr>
              <w:spacing w:after="0"/>
              <w:rPr>
                <w:sz w:val="20"/>
                <w:szCs w:val="20"/>
                <w:color w:val="auto"/>
              </w:rPr>
            </w:pPr>
            <w:r>
              <w:rPr>
                <w:rFonts w:ascii="Arial" w:cs="Arial" w:eastAsia="Arial" w:hAnsi="Arial"/>
                <w:sz w:val="18"/>
                <w:szCs w:val="18"/>
                <w:color w:val="auto"/>
              </w:rPr>
              <w:t>Interest Payment Dates:</w:t>
            </w:r>
          </w:p>
        </w:tc>
        <w:tc>
          <w:tcPr>
            <w:tcW w:w="8860" w:type="dxa"/>
            <w:vAlign w:val="bottom"/>
          </w:tcPr>
          <w:p>
            <w:pPr>
              <w:ind w:left="420"/>
              <w:spacing w:after="0"/>
              <w:rPr>
                <w:sz w:val="20"/>
                <w:szCs w:val="20"/>
                <w:color w:val="auto"/>
              </w:rPr>
            </w:pPr>
            <w:r>
              <w:rPr>
                <w:rFonts w:ascii="Arial" w:cs="Arial" w:eastAsia="Arial" w:hAnsi="Arial"/>
                <w:sz w:val="18"/>
                <w:szCs w:val="18"/>
                <w:color w:val="auto"/>
              </w:rPr>
              <w:t>March 15 and September 15 commencing September 15, 2006</w:t>
            </w:r>
          </w:p>
        </w:tc>
      </w:tr>
      <w:tr>
        <w:trPr>
          <w:trHeight w:val="432"/>
        </w:trPr>
        <w:tc>
          <w:tcPr>
            <w:tcW w:w="2560" w:type="dxa"/>
            <w:vAlign w:val="bottom"/>
            <w:gridSpan w:val="2"/>
          </w:tcPr>
          <w:p>
            <w:pPr>
              <w:spacing w:after="0"/>
              <w:rPr>
                <w:sz w:val="20"/>
                <w:szCs w:val="20"/>
                <w:color w:val="auto"/>
              </w:rPr>
            </w:pPr>
            <w:r>
              <w:rPr>
                <w:rFonts w:ascii="Arial" w:cs="Arial" w:eastAsia="Arial" w:hAnsi="Arial"/>
                <w:sz w:val="18"/>
                <w:szCs w:val="18"/>
                <w:color w:val="auto"/>
              </w:rPr>
              <w:t>Pricing Benchmark:</w:t>
            </w:r>
          </w:p>
        </w:tc>
        <w:tc>
          <w:tcPr>
            <w:tcW w:w="8860" w:type="dxa"/>
            <w:vAlign w:val="bottom"/>
          </w:tcPr>
          <w:p>
            <w:pPr>
              <w:ind w:left="420"/>
              <w:spacing w:after="0"/>
              <w:rPr>
                <w:sz w:val="20"/>
                <w:szCs w:val="20"/>
                <w:color w:val="auto"/>
              </w:rPr>
            </w:pPr>
            <w:r>
              <w:rPr>
                <w:rFonts w:ascii="Arial" w:cs="Arial" w:eastAsia="Arial" w:hAnsi="Arial"/>
                <w:sz w:val="18"/>
                <w:szCs w:val="18"/>
                <w:color w:val="auto"/>
              </w:rPr>
              <w:t>5.375% U.S. Treasury due 02/31</w:t>
            </w:r>
          </w:p>
        </w:tc>
      </w:tr>
      <w:tr>
        <w:trPr>
          <w:trHeight w:val="432"/>
        </w:trPr>
        <w:tc>
          <w:tcPr>
            <w:tcW w:w="2560" w:type="dxa"/>
            <w:vAlign w:val="bottom"/>
            <w:gridSpan w:val="2"/>
          </w:tcPr>
          <w:p>
            <w:pPr>
              <w:spacing w:after="0"/>
              <w:rPr>
                <w:sz w:val="20"/>
                <w:szCs w:val="20"/>
                <w:color w:val="auto"/>
              </w:rPr>
            </w:pPr>
            <w:r>
              <w:rPr>
                <w:rFonts w:ascii="Arial" w:cs="Arial" w:eastAsia="Arial" w:hAnsi="Arial"/>
                <w:sz w:val="18"/>
                <w:szCs w:val="18"/>
                <w:color w:val="auto"/>
              </w:rPr>
              <w:t>UST Spot (Yield):</w:t>
            </w:r>
          </w:p>
        </w:tc>
        <w:tc>
          <w:tcPr>
            <w:tcW w:w="8860" w:type="dxa"/>
            <w:vAlign w:val="bottom"/>
          </w:tcPr>
          <w:p>
            <w:pPr>
              <w:ind w:left="420"/>
              <w:spacing w:after="0"/>
              <w:rPr>
                <w:sz w:val="20"/>
                <w:szCs w:val="20"/>
                <w:color w:val="auto"/>
              </w:rPr>
            </w:pPr>
            <w:r>
              <w:rPr>
                <w:rFonts w:ascii="Arial" w:cs="Arial" w:eastAsia="Arial" w:hAnsi="Arial"/>
                <w:sz w:val="18"/>
                <w:szCs w:val="18"/>
                <w:color w:val="auto"/>
              </w:rPr>
              <w:t>4.665%</w:t>
            </w:r>
          </w:p>
        </w:tc>
      </w:tr>
      <w:tr>
        <w:trPr>
          <w:trHeight w:val="432"/>
        </w:trPr>
        <w:tc>
          <w:tcPr>
            <w:tcW w:w="2560" w:type="dxa"/>
            <w:vAlign w:val="bottom"/>
            <w:gridSpan w:val="2"/>
          </w:tcPr>
          <w:p>
            <w:pPr>
              <w:spacing w:after="0"/>
              <w:rPr>
                <w:sz w:val="20"/>
                <w:szCs w:val="20"/>
                <w:color w:val="auto"/>
              </w:rPr>
            </w:pPr>
            <w:r>
              <w:rPr>
                <w:rFonts w:ascii="Arial" w:cs="Arial" w:eastAsia="Arial" w:hAnsi="Arial"/>
                <w:sz w:val="18"/>
                <w:szCs w:val="18"/>
                <w:color w:val="auto"/>
              </w:rPr>
              <w:t>Spread to Benchmark:</w:t>
            </w:r>
          </w:p>
        </w:tc>
        <w:tc>
          <w:tcPr>
            <w:tcW w:w="8860" w:type="dxa"/>
            <w:vAlign w:val="bottom"/>
          </w:tcPr>
          <w:p>
            <w:pPr>
              <w:ind w:left="420"/>
              <w:spacing w:after="0"/>
              <w:rPr>
                <w:sz w:val="20"/>
                <w:szCs w:val="20"/>
                <w:color w:val="auto"/>
              </w:rPr>
            </w:pPr>
            <w:r>
              <w:rPr>
                <w:rFonts w:ascii="Arial" w:cs="Arial" w:eastAsia="Arial" w:hAnsi="Arial"/>
                <w:sz w:val="18"/>
                <w:szCs w:val="18"/>
                <w:color w:val="auto"/>
              </w:rPr>
              <w:t>+183 bps</w:t>
            </w:r>
          </w:p>
        </w:tc>
      </w:tr>
      <w:tr>
        <w:trPr>
          <w:trHeight w:val="432"/>
        </w:trPr>
        <w:tc>
          <w:tcPr>
            <w:tcW w:w="2560" w:type="dxa"/>
            <w:vAlign w:val="bottom"/>
            <w:gridSpan w:val="2"/>
          </w:tcPr>
          <w:p>
            <w:pPr>
              <w:spacing w:after="0"/>
              <w:rPr>
                <w:sz w:val="20"/>
                <w:szCs w:val="20"/>
                <w:color w:val="auto"/>
              </w:rPr>
            </w:pPr>
            <w:r>
              <w:rPr>
                <w:rFonts w:ascii="Arial" w:cs="Arial" w:eastAsia="Arial" w:hAnsi="Arial"/>
                <w:sz w:val="18"/>
                <w:szCs w:val="18"/>
                <w:color w:val="auto"/>
              </w:rPr>
              <w:t>Yield to Maturity:</w:t>
            </w:r>
          </w:p>
        </w:tc>
        <w:tc>
          <w:tcPr>
            <w:tcW w:w="8860" w:type="dxa"/>
            <w:vAlign w:val="bottom"/>
          </w:tcPr>
          <w:p>
            <w:pPr>
              <w:ind w:left="420"/>
              <w:spacing w:after="0"/>
              <w:rPr>
                <w:sz w:val="20"/>
                <w:szCs w:val="20"/>
                <w:color w:val="auto"/>
              </w:rPr>
            </w:pPr>
            <w:r>
              <w:rPr>
                <w:rFonts w:ascii="Arial" w:cs="Arial" w:eastAsia="Arial" w:hAnsi="Arial"/>
                <w:sz w:val="18"/>
                <w:szCs w:val="18"/>
                <w:color w:val="auto"/>
              </w:rPr>
              <w:t>6.495%</w:t>
            </w:r>
          </w:p>
        </w:tc>
      </w:tr>
      <w:tr>
        <w:trPr>
          <w:trHeight w:val="418"/>
        </w:trPr>
        <w:tc>
          <w:tcPr>
            <w:tcW w:w="2560" w:type="dxa"/>
            <w:vAlign w:val="bottom"/>
            <w:gridSpan w:val="2"/>
          </w:tcPr>
          <w:p>
            <w:pPr>
              <w:spacing w:after="0"/>
              <w:rPr>
                <w:sz w:val="20"/>
                <w:szCs w:val="20"/>
                <w:color w:val="auto"/>
              </w:rPr>
            </w:pPr>
            <w:r>
              <w:rPr>
                <w:rFonts w:ascii="Arial" w:cs="Arial" w:eastAsia="Arial" w:hAnsi="Arial"/>
                <w:sz w:val="18"/>
                <w:szCs w:val="18"/>
                <w:color w:val="auto"/>
              </w:rPr>
              <w:t>Makewhole Redemption:</w:t>
            </w:r>
          </w:p>
        </w:tc>
        <w:tc>
          <w:tcPr>
            <w:tcW w:w="8860" w:type="dxa"/>
            <w:vAlign w:val="bottom"/>
          </w:tcPr>
          <w:p>
            <w:pPr>
              <w:ind w:left="420"/>
              <w:spacing w:after="0"/>
              <w:rPr>
                <w:sz w:val="20"/>
                <w:szCs w:val="20"/>
                <w:color w:val="auto"/>
              </w:rPr>
            </w:pPr>
            <w:r>
              <w:rPr>
                <w:rFonts w:ascii="Arial" w:cs="Arial" w:eastAsia="Arial" w:hAnsi="Arial"/>
                <w:sz w:val="18"/>
                <w:szCs w:val="18"/>
                <w:color w:val="auto"/>
                <w:w w:val="96"/>
              </w:rPr>
              <w:t>The 6.45% Notes due 2037 are redeemable at the option of the Company at any time, in whole or in part, at a</w:t>
            </w:r>
          </w:p>
        </w:tc>
      </w:tr>
      <w:tr>
        <w:trPr>
          <w:trHeight w:val="216"/>
        </w:trPr>
        <w:tc>
          <w:tcPr>
            <w:tcW w:w="1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60" w:type="dxa"/>
            <w:vAlign w:val="bottom"/>
          </w:tcPr>
          <w:p>
            <w:pPr>
              <w:ind w:left="420"/>
              <w:spacing w:after="0"/>
              <w:rPr>
                <w:sz w:val="20"/>
                <w:szCs w:val="20"/>
                <w:color w:val="auto"/>
              </w:rPr>
            </w:pPr>
            <w:r>
              <w:rPr>
                <w:rFonts w:ascii="Arial" w:cs="Arial" w:eastAsia="Arial" w:hAnsi="Arial"/>
                <w:sz w:val="18"/>
                <w:szCs w:val="18"/>
                <w:color w:val="auto"/>
                <w:w w:val="97"/>
              </w:rPr>
              <w:t>redemption price equal to the greater of (i) 100% of the principal amount of such notes and (ii) the sum of the</w:t>
            </w:r>
          </w:p>
        </w:tc>
      </w:tr>
      <w:tr>
        <w:trPr>
          <w:trHeight w:val="216"/>
        </w:trPr>
        <w:tc>
          <w:tcPr>
            <w:tcW w:w="1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60" w:type="dxa"/>
            <w:vAlign w:val="bottom"/>
          </w:tcPr>
          <w:p>
            <w:pPr>
              <w:ind w:left="420"/>
              <w:spacing w:after="0"/>
              <w:rPr>
                <w:sz w:val="20"/>
                <w:szCs w:val="20"/>
                <w:color w:val="auto"/>
              </w:rPr>
            </w:pPr>
            <w:r>
              <w:rPr>
                <w:rFonts w:ascii="Arial" w:cs="Arial" w:eastAsia="Arial" w:hAnsi="Arial"/>
                <w:sz w:val="18"/>
                <w:szCs w:val="18"/>
                <w:color w:val="auto"/>
                <w:w w:val="90"/>
              </w:rPr>
              <w:t>present values of remaining scheduled payments of principal and interest (exclusive of interest accrued to the date of</w:t>
            </w:r>
          </w:p>
        </w:tc>
      </w:tr>
      <w:tr>
        <w:trPr>
          <w:trHeight w:val="216"/>
        </w:trPr>
        <w:tc>
          <w:tcPr>
            <w:tcW w:w="1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60" w:type="dxa"/>
            <w:vAlign w:val="bottom"/>
          </w:tcPr>
          <w:p>
            <w:pPr>
              <w:ind w:left="420"/>
              <w:spacing w:after="0"/>
              <w:rPr>
                <w:sz w:val="20"/>
                <w:szCs w:val="20"/>
                <w:color w:val="auto"/>
              </w:rPr>
            </w:pPr>
            <w:r>
              <w:rPr>
                <w:rFonts w:ascii="Arial" w:cs="Arial" w:eastAsia="Arial" w:hAnsi="Arial"/>
                <w:sz w:val="18"/>
                <w:szCs w:val="18"/>
                <w:color w:val="auto"/>
                <w:w w:val="90"/>
              </w:rPr>
              <w:t>redemption) discounted to the redemption date on a semiannual basis at the Treasury Rate plus 25 basis points, plus</w:t>
            </w:r>
          </w:p>
        </w:tc>
      </w:tr>
      <w:tr>
        <w:trPr>
          <w:trHeight w:val="230"/>
        </w:trPr>
        <w:tc>
          <w:tcPr>
            <w:tcW w:w="16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860" w:type="dxa"/>
            <w:vAlign w:val="bottom"/>
          </w:tcPr>
          <w:p>
            <w:pPr>
              <w:ind w:left="420"/>
              <w:spacing w:after="0"/>
              <w:rPr>
                <w:sz w:val="20"/>
                <w:szCs w:val="20"/>
                <w:color w:val="auto"/>
              </w:rPr>
            </w:pPr>
            <w:r>
              <w:rPr>
                <w:rFonts w:ascii="Arial" w:cs="Arial" w:eastAsia="Arial" w:hAnsi="Arial"/>
                <w:sz w:val="18"/>
                <w:szCs w:val="18"/>
                <w:color w:val="auto"/>
              </w:rPr>
              <w:t>in each case accrued interest thereon to the date of redemption</w:t>
            </w:r>
          </w:p>
        </w:tc>
      </w:tr>
      <w:tr>
        <w:trPr>
          <w:trHeight w:val="418"/>
        </w:trPr>
        <w:tc>
          <w:tcPr>
            <w:tcW w:w="2560" w:type="dxa"/>
            <w:vAlign w:val="bottom"/>
            <w:gridSpan w:val="2"/>
          </w:tcPr>
          <w:p>
            <w:pPr>
              <w:spacing w:after="0"/>
              <w:rPr>
                <w:sz w:val="20"/>
                <w:szCs w:val="20"/>
                <w:color w:val="auto"/>
              </w:rPr>
            </w:pPr>
            <w:r>
              <w:rPr>
                <w:rFonts w:ascii="Arial" w:cs="Arial" w:eastAsia="Arial" w:hAnsi="Arial"/>
                <w:sz w:val="18"/>
                <w:szCs w:val="18"/>
                <w:color w:val="auto"/>
              </w:rPr>
              <w:t>Additional Issuances:</w:t>
            </w:r>
          </w:p>
        </w:tc>
        <w:tc>
          <w:tcPr>
            <w:tcW w:w="8860" w:type="dxa"/>
            <w:vAlign w:val="bottom"/>
          </w:tcPr>
          <w:p>
            <w:pPr>
              <w:ind w:left="420"/>
              <w:spacing w:after="0"/>
              <w:rPr>
                <w:sz w:val="20"/>
                <w:szCs w:val="20"/>
                <w:color w:val="auto"/>
              </w:rPr>
            </w:pPr>
            <w:r>
              <w:rPr>
                <w:rFonts w:ascii="Arial" w:cs="Arial" w:eastAsia="Arial" w:hAnsi="Arial"/>
                <w:sz w:val="18"/>
                <w:szCs w:val="18"/>
                <w:color w:val="auto"/>
                <w:w w:val="96"/>
              </w:rPr>
              <w:t>An unlimited amount of additional 6.45% Notes due 2037 may be issued. The 6.45% Notes due 2037 and any</w:t>
            </w:r>
          </w:p>
        </w:tc>
      </w:tr>
      <w:tr>
        <w:trPr>
          <w:trHeight w:val="216"/>
        </w:trPr>
        <w:tc>
          <w:tcPr>
            <w:tcW w:w="1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60" w:type="dxa"/>
            <w:vAlign w:val="bottom"/>
          </w:tcPr>
          <w:p>
            <w:pPr>
              <w:ind w:left="420"/>
              <w:spacing w:after="0"/>
              <w:rPr>
                <w:sz w:val="20"/>
                <w:szCs w:val="20"/>
                <w:color w:val="auto"/>
              </w:rPr>
            </w:pPr>
            <w:r>
              <w:rPr>
                <w:rFonts w:ascii="Arial" w:cs="Arial" w:eastAsia="Arial" w:hAnsi="Arial"/>
                <w:sz w:val="18"/>
                <w:szCs w:val="18"/>
                <w:color w:val="auto"/>
                <w:w w:val="94"/>
              </w:rPr>
              <w:t>additional 6.45% Notes due 2037 that may be issued will be treated as a single series for all purposes under the</w:t>
            </w:r>
          </w:p>
        </w:tc>
      </w:tr>
      <w:tr>
        <w:trPr>
          <w:trHeight w:val="230"/>
        </w:trPr>
        <w:tc>
          <w:tcPr>
            <w:tcW w:w="16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860" w:type="dxa"/>
            <w:vAlign w:val="bottom"/>
          </w:tcPr>
          <w:p>
            <w:pPr>
              <w:ind w:left="420"/>
              <w:spacing w:after="0"/>
              <w:rPr>
                <w:sz w:val="20"/>
                <w:szCs w:val="20"/>
                <w:color w:val="auto"/>
              </w:rPr>
            </w:pPr>
            <w:r>
              <w:rPr>
                <w:rFonts w:ascii="Arial" w:cs="Arial" w:eastAsia="Arial" w:hAnsi="Arial"/>
                <w:sz w:val="18"/>
                <w:szCs w:val="18"/>
                <w:color w:val="auto"/>
              </w:rPr>
              <w:t>indenture.</w:t>
            </w:r>
          </w:p>
        </w:tc>
      </w:tr>
      <w:tr>
        <w:trPr>
          <w:trHeight w:val="632"/>
        </w:trPr>
        <w:tc>
          <w:tcPr>
            <w:tcW w:w="168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88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4" w:name="page5"/>
    <w:bookmarkEnd w:id="4"/>
    <w:p>
      <w:pPr>
        <w:ind w:right="140"/>
        <w:spacing w:after="0" w:line="302" w:lineRule="auto"/>
        <w:rPr>
          <w:sz w:val="20"/>
          <w:szCs w:val="20"/>
          <w:color w:val="auto"/>
        </w:rPr>
      </w:pPr>
      <w:r>
        <w:rPr>
          <w:rFonts w:ascii="Arial" w:cs="Arial" w:eastAsia="Arial" w:hAnsi="Arial"/>
          <w:sz w:val="16"/>
          <w:szCs w:val="16"/>
          <w:color w:val="auto"/>
        </w:rPr>
        <w:t xml:space="preserve">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t>
      </w:r>
      <w:r>
        <w:rPr>
          <w:rFonts w:ascii="Arial" w:cs="Arial" w:eastAsia="Arial" w:hAnsi="Arial"/>
          <w:sz w:val="16"/>
          <w:szCs w:val="16"/>
          <w:u w:val="single" w:color="auto"/>
          <w:color w:val="auto"/>
        </w:rPr>
        <w:t>www.sec.gov</w:t>
      </w:r>
      <w:r>
        <w:rPr>
          <w:rFonts w:ascii="Arial" w:cs="Arial" w:eastAsia="Arial" w:hAnsi="Arial"/>
          <w:sz w:val="16"/>
          <w:szCs w:val="16"/>
          <w:color w:val="auto"/>
        </w:rPr>
        <w:t>. Alternatively, the issuer, any underwriter or any dealer participating in the offering will arrange to send you the prospectus if you request it by calling toll-free 1-866 500-5408.</w:t>
      </w:r>
    </w:p>
    <w:p>
      <w:pPr>
        <w:spacing w:after="0" w:line="4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Any disclaimers or other notices that may appear below are not applicable to this communication and should be disregarded (other than any statement relating to the identity of the legal entity authorizing or sending this communication in a non-US jurisdiction). Such disclaimers or other notices were automatically generated as a result of this communication having been sent via Bloomberg or another email system.</w:t>
      </w:r>
    </w:p>
    <w:sectPr>
      <w:pgSz w:w="11900" w:h="16838" w:orient="portrait"/>
      <w:cols w:equalWidth="0" w:num="1">
        <w:col w:w="11400"/>
      </w:cols>
      <w:pgMar w:left="240" w:top="935"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2019-12-15T07:21:26Z</dcterms:created>
  <dcterms:modified xsi:type="dcterms:W3CDTF">2019-12-15T07:21:26Z</dcterms:modified>
</cp:coreProperties>
</file>