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483235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448945</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spacing w:after="0" w:line="231" w:lineRule="auto"/>
        <w:rPr>
          <w:sz w:val="20"/>
          <w:szCs w:val="20"/>
          <w:color w:val="auto"/>
        </w:rPr>
      </w:pPr>
      <w:r>
        <w:rPr>
          <w:rFonts w:ascii="Times New Roman" w:cs="Times New Roman" w:eastAsia="Times New Roman" w:hAnsi="Times New Roman"/>
          <w:sz w:val="18"/>
          <w:szCs w:val="18"/>
          <w:b w:val="1"/>
          <w:bCs w:val="1"/>
          <w:color w:val="auto"/>
        </w:rPr>
        <w:t>FORM 10-Q</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0" w:lineRule="exact"/>
        <w:rPr>
          <w:sz w:val="24"/>
          <w:szCs w:val="24"/>
          <w:color w:val="auto"/>
        </w:rPr>
      </w:pPr>
    </w:p>
    <w:p>
      <w:pPr>
        <w:ind w:left="980" w:hanging="810"/>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940" w:hanging="770"/>
        <w:spacing w:after="0"/>
        <w:tabs>
          <w:tab w:leader="none" w:pos="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20"/>
        <w:spacing w:after="0"/>
        <w:tabs>
          <w:tab w:leader="none" w:pos="70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105410</wp:posOffset>
            </wp:positionV>
            <wp:extent cx="318008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9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color w:val="auto"/>
                <w:w w:val="99"/>
              </w:rPr>
              <w:t>Exact Name of Registrant; State of</w:t>
            </w: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4160" w:type="dxa"/>
            <w:vAlign w:val="bottom"/>
          </w:tcPr>
          <w:p>
            <w:pPr>
              <w:spacing w:after="0"/>
              <w:rPr>
                <w:sz w:val="15"/>
                <w:szCs w:val="15"/>
                <w:color w:val="auto"/>
              </w:rPr>
            </w:pPr>
          </w:p>
        </w:tc>
        <w:tc>
          <w:tcPr>
            <w:tcW w:w="2940" w:type="dxa"/>
            <w:vAlign w:val="bottom"/>
            <w:gridSpan w:val="6"/>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Incorporation; Address and Telephone</w:t>
            </w:r>
          </w:p>
        </w:tc>
        <w:tc>
          <w:tcPr>
            <w:tcW w:w="4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160" w:type="dxa"/>
            <w:vAlign w:val="bottom"/>
            <w:tcBorders>
              <w:bottom w:val="single" w:sz="8" w:color="auto"/>
            </w:tcBorders>
          </w:tcPr>
          <w:p>
            <w:pPr>
              <w:jc w:val="center"/>
              <w:ind w:right="9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4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8"/>
                <w:szCs w:val="18"/>
                <w:color w:val="auto"/>
              </w:rPr>
              <w:t>Number of Principal Executive Offices</w:t>
            </w:r>
          </w:p>
        </w:tc>
        <w:tc>
          <w:tcPr>
            <w:tcW w:w="408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20" w:type="dxa"/>
            <w:vAlign w:val="bottom"/>
          </w:tcPr>
          <w:p>
            <w:pPr>
              <w:spacing w:after="0"/>
              <w:rPr>
                <w:sz w:val="21"/>
                <w:szCs w:val="21"/>
                <w:color w:val="auto"/>
              </w:rPr>
            </w:pPr>
          </w:p>
        </w:tc>
      </w:tr>
      <w:tr>
        <w:trPr>
          <w:trHeight w:val="232"/>
        </w:trPr>
        <w:tc>
          <w:tcPr>
            <w:tcW w:w="4160" w:type="dxa"/>
            <w:vAlign w:val="bottom"/>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001-32871</w:t>
            </w:r>
          </w:p>
        </w:tc>
        <w:tc>
          <w:tcPr>
            <w:tcW w:w="220" w:type="dxa"/>
            <w:vAlign w:val="bottom"/>
          </w:tcPr>
          <w:p>
            <w:pPr>
              <w:spacing w:after="0"/>
              <w:rPr>
                <w:sz w:val="20"/>
                <w:szCs w:val="20"/>
                <w:color w:val="auto"/>
              </w:rPr>
            </w:pPr>
          </w:p>
        </w:tc>
        <w:tc>
          <w:tcPr>
            <w:tcW w:w="27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COMCAST CORPORATION</w:t>
            </w:r>
          </w:p>
        </w:tc>
        <w:tc>
          <w:tcPr>
            <w:tcW w:w="40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27-0000798</w:t>
            </w:r>
          </w:p>
        </w:tc>
        <w:tc>
          <w:tcPr>
            <w:tcW w:w="20" w:type="dxa"/>
            <w:vAlign w:val="bottom"/>
          </w:tcPr>
          <w:p>
            <w:pPr>
              <w:spacing w:after="0"/>
              <w:rPr>
                <w:sz w:val="20"/>
                <w:szCs w:val="20"/>
                <w:color w:val="auto"/>
              </w:rPr>
            </w:pPr>
          </w:p>
        </w:tc>
      </w:tr>
      <w:tr>
        <w:trPr>
          <w:trHeight w:val="266"/>
        </w:trPr>
        <w:tc>
          <w:tcPr>
            <w:tcW w:w="4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Philadelphia, PA 19103-2838</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(215) 286-1700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20" w:type="dxa"/>
            <w:vAlign w:val="bottom"/>
          </w:tcPr>
          <w:p>
            <w:pPr>
              <w:spacing w:after="0"/>
              <w:rPr>
                <w:sz w:val="24"/>
                <w:szCs w:val="24"/>
                <w:color w:val="auto"/>
              </w:rPr>
            </w:pPr>
          </w:p>
        </w:tc>
      </w:tr>
      <w:tr>
        <w:trPr>
          <w:trHeight w:val="218"/>
        </w:trPr>
        <w:tc>
          <w:tcPr>
            <w:tcW w:w="416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CMCSA</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Borders>
              <w:top w:val="single" w:sz="8" w:color="auto"/>
            </w:tcBorders>
          </w:tcPr>
          <w:p>
            <w:pPr>
              <w:spacing w:after="0"/>
              <w:rPr>
                <w:sz w:val="18"/>
                <w:szCs w:val="18"/>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CMCS27</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CMCS29A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CMCS32</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CMCS32A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CMCS36A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CMCS40</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CMCS40A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CCGBP29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Pr>
          <w:p>
            <w:pPr>
              <w:spacing w:after="0"/>
              <w:rPr>
                <w:sz w:val="19"/>
                <w:szCs w:val="19"/>
                <w:color w:val="auto"/>
              </w:rPr>
            </w:pPr>
          </w:p>
        </w:tc>
      </w:tr>
      <w:tr>
        <w:trPr>
          <w:trHeight w:val="234"/>
        </w:trPr>
        <w:tc>
          <w:tcPr>
            <w:tcW w:w="438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CCZ</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Borders>
              <w:bottom w:val="single" w:sz="8" w:color="auto"/>
            </w:tcBorders>
          </w:tcPr>
          <w:p>
            <w:pPr>
              <w:spacing w:after="0"/>
              <w:rPr>
                <w:sz w:val="20"/>
                <w:szCs w:val="20"/>
                <w:color w:val="auto"/>
              </w:rPr>
            </w:pPr>
          </w:p>
        </w:tc>
      </w:tr>
    </w:tbl>
    <w:p>
      <w:pPr>
        <w:spacing w:after="0" w:line="194"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7"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w:t>
            </w:r>
          </w:p>
        </w:tc>
        <w:tc>
          <w:tcPr>
            <w:tcW w:w="5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Accelerated filer</w:t>
            </w:r>
          </w:p>
        </w:tc>
        <w:tc>
          <w:tcPr>
            <w:tcW w:w="36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Non-accelerated filer</w:t>
            </w:r>
          </w:p>
        </w:tc>
        <w:tc>
          <w:tcPr>
            <w:tcW w:w="42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Smaller reporting</w:t>
            </w:r>
          </w:p>
        </w:tc>
        <w:tc>
          <w:tcPr>
            <w:tcW w:w="6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Emerging growth</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filer</w:t>
            </w:r>
          </w:p>
        </w:tc>
        <w:tc>
          <w:tcPr>
            <w:tcW w:w="5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company</w:t>
            </w:r>
          </w:p>
        </w:tc>
        <w:tc>
          <w:tcPr>
            <w:tcW w:w="600" w:type="dxa"/>
            <w:vAlign w:val="bottom"/>
          </w:tcPr>
          <w:p>
            <w:pPr>
              <w:spacing w:after="0"/>
              <w:rPr>
                <w:sz w:val="19"/>
                <w:szCs w:val="19"/>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company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1"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7" w:lineRule="exact"/>
        <w:rPr>
          <w:sz w:val="24"/>
          <w:szCs w:val="24"/>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As of October 15, 2024, there were 3,817,095,628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173355</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139065</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tcBorders>
              <w:bottom w:val="single" w:sz="8" w:color="0000FF"/>
            </w:tcBorders>
            <w:gridSpan w:val="11"/>
          </w:tcPr>
          <w:p>
            <w:pPr>
              <w:spacing w:after="0" w:line="188"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4780" w:type="dxa"/>
            <w:vAlign w:val="bottom"/>
            <w:gridSpan w:val="16"/>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(Unaudited)</w:t>
            </w:r>
          </w:p>
        </w:tc>
        <w:tc>
          <w:tcPr>
            <w:tcW w:w="2140" w:type="dxa"/>
            <w:vAlign w:val="bottom"/>
            <w:gridSpan w:val="7"/>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(Unaudited)</w:t>
            </w: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760" w:type="dxa"/>
            <w:vAlign w:val="bottom"/>
            <w:tcBorders>
              <w:top w:val="single" w:sz="8" w:color="0000FF"/>
            </w:tcBorders>
            <w:gridSpan w:val="5"/>
          </w:tcPr>
          <w:p>
            <w:pPr>
              <w:spacing w:after="0"/>
              <w:rPr>
                <w:sz w:val="18"/>
                <w:szCs w:val="18"/>
                <w:color w:val="auto"/>
              </w:rPr>
            </w:pPr>
          </w:p>
        </w:tc>
        <w:tc>
          <w:tcPr>
            <w:tcW w:w="1840" w:type="dxa"/>
            <w:vAlign w:val="bottom"/>
            <w:gridSpan w:val="4"/>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0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360" w:type="dxa"/>
            <w:vAlign w:val="bottom"/>
            <w:gridSpan w:val="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394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Note 1: Condensed Consolidated Financial Statements</w:t>
            </w:r>
          </w:p>
        </w:tc>
        <w:tc>
          <w:tcPr>
            <w:tcW w:w="540" w:type="dxa"/>
            <w:vAlign w:val="bottom"/>
            <w:tcBorders>
              <w:top w:val="single" w:sz="8" w:color="0000FF"/>
            </w:tcBorders>
            <w:gridSpan w:val="2"/>
          </w:tcPr>
          <w:p>
            <w:pPr>
              <w:spacing w:after="0"/>
              <w:rPr>
                <w:sz w:val="18"/>
                <w:szCs w:val="18"/>
                <w:color w:val="auto"/>
              </w:rPr>
            </w:pPr>
          </w:p>
        </w:tc>
        <w:tc>
          <w:tcPr>
            <w:tcW w:w="1560" w:type="dxa"/>
            <w:vAlign w:val="bottom"/>
            <w:gridSpan w:val="3"/>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2: Segment Information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Note 3: Revenue</w:t>
            </w:r>
          </w:p>
        </w:tc>
        <w:tc>
          <w:tcPr>
            <w:tcW w:w="900" w:type="dxa"/>
            <w:vAlign w:val="bottom"/>
            <w:tcBorders>
              <w:top w:val="single" w:sz="8" w:color="0000FF"/>
            </w:tcBorders>
            <w:gridSpan w:val="3"/>
          </w:tcPr>
          <w:p>
            <w:pPr>
              <w:spacing w:after="0"/>
              <w:rPr>
                <w:sz w:val="18"/>
                <w:szCs w:val="18"/>
                <w:color w:val="auto"/>
              </w:rPr>
            </w:pPr>
          </w:p>
        </w:tc>
        <w:tc>
          <w:tcPr>
            <w:tcW w:w="3920" w:type="dxa"/>
            <w:vAlign w:val="bottom"/>
            <w:gridSpan w:val="14"/>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4: Programming and Production Costs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Note 5: Debt</w:t>
            </w:r>
          </w:p>
        </w:tc>
        <w:tc>
          <w:tcPr>
            <w:tcW w:w="2220" w:type="dxa"/>
            <w:vAlign w:val="bottom"/>
            <w:tcBorders>
              <w:top w:val="single" w:sz="8" w:color="0000FF"/>
            </w:tcBorders>
            <w:gridSpan w:val="8"/>
          </w:tcPr>
          <w:p>
            <w:pPr>
              <w:spacing w:after="0"/>
              <w:rPr>
                <w:sz w:val="18"/>
                <w:szCs w:val="18"/>
                <w:color w:val="auto"/>
              </w:rPr>
            </w:pPr>
          </w:p>
        </w:tc>
        <w:tc>
          <w:tcPr>
            <w:tcW w:w="2880" w:type="dxa"/>
            <w:vAlign w:val="bottom"/>
            <w:gridSpan w:val="1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6: Investments and Variable Interest Entities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7: Equity and Share-Based Compensation</w:t>
            </w:r>
          </w:p>
        </w:tc>
        <w:tc>
          <w:tcPr>
            <w:tcW w:w="160" w:type="dxa"/>
            <w:vAlign w:val="bottom"/>
            <w:tcBorders>
              <w:top w:val="single" w:sz="8" w:color="0000FF"/>
            </w:tcBorders>
            <w:gridSpan w:val="2"/>
          </w:tcPr>
          <w:p>
            <w:pPr>
              <w:spacing w:after="0"/>
              <w:rPr>
                <w:sz w:val="18"/>
                <w:szCs w:val="18"/>
                <w:color w:val="auto"/>
              </w:rPr>
            </w:pPr>
          </w:p>
        </w:tc>
        <w:tc>
          <w:tcPr>
            <w:tcW w:w="2460" w:type="dxa"/>
            <w:vAlign w:val="bottom"/>
            <w:gridSpan w:val="8"/>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 8: Supplemental Financial Information</w:t>
            </w:r>
          </w:p>
        </w:tc>
        <w:tc>
          <w:tcPr>
            <w:tcW w:w="2840" w:type="dxa"/>
            <w:vAlign w:val="bottom"/>
            <w:gridSpan w:val="11"/>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0" w:type="dxa"/>
            <w:vAlign w:val="bottom"/>
          </w:tcPr>
          <w:p>
            <w:pPr>
              <w:spacing w:after="0"/>
              <w:rPr>
                <w:sz w:val="18"/>
                <w:szCs w:val="18"/>
                <w:color w:val="auto"/>
              </w:rPr>
            </w:pPr>
          </w:p>
        </w:tc>
        <w:tc>
          <w:tcPr>
            <w:tcW w:w="6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9: Commitments and Contingencies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5"/>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5080" w:type="dxa"/>
            <w:vAlign w:val="bottom"/>
            <w:gridSpan w:val="19"/>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120" w:type="dxa"/>
            <w:vAlign w:val="bottom"/>
            <w:gridSpan w:val="21"/>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6"/>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3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2120" w:type="dxa"/>
            <w:vAlign w:val="bottom"/>
            <w:gridSpan w:val="6"/>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for the three and nine months ended September 30, 2024.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 Unless indicated otherwise, throughout this Quarterly Report on Form 10-Q, we refer to Comcast and its consolidated subsidiaries as “Comcast,” “we,” “us” and “our.”</w:t>
      </w:r>
    </w:p>
    <w:p>
      <w:pPr>
        <w:spacing w:after="0" w:line="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words such as “believe,” “project,” “expect,” “anticipate,” “estimate,” “intend,” “potential,” “strategy,” “future,” “opportunity,” “commit,” “plan,” “goal,” “may,” “should,” “could,” “will,” “would,” “will be,” “will continue,” “will likely result” and similar expressions. In evaluating forward-looking statements, you should consider various factors, including the risks and uncertainties we describe in the “Risk Factors” sections of our Forms 10-K and 10-Q and in other reports we file with the SEC.</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63" w:lineRule="exact"/>
        <w:rPr>
          <w:sz w:val="20"/>
          <w:szCs w:val="20"/>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consumer acceptance of our content, and our businesses may be adversely affected if our content fails to achieve sufficient consumer acceptance</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on a per subscriber basis, which could adversely affect our video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63" w:lineRule="exact"/>
        <w:rPr>
          <w:rFonts w:ascii="Times New Roman" w:cs="Times New Roman" w:eastAsia="Times New Roman" w:hAnsi="Times New Roman"/>
          <w:sz w:val="18"/>
          <w:szCs w:val="18"/>
          <w:color w:val="auto"/>
        </w:rPr>
      </w:pPr>
    </w:p>
    <w:p>
      <w:pPr>
        <w:jc w:val="both"/>
        <w:ind w:left="660" w:right="9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initiatives present many risks, and we may not realize the financial and strategic goals that we had contemplated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779145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8"/>
          </w:cols>
          <w:pgMar w:left="652" w:top="1417" w:right="1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32,070</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30,115</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91,817</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90,319</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10,216</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8,652</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27,000</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0" w:type="dxa"/>
            <w:vAlign w:val="bottom"/>
          </w:tcPr>
          <w:p>
            <w:pPr>
              <w:spacing w:after="0"/>
              <w:rPr>
                <w:sz w:val="1"/>
                <w:szCs w:val="1"/>
                <w:color w:val="auto"/>
              </w:rPr>
            </w:pP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and promotion</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1,989</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1,866</w:t>
            </w:r>
          </w:p>
        </w:tc>
        <w:tc>
          <w:tcPr>
            <w:tcW w:w="4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5,929</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10,128</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9,629</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29,615</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28,247</w:t>
            </w: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2,219</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2,203</w:t>
            </w:r>
          </w:p>
        </w:tc>
        <w:tc>
          <w:tcPr>
            <w:tcW w:w="4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6,548</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1,659</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1,290</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4,421</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26,211</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23,640</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73,512</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71,489</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5,859</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6,475</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18,304</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(1,037)</w:t>
            </w:r>
          </w:p>
        </w:tc>
        <w:tc>
          <w:tcPr>
            <w:tcW w:w="6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(1,060)</w:t>
            </w:r>
          </w:p>
        </w:tc>
        <w:tc>
          <w:tcPr>
            <w:tcW w:w="4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(3,065)</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(140)</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4,819</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5,465</w:t>
            </w:r>
          </w:p>
        </w:tc>
        <w:tc>
          <w:tcPr>
            <w:tcW w:w="4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15,099</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(1,243)</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(1,468)</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(3,906)</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3,576</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3,997</w:t>
            </w:r>
          </w:p>
        </w:tc>
        <w:tc>
          <w:tcPr>
            <w:tcW w:w="4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11,192</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(222)</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3,629</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4,046</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11,415</w:t>
            </w: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12,128</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0.94</w:t>
            </w:r>
          </w:p>
        </w:tc>
        <w:tc>
          <w:tcPr>
            <w:tcW w:w="6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0.98</w:t>
            </w:r>
          </w:p>
        </w:tc>
        <w:tc>
          <w:tcPr>
            <w:tcW w:w="4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2.92</w:t>
            </w:r>
          </w:p>
        </w:tc>
        <w:tc>
          <w:tcPr>
            <w:tcW w:w="6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0" w:type="dxa"/>
            <w:vAlign w:val="bottom"/>
          </w:tcPr>
          <w:p>
            <w:pPr>
              <w:spacing w:after="0"/>
              <w:rPr>
                <w:sz w:val="1"/>
                <w:szCs w:val="1"/>
                <w:color w:val="auto"/>
              </w:rPr>
            </w:pPr>
          </w:p>
        </w:tc>
      </w:tr>
      <w:tr>
        <w:trPr>
          <w:trHeight w:val="238"/>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Corporation shareholders</w:t>
            </w:r>
          </w:p>
        </w:tc>
        <w:tc>
          <w:tcPr>
            <w:tcW w:w="3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0.94</w:t>
            </w:r>
          </w:p>
        </w:tc>
        <w:tc>
          <w:tcPr>
            <w:tcW w:w="6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0.98</w:t>
            </w:r>
          </w:p>
        </w:tc>
        <w:tc>
          <w:tcPr>
            <w:tcW w:w="4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2.90</w:t>
            </w:r>
          </w:p>
        </w:tc>
        <w:tc>
          <w:tcPr>
            <w:tcW w:w="6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0" w:type="dxa"/>
            <w:vAlign w:val="bottom"/>
          </w:tcPr>
          <w:p>
            <w:pPr>
              <w:spacing w:after="0"/>
              <w:rPr>
                <w:sz w:val="1"/>
                <w:szCs w:val="1"/>
                <w:color w:val="auto"/>
              </w:rPr>
            </w:pPr>
          </w:p>
        </w:tc>
      </w:tr>
      <w:tr>
        <w:trPr>
          <w:trHeight w:val="245"/>
        </w:trPr>
        <w:tc>
          <w:tcPr>
            <w:tcW w:w="5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Corporation shareholders</w:t>
            </w:r>
          </w:p>
        </w:tc>
        <w:tc>
          <w:tcPr>
            <w:tcW w:w="32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80" w:type="dxa"/>
            <w:vAlign w:val="bottom"/>
          </w:tcPr>
          <w:p>
            <w:pPr>
              <w:jc w:val="center"/>
              <w:ind w:right="908"/>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tcPr>
          <w:p>
            <w:pPr>
              <w:spacing w:after="0"/>
              <w:rPr>
                <w:sz w:val="13"/>
                <w:szCs w:val="13"/>
                <w:color w:val="auto"/>
              </w:rPr>
            </w:pPr>
          </w:p>
        </w:tc>
        <w:tc>
          <w:tcPr>
            <w:tcW w:w="216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6"/>
        </w:trPr>
        <w:tc>
          <w:tcPr>
            <w:tcW w:w="49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center"/>
              <w:ind w:right="908"/>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ind w:right="828"/>
              <w:spacing w:after="0"/>
              <w:rPr>
                <w:sz w:val="20"/>
                <w:szCs w:val="20"/>
                <w:color w:val="auto"/>
              </w:rPr>
            </w:pPr>
            <w:r>
              <w:rPr>
                <w:rFonts w:ascii="Times New Roman" w:cs="Times New Roman" w:eastAsia="Times New Roman" w:hAnsi="Times New Roman"/>
                <w:sz w:val="14"/>
                <w:szCs w:val="14"/>
                <w:color w:val="auto"/>
              </w:rPr>
              <w:t>September 30,</w:t>
            </w:r>
          </w:p>
        </w:tc>
      </w:tr>
      <w:tr>
        <w:trPr>
          <w:trHeight w:val="18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2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16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3" w:lineRule="exact"/>
        <w:rPr>
          <w:sz w:val="20"/>
          <w:szCs w:val="20"/>
          <w:color w:val="auto"/>
        </w:rPr>
      </w:pPr>
    </w:p>
    <w:p>
      <w:pPr>
        <w:ind w:left="20"/>
        <w:spacing w:after="0"/>
        <w:tabs>
          <w:tab w:leader="none" w:pos="492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p>
      <w:pPr>
        <w:spacing w:after="0" w:line="23" w:lineRule="exact"/>
        <w:rPr>
          <w:sz w:val="20"/>
          <w:szCs w:val="20"/>
          <w:color w:val="auto"/>
        </w:rPr>
      </w:pPr>
    </w:p>
    <w:p>
      <w:pPr>
        <w:ind w:left="300" w:right="380" w:hanging="161"/>
        <w:spacing w:after="0" w:line="234" w:lineRule="auto"/>
        <w:rPr>
          <w:sz w:val="20"/>
          <w:szCs w:val="20"/>
          <w:color w:val="auto"/>
        </w:rPr>
      </w:pPr>
      <w:r>
        <w:rPr>
          <w:rFonts w:ascii="Times New Roman" w:cs="Times New Roman" w:eastAsia="Times New Roman" w:hAnsi="Times New Roman"/>
          <w:sz w:val="18"/>
          <w:szCs w:val="18"/>
          <w:color w:val="auto"/>
        </w:rPr>
        <w:t>Currency translation adjustments, net of deferred taxes of $(31), $(20), $(74) and $(42)</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flow hedges:</w:t>
      </w:r>
    </w:p>
    <w:p>
      <w:pPr>
        <w:spacing w:after="0" w:line="27" w:lineRule="exact"/>
        <w:rPr>
          <w:sz w:val="20"/>
          <w:szCs w:val="20"/>
          <w:color w:val="auto"/>
        </w:rPr>
      </w:pPr>
    </w:p>
    <w:p>
      <w:pPr>
        <w:ind w:left="460" w:right="400" w:hanging="161"/>
        <w:spacing w:after="0" w:line="234" w:lineRule="auto"/>
        <w:rPr>
          <w:sz w:val="20"/>
          <w:szCs w:val="20"/>
          <w:color w:val="auto"/>
        </w:rPr>
      </w:pPr>
      <w:r>
        <w:rPr>
          <w:rFonts w:ascii="Times New Roman" w:cs="Times New Roman" w:eastAsia="Times New Roman" w:hAnsi="Times New Roman"/>
          <w:sz w:val="18"/>
          <w:szCs w:val="18"/>
          <w:color w:val="auto"/>
        </w:rPr>
        <w:t>Deferred gains (losses), net of deferred taxes of $3, $(19), $1, and $4</w:t>
      </w:r>
    </w:p>
    <w:p>
      <w:pPr>
        <w:spacing w:after="0" w:line="10" w:lineRule="exact"/>
        <w:rPr>
          <w:sz w:val="20"/>
          <w:szCs w:val="20"/>
          <w:color w:val="auto"/>
        </w:rPr>
      </w:pPr>
    </w:p>
    <w:p>
      <w:pPr>
        <w:ind w:left="460" w:right="800" w:hanging="161"/>
        <w:spacing w:after="0" w:line="237" w:lineRule="auto"/>
        <w:rPr>
          <w:sz w:val="20"/>
          <w:szCs w:val="20"/>
          <w:color w:val="auto"/>
        </w:rPr>
      </w:pPr>
      <w:r>
        <w:rPr>
          <w:rFonts w:ascii="Times New Roman" w:cs="Times New Roman" w:eastAsia="Times New Roman" w:hAnsi="Times New Roman"/>
          <w:sz w:val="18"/>
          <w:szCs w:val="18"/>
          <w:color w:val="auto"/>
        </w:rPr>
        <w:t>Realized (gains) losses reclassified to net income, net of deferred taxes of $11, $2, $11 and $18</w:t>
      </w:r>
    </w:p>
    <w:p>
      <w:pPr>
        <w:spacing w:after="0" w:line="10" w:lineRule="exact"/>
        <w:rPr>
          <w:sz w:val="20"/>
          <w:szCs w:val="20"/>
          <w:color w:val="auto"/>
        </w:rPr>
      </w:pPr>
    </w:p>
    <w:p>
      <w:pPr>
        <w:ind w:left="300" w:right="420" w:hanging="161"/>
        <w:spacing w:after="0" w:line="237" w:lineRule="auto"/>
        <w:rPr>
          <w:sz w:val="20"/>
          <w:szCs w:val="20"/>
          <w:color w:val="auto"/>
        </w:rPr>
      </w:pPr>
      <w:r>
        <w:rPr>
          <w:rFonts w:ascii="Times New Roman" w:cs="Times New Roman" w:eastAsia="Times New Roman" w:hAnsi="Times New Roman"/>
          <w:sz w:val="18"/>
          <w:szCs w:val="18"/>
          <w:color w:val="auto"/>
        </w:rPr>
        <w:t>Employee benefit obligations and other, net of deferred taxes of $2, $2, $10 and $5</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3,576</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3,997</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11,192</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w:t>
            </w:r>
          </w:p>
        </w:tc>
      </w:tr>
      <w:tr>
        <w:trPr>
          <w:trHeight w:val="648"/>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1,889</w:t>
            </w:r>
          </w:p>
        </w:tc>
        <w:tc>
          <w:tcPr>
            <w:tcW w:w="60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(1,154)</w:t>
            </w:r>
          </w:p>
        </w:tc>
        <w:tc>
          <w:tcPr>
            <w:tcW w:w="6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1,322</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648"/>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6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8"/>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60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18"/>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-1207770</wp:posOffset>
            </wp:positionV>
            <wp:extent cx="713232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-796290</wp:posOffset>
            </wp:positionV>
            <wp:extent cx="713232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-264795</wp:posOffset>
            </wp:positionV>
            <wp:extent cx="713232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40" w:space="720"/>
            <w:col w:w="53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1,829</w:t>
            </w:r>
          </w:p>
        </w:tc>
        <w:tc>
          <w:tcPr>
            <w:tcW w:w="6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(1,086)</w:t>
            </w:r>
          </w:p>
        </w:tc>
        <w:tc>
          <w:tcPr>
            <w:tcW w:w="6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1,247</w:t>
            </w:r>
          </w:p>
        </w:tc>
        <w:tc>
          <w:tcPr>
            <w:tcW w:w="6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5,405</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2,911</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12,439</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6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176"/>
        </w:trPr>
        <w:tc>
          <w:tcPr>
            <w:tcW w:w="5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Other comprehensive income (loss) attributable to</w:t>
            </w: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Comcast Corporation   $</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5,443</w:t>
            </w:r>
          </w:p>
        </w:tc>
        <w:tc>
          <w:tcPr>
            <w:tcW w:w="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2,953</w:t>
            </w:r>
          </w:p>
        </w:tc>
        <w:tc>
          <w:tcPr>
            <w:tcW w:w="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12,660</w:t>
            </w:r>
          </w:p>
        </w:tc>
        <w:tc>
          <w:tcPr>
            <w:tcW w:w="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12,214</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11,192</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10,969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983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620</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Film and television costs,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(287)</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(3,505)</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19,593</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22,579</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(8,267)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businesses and investments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689</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108</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(10,559)</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(11,718)</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(repayments of) short-term borrowings,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6,268</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(2,433)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(6,920)</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(3,624)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250</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(6,459)</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(9,136)</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on cash, cash equivalents and restricted cash</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2,596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6,282</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8,878</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6,489</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320" w:type="dxa"/>
            <w:vAlign w:val="bottom"/>
          </w:tcPr>
          <w:p>
            <w:pPr>
              <w:spacing w:after="0"/>
              <w:rPr>
                <w:sz w:val="13"/>
                <w:szCs w:val="13"/>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September 30,</w:t>
            </w:r>
          </w:p>
        </w:tc>
        <w:tc>
          <w:tcPr>
            <w:tcW w:w="320" w:type="dxa"/>
            <w:vAlign w:val="bottom"/>
          </w:tcPr>
          <w:p>
            <w:pPr>
              <w:spacing w:after="0"/>
              <w:rPr>
                <w:sz w:val="13"/>
                <w:szCs w:val="13"/>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8,814</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14,036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4,336</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27,186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13,340</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9,021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$60,114 and $58,701</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61,775</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60,076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59,365</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$34,162 and $30,290</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26,423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12,686</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269,871</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264,811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11,779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1,476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3,778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8,977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debt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2,610</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Advance on sale of investment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9,167</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37,786</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40,198</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98,754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26,263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20,526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value—authorized, 7,500,000,000 shares; issued, 4,697,741,828 and</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4,842,108,959; outstanding, 3,824,950,800 and 3,969,317,931</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38,147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38,533</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55,105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872,791,028 Class A common shares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(7,517)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Comcast Corporation shareholders’ equity</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85,774</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82,703</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544</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86,318</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269,871</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264,811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831"/>
              <w:spacing w:after="0"/>
              <w:rPr>
                <w:sz w:val="20"/>
                <w:szCs w:val="20"/>
                <w:color w:val="auto"/>
              </w:rPr>
            </w:pPr>
            <w:r>
              <w:rPr>
                <w:rFonts w:ascii="Times New Roman" w:cs="Times New Roman" w:eastAsia="Times New Roman" w:hAnsi="Times New Roman"/>
                <w:sz w:val="14"/>
                <w:szCs w:val="14"/>
                <w:color w:val="auto"/>
              </w:rPr>
              <w:t>Three Months Ended</w:t>
            </w:r>
          </w:p>
        </w:tc>
        <w:tc>
          <w:tcPr>
            <w:tcW w:w="440" w:type="dxa"/>
            <w:vAlign w:val="bottom"/>
          </w:tcPr>
          <w:p>
            <w:pPr>
              <w:spacing w:after="0"/>
              <w:rPr>
                <w:sz w:val="13"/>
                <w:szCs w:val="13"/>
                <w:color w:val="auto"/>
              </w:rPr>
            </w:pPr>
          </w:p>
        </w:tc>
        <w:tc>
          <w:tcPr>
            <w:tcW w:w="2520" w:type="dxa"/>
            <w:vAlign w:val="bottom"/>
            <w:gridSpan w:val="3"/>
          </w:tcPr>
          <w:p>
            <w:pPr>
              <w:jc w:val="right"/>
              <w:ind w:right="751"/>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6"/>
        </w:trPr>
        <w:tc>
          <w:tcPr>
            <w:tcW w:w="5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7"/>
                <w:szCs w:val="17"/>
                <w:color w:val="auto"/>
              </w:rPr>
            </w:pPr>
          </w:p>
        </w:tc>
      </w:tr>
      <w:tr>
        <w:trPr>
          <w:trHeight w:val="19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239</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5"/>
        </w:trPr>
        <w:tc>
          <w:tcPr>
            <w:tcW w:w="5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230</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r>
      <w:tr>
        <w:trPr>
          <w:trHeight w:val="230"/>
        </w:trPr>
        <w:tc>
          <w:tcPr>
            <w:tcW w:w="5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76"/>
        </w:trPr>
        <w:tc>
          <w:tcPr>
            <w:tcW w:w="52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Repurchases of common stock under repurchase program and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employee plans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49</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34"/>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38,203</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39,118</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38,533</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39,412</w:t>
            </w: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258</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175"/>
        </w:trPr>
        <w:tc>
          <w:tcPr>
            <w:tcW w:w="52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Repurchases of common stock under repurchase program and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plans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5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(579)</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Issuances of common stock under employee plans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38,147</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38,866</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38,147</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38,866</w:t>
            </w:r>
          </w:p>
        </w:tc>
      </w:tr>
      <w:tr>
        <w:trPr>
          <w:trHeight w:val="34"/>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53,900</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52,892</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51,609</w:t>
            </w:r>
          </w:p>
        </w:tc>
      </w:tr>
      <w:tr>
        <w:trPr>
          <w:trHeight w:val="176"/>
        </w:trPr>
        <w:tc>
          <w:tcPr>
            <w:tcW w:w="5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Repurchases of common stock under repurchase program and</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employee plans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(3,005)</w:t>
            </w: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5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(1,190)</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4,046</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12,128</w:t>
            </w: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55,105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53,751</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55,105</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53,751</w:t>
            </w:r>
          </w:p>
        </w:tc>
      </w:tr>
      <w:tr>
        <w:trPr>
          <w:trHeight w:val="34"/>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 at Cost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(7,517)</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r>
      <w:tr>
        <w:trPr>
          <w:trHeight w:val="75"/>
        </w:trPr>
        <w:tc>
          <w:tcPr>
            <w:tcW w:w="52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(1,432)</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29"/>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(1,093)</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(2,525)</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(2,525)</w:t>
            </w:r>
          </w:p>
        </w:tc>
      </w:tr>
      <w:tr>
        <w:trPr>
          <w:trHeight w:val="34"/>
        </w:trPr>
        <w:tc>
          <w:tcPr>
            <w:tcW w:w="5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559</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538</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w:t>
            </w:r>
          </w:p>
        </w:tc>
      </w:tr>
      <w:tr>
        <w:trPr>
          <w:trHeight w:val="217"/>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86,318</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83,163</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86,318</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83,163</w:t>
            </w:r>
          </w:p>
        </w:tc>
      </w:tr>
      <w:tr>
        <w:trPr>
          <w:trHeight w:val="236"/>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0.29</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200"/>
        <w:spacing w:after="0" w:line="285"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2023 Annual Report on Form 10-K.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Disclosures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updated accounting guidance related to annual and interim segment disclosures. The updated accounting guidance, among other things, will result in our disclosure of certain significant segment expenses. We will adopt the updated accounting guidance on a retrospective basis in our Annual Report on Form 10-K for the year ended December 31, 2024.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Disclosures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updated accounting guidance related to income tax disclosures. The updated accounting guidance, among other things, requires additional disclosure primarily related to the income tax rate reconciliation and income taxes paid. We will adopt the updated accounting guidance in our Annual Report on Form 10-K for the year ended December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global media and technology company with five segments: Residential Connectivity &amp; Platforms, Business Services Connectivity, Media, Studios and Theme Parks.</w:t>
      </w:r>
    </w:p>
    <w:p>
      <w:pPr>
        <w:spacing w:after="0" w:line="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financial data by segment is presented in the tables below. We do not present asset information for our segments as this information is not used to allocate resources.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Three Months Ended September 30, 2024</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8"/>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8"/>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Studios</w:t>
            </w:r>
          </w:p>
        </w:tc>
        <w:tc>
          <w:tcPr>
            <w:tcW w:w="200" w:type="dxa"/>
            <w:vAlign w:val="bottom"/>
          </w:tcPr>
          <w:p>
            <w:pPr>
              <w:spacing w:after="0"/>
              <w:rPr>
                <w:sz w:val="12"/>
                <w:szCs w:val="12"/>
                <w:color w:val="auto"/>
              </w:rPr>
            </w:pPr>
          </w:p>
        </w:tc>
        <w:tc>
          <w:tcPr>
            <w:tcW w:w="10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color w:val="auto"/>
              </w:rPr>
              <w:t>Theme Parks</w:t>
            </w:r>
          </w:p>
        </w:tc>
        <w:tc>
          <w:tcPr>
            <w:tcW w:w="28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color w:val="auto"/>
              </w:rPr>
              <w:t>Connectivity</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31,434</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33,637</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0" w:type="dxa"/>
            <w:vAlign w:val="bottom"/>
          </w:tcPr>
          <w:p>
            <w:pPr>
              <w:spacing w:after="0"/>
              <w:rPr>
                <w:sz w:val="1"/>
                <w:szCs w:val="1"/>
                <w:color w:val="auto"/>
              </w:rPr>
            </w:pPr>
          </w:p>
        </w:tc>
      </w:tr>
      <w:tr>
        <w:trPr>
          <w:trHeight w:val="108"/>
        </w:trPr>
        <w:tc>
          <w:tcPr>
            <w:tcW w:w="3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0" w:type="dxa"/>
            <w:vAlign w:val="bottom"/>
          </w:tcPr>
          <w:p>
            <w:pPr>
              <w:spacing w:after="0"/>
              <w:rPr>
                <w:sz w:val="1"/>
                <w:szCs w:val="1"/>
                <w:color w:val="auto"/>
              </w:rPr>
            </w:pPr>
          </w:p>
        </w:tc>
      </w:tr>
      <w:tr>
        <w:trPr>
          <w:trHeight w:val="88"/>
        </w:trPr>
        <w:tc>
          <w:tcPr>
            <w:tcW w:w="3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tcPr>
          <w:p>
            <w:pPr>
              <w:ind w:left="180"/>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0" w:type="dxa"/>
            <w:vAlign w:val="bottom"/>
          </w:tcPr>
          <w:p>
            <w:pPr>
              <w:spacing w:after="0"/>
              <w:rPr>
                <w:sz w:val="1"/>
                <w:szCs w:val="1"/>
                <w:color w:val="auto"/>
              </w:rPr>
            </w:pPr>
          </w:p>
        </w:tc>
      </w:tr>
      <w:tr>
        <w:trPr>
          <w:trHeight w:val="362"/>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Three Months Ended September 30, 2023</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8"/>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8"/>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Studios</w:t>
            </w:r>
          </w:p>
        </w:tc>
        <w:tc>
          <w:tcPr>
            <w:tcW w:w="200" w:type="dxa"/>
            <w:vAlign w:val="bottom"/>
          </w:tcPr>
          <w:p>
            <w:pPr>
              <w:spacing w:after="0"/>
              <w:rPr>
                <w:sz w:val="12"/>
                <w:szCs w:val="12"/>
                <w:color w:val="auto"/>
              </w:rPr>
            </w:pPr>
          </w:p>
        </w:tc>
        <w:tc>
          <w:tcPr>
            <w:tcW w:w="10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color w:val="auto"/>
              </w:rPr>
              <w:t>Theme Parks</w:t>
            </w:r>
          </w:p>
        </w:tc>
        <w:tc>
          <w:tcPr>
            <w:tcW w:w="28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color w:val="auto"/>
              </w:rPr>
              <w:t>Connectivity</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29,497</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30,115</w:t>
            </w:r>
          </w:p>
        </w:tc>
        <w:tc>
          <w:tcPr>
            <w:tcW w:w="0" w:type="dxa"/>
            <w:vAlign w:val="bottom"/>
          </w:tcPr>
          <w:p>
            <w:pPr>
              <w:spacing w:after="0"/>
              <w:rPr>
                <w:sz w:val="1"/>
                <w:szCs w:val="1"/>
                <w:color w:val="auto"/>
              </w:rPr>
            </w:pPr>
          </w:p>
        </w:tc>
      </w:tr>
      <w:tr>
        <w:trPr>
          <w:trHeight w:val="108"/>
        </w:trPr>
        <w:tc>
          <w:tcPr>
            <w:tcW w:w="3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0" w:type="dxa"/>
            <w:vAlign w:val="bottom"/>
          </w:tcPr>
          <w:p>
            <w:pPr>
              <w:spacing w:after="0"/>
              <w:rPr>
                <w:sz w:val="1"/>
                <w:szCs w:val="1"/>
                <w:color w:val="auto"/>
              </w:rPr>
            </w:pPr>
          </w:p>
        </w:tc>
      </w:tr>
      <w:tr>
        <w:trPr>
          <w:trHeight w:val="88"/>
        </w:trPr>
        <w:tc>
          <w:tcPr>
            <w:tcW w:w="3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Nine Months Ended September 30, 2024</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8"/>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8"/>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Studios</w:t>
            </w:r>
          </w:p>
        </w:tc>
        <w:tc>
          <w:tcPr>
            <w:tcW w:w="200" w:type="dxa"/>
            <w:vAlign w:val="bottom"/>
          </w:tcPr>
          <w:p>
            <w:pPr>
              <w:spacing w:after="0"/>
              <w:rPr>
                <w:sz w:val="12"/>
                <w:szCs w:val="12"/>
                <w:color w:val="auto"/>
              </w:rPr>
            </w:pPr>
          </w:p>
        </w:tc>
        <w:tc>
          <w:tcPr>
            <w:tcW w:w="10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color w:val="auto"/>
              </w:rPr>
              <w:t>Theme Parks</w:t>
            </w:r>
          </w:p>
        </w:tc>
        <w:tc>
          <w:tcPr>
            <w:tcW w:w="28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color w:val="auto"/>
              </w:rPr>
              <w:t>Connectivity</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3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89,802</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91,817</w:t>
            </w:r>
          </w:p>
        </w:tc>
        <w:tc>
          <w:tcPr>
            <w:tcW w:w="0" w:type="dxa"/>
            <w:vAlign w:val="bottom"/>
          </w:tcPr>
          <w:p>
            <w:pPr>
              <w:spacing w:after="0"/>
              <w:rPr>
                <w:sz w:val="1"/>
                <w:szCs w:val="1"/>
                <w:color w:val="auto"/>
              </w:rPr>
            </w:pPr>
          </w:p>
        </w:tc>
      </w:tr>
      <w:tr>
        <w:trPr>
          <w:trHeight w:val="108"/>
        </w:trPr>
        <w:tc>
          <w:tcPr>
            <w:tcW w:w="3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3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30,774</w:t>
            </w:r>
          </w:p>
        </w:tc>
        <w:tc>
          <w:tcPr>
            <w:tcW w:w="0" w:type="dxa"/>
            <w:vAlign w:val="bottom"/>
          </w:tcPr>
          <w:p>
            <w:pPr>
              <w:spacing w:after="0"/>
              <w:rPr>
                <w:sz w:val="1"/>
                <w:szCs w:val="1"/>
                <w:color w:val="auto"/>
              </w:rPr>
            </w:pPr>
          </w:p>
        </w:tc>
      </w:tr>
      <w:tr>
        <w:trPr>
          <w:trHeight w:val="88"/>
        </w:trPr>
        <w:tc>
          <w:tcPr>
            <w:tcW w:w="3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0" w:type="dxa"/>
            <w:vAlign w:val="bottom"/>
          </w:tcPr>
          <w:p>
            <w:pPr>
              <w:spacing w:after="0"/>
              <w:rPr>
                <w:sz w:val="1"/>
                <w:szCs w:val="1"/>
                <w:color w:val="auto"/>
              </w:rPr>
            </w:pPr>
          </w:p>
        </w:tc>
      </w:tr>
      <w:tr>
        <w:trPr>
          <w:trHeight w:val="362"/>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Nine Months Ended September 30, 2023</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8"/>
              <w:spacing w:after="0" w:line="129"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 Services</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1"/>
                <w:szCs w:val="11"/>
                <w:color w:val="auto"/>
              </w:rPr>
            </w:pPr>
          </w:p>
        </w:tc>
        <w:tc>
          <w:tcPr>
            <w:tcW w:w="108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1"/>
                <w:szCs w:val="11"/>
                <w:color w:val="auto"/>
              </w:rPr>
            </w:pPr>
          </w:p>
        </w:tc>
        <w:tc>
          <w:tcPr>
            <w:tcW w:w="9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Studios</w:t>
            </w:r>
          </w:p>
        </w:tc>
        <w:tc>
          <w:tcPr>
            <w:tcW w:w="200" w:type="dxa"/>
            <w:vAlign w:val="bottom"/>
          </w:tcPr>
          <w:p>
            <w:pPr>
              <w:spacing w:after="0"/>
              <w:rPr>
                <w:sz w:val="11"/>
                <w:szCs w:val="11"/>
                <w:color w:val="auto"/>
              </w:rPr>
            </w:pPr>
          </w:p>
        </w:tc>
        <w:tc>
          <w:tcPr>
            <w:tcW w:w="10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color w:val="auto"/>
              </w:rPr>
              <w:t>Theme Parks</w:t>
            </w:r>
          </w:p>
        </w:tc>
        <w:tc>
          <w:tcPr>
            <w:tcW w:w="280" w:type="dxa"/>
            <w:vAlign w:val="bottom"/>
          </w:tcPr>
          <w:p>
            <w:pPr>
              <w:spacing w:after="0"/>
              <w:rPr>
                <w:sz w:val="11"/>
                <w:szCs w:val="11"/>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Pr>
          <w:p>
            <w:pPr>
              <w:spacing w:after="0"/>
              <w:rPr>
                <w:sz w:val="16"/>
                <w:szCs w:val="16"/>
                <w:color w:val="auto"/>
              </w:rPr>
            </w:pPr>
          </w:p>
        </w:tc>
        <w:tc>
          <w:tcPr>
            <w:tcW w:w="1040" w:type="dxa"/>
            <w:vAlign w:val="bottom"/>
          </w:tcPr>
          <w:p>
            <w:pPr>
              <w:jc w:val="center"/>
              <w:ind w:right="54"/>
              <w:spacing w:after="0"/>
              <w:rPr>
                <w:sz w:val="20"/>
                <w:szCs w:val="20"/>
                <w:color w:val="auto"/>
              </w:rPr>
            </w:pPr>
            <w:r>
              <w:rPr>
                <w:rFonts w:ascii="Times New Roman" w:cs="Times New Roman" w:eastAsia="Times New Roman" w:hAnsi="Times New Roman"/>
                <w:sz w:val="14"/>
                <w:szCs w:val="14"/>
                <w:color w:val="auto"/>
              </w:rPr>
              <w:t>Connectivity</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3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88,409</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90,319</w:t>
            </w:r>
          </w:p>
        </w:tc>
        <w:tc>
          <w:tcPr>
            <w:tcW w:w="0" w:type="dxa"/>
            <w:vAlign w:val="bottom"/>
          </w:tcPr>
          <w:p>
            <w:pPr>
              <w:spacing w:after="0"/>
              <w:rPr>
                <w:sz w:val="1"/>
                <w:szCs w:val="1"/>
                <w:color w:val="auto"/>
              </w:rPr>
            </w:pPr>
          </w:p>
        </w:tc>
      </w:tr>
      <w:tr>
        <w:trPr>
          <w:trHeight w:val="108"/>
        </w:trPr>
        <w:tc>
          <w:tcPr>
            <w:tcW w:w="3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3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30,941</w:t>
            </w:r>
          </w:p>
        </w:tc>
        <w:tc>
          <w:tcPr>
            <w:tcW w:w="0" w:type="dxa"/>
            <w:vAlign w:val="bottom"/>
          </w:tcPr>
          <w:p>
            <w:pPr>
              <w:spacing w:after="0"/>
              <w:rPr>
                <w:sz w:val="1"/>
                <w:szCs w:val="1"/>
                <w:color w:val="auto"/>
              </w:rPr>
            </w:pPr>
          </w:p>
        </w:tc>
      </w:tr>
      <w:tr>
        <w:trPr>
          <w:trHeight w:val="88"/>
        </w:trPr>
        <w:tc>
          <w:tcPr>
            <w:tcW w:w="3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line="28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most significant intersegment revenue transactions include distribution revenue in Media related to fees from Residential Connectivity &amp; Platforms for the rights to distribute television programming, and content licensing revenue in Studios for licenses of owned content to Media.</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5"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operations of our Sky-branded video services and television networks in Germany; Comcast Spectacor, which owns the Philadelphia Flyers and the Wells Fargo Center arena in Philadelphia, Pennsylvania; and Xumo, our consolidated streaming platform joint venture with Charter Communications. Corporate and other also includes overhead and personnel costs for Corporate.</w:t>
      </w:r>
    </w:p>
    <w:p>
      <w:pPr>
        <w:ind w:left="340" w:right="20" w:hanging="332"/>
        <w:spacing w:after="0" w:line="29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segments. From time to time we may report the impact of certain events, gains, losses or other charges related to our segments within Corporate and other.</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overhead, personnel costs and costs associated with corporate initiatives for our Media, Studios and Theme Park segments.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60" w:type="dxa"/>
            <w:vAlign w:val="bottom"/>
            <w:gridSpan w:val="3"/>
          </w:tcPr>
          <w:p>
            <w:pPr>
              <w:jc w:val="right"/>
              <w:ind w:right="85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1012"/>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w w:val="99"/>
              </w:rPr>
              <w:t>2023</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broadband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6,539</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6,366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19,700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19,086</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wireless</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1,093</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917</w:t>
            </w:r>
          </w:p>
        </w:tc>
        <w:tc>
          <w:tcPr>
            <w:tcW w:w="300" w:type="dxa"/>
            <w:vAlign w:val="bottom"/>
          </w:tcPr>
          <w:p>
            <w:pPr>
              <w:spacing w:after="0"/>
              <w:rPr>
                <w:sz w:val="19"/>
                <w:szCs w:val="19"/>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3,084</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1,236</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1,109</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3,500</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8,869</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8,393</w:t>
            </w:r>
          </w:p>
        </w:tc>
        <w:tc>
          <w:tcPr>
            <w:tcW w:w="300" w:type="dxa"/>
            <w:vAlign w:val="bottom"/>
          </w:tcPr>
          <w:p>
            <w:pPr>
              <w:spacing w:after="0"/>
              <w:rPr>
                <w:sz w:val="19"/>
                <w:szCs w:val="19"/>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26,284</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24,739</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6,713</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7,154</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20,370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987</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960</w:t>
            </w:r>
          </w:p>
        </w:tc>
        <w:tc>
          <w:tcPr>
            <w:tcW w:w="300" w:type="dxa"/>
            <w:vAlign w:val="bottom"/>
          </w:tcPr>
          <w:p>
            <w:pPr>
              <w:spacing w:after="0"/>
              <w:rPr>
                <w:sz w:val="19"/>
                <w:szCs w:val="19"/>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2,931</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1,298</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1,444</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3,973</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 &amp; Platforms Segment</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17,866</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17,951</w:t>
            </w:r>
          </w:p>
        </w:tc>
        <w:tc>
          <w:tcPr>
            <w:tcW w:w="300" w:type="dxa"/>
            <w:vAlign w:val="bottom"/>
          </w:tcPr>
          <w:p>
            <w:pPr>
              <w:spacing w:after="0"/>
              <w:rPr>
                <w:sz w:val="19"/>
                <w:szCs w:val="19"/>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53,558</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53,888</w:t>
            </w:r>
          </w:p>
        </w:tc>
        <w:tc>
          <w:tcPr>
            <w:tcW w:w="0" w:type="dxa"/>
            <w:vAlign w:val="bottom"/>
          </w:tcPr>
          <w:p>
            <w:pPr>
              <w:spacing w:after="0"/>
              <w:rPr>
                <w:sz w:val="1"/>
                <w:szCs w:val="1"/>
                <w:color w:val="auto"/>
              </w:rPr>
            </w:pPr>
          </w:p>
        </w:tc>
      </w:tr>
      <w:tr>
        <w:trPr>
          <w:trHeight w:val="108"/>
        </w:trPr>
        <w:tc>
          <w:tcPr>
            <w:tcW w:w="5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Business Services Connectivity Segment</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2,425</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2,320</w:t>
            </w:r>
          </w:p>
        </w:tc>
        <w:tc>
          <w:tcPr>
            <w:tcW w:w="300" w:type="dxa"/>
            <w:vAlign w:val="bottom"/>
          </w:tcPr>
          <w:p>
            <w:pPr>
              <w:spacing w:after="0"/>
              <w:rPr>
                <w:sz w:val="19"/>
                <w:szCs w:val="19"/>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7,253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0" w:type="dxa"/>
            <w:vAlign w:val="bottom"/>
          </w:tcPr>
          <w:p>
            <w:pPr>
              <w:spacing w:after="0"/>
              <w:rPr>
                <w:sz w:val="1"/>
                <w:szCs w:val="1"/>
                <w:color w:val="auto"/>
              </w:rPr>
            </w:pPr>
          </w:p>
        </w:tc>
      </w:tr>
      <w:tr>
        <w:trPr>
          <w:trHeight w:val="108"/>
        </w:trPr>
        <w:tc>
          <w:tcPr>
            <w:tcW w:w="5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advertising</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3,347</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1,913</w:t>
            </w:r>
          </w:p>
        </w:tc>
        <w:tc>
          <w:tcPr>
            <w:tcW w:w="300" w:type="dxa"/>
            <w:vAlign w:val="bottom"/>
          </w:tcPr>
          <w:p>
            <w:pPr>
              <w:spacing w:after="0"/>
              <w:rPr>
                <w:sz w:val="19"/>
                <w:szCs w:val="19"/>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7,363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distribution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3,272</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2,591</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8,942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networks</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1,070</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1,019</w:t>
            </w:r>
          </w:p>
        </w:tc>
        <w:tc>
          <w:tcPr>
            <w:tcW w:w="300" w:type="dxa"/>
            <w:vAlign w:val="bottom"/>
          </w:tcPr>
          <w:p>
            <w:pPr>
              <w:spacing w:after="0"/>
              <w:rPr>
                <w:sz w:val="19"/>
                <w:szCs w:val="19"/>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3,193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542</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506</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1,429</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Media Segment</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8,231</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6,029</w:t>
            </w:r>
          </w:p>
        </w:tc>
        <w:tc>
          <w:tcPr>
            <w:tcW w:w="300" w:type="dxa"/>
            <w:vAlign w:val="bottom"/>
          </w:tcPr>
          <w:p>
            <w:pPr>
              <w:spacing w:after="0"/>
              <w:rPr>
                <w:sz w:val="19"/>
                <w:szCs w:val="19"/>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20,926</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0" w:type="dxa"/>
            <w:vAlign w:val="bottom"/>
          </w:tcPr>
          <w:p>
            <w:pPr>
              <w:spacing w:after="0"/>
              <w:rPr>
                <w:sz w:val="1"/>
                <w:szCs w:val="1"/>
                <w:color w:val="auto"/>
              </w:rPr>
            </w:pPr>
          </w:p>
        </w:tc>
      </w:tr>
      <w:tr>
        <w:trPr>
          <w:trHeight w:val="108"/>
        </w:trPr>
        <w:tc>
          <w:tcPr>
            <w:tcW w:w="5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licensing</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1,865</w:t>
            </w:r>
          </w:p>
        </w:tc>
        <w:tc>
          <w:tcPr>
            <w:tcW w:w="6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1,691</w:t>
            </w:r>
          </w:p>
        </w:tc>
        <w:tc>
          <w:tcPr>
            <w:tcW w:w="300" w:type="dxa"/>
            <w:vAlign w:val="bottom"/>
          </w:tcPr>
          <w:p>
            <w:pPr>
              <w:spacing w:after="0"/>
              <w:rPr>
                <w:sz w:val="19"/>
                <w:szCs w:val="19"/>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5,680</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611</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504</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1,178</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350</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324</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964</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Studios Segment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2,826</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2,518</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7,822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0" w:type="dxa"/>
            <w:vAlign w:val="bottom"/>
          </w:tcPr>
          <w:p>
            <w:pPr>
              <w:spacing w:after="0"/>
              <w:rPr>
                <w:sz w:val="1"/>
                <w:szCs w:val="1"/>
                <w:color w:val="auto"/>
              </w:rPr>
            </w:pPr>
          </w:p>
        </w:tc>
      </w:tr>
      <w:tr>
        <w:trPr>
          <w:trHeight w:val="108"/>
        </w:trPr>
        <w:tc>
          <w:tcPr>
            <w:tcW w:w="5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Theme Parks Segment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2,289</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2,418</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6,243</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0" w:type="dxa"/>
            <w:vAlign w:val="bottom"/>
          </w:tcPr>
          <w:p>
            <w:pPr>
              <w:spacing w:after="0"/>
              <w:rPr>
                <w:sz w:val="1"/>
                <w:szCs w:val="1"/>
                <w:color w:val="auto"/>
              </w:rPr>
            </w:pPr>
          </w:p>
        </w:tc>
      </w:tr>
      <w:tr>
        <w:trPr>
          <w:trHeight w:val="108"/>
        </w:trPr>
        <w:tc>
          <w:tcPr>
            <w:tcW w:w="5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686</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656</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2,181</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(2,253)</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(1,777)</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(6,167)</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32,070</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30,115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91,817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90,319</w:t>
            </w:r>
          </w:p>
        </w:tc>
        <w:tc>
          <w:tcPr>
            <w:tcW w:w="0" w:type="dxa"/>
            <w:vAlign w:val="bottom"/>
          </w:tcPr>
          <w:p>
            <w:pPr>
              <w:spacing w:after="0"/>
              <w:rPr>
                <w:sz w:val="1"/>
                <w:szCs w:val="1"/>
                <w:color w:val="auto"/>
              </w:rPr>
            </w:pPr>
          </w:p>
        </w:tc>
      </w:tr>
      <w:tr>
        <w:trPr>
          <w:trHeight w:val="328"/>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(a)  See Note 2 for additional information on intersegment revenue transactions.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06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September 30,</w:t>
            </w:r>
          </w:p>
        </w:tc>
        <w:tc>
          <w:tcPr>
            <w:tcW w:w="300" w:type="dxa"/>
            <w:vAlign w:val="bottom"/>
          </w:tcPr>
          <w:p>
            <w:pPr>
              <w:spacing w:after="0"/>
              <w:rPr>
                <w:sz w:val="22"/>
                <w:szCs w:val="22"/>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gross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14,798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763</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14,036</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other balances that are not separately presented in our condensed consolidated balance sheets that relate to the recognition of revenue and collection of the related cash.</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760" w:type="dxa"/>
            <w:vAlign w:val="bottom"/>
          </w:tcPr>
          <w:p>
            <w:pPr>
              <w:spacing w:after="0"/>
              <w:rPr>
                <w:sz w:val="13"/>
                <w:szCs w:val="13"/>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62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1,782</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deferred revenue (included in other noncurrent liabilities)</w:t>
            </w: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accounts receivables include amounts not yet billed related to equipment installment plans, as summarized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0" w:type="dxa"/>
            <w:vAlign w:val="bottom"/>
          </w:tcPr>
          <w:p>
            <w:pPr>
              <w:spacing w:after="0"/>
              <w:rPr>
                <w:sz w:val="13"/>
                <w:szCs w:val="13"/>
                <w:color w:val="auto"/>
              </w:rPr>
            </w:pPr>
          </w:p>
        </w:tc>
        <w:tc>
          <w:tcPr>
            <w:tcW w:w="1300" w:type="dxa"/>
            <w:vAlign w:val="bottom"/>
          </w:tcPr>
          <w:p>
            <w:pPr>
              <w:jc w:val="right"/>
              <w:ind w:right="297"/>
              <w:spacing w:after="0"/>
              <w:rPr>
                <w:sz w:val="20"/>
                <w:szCs w:val="20"/>
                <w:color w:val="auto"/>
              </w:rPr>
            </w:pPr>
            <w:r>
              <w:rPr>
                <w:rFonts w:ascii="Times New Roman" w:cs="Times New Roman" w:eastAsia="Times New Roman" w:hAnsi="Times New Roman"/>
                <w:sz w:val="14"/>
                <w:szCs w:val="14"/>
                <w:color w:val="auto"/>
              </w:rPr>
              <w:t>September 30,</w:t>
            </w:r>
          </w:p>
        </w:tc>
        <w:tc>
          <w:tcPr>
            <w:tcW w:w="3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1,808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8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1,199</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3,008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Programming and Production Costs</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820" w:type="dxa"/>
            <w:vAlign w:val="bottom"/>
          </w:tcPr>
          <w:p>
            <w:pPr>
              <w:spacing w:after="0"/>
              <w:rPr>
                <w:sz w:val="13"/>
                <w:szCs w:val="13"/>
                <w:color w:val="auto"/>
              </w:rPr>
            </w:pPr>
          </w:p>
        </w:tc>
      </w:tr>
      <w:tr>
        <w:trPr>
          <w:trHeight w:val="192"/>
        </w:trPr>
        <w:tc>
          <w:tcPr>
            <w:tcW w:w="5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September 30,</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r>
      <w:tr>
        <w:trPr>
          <w:trHeight w:val="196"/>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w w:val="99"/>
              </w:rPr>
              <w:t>2023</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w w:val="99"/>
              </w:rPr>
              <w:t>2023</w:t>
            </w:r>
          </w:p>
        </w:tc>
      </w:tr>
      <w:tr>
        <w:trPr>
          <w:trHeight w:val="23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distribution programming</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2,783</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3,084</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8,682</w:t>
            </w:r>
          </w:p>
        </w:tc>
        <w:tc>
          <w:tcPr>
            <w:tcW w:w="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content: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30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Owned</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2,111</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2,083</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6,888</w:t>
            </w:r>
          </w:p>
        </w:tc>
        <w:tc>
          <w:tcPr>
            <w:tcW w:w="6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w:t>
            </w:r>
          </w:p>
        </w:tc>
      </w:tr>
      <w:tr>
        <w:trPr>
          <w:trHeight w:val="23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300" w:type="dxa"/>
            <w:vAlign w:val="bottom"/>
          </w:tcPr>
          <w:p>
            <w:pPr>
              <w:spacing w:after="0"/>
              <w:rPr>
                <w:sz w:val="19"/>
                <w:szCs w:val="19"/>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4,991</w:t>
            </w:r>
          </w:p>
        </w:tc>
        <w:tc>
          <w:tcPr>
            <w:tcW w:w="620" w:type="dxa"/>
            <w:vAlign w:val="bottom"/>
          </w:tcPr>
          <w:p>
            <w:pPr>
              <w:spacing w:after="0"/>
              <w:rPr>
                <w:sz w:val="19"/>
                <w:szCs w:val="19"/>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3,048</w:t>
            </w:r>
          </w:p>
        </w:tc>
        <w:tc>
          <w:tcPr>
            <w:tcW w:w="440" w:type="dxa"/>
            <w:vAlign w:val="bottom"/>
          </w:tcPr>
          <w:p>
            <w:pPr>
              <w:spacing w:after="0"/>
              <w:rPr>
                <w:sz w:val="19"/>
                <w:szCs w:val="19"/>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10,484</w:t>
            </w:r>
          </w:p>
        </w:tc>
        <w:tc>
          <w:tcPr>
            <w:tcW w:w="6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w:t>
            </w:r>
          </w:p>
        </w:tc>
      </w:tr>
      <w:tr>
        <w:trPr>
          <w:trHeight w:val="229"/>
        </w:trPr>
        <w:tc>
          <w:tcPr>
            <w:tcW w:w="5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330</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438</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946</w:t>
            </w:r>
          </w:p>
        </w:tc>
        <w:tc>
          <w:tcPr>
            <w:tcW w:w="6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30"/>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10,216</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8,652</w:t>
            </w: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27,000</w:t>
            </w: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26,506</w:t>
            </w:r>
          </w:p>
        </w:tc>
      </w:tr>
    </w:tbl>
    <w:p>
      <w:pPr>
        <w:spacing w:after="0" w:line="180" w:lineRule="exact"/>
        <w:rPr>
          <w:sz w:val="20"/>
          <w:szCs w:val="20"/>
          <w:color w:val="auto"/>
        </w:rPr>
      </w:pPr>
    </w:p>
    <w:p>
      <w:pPr>
        <w:ind w:right="60" w:firstLine="8"/>
        <w:spacing w:after="0" w:line="302" w:lineRule="auto"/>
        <w:tabs>
          <w:tab w:leader="none" w:pos="1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amortization of owned content of $1.6 billion and $5.6 billion for the three and nine months ended September 30, 2024, respectively, and $1.6 billion and $5.9 billion for the three and nine months ended September 30, 2023, respectively, as well as participations and residuals expenses.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940" w:type="dxa"/>
            <w:vAlign w:val="bottom"/>
          </w:tcPr>
          <w:p>
            <w:pPr>
              <w:spacing w:after="0"/>
              <w:rPr>
                <w:sz w:val="13"/>
                <w:szCs w:val="13"/>
                <w:color w:val="auto"/>
              </w:rPr>
            </w:pPr>
          </w:p>
        </w:tc>
        <w:tc>
          <w:tcPr>
            <w:tcW w:w="1300" w:type="dxa"/>
            <w:vAlign w:val="bottom"/>
          </w:tcPr>
          <w:p>
            <w:pPr>
              <w:jc w:val="right"/>
              <w:ind w:right="295"/>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440" w:type="dxa"/>
            <w:vAlign w:val="bottom"/>
            <w:tcBorders>
              <w:bottom w:val="single" w:sz="8" w:color="auto"/>
            </w:tcBorders>
            <w:vMerge w:val="continue"/>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29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2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3,566</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2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428</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2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4,266</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8,261</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2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5,080</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2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13,340</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12,920</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Debt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our debt had a carrying value of $101.4 billion and an estimated fair value of $96.8 billion. As of December 31, 2023, our debt had a carrying value of $97.1 billion and an estimated fair value of $92.2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2024, we entered into a new $11.8 billion revolving credit facility with a syndicate of banks, due May 17, 2029, that may be used for general corporate purposes. We may increase the commitments under the facility up to a total of $14.8 billion, as well as extend the expiration date to no later than May 17, 2031, subject to the approval of the lenders. The interest rate consists of a benchmark rate plus a borrowing margin that is determined based on Comcast’s credit rating. As of September 30, 2024, the borrowing margin for borrowings based on the Adjusted Term SOFR Rate, as defined in the agreement, was 0.875%. The facility requires that we maintain a certain financial ratio based on debt and EBITDA, as defined in the agreement. In connection with our entry into the new credit facility, we terminated our prior credit facility dated as of March 30, 2021, and as of September 30, 2024 and December 31, 2023, we had no borrowings outstanding under the new and prior credit facility, respectively. As of September 30, 2024, amounts available under our new credit facility, net of amounts outstanding under our commercial paper program and outstanding letters of credit and bank guarantees, totaled $11.8 billion.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 and Variable Interest Entities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0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color w:val="auto"/>
              </w:rPr>
              <w:t>Three Months Ended</w:t>
            </w: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2"/>
        </w:trPr>
        <w:tc>
          <w:tcPr>
            <w:tcW w:w="4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576"/>
              <w:spacing w:after="0"/>
              <w:rPr>
                <w:sz w:val="20"/>
                <w:szCs w:val="20"/>
                <w:color w:val="auto"/>
              </w:rPr>
            </w:pPr>
            <w:r>
              <w:rPr>
                <w:rFonts w:ascii="Times New Roman" w:cs="Times New Roman" w:eastAsia="Times New Roman" w:hAnsi="Times New Roman"/>
                <w:sz w:val="14"/>
                <w:szCs w:val="14"/>
                <w:color w:val="auto"/>
              </w:rPr>
              <w:t>September 30,</w:t>
            </w:r>
          </w:p>
        </w:tc>
        <w:tc>
          <w:tcPr>
            <w:tcW w:w="5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(152)</w:t>
            </w:r>
          </w:p>
        </w:tc>
        <w:tc>
          <w:tcPr>
            <w:tcW w:w="10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58"/>
              <w:spacing w:after="0"/>
              <w:rPr>
                <w:sz w:val="20"/>
                <w:szCs w:val="20"/>
                <w:color w:val="auto"/>
              </w:rPr>
            </w:pPr>
            <w:r>
              <w:rPr>
                <w:rFonts w:ascii="Times New Roman" w:cs="Times New Roman" w:eastAsia="Times New Roman" w:hAnsi="Times New Roman"/>
                <w:sz w:val="18"/>
                <w:szCs w:val="18"/>
                <w:color w:val="auto"/>
              </w:rPr>
              <w:t>(438)</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88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440" w:type="dxa"/>
            <w:vAlign w:val="bottom"/>
          </w:tcPr>
          <w:p>
            <w:pPr>
              <w:spacing w:after="0"/>
              <w:rPr>
                <w:sz w:val="19"/>
                <w:szCs w:val="19"/>
                <w:color w:val="auto"/>
              </w:rPr>
            </w:pPr>
          </w:p>
        </w:tc>
        <w:tc>
          <w:tcPr>
            <w:tcW w:w="1180" w:type="dxa"/>
            <w:vAlign w:val="bottom"/>
          </w:tcPr>
          <w:p>
            <w:pPr>
              <w:jc w:val="center"/>
              <w:ind w:left="458"/>
              <w:spacing w:after="0"/>
              <w:rPr>
                <w:sz w:val="20"/>
                <w:szCs w:val="20"/>
                <w:color w:val="auto"/>
              </w:rPr>
            </w:pPr>
            <w:r>
              <w:rPr>
                <w:rFonts w:ascii="Times New Roman" w:cs="Times New Roman" w:eastAsia="Times New Roman" w:hAnsi="Times New Roman"/>
                <w:sz w:val="18"/>
                <w:szCs w:val="18"/>
                <w:color w:val="auto"/>
              </w:rPr>
              <w:t>(163)</w:t>
            </w:r>
          </w:p>
        </w:tc>
        <w:tc>
          <w:tcPr>
            <w:tcW w:w="620" w:type="dxa"/>
            <w:vAlign w:val="bottom"/>
          </w:tcPr>
          <w:p>
            <w:pPr>
              <w:spacing w:after="0"/>
              <w:rPr>
                <w:sz w:val="19"/>
                <w:szCs w:val="19"/>
                <w:color w:val="auto"/>
              </w:rPr>
            </w:pPr>
          </w:p>
        </w:tc>
        <w:tc>
          <w:tcPr>
            <w:tcW w:w="9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171</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rPr>
              <w:t>461</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and other income (loss), net</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(3)</w:t>
            </w:r>
          </w:p>
        </w:tc>
        <w:tc>
          <w:tcPr>
            <w:tcW w:w="10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center"/>
              <w:ind w:left="458"/>
              <w:spacing w:after="0"/>
              <w:rPr>
                <w:sz w:val="20"/>
                <w:szCs w:val="20"/>
                <w:color w:val="auto"/>
              </w:rPr>
            </w:pPr>
            <w:r>
              <w:rPr>
                <w:rFonts w:ascii="Times New Roman" w:cs="Times New Roman" w:eastAsia="Times New Roman" w:hAnsi="Times New Roman"/>
                <w:sz w:val="18"/>
                <w:szCs w:val="18"/>
                <w:b w:val="1"/>
                <w:bCs w:val="1"/>
                <w:color w:val="auto"/>
              </w:rPr>
              <w:t>(140)</w:t>
            </w:r>
          </w:p>
        </w:tc>
        <w:tc>
          <w:tcPr>
            <w:tcW w:w="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center"/>
              <w:ind w:left="414"/>
              <w:spacing w:after="0"/>
              <w:rPr>
                <w:sz w:val="20"/>
                <w:szCs w:val="20"/>
                <w:color w:val="auto"/>
              </w:rPr>
            </w:pPr>
            <w:r>
              <w:rPr>
                <w:rFonts w:ascii="Times New Roman" w:cs="Times New Roman" w:eastAsia="Times New Roman" w:hAnsi="Times New Roman"/>
                <w:sz w:val="18"/>
                <w:szCs w:val="18"/>
                <w:b w:val="1"/>
                <w:bCs w:val="1"/>
                <w:color w:val="auto"/>
              </w:rPr>
              <w:t>672</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unrealized gains (losses), net recognized in the three months ended September 30, 2024 and 2023 that related to marketable and nonmarketable equity securities still held as of the end of each reporting period was $(15) million and $(82) million, respectively. The amount of unrealized gains (losses), net recognized in the nine months ended September 30, 2024 and 2023 that related to marketable and nonmarketable equity securities still held as of the end of each reporting period was $(117) million and $(145)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100" w:type="dxa"/>
            <w:vAlign w:val="bottom"/>
          </w:tcPr>
          <w:p>
            <w:pPr>
              <w:spacing w:after="0"/>
              <w:rPr>
                <w:sz w:val="13"/>
                <w:szCs w:val="13"/>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280" w:type="dxa"/>
            <w:vAlign w:val="bottom"/>
            <w:tcBorders>
              <w:bottom w:val="single" w:sz="8" w:color="auto"/>
            </w:tcBorders>
            <w:vMerge w:val="continue"/>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w:t>
            </w:r>
          </w:p>
        </w:tc>
        <w:tc>
          <w:tcPr>
            <w:tcW w:w="3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7,516</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10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3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1,380</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206</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9,122</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investments</w:t>
            </w:r>
          </w:p>
        </w:tc>
        <w:tc>
          <w:tcPr>
            <w:tcW w:w="3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investments</w:t>
            </w:r>
          </w:p>
        </w:tc>
        <w:tc>
          <w:tcPr>
            <w:tcW w:w="3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9,021</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cash distributions received from equity method investments presented within operating activities in the condensed consolidated statements of cash flows in the nine months ended September 30, 2024 and 2023 was $244 million and $185 million,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nine months ended September 30, 2024 and 2023, we made cash capital contributions to Atairos totaling $60 million and $132 million, respectively. As of September 30, 2024 and December 31, 2023, our investment in Atairos, inclusive of certain distributions retained by Atairos on our behalf and classified as advances within other investments, was $5.3 billion and $5.5 billion, respectively. As of September 30, 2024, our remaining unfunded capital commitment was $1.4 billion.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investments also includes certain short-term instruments, which totaled $70 million and $254 million as of September 30, 2024 and December 31, 2023, respectively. The carrying amounts of these investments approximate their fair values, which are primarily based on Level 2 inputs that use interest rates for instruments with similar terms and remaining maturities. Proceeds from short-term instruments for the nine months ended September 30, 2024 and 2023 were $632 million and $339 million, respectively. Purchases of short-term instruments for the nine months ended September 30, 2024 and 2023 were $443 million and $286 million,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Variable Interest Entity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Universal Beijing Resort</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a 30% interest in a Universal theme park and resort in Beijing, China (“Universal Beijing Resort”).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September 30, 2024, Universal Beijing Resort had $3.6 billion of debt outstanding, including $3.2 billion principal amount of a term loan outstanding under the debt financing agreement. As of December 31, 2023, Universal Beijing Resort had $3.5 billion of debt outstanding, including $3.1 billion principal amount of a term loan outstanding under the debt financing agreement.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our condensed consolidated balance sheets included assets and liabilities of Universal Beijing Resort totaling $7.7 billion and $7.3 billion, respectively. As of December 31, 2023, our condensed consolidated balance sheets included assets and liabilities of Universal Beijing Resort totaling $7.8 billion and $7.2 billion, respectively. The assets and liabilities of Universal Beijing Resort primarily consist of property and equipment, operating lease assets and liabilities, and debt.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Equity and Share-Based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Weighted-Average Common Shares Outstanding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780" w:type="dxa"/>
            <w:vAlign w:val="bottom"/>
            <w:gridSpan w:val="2"/>
          </w:tcPr>
          <w:p>
            <w:pPr>
              <w:jc w:val="right"/>
              <w:ind w:right="794"/>
              <w:spacing w:after="0"/>
              <w:rPr>
                <w:sz w:val="20"/>
                <w:szCs w:val="20"/>
                <w:color w:val="auto"/>
              </w:rPr>
            </w:pPr>
            <w:r>
              <w:rPr>
                <w:rFonts w:ascii="Times New Roman" w:cs="Times New Roman" w:eastAsia="Times New Roman" w:hAnsi="Times New Roman"/>
                <w:sz w:val="14"/>
                <w:szCs w:val="14"/>
                <w:color w:val="auto"/>
              </w:rPr>
              <w:t>Three Months Ended</w:t>
            </w:r>
          </w:p>
        </w:tc>
        <w:tc>
          <w:tcPr>
            <w:tcW w:w="2380" w:type="dxa"/>
            <w:vAlign w:val="bottom"/>
            <w:gridSpan w:val="2"/>
          </w:tcPr>
          <w:p>
            <w:pPr>
              <w:jc w:val="right"/>
              <w:ind w:right="614"/>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2"/>
        </w:trPr>
        <w:tc>
          <w:tcPr>
            <w:tcW w:w="6080" w:type="dxa"/>
            <w:vAlign w:val="bottom"/>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00" w:type="dxa"/>
            <w:vAlign w:val="bottom"/>
            <w:tcBorders>
              <w:bottom w:val="single" w:sz="8" w:color="auto"/>
            </w:tcBorders>
          </w:tcPr>
          <w:p>
            <w:pPr>
              <w:spacing w:after="0"/>
              <w:rPr>
                <w:sz w:val="16"/>
                <w:szCs w:val="16"/>
                <w:color w:val="auto"/>
              </w:rPr>
            </w:pPr>
          </w:p>
        </w:tc>
      </w:tr>
      <w:tr>
        <w:trPr>
          <w:trHeight w:val="196"/>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78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4"/>
                <w:szCs w:val="14"/>
                <w:color w:val="auto"/>
              </w:rPr>
              <w:t>2024</w:t>
            </w:r>
          </w:p>
        </w:tc>
        <w:tc>
          <w:tcPr>
            <w:tcW w:w="10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2023</w:t>
            </w:r>
          </w:p>
        </w:tc>
        <w:tc>
          <w:tcPr>
            <w:tcW w:w="158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178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3,861</w:t>
            </w:r>
          </w:p>
        </w:tc>
        <w:tc>
          <w:tcPr>
            <w:tcW w:w="10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4,109</w:t>
            </w:r>
          </w:p>
        </w:tc>
        <w:tc>
          <w:tcPr>
            <w:tcW w:w="158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3,908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780" w:type="dxa"/>
            <w:vAlign w:val="bottom"/>
          </w:tcPr>
          <w:p>
            <w:pPr>
              <w:jc w:val="right"/>
              <w:ind w:right="578"/>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33</w:t>
            </w:r>
          </w:p>
        </w:tc>
        <w:tc>
          <w:tcPr>
            <w:tcW w:w="1580" w:type="dxa"/>
            <w:vAlign w:val="bottom"/>
          </w:tcPr>
          <w:p>
            <w:pPr>
              <w:jc w:val="right"/>
              <w:ind w:right="578"/>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17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3,880</w:t>
            </w:r>
          </w:p>
        </w:tc>
        <w:tc>
          <w:tcPr>
            <w:tcW w:w="10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4,141</w:t>
            </w:r>
          </w:p>
        </w:tc>
        <w:tc>
          <w:tcPr>
            <w:tcW w:w="15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3,930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r>
      <w:tr>
        <w:trPr>
          <w:trHeight w:val="223"/>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Antidilutive securities</w:t>
            </w:r>
          </w:p>
        </w:tc>
        <w:tc>
          <w:tcPr>
            <w:tcW w:w="17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color w:val="auto"/>
              </w:rPr>
              <w:t>188</w:t>
            </w: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86</w:t>
            </w:r>
          </w:p>
        </w:tc>
        <w:tc>
          <w:tcPr>
            <w:tcW w:w="15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color w:val="auto"/>
              </w:rPr>
              <w:t>193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Weighted-average common shares outstanding used in calculating diluted earnings per common share attributable to Comcast Corporation shareholders (“diluted EPS”) considers the impact of potentially dilutive securities using the treasury stock method. Antidilutive securities represent the number of potential common shares related to share-based compensation awards that were excluded from diluted EPS because their effect would have been antidilutive.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580" w:type="dxa"/>
            <w:vAlign w:val="bottom"/>
          </w:tcPr>
          <w:p>
            <w:pPr>
              <w:spacing w:after="0"/>
              <w:rPr>
                <w:sz w:val="13"/>
                <w:szCs w:val="13"/>
                <w:color w:val="auto"/>
              </w:rPr>
            </w:pPr>
          </w:p>
        </w:tc>
        <w:tc>
          <w:tcPr>
            <w:tcW w:w="132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September 30,</w:t>
            </w:r>
          </w:p>
        </w:tc>
        <w:tc>
          <w:tcPr>
            <w:tcW w:w="32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gains (losses) on cash flow hedges</w:t>
            </w:r>
          </w:p>
        </w:tc>
        <w:tc>
          <w:tcPr>
            <w:tcW w:w="1580" w:type="dxa"/>
            <w:vAlign w:val="bottom"/>
          </w:tcPr>
          <w:p>
            <w:pPr>
              <w:spacing w:after="0"/>
              <w:rPr>
                <w:sz w:val="19"/>
                <w:szCs w:val="19"/>
                <w:color w:val="auto"/>
              </w:rPr>
            </w:pPr>
          </w:p>
        </w:tc>
        <w:tc>
          <w:tcPr>
            <w:tcW w:w="13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gains (losses) on employee benefit obligations and other</w:t>
            </w:r>
          </w:p>
        </w:tc>
        <w:tc>
          <w:tcPr>
            <w:tcW w:w="1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251</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net of deferred taxes</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restricted share units (“RSUs”) and stock options to certain employees and directors as part of our long-term incentive compensation structure. Additionally, through our employee stock purchase plans, employees are able to purchase shares of our common stock at a discount through payroll deductions.</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2024, we granted 31 million RSUs and 3 million stock options under our annual management awards program. The weighted-average fair values associated with these grants were $42.62 per RSU and $9.49 per stock option. During the three months ended September 30, 2024 and 2023, share-based compensation expense recognized in our condensed consolidated statements of income was $247 million and $238 million, respectively. During the nine months ended September 30, 2024 and 2023, share-based compensation expense recognized in our condensed consolidated statements of income was $811 million and $786 million, respectively. As of September 30, 2024, we had unrecognized pretax compensation expense of $2.3 billion related to unvested RSUs and unvested stock options.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Supplemental 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2,503</w:t>
            </w: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r>
      <w:tr>
        <w:trPr>
          <w:trHeight w:val="230"/>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(a)</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5,988</w:t>
            </w: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Cash payments for income taxes in the nine months ended September 30, 2024 include $1.2 billion related to the purchase of transferable tax credits.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w:t>
      </w:r>
    </w:p>
    <w:p>
      <w:pPr>
        <w:spacing w:after="0" w:line="7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$2.4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right="2200" w:firstLine="332"/>
        <w:spacing w:after="0" w:line="328" w:lineRule="auto"/>
        <w:tabs>
          <w:tab w:leader="none" w:pos="6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$0.31 per common share paid in October 2024 During the nine months ended September 30, 2023:</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$2.2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$0.29 per common share paid in October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condensed consolidated balance sheets to the total of the amounts reported in our condensed 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20" w:type="dxa"/>
            <w:vAlign w:val="bottom"/>
          </w:tcPr>
          <w:p>
            <w:pPr>
              <w:spacing w:after="0"/>
              <w:rPr>
                <w:sz w:val="13"/>
                <w:szCs w:val="13"/>
                <w:color w:val="auto"/>
              </w:rPr>
            </w:pPr>
          </w:p>
        </w:tc>
        <w:tc>
          <w:tcPr>
            <w:tcW w:w="1300" w:type="dxa"/>
            <w:vAlign w:val="bottom"/>
          </w:tcPr>
          <w:p>
            <w:pPr>
              <w:jc w:val="right"/>
              <w:ind w:right="297"/>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9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8,814</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 net</w:t>
            </w:r>
          </w:p>
        </w:tc>
        <w:tc>
          <w:tcPr>
            <w:tcW w:w="1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8,878</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6,282</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760"/>
        <w:spacing w:after="0" w:line="267"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condensed consolidated financial statements and related notes (“Notes”) included in this Quarterly Report on Form 10-Q and our 2023 Annual Report on Form 10-K.</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media and technology company with two primary businesses: Connectivity &amp; Platforms and Content &amp; Experiences. We present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(1) our Connectivity &amp; Platforms business in two segments: Residential Connectivity &amp; Platforms and Business Services Connectivity;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our Content &amp; Experiences business in three segments: Media, Studios and Theme Parks.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jc w:val="right"/>
              <w:ind w:right="731"/>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80" w:type="dxa"/>
            <w:vAlign w:val="bottom"/>
            <w:gridSpan w:val="3"/>
          </w:tcPr>
          <w:p>
            <w:pPr>
              <w:jc w:val="right"/>
              <w:ind w:right="771"/>
              <w:spacing w:after="0"/>
              <w:rPr>
                <w:sz w:val="20"/>
                <w:szCs w:val="20"/>
                <w:color w:val="auto"/>
              </w:rPr>
            </w:pPr>
            <w:r>
              <w:rPr>
                <w:rFonts w:ascii="Times New Roman" w:cs="Times New Roman" w:eastAsia="Times New Roman" w:hAnsi="Times New Roman"/>
                <w:sz w:val="14"/>
                <w:szCs w:val="14"/>
                <w:color w:val="auto"/>
              </w:rPr>
              <w:t>Nine Months Ended</w:t>
            </w:r>
          </w:p>
        </w:tc>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2023</w:t>
            </w:r>
          </w:p>
        </w:tc>
        <w:tc>
          <w:tcPr>
            <w:tcW w:w="12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w w:val="99"/>
              </w:rPr>
              <w:t>2023</w:t>
            </w: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30,115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91,817</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90,319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8,652</w:t>
            </w:r>
          </w:p>
        </w:tc>
        <w:tc>
          <w:tcPr>
            <w:tcW w:w="12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26,506</w:t>
            </w: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Marketing and promotion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44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1,866</w:t>
            </w: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44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5,929</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9,629</w:t>
            </w:r>
          </w:p>
        </w:tc>
        <w:tc>
          <w:tcPr>
            <w:tcW w:w="12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29,615</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28,247</w:t>
            </w: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44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2,203</w:t>
            </w: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44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6,662</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1,290</w:t>
            </w:r>
          </w:p>
        </w:tc>
        <w:tc>
          <w:tcPr>
            <w:tcW w:w="12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28.6</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4,146</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26,211</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23,640</w:t>
            </w:r>
          </w:p>
        </w:tc>
        <w:tc>
          <w:tcPr>
            <w:tcW w:w="12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73,512</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71,489</w:t>
            </w: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6,475</w:t>
            </w:r>
          </w:p>
        </w:tc>
        <w:tc>
          <w:tcPr>
            <w:tcW w:w="12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18,304</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18,830</w:t>
            </w: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44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(1,060)</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440" w:type="dxa"/>
            <w:vAlign w:val="bottom"/>
          </w:tcPr>
          <w:p>
            <w:pPr>
              <w:spacing w:after="0"/>
              <w:rPr>
                <w:sz w:val="19"/>
                <w:szCs w:val="19"/>
                <w:color w:val="auto"/>
              </w:rPr>
            </w:pPr>
          </w:p>
        </w:tc>
        <w:tc>
          <w:tcPr>
            <w:tcW w:w="10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(3,068)</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672</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44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5,465</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44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16,434</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(1,468)</w:t>
            </w:r>
          </w:p>
        </w:tc>
        <w:tc>
          <w:tcPr>
            <w:tcW w:w="12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(4,481)</w:t>
            </w: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44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3,997</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44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11,954</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(175)</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69"/>
        </w:trPr>
        <w:tc>
          <w:tcPr>
            <w:tcW w:w="35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Net income attributable to Comcast</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3,629</w:t>
            </w: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4,046</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11,415</w:t>
            </w: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12,128</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Corporation</w:t>
            </w:r>
          </w:p>
        </w:tc>
        <w:tc>
          <w:tcPr>
            <w:tcW w:w="28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attributable to Comcast Corporation</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4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0.98</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3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2.92</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0.2 %</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8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attributable to Comcast Corporation</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0.98</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2.90</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0.2 %</w:t>
            </w:r>
          </w:p>
        </w:tc>
        <w:tc>
          <w:tcPr>
            <w:tcW w:w="0" w:type="dxa"/>
            <w:vAlign w:val="bottom"/>
          </w:tcPr>
          <w:p>
            <w:pPr>
              <w:spacing w:after="0"/>
              <w:rPr>
                <w:sz w:val="1"/>
                <w:szCs w:val="1"/>
                <w:color w:val="auto"/>
              </w:rPr>
            </w:pPr>
          </w:p>
        </w:tc>
      </w:tr>
      <w:tr>
        <w:trPr>
          <w:trHeight w:val="238"/>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basic</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4,109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4,160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outstanding – diluted</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4,141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4,184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75"/>
        </w:trPr>
        <w:tc>
          <w:tcPr>
            <w:tcW w:w="350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color w:val="auto"/>
                <w:vertAlign w:val="superscript"/>
              </w:rPr>
              <w:t>(a)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9,735</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9,962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29,261</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29,621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55" w:lineRule="exact"/>
        <w:rPr>
          <w:sz w:val="20"/>
          <w:szCs w:val="20"/>
          <w:color w:val="auto"/>
        </w:rPr>
      </w:pPr>
    </w:p>
    <w:p>
      <w:pPr>
        <w:ind w:left="260" w:hanging="252"/>
        <w:spacing w:after="0" w:line="294" w:lineRule="auto"/>
        <w:tabs>
          <w:tab w:leader="none" w:pos="25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the “Non-GAAP Financial Measures” section on page 24 for additional information, including our definition and our use of Adjusted EBITDA, and for a reconciliation from net income attributable to Comcast Corporation to Adjusted EBITDA.</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revenue </w:t>
      </w:r>
      <w:r>
        <w:rPr>
          <w:rFonts w:ascii="Times New Roman" w:cs="Times New Roman" w:eastAsia="Times New Roman" w:hAnsi="Times New Roman"/>
          <w:sz w:val="18"/>
          <w:szCs w:val="18"/>
          <w:color w:val="auto"/>
        </w:rPr>
        <w:t>increased for the three and nine months ended September 30, 2024 compared to the same periods in 2023 primarily driven by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increases in the Content &amp; Experiences business and Corporate and Other. Revenue for our segments and other businesses is discussed separately below under the heading “Segment Operating Results.”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Consolidated costs and expenses</w:t>
      </w:r>
      <w:r>
        <w:rPr>
          <w:rFonts w:ascii="Times New Roman" w:cs="Times New Roman" w:eastAsia="Times New Roman" w:hAnsi="Times New Roman"/>
          <w:sz w:val="18"/>
          <w:szCs w:val="18"/>
          <w:color w:val="auto"/>
        </w:rPr>
        <w:t>, excluding depreciation and amortization expense, increased for the three and nine months ended September 30,</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2024 compared to the same periods in 2023 primarily driven by increases in the Content &amp; Experiences business and Corporate and Other. Costs and expenses for our segments and our corporate operations and other businesses are discussed separately below under the heading “Segment Operating Results.”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Consolidated depreciation and amortization expense </w:t>
      </w:r>
      <w:r>
        <w:rPr>
          <w:rFonts w:ascii="Times New Roman" w:cs="Times New Roman" w:eastAsia="Times New Roman" w:hAnsi="Times New Roman"/>
          <w:sz w:val="18"/>
          <w:szCs w:val="18"/>
          <w:color w:val="auto"/>
        </w:rPr>
        <w:t>increased for the three and nine months ended September 30, 2024 compared to the same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periods in 2023 primarily due to increased amortization of certain acquisition-related intangible assets related to the linear media business. Consolidated depreciation and amortization expense for the nine months ended September 30, 2024 was partially offset by decreased depreciation of international property and equipment and decreased amortization of software.</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from acquisition-related intangible assets totaled $817 million and $1.9 billion for the three and nine months ended September 30, 2024, respectively, and $571 million and $1.7 billion for the three and nine months ended September 30, 2023, respectively. Amounts primarily relate to customer relationship intangible assets recorded in connection with the Sky transaction in 2018 and the NBCUniversal transaction in 2011.</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Consolidated interest expense </w:t>
      </w:r>
      <w:r>
        <w:rPr>
          <w:rFonts w:ascii="Times New Roman" w:cs="Times New Roman" w:eastAsia="Times New Roman" w:hAnsi="Times New Roman"/>
          <w:sz w:val="18"/>
          <w:szCs w:val="18"/>
          <w:color w:val="auto"/>
        </w:rPr>
        <w:t>decreased for the three months ended September 30, 2024 and was consistent for the nine months ended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September 30, 2024 primarily due to interest expense in the prior year periods associated with a collateralized obligation that was repaid in the fourth quarter of 2023, offset by increases in average debt outstanding and higher weighted-average interest rates in the current year periods.</w:t>
      </w:r>
    </w:p>
    <w:p>
      <w:pPr>
        <w:spacing w:after="0" w:line="6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Consolidated investment and other income (loss), net </w:t>
      </w:r>
      <w:r>
        <w:rPr>
          <w:rFonts w:ascii="Times New Roman" w:cs="Times New Roman" w:eastAsia="Times New Roman" w:hAnsi="Times New Roman"/>
          <w:sz w:val="18"/>
          <w:szCs w:val="18"/>
          <w:color w:val="auto"/>
        </w:rPr>
        <w:t>decreased for the three and nine months ended September 30, 2024 compared to the same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periods in 2023.</w:t>
      </w:r>
    </w:p>
    <w:p>
      <w:pPr>
        <w:spacing w:after="0" w:line="7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20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color w:val="auto"/>
              </w:rPr>
              <w:t>Three Months Ended</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40" w:type="dxa"/>
            <w:vAlign w:val="bottom"/>
            <w:gridSpan w:val="3"/>
          </w:tcPr>
          <w:p>
            <w:pPr>
              <w:jc w:val="right"/>
              <w:ind w:right="654"/>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2"/>
        </w:trPr>
        <w:tc>
          <w:tcPr>
            <w:tcW w:w="5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96"/>
              <w:spacing w:after="0"/>
              <w:rPr>
                <w:sz w:val="20"/>
                <w:szCs w:val="20"/>
                <w:color w:val="auto"/>
              </w:rPr>
            </w:pPr>
            <w:r>
              <w:rPr>
                <w:rFonts w:ascii="Times New Roman" w:cs="Times New Roman" w:eastAsia="Times New Roman" w:hAnsi="Times New Roman"/>
                <w:sz w:val="14"/>
                <w:szCs w:val="14"/>
                <w:color w:val="auto"/>
              </w:rPr>
              <w:t>September 30,</w:t>
            </w:r>
          </w:p>
        </w:tc>
        <w:tc>
          <w:tcPr>
            <w:tcW w:w="4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r>
      <w:tr>
        <w:trPr>
          <w:trHeight w:val="196"/>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9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398"/>
              <w:spacing w:after="0"/>
              <w:rPr>
                <w:sz w:val="20"/>
                <w:szCs w:val="20"/>
                <w:color w:val="auto"/>
              </w:rPr>
            </w:pPr>
            <w:r>
              <w:rPr>
                <w:rFonts w:ascii="Times New Roman" w:cs="Times New Roman" w:eastAsia="Times New Roman" w:hAnsi="Times New Roman"/>
                <w:sz w:val="18"/>
                <w:szCs w:val="18"/>
                <w:color w:val="auto"/>
                <w:w w:val="97"/>
              </w:rPr>
              <w:t>(438)</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6"/>
              </w:rPr>
              <w:t>454</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360" w:type="dxa"/>
            <w:vAlign w:val="bottom"/>
          </w:tcPr>
          <w:p>
            <w:pPr>
              <w:spacing w:after="0"/>
              <w:rPr>
                <w:sz w:val="19"/>
                <w:szCs w:val="19"/>
                <w:color w:val="auto"/>
              </w:rPr>
            </w:pPr>
          </w:p>
        </w:tc>
        <w:tc>
          <w:tcPr>
            <w:tcW w:w="1020" w:type="dxa"/>
            <w:vAlign w:val="bottom"/>
          </w:tcPr>
          <w:p>
            <w:pPr>
              <w:jc w:val="center"/>
              <w:ind w:left="398"/>
              <w:spacing w:after="0"/>
              <w:rPr>
                <w:sz w:val="20"/>
                <w:szCs w:val="20"/>
                <w:color w:val="auto"/>
              </w:rPr>
            </w:pPr>
            <w:r>
              <w:rPr>
                <w:rFonts w:ascii="Times New Roman" w:cs="Times New Roman" w:eastAsia="Times New Roman" w:hAnsi="Times New Roman"/>
                <w:sz w:val="18"/>
                <w:szCs w:val="18"/>
                <w:color w:val="auto"/>
                <w:w w:val="97"/>
              </w:rPr>
              <w:t>(163)</w:t>
            </w:r>
          </w:p>
        </w:tc>
        <w:tc>
          <w:tcPr>
            <w:tcW w:w="480" w:type="dxa"/>
            <w:vAlign w:val="bottom"/>
          </w:tcPr>
          <w:p>
            <w:pPr>
              <w:spacing w:after="0"/>
              <w:rPr>
                <w:sz w:val="19"/>
                <w:szCs w:val="19"/>
                <w:color w:val="auto"/>
              </w:rPr>
            </w:pPr>
          </w:p>
        </w:tc>
        <w:tc>
          <w:tcPr>
            <w:tcW w:w="84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7"/>
              </w:rPr>
              <w:t>(130)</w:t>
            </w:r>
          </w:p>
        </w:tc>
      </w:tr>
      <w:tr>
        <w:trPr>
          <w:trHeight w:val="230"/>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171</w:t>
            </w: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418"/>
              <w:spacing w:after="0"/>
              <w:rPr>
                <w:sz w:val="20"/>
                <w:szCs w:val="20"/>
                <w:color w:val="auto"/>
              </w:rPr>
            </w:pPr>
            <w:r>
              <w:rPr>
                <w:rFonts w:ascii="Times New Roman" w:cs="Times New Roman" w:eastAsia="Times New Roman" w:hAnsi="Times New Roman"/>
                <w:sz w:val="18"/>
                <w:szCs w:val="18"/>
                <w:color w:val="auto"/>
              </w:rPr>
              <w:t>461</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6"/>
              </w:rPr>
              <w:t>349</w:t>
            </w:r>
          </w:p>
        </w:tc>
      </w:tr>
      <w:tr>
        <w:trPr>
          <w:trHeight w:val="23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and other income (loss), net</w:t>
            </w: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9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center"/>
              <w:ind w:left="398"/>
              <w:spacing w:after="0"/>
              <w:rPr>
                <w:sz w:val="20"/>
                <w:szCs w:val="20"/>
                <w:color w:val="auto"/>
              </w:rPr>
            </w:pPr>
            <w:r>
              <w:rPr>
                <w:rFonts w:ascii="Times New Roman" w:cs="Times New Roman" w:eastAsia="Times New Roman" w:hAnsi="Times New Roman"/>
                <w:sz w:val="18"/>
                <w:szCs w:val="18"/>
                <w:b w:val="1"/>
                <w:bCs w:val="1"/>
                <w:color w:val="auto"/>
                <w:w w:val="97"/>
              </w:rPr>
              <w:t>(140)</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center"/>
              <w:ind w:left="334"/>
              <w:spacing w:after="0"/>
              <w:rPr>
                <w:sz w:val="20"/>
                <w:szCs w:val="20"/>
                <w:color w:val="auto"/>
              </w:rPr>
            </w:pPr>
            <w:r>
              <w:rPr>
                <w:rFonts w:ascii="Times New Roman" w:cs="Times New Roman" w:eastAsia="Times New Roman" w:hAnsi="Times New Roman"/>
                <w:sz w:val="18"/>
                <w:szCs w:val="18"/>
                <w:b w:val="1"/>
                <w:bCs w:val="1"/>
                <w:color w:val="auto"/>
                <w:w w:val="96"/>
              </w:rPr>
              <w:t>672</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equity in net income (losses) of investees, net was primarily due to our investment in Atairos. The income (losses) at Atairos were driven by fair value adjustments on its underlying investments with income (loss) of $(93) million and $(289) million for the three and nine months ended September 30, 2024, respectively, and $252 million and $753 million for the three and nine months ended September 30, 2023, respectively.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realized and unrealized gains (losses) on equity securities, net for the three months ended September 30, 2024 was primarily due to higher losses on nonmarketable securities in the prior year period and losses on marketable securities in the prior year period. The change in realized and unrealized gains (losses) on equity securities, net for the nine months ended September 30, 2024 was primarily due to higher losses on marketable and nonmarketable securities in the current year period.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income (loss), net for the three and nine months ended September 30, 2024 primarily resulted from insurance contracts and foreign exchange remeasurement.</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Consolidated income tax expense </w:t>
      </w:r>
      <w:r>
        <w:rPr>
          <w:rFonts w:ascii="Times New Roman" w:cs="Times New Roman" w:eastAsia="Times New Roman" w:hAnsi="Times New Roman"/>
          <w:sz w:val="18"/>
          <w:szCs w:val="18"/>
          <w:color w:val="auto"/>
        </w:rPr>
        <w:t>for the three and nine months ended September 30, 2024 and 2023 reflects an effective income tax rate that differs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from the federal statutory rate due to state and foreign income taxes and adjustments associated with uncertain tax positions. The decreases in income tax expense for the three and nine months ended September 30, 2024 compared to the same periods in 2023 were primarily driven by lower domestic income before income taxes.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net income (loss) attributable to noncontrolling interests </w:t>
      </w:r>
      <w:r>
        <w:rPr>
          <w:rFonts w:ascii="Times New Roman" w:cs="Times New Roman" w:eastAsia="Times New Roman" w:hAnsi="Times New Roman"/>
          <w:sz w:val="18"/>
          <w:szCs w:val="18"/>
          <w:color w:val="auto"/>
        </w:rPr>
        <w:t>changed for the three and nine months ended September 30, 2024</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compared to the same periods in 2023 primarily due to our regional sports networks. The change for the three months ended September 30, 2024 was partially offset by Universal Beijing Resort.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See Note 2 for additional information on our segments.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 Results of Operations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3"/>
            <w:vMerge w:val="restart"/>
          </w:tcPr>
          <w:p>
            <w:pPr>
              <w:jc w:val="right"/>
              <w:ind w:right="552"/>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tcPr>
          <w:p>
            <w:pPr>
              <w:spacing w:after="0"/>
              <w:rPr>
                <w:sz w:val="13"/>
                <w:szCs w:val="13"/>
                <w:color w:val="auto"/>
              </w:rPr>
            </w:pPr>
          </w:p>
        </w:tc>
        <w:tc>
          <w:tcPr>
            <w:tcW w:w="1000" w:type="dxa"/>
            <w:vAlign w:val="bottom"/>
          </w:tcPr>
          <w:p>
            <w:pPr>
              <w:jc w:val="center"/>
              <w:ind w:right="76"/>
              <w:spacing w:after="0"/>
              <w:rPr>
                <w:sz w:val="20"/>
                <w:szCs w:val="20"/>
                <w:color w:val="auto"/>
              </w:rPr>
            </w:pPr>
            <w:r>
              <w:rPr>
                <w:rFonts w:ascii="Times New Roman" w:cs="Times New Roman" w:eastAsia="Times New Roman" w:hAnsi="Times New Roman"/>
                <w:sz w:val="14"/>
                <w:szCs w:val="14"/>
                <w:color w:val="auto"/>
              </w:rPr>
              <w:t>Constant</w:t>
            </w:r>
          </w:p>
        </w:tc>
        <w:tc>
          <w:tcPr>
            <w:tcW w:w="320" w:type="dxa"/>
            <w:vAlign w:val="bottom"/>
          </w:tcPr>
          <w:p>
            <w:pPr>
              <w:spacing w:after="0"/>
              <w:rPr>
                <w:sz w:val="13"/>
                <w:szCs w:val="13"/>
                <w:color w:val="auto"/>
              </w:rPr>
            </w:pPr>
          </w:p>
        </w:tc>
        <w:tc>
          <w:tcPr>
            <w:tcW w:w="2120" w:type="dxa"/>
            <w:vAlign w:val="bottom"/>
            <w:gridSpan w:val="3"/>
            <w:vMerge w:val="restart"/>
          </w:tcPr>
          <w:p>
            <w:pPr>
              <w:jc w:val="right"/>
              <w:ind w:right="612"/>
              <w:spacing w:after="0"/>
              <w:rPr>
                <w:sz w:val="20"/>
                <w:szCs w:val="20"/>
                <w:color w:val="auto"/>
              </w:rPr>
            </w:pPr>
            <w:r>
              <w:rPr>
                <w:rFonts w:ascii="Times New Roman" w:cs="Times New Roman" w:eastAsia="Times New Roman" w:hAnsi="Times New Roman"/>
                <w:sz w:val="14"/>
                <w:szCs w:val="14"/>
                <w:color w:val="auto"/>
              </w:rPr>
              <w:t>Nine Months Ended</w:t>
            </w:r>
          </w:p>
        </w:tc>
        <w:tc>
          <w:tcPr>
            <w:tcW w:w="1020" w:type="dxa"/>
            <w:vAlign w:val="bottom"/>
          </w:tcPr>
          <w:p>
            <w:pPr>
              <w:spacing w:after="0"/>
              <w:rPr>
                <w:sz w:val="13"/>
                <w:szCs w:val="13"/>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Change</w:t>
            </w:r>
          </w:p>
        </w:tc>
        <w:tc>
          <w:tcPr>
            <w:tcW w:w="1000" w:type="dxa"/>
            <w:vAlign w:val="bottom"/>
          </w:tcPr>
          <w:p>
            <w:pPr>
              <w:jc w:val="center"/>
              <w:ind w:right="76"/>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32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0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Change</w:t>
            </w:r>
          </w:p>
        </w:tc>
        <w:tc>
          <w:tcPr>
            <w:tcW w:w="940" w:type="dxa"/>
            <w:vAlign w:val="bottom"/>
          </w:tcPr>
          <w:p>
            <w:pPr>
              <w:jc w:val="center"/>
              <w:ind w:right="36"/>
              <w:spacing w:after="0" w:line="145" w:lineRule="exact"/>
              <w:rPr>
                <w:sz w:val="20"/>
                <w:szCs w:val="20"/>
                <w:color w:val="auto"/>
              </w:rPr>
            </w:pPr>
            <w:r>
              <w:rPr>
                <w:rFonts w:ascii="Times New Roman" w:cs="Times New Roman" w:eastAsia="Times New Roman" w:hAnsi="Times New Roman"/>
                <w:sz w:val="14"/>
                <w:szCs w:val="14"/>
                <w:color w:val="auto"/>
              </w:rPr>
              <w:t>Currency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(b)</w:t>
            </w:r>
          </w:p>
        </w:tc>
        <w:tc>
          <w:tcPr>
            <w:tcW w:w="3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772"/>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(b)</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Residential Connectivity &amp;</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Platforms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17,866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17,951</w:t>
            </w: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(0.5)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53,558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53,888</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(0.6)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2,425</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2,320</w:t>
            </w:r>
          </w:p>
        </w:tc>
        <w:tc>
          <w:tcPr>
            <w:tcW w:w="10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7,253</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6,894</w:t>
            </w:r>
          </w:p>
        </w:tc>
        <w:tc>
          <w:tcPr>
            <w:tcW w:w="102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5.2</w:t>
            </w:r>
          </w:p>
        </w:tc>
        <w:tc>
          <w:tcPr>
            <w:tcW w:w="9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Connectivity &amp; Platforms</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20,291</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20,271</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60,812</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60,783</w:t>
            </w:r>
          </w:p>
        </w:tc>
        <w:tc>
          <w:tcPr>
            <w:tcW w:w="102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Residential Connectivity &amp;</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Platforms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6,904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6,886</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0.3 %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20,859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20,672</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0.9 %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1,391</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1,335</w:t>
            </w:r>
          </w:p>
        </w:tc>
        <w:tc>
          <w:tcPr>
            <w:tcW w:w="10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4,137</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3,988</w:t>
            </w:r>
          </w:p>
        </w:tc>
        <w:tc>
          <w:tcPr>
            <w:tcW w:w="102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Connectivity &amp; Platforms</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8,295</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8,221</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0.9 %</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24,996</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24,660</w:t>
            </w:r>
          </w:p>
        </w:tc>
        <w:tc>
          <w:tcPr>
            <w:tcW w:w="102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1.4 %</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3"/>
                <w:szCs w:val="23"/>
                <w:b w:val="1"/>
                <w:bCs w:val="1"/>
                <w:color w:val="auto"/>
                <w:vertAlign w:val="superscript"/>
              </w:rPr>
              <w:t>(a)</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Residential Connectivity &amp;</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Platforms</w:t>
            </w:r>
          </w:p>
        </w:tc>
        <w:tc>
          <w:tcPr>
            <w:tcW w:w="240" w:type="dxa"/>
            <w:vAlign w:val="bottom"/>
          </w:tcPr>
          <w:p>
            <w:pPr>
              <w:spacing w:after="0"/>
              <w:rPr>
                <w:sz w:val="21"/>
                <w:szCs w:val="21"/>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38.6 %</w:t>
            </w:r>
          </w:p>
        </w:tc>
        <w:tc>
          <w:tcPr>
            <w:tcW w:w="260" w:type="dxa"/>
            <w:vAlign w:val="bottom"/>
          </w:tcPr>
          <w:p>
            <w:pPr>
              <w:spacing w:after="0"/>
              <w:rPr>
                <w:sz w:val="21"/>
                <w:szCs w:val="21"/>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38.4 %</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 bps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bps</w:t>
            </w:r>
          </w:p>
        </w:tc>
        <w:tc>
          <w:tcPr>
            <w:tcW w:w="320" w:type="dxa"/>
            <w:vAlign w:val="bottom"/>
          </w:tcPr>
          <w:p>
            <w:pPr>
              <w:spacing w:after="0"/>
              <w:rPr>
                <w:sz w:val="21"/>
                <w:szCs w:val="21"/>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38.9 %</w:t>
            </w:r>
          </w:p>
        </w:tc>
        <w:tc>
          <w:tcPr>
            <w:tcW w:w="260" w:type="dxa"/>
            <w:vAlign w:val="bottom"/>
          </w:tcPr>
          <w:p>
            <w:pPr>
              <w:spacing w:after="0"/>
              <w:rPr>
                <w:sz w:val="21"/>
                <w:szCs w:val="21"/>
                <w:color w:val="auto"/>
              </w:rPr>
            </w:pP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38.4 %</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50 bps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bps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57.4</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57.5</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 bps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bps</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57.8</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(80) bps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bps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Connectivity &amp; Platforms</w:t>
            </w:r>
          </w:p>
        </w:tc>
        <w:tc>
          <w:tcPr>
            <w:tcW w:w="240" w:type="dxa"/>
            <w:vAlign w:val="bottom"/>
          </w:tcPr>
          <w:p>
            <w:pPr>
              <w:spacing w:after="0"/>
              <w:rPr>
                <w:sz w:val="14"/>
                <w:szCs w:val="14"/>
                <w:color w:val="auto"/>
              </w:rPr>
            </w:pP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40.9 %</w:t>
            </w:r>
          </w:p>
        </w:tc>
        <w:tc>
          <w:tcPr>
            <w:tcW w:w="260" w:type="dxa"/>
            <w:vAlign w:val="bottom"/>
          </w:tcPr>
          <w:p>
            <w:pPr>
              <w:spacing w:after="0"/>
              <w:rPr>
                <w:sz w:val="14"/>
                <w:szCs w:val="14"/>
                <w:color w:val="auto"/>
              </w:rPr>
            </w:pP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40.6 %</w:t>
            </w: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30 bps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 bps</w:t>
            </w:r>
          </w:p>
        </w:tc>
        <w:tc>
          <w:tcPr>
            <w:tcW w:w="320" w:type="dxa"/>
            <w:vAlign w:val="bottom"/>
          </w:tcPr>
          <w:p>
            <w:pPr>
              <w:spacing w:after="0"/>
              <w:rPr>
                <w:sz w:val="14"/>
                <w:szCs w:val="14"/>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41.1 %</w:t>
            </w:r>
          </w:p>
        </w:tc>
        <w:tc>
          <w:tcPr>
            <w:tcW w:w="260" w:type="dxa"/>
            <w:vAlign w:val="bottom"/>
          </w:tcPr>
          <w:p>
            <w:pPr>
              <w:spacing w:after="0"/>
              <w:rPr>
                <w:sz w:val="14"/>
                <w:szCs w:val="14"/>
                <w:color w:val="auto"/>
              </w:rPr>
            </w:pP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40.6 %</w:t>
            </w:r>
          </w:p>
        </w:tc>
        <w:tc>
          <w:tcPr>
            <w:tcW w:w="102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50 bps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 bps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20" w:hanging="252"/>
        <w:spacing w:after="0" w:line="281" w:lineRule="auto"/>
        <w:tabs>
          <w:tab w:leader="none" w:pos="2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Adjusted EBITDA margin is Adjusted EBITDA as a percentage of revenue. We believe this metric is useful particularly as we continue to focus on growing our higher-margin businesses and improving overall operating cost management. The changes reflect the year-over-year basis point changes in the rounded Adjusted EBITDA margins.</w:t>
      </w:r>
    </w:p>
    <w:p>
      <w:pPr>
        <w:spacing w:after="0" w:line="1" w:lineRule="exact"/>
        <w:rPr>
          <w:rFonts w:ascii="Times New Roman" w:cs="Times New Roman" w:eastAsia="Times New Roman" w:hAnsi="Times New Roman"/>
          <w:sz w:val="14"/>
          <w:szCs w:val="14"/>
          <w:color w:val="auto"/>
        </w:rPr>
      </w:pPr>
    </w:p>
    <w:p>
      <w:pPr>
        <w:ind w:left="260" w:hanging="252"/>
        <w:spacing w:after="0" w:line="285" w:lineRule="auto"/>
        <w:tabs>
          <w:tab w:leader="none" w:pos="25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24 for additional information, including our definition and our use of constant currency, and for a reconciliation of constant currency amounts.</w:t>
      </w:r>
    </w:p>
    <w:p>
      <w:pPr>
        <w:jc w:val="both"/>
        <w:spacing w:after="0" w:line="236" w:lineRule="auto"/>
        <w:rPr>
          <w:sz w:val="20"/>
          <w:szCs w:val="20"/>
          <w:color w:val="auto"/>
        </w:rPr>
      </w:pPr>
      <w:r>
        <w:rPr>
          <w:rFonts w:ascii="Times New Roman" w:cs="Times New Roman" w:eastAsia="Times New Roman" w:hAnsi="Times New Roman"/>
          <w:sz w:val="18"/>
          <w:szCs w:val="18"/>
          <w:color w:val="auto"/>
        </w:rPr>
        <w:t>We continue to focus on growing our higher-margin connectivity businesses while managing overall operating costs. We also continue to invest in our network to support higher-speed broadband offerings and to expand the number of homes and businesses passed. A competitive environment, which has increased in recent years, and continued low domestic household move levels have had negative impacts on our customer relationships additions/(losses). In addition, funding for the Affordable Connectivity Program, which provided a monthly discount towards broadband service for eligible low-income households, expired during the second quarter of 2024 and resulted in an estimated net loss of 96,000 residential domestic broadband customers for the third quarter of 2024. We believe our residential connectivity revenue will increase as a result of growth in average domestic broadband revenue per customer, as well as increases in domestic wireless and international connectivity revenue. At the same time, we expect continued declines in video revenue as a result of domestic customer net losses due to shifting video consumption patterns and the competitive environment, although customer net losses typically mitigate the impact of continued rate increases on programming expenses. We also expect continued declines in other revenue related to declines in wireline voice revenue. We believe our Business Services Connectivity segment will continue to grow by offering competitive services, including to medium-sized and enterprise customers. Global economic conditions and consumer sentiment have in the past adversely impacted, and may continue to adversely impact, demand for our products and services and our results of operations.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Customer Metrics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40" w:type="dxa"/>
            <w:vAlign w:val="bottom"/>
            <w:gridSpan w:val="2"/>
          </w:tcPr>
          <w:p>
            <w:pPr>
              <w:jc w:val="right"/>
              <w:ind w:right="375"/>
              <w:spacing w:after="0"/>
              <w:rPr>
                <w:sz w:val="20"/>
                <w:szCs w:val="20"/>
                <w:color w:val="auto"/>
              </w:rPr>
            </w:pPr>
            <w:r>
              <w:rPr>
                <w:rFonts w:ascii="Times New Roman" w:cs="Times New Roman" w:eastAsia="Times New Roman" w:hAnsi="Times New Roman"/>
                <w:sz w:val="14"/>
                <w:szCs w:val="14"/>
                <w:color w:val="auto"/>
              </w:rPr>
              <w:t>Net Additions / (Losses)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740" w:type="dxa"/>
            <w:vAlign w:val="bottom"/>
          </w:tcPr>
          <w:p>
            <w:pPr>
              <w:spacing w:after="0"/>
              <w:rPr>
                <w:sz w:val="11"/>
                <w:szCs w:val="11"/>
                <w:color w:val="auto"/>
              </w:rPr>
            </w:pPr>
          </w:p>
        </w:tc>
        <w:tc>
          <w:tcPr>
            <w:tcW w:w="2160" w:type="dxa"/>
            <w:vAlign w:val="bottom"/>
            <w:gridSpan w:val="2"/>
          </w:tcPr>
          <w:p>
            <w:pPr>
              <w:jc w:val="right"/>
              <w:ind w:right="473"/>
              <w:spacing w:after="0" w:line="133" w:lineRule="exact"/>
              <w:rPr>
                <w:sz w:val="20"/>
                <w:szCs w:val="20"/>
                <w:color w:val="auto"/>
              </w:rPr>
            </w:pPr>
            <w:r>
              <w:rPr>
                <w:rFonts w:ascii="Times New Roman" w:cs="Times New Roman" w:eastAsia="Times New Roman" w:hAnsi="Times New Roman"/>
                <w:sz w:val="14"/>
                <w:szCs w:val="14"/>
                <w:color w:val="auto"/>
              </w:rPr>
              <w:t>Three Months Ended</w:t>
            </w:r>
          </w:p>
        </w:tc>
        <w:tc>
          <w:tcPr>
            <w:tcW w:w="1860" w:type="dxa"/>
            <w:vAlign w:val="bottom"/>
            <w:gridSpan w:val="2"/>
          </w:tcPr>
          <w:p>
            <w:pPr>
              <w:jc w:val="right"/>
              <w:ind w:right="352"/>
              <w:spacing w:after="0" w:line="133" w:lineRule="exact"/>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right"/>
              <w:ind w:right="653"/>
              <w:spacing w:after="0"/>
              <w:rPr>
                <w:sz w:val="20"/>
                <w:szCs w:val="20"/>
                <w:color w:val="auto"/>
              </w:rPr>
            </w:pPr>
            <w:r>
              <w:rPr>
                <w:rFonts w:ascii="Times New Roman" w:cs="Times New Roman" w:eastAsia="Times New Roman" w:hAnsi="Times New Roman"/>
                <w:sz w:val="14"/>
                <w:szCs w:val="14"/>
                <w:color w:val="auto"/>
              </w:rPr>
              <w:t>September 30,</w:t>
            </w:r>
          </w:p>
        </w:tc>
        <w:tc>
          <w:tcPr>
            <w:tcW w:w="1860" w:type="dxa"/>
            <w:vAlign w:val="bottom"/>
            <w:tcBorders>
              <w:bottom w:val="single" w:sz="8" w:color="auto"/>
            </w:tcBorders>
            <w:gridSpan w:val="2"/>
          </w:tcPr>
          <w:p>
            <w:pPr>
              <w:jc w:val="right"/>
              <w:ind w:right="512"/>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Domestic Residential Connectivity &amp; Platforms customer</w:t>
            </w:r>
          </w:p>
        </w:tc>
        <w:tc>
          <w:tcPr>
            <w:tcW w:w="1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relationships</w:t>
            </w:r>
            <w:r>
              <w:rPr>
                <w:rFonts w:ascii="Times New Roman" w:cs="Times New Roman" w:eastAsia="Times New Roman" w:hAnsi="Times New Roman"/>
                <w:sz w:val="23"/>
                <w:szCs w:val="23"/>
                <w:color w:val="auto"/>
                <w:vertAlign w:val="superscript"/>
              </w:rPr>
              <w:t>(a)</w:t>
            </w: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31,324</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31,722</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International Residential Connectivity &amp; Platforms customer</w:t>
            </w: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relationships</w:t>
            </w:r>
            <w:r>
              <w:rPr>
                <w:rFonts w:ascii="Times New Roman" w:cs="Times New Roman" w:eastAsia="Times New Roman" w:hAnsi="Times New Roman"/>
                <w:sz w:val="23"/>
                <w:szCs w:val="23"/>
                <w:color w:val="auto"/>
                <w:vertAlign w:val="superscript"/>
              </w:rPr>
              <w:t>(a)</w:t>
            </w:r>
          </w:p>
        </w:tc>
        <w:tc>
          <w:tcPr>
            <w:tcW w:w="158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17,716</w:t>
            </w: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17,958</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78</w:t>
            </w:r>
          </w:p>
        </w:tc>
        <w:tc>
          <w:tcPr>
            <w:tcW w:w="10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74</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(131)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Business Services Connectivity customer relationships</w:t>
            </w:r>
            <w:r>
              <w:rPr>
                <w:rFonts w:ascii="Times New Roman" w:cs="Times New Roman" w:eastAsia="Times New Roman" w:hAnsi="Times New Roman"/>
                <w:sz w:val="23"/>
                <w:szCs w:val="23"/>
                <w:color w:val="auto"/>
                <w:vertAlign w:val="superscript"/>
              </w:rPr>
              <w:t>(b)</w:t>
            </w: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2,627</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2,640</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Connectivity &amp; Platforms customer relationships</w:t>
            </w:r>
          </w:p>
        </w:tc>
        <w:tc>
          <w:tcPr>
            <w:tcW w:w="158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51,667</w:t>
            </w:r>
          </w:p>
        </w:tc>
        <w:tc>
          <w:tcPr>
            <w:tcW w:w="7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52,320</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40</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(469)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Broadband</w:t>
            </w: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customers</w:t>
            </w:r>
          </w:p>
        </w:tc>
        <w:tc>
          <w:tcPr>
            <w:tcW w:w="158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29,504</w:t>
            </w: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29,779</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(79)</w:t>
            </w: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(244)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customers</w:t>
            </w: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2,477</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2,508</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broadband customers</w:t>
            </w:r>
          </w:p>
        </w:tc>
        <w:tc>
          <w:tcPr>
            <w:tcW w:w="158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31,981</w:t>
            </w:r>
          </w:p>
        </w:tc>
        <w:tc>
          <w:tcPr>
            <w:tcW w:w="7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32,287</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(87)</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(272)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Wireless</w:t>
            </w: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domestic wireless lines</w:t>
            </w:r>
            <w:r>
              <w:rPr>
                <w:rFonts w:ascii="Times New Roman" w:cs="Times New Roman" w:eastAsia="Times New Roman" w:hAnsi="Times New Roman"/>
                <w:sz w:val="23"/>
                <w:szCs w:val="23"/>
                <w:color w:val="auto"/>
                <w:vertAlign w:val="superscript"/>
              </w:rPr>
              <w:t>(c)</w:t>
            </w:r>
          </w:p>
        </w:tc>
        <w:tc>
          <w:tcPr>
            <w:tcW w:w="158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7,519</w:t>
            </w:r>
          </w:p>
        </w:tc>
        <w:tc>
          <w:tcPr>
            <w:tcW w:w="7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6,278</w:t>
            </w: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319</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294</w:t>
            </w:r>
          </w:p>
        </w:tc>
        <w:tc>
          <w:tcPr>
            <w:tcW w:w="10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930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Video</w:t>
            </w: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video customers</w:t>
            </w:r>
          </w:p>
        </w:tc>
        <w:tc>
          <w:tcPr>
            <w:tcW w:w="158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12,834</w:t>
            </w:r>
          </w:p>
        </w:tc>
        <w:tc>
          <w:tcPr>
            <w:tcW w:w="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14,495</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(365)</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(490)</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(1,272)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Domestic homes and businesses passed</w:t>
            </w:r>
            <w:r>
              <w:rPr>
                <w:rFonts w:ascii="Times New Roman" w:cs="Times New Roman" w:eastAsia="Times New Roman" w:hAnsi="Times New Roman"/>
                <w:sz w:val="23"/>
                <w:szCs w:val="23"/>
                <w:color w:val="auto"/>
                <w:vertAlign w:val="superscript"/>
              </w:rPr>
              <w:t>(d)</w:t>
            </w:r>
          </w:p>
        </w:tc>
        <w:tc>
          <w:tcPr>
            <w:tcW w:w="15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63,355</w:t>
            </w: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62,086</w:t>
            </w:r>
          </w:p>
        </w:tc>
        <w:tc>
          <w:tcPr>
            <w:tcW w:w="1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w w:val="99"/>
              </w:rPr>
              <w:t>Domestic broadband penetration of homes and businesses passed</w:t>
            </w:r>
            <w:r>
              <w:rPr>
                <w:rFonts w:ascii="Times New Roman" w:cs="Times New Roman" w:eastAsia="Times New Roman" w:hAnsi="Times New Roman"/>
                <w:sz w:val="23"/>
                <w:szCs w:val="23"/>
                <w:color w:val="auto"/>
                <w:w w:val="99"/>
                <w:vertAlign w:val="superscript"/>
              </w:rPr>
              <w:t>(e)</w:t>
            </w:r>
          </w:p>
        </w:tc>
        <w:tc>
          <w:tcPr>
            <w:tcW w:w="158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50.3 %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260" w:hanging="252"/>
        <w:spacing w:after="0" w:line="271" w:lineRule="auto"/>
        <w:tabs>
          <w:tab w:leader="none" w:pos="2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customer relationships generally represent the number of residential customer locations that subscribe to at least one of our services. International Residential Connectivity &amp; Platforms customer relationships represent customers receiving Sky services in the United Kingdom and Italy. Because each of our services includes a variety of product tiers, which may change from time to time, net additions or losses in any one period will reflect a mix of customers at various tiers.</w:t>
      </w:r>
    </w:p>
    <w:p>
      <w:pPr>
        <w:spacing w:after="0" w:line="8" w:lineRule="exact"/>
        <w:rPr>
          <w:rFonts w:ascii="Times New Roman" w:cs="Times New Roman" w:eastAsia="Times New Roman" w:hAnsi="Times New Roman"/>
          <w:sz w:val="14"/>
          <w:szCs w:val="14"/>
          <w:color w:val="auto"/>
        </w:rPr>
      </w:pPr>
    </w:p>
    <w:p>
      <w:pPr>
        <w:jc w:val="both"/>
        <w:ind w:left="260" w:hanging="252"/>
        <w:spacing w:after="0" w:line="271" w:lineRule="auto"/>
        <w:tabs>
          <w:tab w:leader="none" w:pos="2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Services Connectivity customer metrics are generally counted based on the number of locations receiving services, including locations within our network in the United States, as well as locations outside of our network both in the United States and internationally. Certain arrangements whereby third parties provide connectivity services leveraging our network are also generally counted based on the number of locations served.</w:t>
      </w:r>
    </w:p>
    <w:p>
      <w:pPr>
        <w:spacing w:after="0" w:line="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wireless lines represent the number of residential and business customers’ wireless devices. An individual customer relationship may have multiple wireless lines.</w:t>
      </w:r>
    </w:p>
    <w:p>
      <w:pPr>
        <w:spacing w:after="0" w:line="41" w:lineRule="exact"/>
        <w:rPr>
          <w:rFonts w:ascii="Times New Roman" w:cs="Times New Roman" w:eastAsia="Times New Roman" w:hAnsi="Times New Roman"/>
          <w:sz w:val="14"/>
          <w:szCs w:val="14"/>
          <w:color w:val="auto"/>
        </w:rPr>
      </w:pPr>
    </w:p>
    <w:p>
      <w:pPr>
        <w:ind w:left="260" w:hanging="252"/>
        <w:spacing w:after="0" w:line="281" w:lineRule="auto"/>
        <w:tabs>
          <w:tab w:leader="none" w:pos="2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Connectivity &amp; Platforms domestic homes and businesses are considered passed if we can connect them to our network in the United States without further extending the transmission lines. Homes and businesses passed is an estimate based on the best available information.</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domestic customers located within our network by the number of domestic homes and businesses passed.</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3"/>
            <w:vMerge w:val="restart"/>
          </w:tcPr>
          <w:p>
            <w:pPr>
              <w:jc w:val="right"/>
              <w:ind w:right="256"/>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13"/>
                <w:szCs w:val="13"/>
                <w:color w:val="auto"/>
              </w:rPr>
            </w:pPr>
          </w:p>
        </w:tc>
        <w:tc>
          <w:tcPr>
            <w:tcW w:w="94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rPr>
              <w:t>Constant</w:t>
            </w:r>
          </w:p>
        </w:tc>
        <w:tc>
          <w:tcPr>
            <w:tcW w:w="240" w:type="dxa"/>
            <w:vAlign w:val="bottom"/>
          </w:tcPr>
          <w:p>
            <w:pPr>
              <w:spacing w:after="0"/>
              <w:rPr>
                <w:sz w:val="13"/>
                <w:szCs w:val="13"/>
                <w:color w:val="auto"/>
              </w:rPr>
            </w:pPr>
          </w:p>
        </w:tc>
        <w:tc>
          <w:tcPr>
            <w:tcW w:w="1600" w:type="dxa"/>
            <w:vAlign w:val="bottom"/>
            <w:gridSpan w:val="3"/>
            <w:vMerge w:val="restart"/>
          </w:tcPr>
          <w:p>
            <w:pPr>
              <w:jc w:val="right"/>
              <w:ind w:right="276"/>
              <w:spacing w:after="0"/>
              <w:rPr>
                <w:sz w:val="20"/>
                <w:szCs w:val="20"/>
                <w:color w:val="auto"/>
              </w:rPr>
            </w:pPr>
            <w:r>
              <w:rPr>
                <w:rFonts w:ascii="Times New Roman" w:cs="Times New Roman" w:eastAsia="Times New Roman" w:hAnsi="Times New Roman"/>
                <w:sz w:val="14"/>
                <w:szCs w:val="14"/>
                <w:color w:val="auto"/>
              </w:rPr>
              <w:t>Nine Months Ended</w:t>
            </w:r>
          </w:p>
        </w:tc>
        <w:tc>
          <w:tcPr>
            <w:tcW w:w="960" w:type="dxa"/>
            <w:vAlign w:val="bottom"/>
          </w:tcPr>
          <w:p>
            <w:pPr>
              <w:spacing w:after="0"/>
              <w:rPr>
                <w:sz w:val="13"/>
                <w:szCs w:val="13"/>
                <w:color w:val="auto"/>
              </w:rPr>
            </w:pPr>
          </w:p>
        </w:tc>
        <w:tc>
          <w:tcPr>
            <w:tcW w:w="900" w:type="dxa"/>
            <w:vAlign w:val="bottom"/>
          </w:tcPr>
          <w:p>
            <w:pPr>
              <w:jc w:val="center"/>
              <w:ind w:right="22"/>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9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Change</w:t>
            </w:r>
          </w:p>
        </w:tc>
        <w:tc>
          <w:tcPr>
            <w:tcW w:w="940" w:type="dxa"/>
            <w:vAlign w:val="bottom"/>
          </w:tcPr>
          <w:p>
            <w:pPr>
              <w:jc w:val="center"/>
              <w:ind w:right="62"/>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2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9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Change</w:t>
            </w:r>
          </w:p>
        </w:tc>
        <w:tc>
          <w:tcPr>
            <w:tcW w:w="900" w:type="dxa"/>
            <w:vAlign w:val="bottom"/>
          </w:tcPr>
          <w:p>
            <w:pPr>
              <w:jc w:val="center"/>
              <w:ind w:right="22"/>
              <w:spacing w:after="0" w:line="145"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198"/>
        </w:trPr>
        <w:tc>
          <w:tcPr>
            <w:tcW w:w="3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color w:val="auto"/>
              </w:rPr>
              <w:t>September 30,</w:t>
            </w:r>
          </w:p>
        </w:tc>
        <w:tc>
          <w:tcPr>
            <w:tcW w:w="9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(a)</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color w:val="auto"/>
              </w:rPr>
              <w:t>September 30,</w:t>
            </w:r>
          </w:p>
        </w:tc>
        <w:tc>
          <w:tcPr>
            <w:tcW w:w="9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(a)</w:t>
            </w:r>
          </w:p>
        </w:tc>
        <w:tc>
          <w:tcPr>
            <w:tcW w:w="0" w:type="dxa"/>
            <w:vAlign w:val="bottom"/>
          </w:tcPr>
          <w:p>
            <w:pPr>
              <w:spacing w:after="0"/>
              <w:rPr>
                <w:sz w:val="1"/>
                <w:szCs w:val="1"/>
                <w:color w:val="auto"/>
              </w:rPr>
            </w:pPr>
          </w:p>
        </w:tc>
      </w:tr>
      <w:tr>
        <w:trPr>
          <w:trHeight w:val="194"/>
        </w:trPr>
        <w:tc>
          <w:tcPr>
            <w:tcW w:w="3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2023</w:t>
            </w: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2023</w:t>
            </w: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Average monthly total Connectivity &amp; Platforms</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per customer relationship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129.20</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128.95</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175"/>
        </w:trPr>
        <w:tc>
          <w:tcPr>
            <w:tcW w:w="38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Average monthly total Connectivity &amp; Platforms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Adjusted EBITDA per customer relationship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52.40</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2.1 %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52.32</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2.3 %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60" w:right="20" w:hanging="252"/>
        <w:spacing w:after="0" w:line="302" w:lineRule="auto"/>
        <w:tabs>
          <w:tab w:leader="none" w:pos="2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24 for additional information, including our definition and our use of constant currency, and for a reconciliation of constant currency amounts.</w:t>
      </w:r>
    </w:p>
    <w:p>
      <w:pPr>
        <w:spacing w:after="0" w:line="2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Average monthly total revenue per customer relationship is impacted by rate adjustments and changes in the types and levels of services received by our residential and business customers, as well as changes in advertising and other revenue and in foreign currency exchange rates. While revenue from our individual service offerings is also impacted by changes in the allocation of revenue among services sold in a bundle, the allocation does not impact average monthly total revenue per customer relationship. Each of our services has a different contribution to Adjusted EBITDA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 Supplemental Costs and Expenses Information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Connectivity &amp; Platforms supplemental costs and expenses information in the table below is presented on an aggregate basis across the Connectivity &amp; Platforms segments as the segments use certain shared infrastructure, including our network in the United States. Costs and expenses information reported separately for the Residential Connectivity &amp; Platforms and Business Services Connectivity segments includes each segment’s direct costs and an allocation of shared costs.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3"/>
            <w:vMerge w:val="restart"/>
          </w:tcPr>
          <w:p>
            <w:pPr>
              <w:jc w:val="right"/>
              <w:ind w:right="392"/>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Pr>
          <w:p>
            <w:pPr>
              <w:spacing w:after="0"/>
              <w:rPr>
                <w:sz w:val="13"/>
                <w:szCs w:val="13"/>
                <w:color w:val="auto"/>
              </w:rPr>
            </w:pPr>
          </w:p>
        </w:tc>
        <w:tc>
          <w:tcPr>
            <w:tcW w:w="98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Constant</w:t>
            </w:r>
          </w:p>
        </w:tc>
        <w:tc>
          <w:tcPr>
            <w:tcW w:w="260" w:type="dxa"/>
            <w:vAlign w:val="bottom"/>
          </w:tcPr>
          <w:p>
            <w:pPr>
              <w:spacing w:after="0"/>
              <w:rPr>
                <w:sz w:val="13"/>
                <w:szCs w:val="13"/>
                <w:color w:val="auto"/>
              </w:rPr>
            </w:pPr>
          </w:p>
        </w:tc>
        <w:tc>
          <w:tcPr>
            <w:tcW w:w="1900" w:type="dxa"/>
            <w:vAlign w:val="bottom"/>
            <w:gridSpan w:val="3"/>
            <w:vMerge w:val="restart"/>
          </w:tcPr>
          <w:p>
            <w:pPr>
              <w:jc w:val="right"/>
              <w:ind w:right="452"/>
              <w:spacing w:after="0"/>
              <w:rPr>
                <w:sz w:val="20"/>
                <w:szCs w:val="20"/>
                <w:color w:val="auto"/>
              </w:rPr>
            </w:pPr>
            <w:r>
              <w:rPr>
                <w:rFonts w:ascii="Times New Roman" w:cs="Times New Roman" w:eastAsia="Times New Roman" w:hAnsi="Times New Roman"/>
                <w:sz w:val="14"/>
                <w:szCs w:val="14"/>
                <w:color w:val="auto"/>
              </w:rPr>
              <w:t>Nine Months Ended</w:t>
            </w:r>
          </w:p>
        </w:tc>
        <w:tc>
          <w:tcPr>
            <w:tcW w:w="1020" w:type="dxa"/>
            <w:vAlign w:val="bottom"/>
          </w:tcPr>
          <w:p>
            <w:pPr>
              <w:spacing w:after="0"/>
              <w:rPr>
                <w:sz w:val="13"/>
                <w:szCs w:val="13"/>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5"/>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Change</w:t>
            </w:r>
          </w:p>
        </w:tc>
        <w:tc>
          <w:tcPr>
            <w:tcW w:w="980" w:type="dxa"/>
            <w:vAlign w:val="bottom"/>
          </w:tcPr>
          <w:p>
            <w:pPr>
              <w:jc w:val="right"/>
              <w:ind w:right="237"/>
              <w:spacing w:after="0" w:line="145" w:lineRule="exact"/>
              <w:rPr>
                <w:sz w:val="20"/>
                <w:szCs w:val="20"/>
                <w:color w:val="auto"/>
              </w:rPr>
            </w:pPr>
            <w:r>
              <w:rPr>
                <w:rFonts w:ascii="Times New Roman" w:cs="Times New Roman" w:eastAsia="Times New Roman" w:hAnsi="Times New Roman"/>
                <w:sz w:val="14"/>
                <w:szCs w:val="14"/>
                <w:color w:val="auto"/>
              </w:rPr>
              <w:t>Currency</w:t>
            </w:r>
          </w:p>
        </w:tc>
        <w:tc>
          <w:tcPr>
            <w:tcW w:w="26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Change</w:t>
            </w:r>
          </w:p>
        </w:tc>
        <w:tc>
          <w:tcPr>
            <w:tcW w:w="920" w:type="dxa"/>
            <w:vAlign w:val="bottom"/>
          </w:tcPr>
          <w:p>
            <w:pPr>
              <w:jc w:val="right"/>
              <w:ind w:right="177"/>
              <w:spacing w:after="0" w:line="145" w:lineRule="exact"/>
              <w:rPr>
                <w:sz w:val="20"/>
                <w:szCs w:val="20"/>
                <w:color w:val="auto"/>
              </w:rPr>
            </w:pPr>
            <w:r>
              <w:rPr>
                <w:rFonts w:ascii="Times New Roman" w:cs="Times New Roman" w:eastAsia="Times New Roman" w:hAnsi="Times New Roman"/>
                <w:sz w:val="14"/>
                <w:szCs w:val="14"/>
                <w:color w:val="auto"/>
              </w:rPr>
              <w:t>Currency</w:t>
            </w:r>
          </w:p>
        </w:tc>
        <w:tc>
          <w:tcPr>
            <w:tcW w:w="0" w:type="dxa"/>
            <w:vAlign w:val="bottom"/>
          </w:tcPr>
          <w:p>
            <w:pPr>
              <w:spacing w:after="0"/>
              <w:rPr>
                <w:sz w:val="1"/>
                <w:szCs w:val="1"/>
                <w:color w:val="auto"/>
              </w:rPr>
            </w:pPr>
          </w:p>
        </w:tc>
      </w:tr>
      <w:tr>
        <w:trPr>
          <w:trHeight w:val="201"/>
        </w:trPr>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592"/>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jc w:val="right"/>
              <w:ind w:right="217"/>
              <w:spacing w:after="0" w:line="201" w:lineRule="exact"/>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18"/>
                <w:szCs w:val="18"/>
                <w:color w:val="auto"/>
                <w:vertAlign w:val="superscript"/>
              </w:rPr>
              <w:t>(g)</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right"/>
              <w:ind w:right="157"/>
              <w:spacing w:after="0" w:line="201" w:lineRule="exact"/>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18"/>
                <w:szCs w:val="18"/>
                <w:color w:val="auto"/>
                <w:vertAlign w:val="superscript"/>
              </w:rPr>
              <w:t>(g)</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4,102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4,460</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 %</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(8.6) %</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12,756</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13,638</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 %</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(7.0) %</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Technical and support</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1,908</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1,867</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9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5,712</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5,525</w:t>
            </w: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3.4</w:t>
            </w:r>
          </w:p>
        </w:tc>
        <w:tc>
          <w:tcPr>
            <w:tcW w:w="9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Direct product costs</w:t>
            </w:r>
            <w:r>
              <w:rPr>
                <w:rFonts w:ascii="Times New Roman" w:cs="Times New Roman" w:eastAsia="Times New Roman" w:hAnsi="Times New Roman"/>
                <w:sz w:val="23"/>
                <w:szCs w:val="23"/>
                <w:color w:val="auto"/>
                <w:vertAlign w:val="superscript"/>
              </w:rPr>
              <w:t>(c)</w:t>
            </w:r>
          </w:p>
        </w:tc>
        <w:tc>
          <w:tcPr>
            <w:tcW w:w="22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1,675</w:t>
            </w:r>
          </w:p>
        </w:tc>
        <w:tc>
          <w:tcPr>
            <w:tcW w:w="30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1,554</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9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4,705</w:t>
            </w:r>
          </w:p>
        </w:tc>
        <w:tc>
          <w:tcPr>
            <w:tcW w:w="30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4,362</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7.8</w:t>
            </w:r>
          </w:p>
        </w:tc>
        <w:tc>
          <w:tcPr>
            <w:tcW w:w="92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Marketing and promotion</w:t>
            </w:r>
            <w:r>
              <w:rPr>
                <w:rFonts w:ascii="Times New Roman" w:cs="Times New Roman" w:eastAsia="Times New Roman" w:hAnsi="Times New Roman"/>
                <w:sz w:val="23"/>
                <w:szCs w:val="23"/>
                <w:color w:val="auto"/>
                <w:vertAlign w:val="superscript"/>
              </w:rPr>
              <w: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1,234</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1,169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9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3,547</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3,585</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Customer service</w:t>
            </w:r>
            <w:r>
              <w:rPr>
                <w:rFonts w:ascii="Times New Roman" w:cs="Times New Roman" w:eastAsia="Times New Roman" w:hAnsi="Times New Roman"/>
                <w:sz w:val="23"/>
                <w:szCs w:val="23"/>
                <w:color w:val="auto"/>
                <w:vertAlign w:val="superscript"/>
              </w:rPr>
              <w:t>(e)</w:t>
            </w:r>
          </w:p>
        </w:tc>
        <w:tc>
          <w:tcPr>
            <w:tcW w:w="22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680</w:t>
            </w:r>
          </w:p>
        </w:tc>
        <w:tc>
          <w:tcPr>
            <w:tcW w:w="30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692</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2,072</w:t>
            </w:r>
          </w:p>
        </w:tc>
        <w:tc>
          <w:tcPr>
            <w:tcW w:w="30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2,097</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auto"/>
            </w:tcBorders>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2,395</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2,308</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98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7,023</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6,915</w:t>
            </w:r>
          </w:p>
        </w:tc>
        <w:tc>
          <w:tcPr>
            <w:tcW w:w="10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4"/>
        </w:trPr>
        <w:tc>
          <w:tcPr>
            <w:tcW w:w="30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Total Connectivity &amp; Platforms costs</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11,996</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12,050</w:t>
            </w:r>
          </w:p>
        </w:tc>
        <w:tc>
          <w:tcPr>
            <w:tcW w:w="10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(0.4)%</w:t>
            </w:r>
          </w:p>
        </w:tc>
        <w:tc>
          <w:tcPr>
            <w:tcW w:w="9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(1.1)%</w:t>
            </w: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35,816</w:t>
            </w: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36,122</w:t>
            </w:r>
          </w:p>
        </w:tc>
        <w:tc>
          <w:tcPr>
            <w:tcW w:w="10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(0.8)%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(1.4)%</w:t>
            </w:r>
          </w:p>
        </w:tc>
        <w:tc>
          <w:tcPr>
            <w:tcW w:w="0" w:type="dxa"/>
            <w:vAlign w:val="bottom"/>
          </w:tcPr>
          <w:p>
            <w:pPr>
              <w:spacing w:after="0"/>
              <w:rPr>
                <w:sz w:val="1"/>
                <w:szCs w:val="1"/>
                <w:color w:val="auto"/>
              </w:rPr>
            </w:pPr>
          </w:p>
        </w:tc>
      </w:tr>
      <w:tr>
        <w:trPr>
          <w:trHeight w:val="245"/>
        </w:trPr>
        <w:tc>
          <w:tcPr>
            <w:tcW w:w="3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and expenses</w:t>
            </w:r>
          </w:p>
        </w:tc>
        <w:tc>
          <w:tcPr>
            <w:tcW w:w="22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260" w:hanging="252"/>
        <w:spacing w:after="0" w:line="275" w:lineRule="auto"/>
        <w:tabs>
          <w:tab w:leader="none" w:pos="2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networks, including amortization of licensed content.</w:t>
      </w:r>
    </w:p>
    <w:p>
      <w:pPr>
        <w:ind w:left="260" w:right="20" w:hanging="252"/>
        <w:spacing w:after="0" w:line="281" w:lineRule="auto"/>
        <w:tabs>
          <w:tab w:leader="none" w:pos="2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support expenses primarily include costs for labor to complete service call and installation activities; and costs for network operations and satellite transmission, product development, fulfillment and provisioning.</w:t>
      </w:r>
    </w:p>
    <w:p>
      <w:pPr>
        <w:spacing w:after="0" w:line="1" w:lineRule="exact"/>
        <w:rPr>
          <w:rFonts w:ascii="Times New Roman" w:cs="Times New Roman" w:eastAsia="Times New Roman" w:hAnsi="Times New Roman"/>
          <w:sz w:val="14"/>
          <w:szCs w:val="14"/>
          <w:color w:val="auto"/>
        </w:rPr>
      </w:pPr>
    </w:p>
    <w:p>
      <w:pPr>
        <w:ind w:left="260" w:hanging="252"/>
        <w:spacing w:after="0" w:line="291" w:lineRule="auto"/>
        <w:tabs>
          <w:tab w:leader="none" w:pos="2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product costs primarily include access fees related to using wireless and broadband networks owned by third parties to deliver our services and costs of products sold, including wireless devices and Sky Glass smart televisions.</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promotion expenses include the costs associated with attracting new customers and promoting our service offerings.</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 expenses include the personnel and other costs associated with customer service and certain selling activities.</w:t>
      </w:r>
    </w:p>
    <w:p>
      <w:pPr>
        <w:spacing w:after="0" w:line="41" w:lineRule="exact"/>
        <w:rPr>
          <w:rFonts w:ascii="Times New Roman" w:cs="Times New Roman" w:eastAsia="Times New Roman" w:hAnsi="Times New Roman"/>
          <w:sz w:val="14"/>
          <w:szCs w:val="14"/>
          <w:color w:val="auto"/>
        </w:rPr>
      </w:pPr>
    </w:p>
    <w:p>
      <w:pPr>
        <w:ind w:left="260" w:hanging="252"/>
        <w:spacing w:after="0" w:line="291" w:lineRule="auto"/>
        <w:tabs>
          <w:tab w:leader="none" w:pos="25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primarily include administrative personnel costs; franchise and other regulatory fees; fees paid to third parties where we represent the advertising sales efforts; other business support costs, including building and office expenses, taxes and billing costs; and bad debt.</w:t>
      </w:r>
    </w:p>
    <w:p>
      <w:pPr>
        <w:spacing w:after="0" w:line="1" w:lineRule="exact"/>
        <w:rPr>
          <w:rFonts w:ascii="Times New Roman" w:cs="Times New Roman" w:eastAsia="Times New Roman" w:hAnsi="Times New Roman"/>
          <w:sz w:val="14"/>
          <w:szCs w:val="14"/>
          <w:color w:val="auto"/>
        </w:rPr>
      </w:pPr>
    </w:p>
    <w:p>
      <w:pPr>
        <w:ind w:left="260" w:hanging="252"/>
        <w:spacing w:after="0" w:line="297" w:lineRule="auto"/>
        <w:tabs>
          <w:tab w:leader="none" w:pos="2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24 for additional information, including our definition and our use of constant currency, and for a reconciliation of constant currency amounts.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Residential Connectivity &amp; Platforms Segment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vMerge w:val="restart"/>
          </w:tcPr>
          <w:p>
            <w:pPr>
              <w:jc w:val="right"/>
              <w:ind w:right="411"/>
              <w:spacing w:after="0"/>
              <w:rPr>
                <w:sz w:val="20"/>
                <w:szCs w:val="20"/>
                <w:color w:val="auto"/>
              </w:rPr>
            </w:pPr>
            <w:r>
              <w:rPr>
                <w:rFonts w:ascii="Times New Roman" w:cs="Times New Roman" w:eastAsia="Times New Roman" w:hAnsi="Times New Roman"/>
                <w:sz w:val="14"/>
                <w:szCs w:val="14"/>
                <w:color w:val="auto"/>
              </w:rPr>
              <w:t>Three Months Ended</w:t>
            </w:r>
          </w:p>
        </w:tc>
        <w:tc>
          <w:tcPr>
            <w:tcW w:w="1060" w:type="dxa"/>
            <w:vAlign w:val="bottom"/>
          </w:tcPr>
          <w:p>
            <w:pPr>
              <w:spacing w:after="0"/>
              <w:rPr>
                <w:sz w:val="13"/>
                <w:szCs w:val="13"/>
                <w:color w:val="auto"/>
              </w:rPr>
            </w:pP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4"/>
                <w:szCs w:val="14"/>
                <w:color w:val="auto"/>
              </w:rPr>
              <w:t>Constant</w:t>
            </w:r>
          </w:p>
        </w:tc>
        <w:tc>
          <w:tcPr>
            <w:tcW w:w="280" w:type="dxa"/>
            <w:vAlign w:val="bottom"/>
          </w:tcPr>
          <w:p>
            <w:pPr>
              <w:spacing w:after="0"/>
              <w:rPr>
                <w:sz w:val="13"/>
                <w:szCs w:val="13"/>
                <w:color w:val="auto"/>
              </w:rPr>
            </w:pPr>
          </w:p>
        </w:tc>
        <w:tc>
          <w:tcPr>
            <w:tcW w:w="1900" w:type="dxa"/>
            <w:vAlign w:val="bottom"/>
            <w:gridSpan w:val="3"/>
            <w:vMerge w:val="restart"/>
          </w:tcPr>
          <w:p>
            <w:pPr>
              <w:jc w:val="right"/>
              <w:ind w:right="451"/>
              <w:spacing w:after="0"/>
              <w:rPr>
                <w:sz w:val="20"/>
                <w:szCs w:val="20"/>
                <w:color w:val="auto"/>
              </w:rPr>
            </w:pPr>
            <w:r>
              <w:rPr>
                <w:rFonts w:ascii="Times New Roman" w:cs="Times New Roman" w:eastAsia="Times New Roman" w:hAnsi="Times New Roman"/>
                <w:sz w:val="14"/>
                <w:szCs w:val="14"/>
                <w:color w:val="auto"/>
              </w:rPr>
              <w:t>Nine Months Ended</w:t>
            </w:r>
          </w:p>
        </w:tc>
        <w:tc>
          <w:tcPr>
            <w:tcW w:w="1060" w:type="dxa"/>
            <w:vAlign w:val="bottom"/>
          </w:tcPr>
          <w:p>
            <w:pPr>
              <w:spacing w:after="0"/>
              <w:rPr>
                <w:sz w:val="13"/>
                <w:szCs w:val="13"/>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0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color w:val="auto"/>
              </w:rPr>
              <w:t>Change</w:t>
            </w:r>
          </w:p>
        </w:tc>
        <w:tc>
          <w:tcPr>
            <w:tcW w:w="9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color w:val="auto"/>
                <w:w w:val="99"/>
              </w:rPr>
              <w:t>Currency</w:t>
            </w:r>
          </w:p>
        </w:tc>
        <w:tc>
          <w:tcPr>
            <w:tcW w:w="28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0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color w:val="auto"/>
              </w:rPr>
              <w:t>Change</w:t>
            </w:r>
          </w:p>
        </w:tc>
        <w:tc>
          <w:tcPr>
            <w:tcW w:w="9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591"/>
              <w:spacing w:after="0"/>
              <w:rPr>
                <w:sz w:val="20"/>
                <w:szCs w:val="20"/>
                <w:color w:val="auto"/>
              </w:rPr>
            </w:pPr>
            <w:r>
              <w:rPr>
                <w:rFonts w:ascii="Times New Roman" w:cs="Times New Roman" w:eastAsia="Times New Roman" w:hAnsi="Times New Roman"/>
                <w:sz w:val="14"/>
                <w:szCs w:val="14"/>
                <w:color w:val="auto"/>
              </w:rPr>
              <w:t>September 30,</w:t>
            </w:r>
          </w:p>
        </w:tc>
        <w:tc>
          <w:tcPr>
            <w:tcW w:w="106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jc w:val="center"/>
              <w:ind w:right="95"/>
              <w:spacing w:after="0" w:line="202" w:lineRule="exact"/>
              <w:rPr>
                <w:sz w:val="20"/>
                <w:szCs w:val="20"/>
                <w:color w:val="auto"/>
              </w:rPr>
            </w:pPr>
            <w:r>
              <w:rPr>
                <w:rFonts w:ascii="Times New Roman" w:cs="Times New Roman" w:eastAsia="Times New Roman" w:hAnsi="Times New Roman"/>
                <w:sz w:val="14"/>
                <w:szCs w:val="14"/>
                <w:color w:val="auto"/>
                <w:w w:val="99"/>
              </w:rPr>
              <w:t>Change</w:t>
            </w:r>
            <w:r>
              <w:rPr>
                <w:rFonts w:ascii="Times New Roman" w:cs="Times New Roman" w:eastAsia="Times New Roman" w:hAnsi="Times New Roman"/>
                <w:sz w:val="18"/>
                <w:szCs w:val="18"/>
                <w:color w:val="auto"/>
                <w:w w:val="99"/>
                <w:vertAlign w:val="superscript"/>
              </w:rPr>
              <w:t>(a)</w:t>
            </w: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611"/>
              <w:spacing w:after="0"/>
              <w:rPr>
                <w:sz w:val="20"/>
                <w:szCs w:val="20"/>
                <w:color w:val="auto"/>
              </w:rPr>
            </w:pPr>
            <w:r>
              <w:rPr>
                <w:rFonts w:ascii="Times New Roman" w:cs="Times New Roman" w:eastAsia="Times New Roman" w:hAnsi="Times New Roman"/>
                <w:sz w:val="14"/>
                <w:szCs w:val="14"/>
                <w:color w:val="auto"/>
              </w:rPr>
              <w:t>September 30,</w:t>
            </w:r>
          </w:p>
        </w:tc>
        <w:tc>
          <w:tcPr>
            <w:tcW w:w="10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jc w:val="center"/>
              <w:ind w:right="35"/>
              <w:spacing w:after="0" w:line="202" w:lineRule="exact"/>
              <w:rPr>
                <w:sz w:val="20"/>
                <w:szCs w:val="20"/>
                <w:color w:val="auto"/>
              </w:rPr>
            </w:pPr>
            <w:r>
              <w:rPr>
                <w:rFonts w:ascii="Times New Roman" w:cs="Times New Roman" w:eastAsia="Times New Roman" w:hAnsi="Times New Roman"/>
                <w:sz w:val="14"/>
                <w:szCs w:val="14"/>
                <w:color w:val="auto"/>
                <w:w w:val="96"/>
              </w:rPr>
              <w:t>Change</w:t>
            </w:r>
            <w:r>
              <w:rPr>
                <w:rFonts w:ascii="Times New Roman" w:cs="Times New Roman" w:eastAsia="Times New Roman" w:hAnsi="Times New Roman"/>
                <w:sz w:val="18"/>
                <w:szCs w:val="18"/>
                <w:color w:val="auto"/>
                <w:w w:val="96"/>
                <w:vertAlign w:val="superscript"/>
              </w:rPr>
              <w:t>(a)</w:t>
            </w:r>
          </w:p>
        </w:tc>
        <w:tc>
          <w:tcPr>
            <w:tcW w:w="0" w:type="dxa"/>
            <w:vAlign w:val="bottom"/>
          </w:tcPr>
          <w:p>
            <w:pPr>
              <w:spacing w:after="0"/>
              <w:rPr>
                <w:sz w:val="1"/>
                <w:szCs w:val="1"/>
                <w:color w:val="auto"/>
              </w:rPr>
            </w:pPr>
          </w:p>
        </w:tc>
      </w:tr>
      <w:tr>
        <w:trPr>
          <w:trHeight w:val="190"/>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broadband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6,539</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6,366</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19,700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19,086</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1,093</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917</w:t>
            </w:r>
          </w:p>
        </w:tc>
        <w:tc>
          <w:tcPr>
            <w:tcW w:w="10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19.2</w:t>
            </w:r>
          </w:p>
        </w:tc>
        <w:tc>
          <w:tcPr>
            <w:tcW w:w="9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3,084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2,644</w:t>
            </w:r>
          </w:p>
        </w:tc>
        <w:tc>
          <w:tcPr>
            <w:tcW w:w="10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16.6</w:t>
            </w:r>
          </w:p>
        </w:tc>
        <w:tc>
          <w:tcPr>
            <w:tcW w:w="9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1,236</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1,109</w:t>
            </w: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11.4</w:t>
            </w:r>
          </w:p>
        </w:tc>
        <w:tc>
          <w:tcPr>
            <w:tcW w:w="9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3,500</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3,009</w:t>
            </w: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16.3</w:t>
            </w:r>
          </w:p>
        </w:tc>
        <w:tc>
          <w:tcPr>
            <w:tcW w:w="9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8,869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8,393</w:t>
            </w:r>
          </w:p>
        </w:tc>
        <w:tc>
          <w:tcPr>
            <w:tcW w:w="10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5.7</w:t>
            </w:r>
          </w:p>
        </w:tc>
        <w:tc>
          <w:tcPr>
            <w:tcW w:w="9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26,284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24,739</w:t>
            </w:r>
          </w:p>
        </w:tc>
        <w:tc>
          <w:tcPr>
            <w:tcW w:w="10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6.2</w:t>
            </w:r>
          </w:p>
        </w:tc>
        <w:tc>
          <w:tcPr>
            <w:tcW w:w="9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6,713</w:t>
            </w:r>
          </w:p>
        </w:tc>
        <w:tc>
          <w:tcPr>
            <w:tcW w:w="30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7,154</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(6.2)</w:t>
            </w:r>
          </w:p>
        </w:tc>
        <w:tc>
          <w:tcPr>
            <w:tcW w:w="9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20,370</w:t>
            </w:r>
          </w:p>
        </w:tc>
        <w:tc>
          <w:tcPr>
            <w:tcW w:w="30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21,895</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(7.0)</w:t>
            </w:r>
          </w:p>
        </w:tc>
        <w:tc>
          <w:tcPr>
            <w:tcW w:w="9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987</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960</w:t>
            </w:r>
          </w:p>
        </w:tc>
        <w:tc>
          <w:tcPr>
            <w:tcW w:w="10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2,931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2,860</w:t>
            </w:r>
          </w:p>
        </w:tc>
        <w:tc>
          <w:tcPr>
            <w:tcW w:w="10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1,298</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1,444</w:t>
            </w:r>
          </w:p>
        </w:tc>
        <w:tc>
          <w:tcPr>
            <w:tcW w:w="10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3,973</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4,394</w:t>
            </w:r>
          </w:p>
        </w:tc>
        <w:tc>
          <w:tcPr>
            <w:tcW w:w="10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(9.6)</w:t>
            </w:r>
          </w:p>
        </w:tc>
        <w:tc>
          <w:tcPr>
            <w:tcW w:w="9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17,866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17,951</w:t>
            </w:r>
          </w:p>
        </w:tc>
        <w:tc>
          <w:tcPr>
            <w:tcW w:w="10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(0.5)</w:t>
            </w:r>
          </w:p>
        </w:tc>
        <w:tc>
          <w:tcPr>
            <w:tcW w:w="9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53,558</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53,888</w:t>
            </w:r>
          </w:p>
        </w:tc>
        <w:tc>
          <w:tcPr>
            <w:tcW w:w="10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(0.6)</w:t>
            </w:r>
          </w:p>
        </w:tc>
        <w:tc>
          <w:tcPr>
            <w:tcW w:w="9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4,102</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4,460</w:t>
            </w:r>
          </w:p>
        </w:tc>
        <w:tc>
          <w:tcPr>
            <w:tcW w:w="10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(8.0)</w:t>
            </w:r>
          </w:p>
        </w:tc>
        <w:tc>
          <w:tcPr>
            <w:tcW w:w="9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12,756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13,638</w:t>
            </w:r>
          </w:p>
        </w:tc>
        <w:tc>
          <w:tcPr>
            <w:tcW w:w="10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(6.5)</w:t>
            </w:r>
          </w:p>
        </w:tc>
        <w:tc>
          <w:tcPr>
            <w:tcW w:w="9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6,860</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6,605</w:t>
            </w: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19,943</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19,578</w:t>
            </w: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10,962</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11,065</w:t>
            </w:r>
          </w:p>
        </w:tc>
        <w:tc>
          <w:tcPr>
            <w:tcW w:w="10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32,699</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33,216</w:t>
            </w:r>
          </w:p>
        </w:tc>
        <w:tc>
          <w:tcPr>
            <w:tcW w:w="106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6,904</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6,886</w:t>
            </w: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0.3 %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20,859</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20,672</w:t>
            </w: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0.9 %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60" w:right="20" w:hanging="252"/>
        <w:spacing w:after="0" w:line="302" w:lineRule="auto"/>
        <w:tabs>
          <w:tab w:leader="none" w:pos="25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24 for additional information, including our definition and our use of constant currency, and for a reconciliation of constant currency amounts.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Revenue</w:t>
      </w:r>
    </w:p>
    <w:p>
      <w:pPr>
        <w:spacing w:after="0" w:line="118"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b w:val="1"/>
          <w:bCs w:val="1"/>
          <w:i w:val="1"/>
          <w:iCs w:val="1"/>
          <w:color w:val="auto"/>
        </w:rPr>
        <w:t xml:space="preserve">Domestic broadband revenue </w:t>
      </w:r>
      <w:r>
        <w:rPr>
          <w:rFonts w:ascii="Times New Roman" w:cs="Times New Roman" w:eastAsia="Times New Roman" w:hAnsi="Times New Roman"/>
          <w:sz w:val="18"/>
          <w:szCs w:val="18"/>
          <w:color w:val="auto"/>
        </w:rPr>
        <w:t>increased for the three and nine months ended September 30, 2024 compared to the same periods in 2023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increases in average rates.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Domestic wireless revenue </w:t>
      </w:r>
      <w:r>
        <w:rPr>
          <w:rFonts w:ascii="Times New Roman" w:cs="Times New Roman" w:eastAsia="Times New Roman" w:hAnsi="Times New Roman"/>
          <w:sz w:val="18"/>
          <w:szCs w:val="18"/>
          <w:color w:val="auto"/>
        </w:rPr>
        <w:t>increased for the three and nine months ended September 30, 2024 compared to the same periods in 2023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increases in the number of customer lines and device sales.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International connectivity revenue </w:t>
      </w:r>
      <w:r>
        <w:rPr>
          <w:rFonts w:ascii="Times New Roman" w:cs="Times New Roman" w:eastAsia="Times New Roman" w:hAnsi="Times New Roman"/>
          <w:sz w:val="18"/>
          <w:szCs w:val="18"/>
          <w:color w:val="auto"/>
        </w:rPr>
        <w:t>increased for the three and nine months ended September 30, 2024 compared to the same periods in 2023</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increases in broadband revenue resulting from an increase in average rates. The increase for the nine months ended September 30, 2024 also includes an increase in wireless revenue primarily resulting from an increase in the sale of wireless services. The increases for the three and nine months ended September 30, 2024 include the positive impact of foreign currency.</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Video revenue </w:t>
      </w:r>
      <w:r>
        <w:rPr>
          <w:rFonts w:ascii="Times New Roman" w:cs="Times New Roman" w:eastAsia="Times New Roman" w:hAnsi="Times New Roman"/>
          <w:sz w:val="18"/>
          <w:szCs w:val="18"/>
          <w:color w:val="auto"/>
        </w:rPr>
        <w:t>decreased for the three and nine months ended September 30, 2024 compared to the same periods in 2023 due to declines in the overall</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number of video customers, partially offset by overall increases in average rates.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Advertising revenue </w:t>
      </w:r>
      <w:r>
        <w:rPr>
          <w:rFonts w:ascii="Times New Roman" w:cs="Times New Roman" w:eastAsia="Times New Roman" w:hAnsi="Times New Roman"/>
          <w:sz w:val="18"/>
          <w:szCs w:val="18"/>
          <w:color w:val="auto"/>
        </w:rPr>
        <w:t>increased for the three months ended September 30, 2024 compared to the same period in 2023 primarily driven by an increase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domestic political advertising, partially offset by lower domestic nonpolitical and international advertising.</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revenue increased for the nine months ended September 30, 2024 compared to the same period in 2023 primarily driven by an increase in domestic political advertising, increased revenue from our advanced advertising business and the positive impact of foreign currency, partially offset by lower domestic nonpolitical advertising.</w:t>
      </w:r>
    </w:p>
    <w:p>
      <w:pPr>
        <w:spacing w:after="0" w:line="1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Times New Roman" w:cs="Times New Roman" w:eastAsia="Times New Roman" w:hAnsi="Times New Roman"/>
          <w:sz w:val="18"/>
          <w:szCs w:val="18"/>
          <w:color w:val="auto"/>
        </w:rPr>
        <w:t>decreased for the three and nine months ended September 30, 2024 compared to the same periods in 2023 primarily due to decreases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residential wireline voice revenue driven by declines in the number of customers.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Costs and Expenses</w:t>
      </w:r>
    </w:p>
    <w:p>
      <w:pPr>
        <w:spacing w:after="0" w:line="10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Programming expenses </w:t>
      </w:r>
      <w:r>
        <w:rPr>
          <w:rFonts w:ascii="Times New Roman" w:cs="Times New Roman" w:eastAsia="Times New Roman" w:hAnsi="Times New Roman"/>
          <w:sz w:val="18"/>
          <w:szCs w:val="18"/>
          <w:color w:val="auto"/>
        </w:rPr>
        <w:t>decreased for the three and nine months ended September 30, 2024 compared to the same periods in 2023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declines in the number of domestic video subscribers, partially offset by rate increases under our domestic programming contracts.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Other expenses </w:t>
      </w:r>
      <w:r>
        <w:rPr>
          <w:rFonts w:ascii="Times New Roman" w:cs="Times New Roman" w:eastAsia="Times New Roman" w:hAnsi="Times New Roman"/>
          <w:sz w:val="18"/>
          <w:szCs w:val="18"/>
          <w:color w:val="auto"/>
        </w:rPr>
        <w:t>increased for the three months ended September 30, 2024 compared to the same period in 2023 primarily due to increased direct product</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costs, the impact of foreign currency, higher technical and support expenses, and increased spending on marketing and promotion, including spending associated with the Paris Olympics.</w:t>
      </w:r>
    </w:p>
    <w:p>
      <w:pPr>
        <w:spacing w:after="0" w:line="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expenses increased for the nine months ended September 30, 2024 compared to the same period in 2023 primarily due to increased direct product costs, the impact of foreign currency and higher technical and support expenses, partially offset by decreased spending on marketing and promotion.</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Services Connectivity Segment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color w:val="auto"/>
              </w:rPr>
              <w:t>Three Months Ended</w:t>
            </w:r>
          </w:p>
        </w:tc>
        <w:tc>
          <w:tcPr>
            <w:tcW w:w="920" w:type="dxa"/>
            <w:vAlign w:val="bottom"/>
            <w:vMerge w:val="restart"/>
          </w:tcPr>
          <w:p>
            <w:pPr>
              <w:jc w:val="center"/>
              <w:ind w:left="37"/>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gridSpan w:val="3"/>
          </w:tcPr>
          <w:p>
            <w:pPr>
              <w:jc w:val="right"/>
              <w:ind w:right="735"/>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vMerge w:val="restart"/>
          </w:tcPr>
          <w:p>
            <w:pPr>
              <w:jc w:val="center"/>
              <w:ind w:left="17"/>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2023</w:t>
            </w:r>
          </w:p>
        </w:tc>
        <w:tc>
          <w:tcPr>
            <w:tcW w:w="9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2023</w:t>
            </w:r>
          </w:p>
        </w:tc>
        <w:tc>
          <w:tcPr>
            <w:tcW w:w="9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2,425</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2,320</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7,253</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6,894</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1,034</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985</w:t>
            </w: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3,117</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2,906</w:t>
            </w:r>
          </w:p>
        </w:tc>
        <w:tc>
          <w:tcPr>
            <w:tcW w:w="9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1,391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1,335</w:t>
            </w:r>
          </w:p>
        </w:tc>
        <w:tc>
          <w:tcPr>
            <w:tcW w:w="1180" w:type="dxa"/>
            <w:vAlign w:val="bottom"/>
            <w:tcBorders>
              <w:bottom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4.2 %</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4,137</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3,988</w:t>
            </w:r>
          </w:p>
        </w:tc>
        <w:tc>
          <w:tcPr>
            <w:tcW w:w="1140" w:type="dxa"/>
            <w:vAlign w:val="bottom"/>
            <w:tcBorders>
              <w:bottom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3.7 %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Business services connectivity revenue </w:t>
      </w:r>
      <w:r>
        <w:rPr>
          <w:rFonts w:ascii="Times New Roman" w:cs="Times New Roman" w:eastAsia="Times New Roman" w:hAnsi="Times New Roman"/>
          <w:sz w:val="18"/>
          <w:szCs w:val="18"/>
          <w:color w:val="auto"/>
        </w:rPr>
        <w:t>increased for the three and nine months ended September 30, 2024 compared to the same periods in 2023</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due to increases in revenue from medium-sized and enterprise customers and from higher average rates from small business customers.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Business services connectivity costs and expenses </w:t>
      </w:r>
      <w:r>
        <w:rPr>
          <w:rFonts w:ascii="Times New Roman" w:cs="Times New Roman" w:eastAsia="Times New Roman" w:hAnsi="Times New Roman"/>
          <w:sz w:val="18"/>
          <w:szCs w:val="18"/>
          <w:color w:val="auto"/>
        </w:rPr>
        <w:t>increased for the three and nine months ended September 30, 2024 compared to the same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periods in 2023 primarily due to increases in direct product costs and in marketing and promotion. The increase for the nine months ended September 30, 2024 also includes an increase in technical and support expenses.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Results of Operations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jc w:val="right"/>
              <w:ind w:right="731"/>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420" w:type="dxa"/>
            <w:vAlign w:val="bottom"/>
            <w:gridSpan w:val="3"/>
          </w:tcPr>
          <w:p>
            <w:pPr>
              <w:jc w:val="right"/>
              <w:ind w:right="831"/>
              <w:spacing w:after="0"/>
              <w:rPr>
                <w:sz w:val="20"/>
                <w:szCs w:val="20"/>
                <w:color w:val="auto"/>
              </w:rPr>
            </w:pPr>
            <w:r>
              <w:rPr>
                <w:rFonts w:ascii="Times New Roman" w:cs="Times New Roman" w:eastAsia="Times New Roman" w:hAnsi="Times New Roman"/>
                <w:sz w:val="14"/>
                <w:szCs w:val="14"/>
                <w:color w:val="auto"/>
              </w:rPr>
              <w:t>Nine Months Ended</w:t>
            </w:r>
          </w:p>
        </w:tc>
        <w:tc>
          <w:tcPr>
            <w:tcW w:w="122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w w:val="99"/>
              </w:rPr>
              <w:t>2023</w:t>
            </w: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color w:val="auto"/>
              </w:rPr>
              <w:t>2023</w:t>
            </w: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6,029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18,376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2,518</w:t>
            </w:r>
          </w:p>
        </w:tc>
        <w:tc>
          <w:tcPr>
            <w:tcW w:w="12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8,561</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460" w:type="dxa"/>
            <w:vAlign w:val="bottom"/>
          </w:tcPr>
          <w:p>
            <w:pPr>
              <w:spacing w:after="0"/>
              <w:rPr>
                <w:sz w:val="19"/>
                <w:szCs w:val="19"/>
                <w:color w:val="auto"/>
              </w:rPr>
            </w:pP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2,418</w:t>
            </w: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440" w:type="dxa"/>
            <w:vAlign w:val="bottom"/>
          </w:tcPr>
          <w:p>
            <w:pPr>
              <w:spacing w:after="0"/>
              <w:rPr>
                <w:sz w:val="19"/>
                <w:szCs w:val="19"/>
                <w:color w:val="auto"/>
              </w:rPr>
            </w:pPr>
          </w:p>
        </w:tc>
        <w:tc>
          <w:tcPr>
            <w:tcW w:w="10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6,576</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45</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7"/>
              </w:rPr>
              <w:t>(758)</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(419)</w:t>
            </w:r>
          </w:p>
        </w:tc>
        <w:tc>
          <w:tcPr>
            <w:tcW w:w="12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(80.7)</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(1,867)</w:t>
            </w:r>
          </w:p>
        </w:tc>
        <w:tc>
          <w:tcPr>
            <w:tcW w:w="12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12,599</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10,559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33,030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31,690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2,847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460" w:type="dxa"/>
            <w:vAlign w:val="bottom"/>
          </w:tcPr>
          <w:p>
            <w:pPr>
              <w:spacing w:after="0"/>
              <w:rPr>
                <w:sz w:val="19"/>
                <w:szCs w:val="19"/>
                <w:color w:val="auto"/>
              </w:rPr>
            </w:pP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429</w:t>
            </w: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440" w:type="dxa"/>
            <w:vAlign w:val="bottom"/>
          </w:tcPr>
          <w:p>
            <w:pPr>
              <w:spacing w:after="0"/>
              <w:rPr>
                <w:sz w:val="19"/>
                <w:szCs w:val="19"/>
                <w:color w:val="auto"/>
              </w:rPr>
            </w:pPr>
          </w:p>
        </w:tc>
        <w:tc>
          <w:tcPr>
            <w:tcW w:w="10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961</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983</w:t>
            </w: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(13.8)</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2,473</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280" w:type="dxa"/>
            <w:vAlign w:val="bottom"/>
          </w:tcPr>
          <w:p>
            <w:pPr>
              <w:spacing w:after="0"/>
              <w:rPr>
                <w:sz w:val="19"/>
                <w:szCs w:val="19"/>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(200)</w:t>
            </w:r>
          </w:p>
        </w:tc>
        <w:tc>
          <w:tcPr>
            <w:tcW w:w="46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(178)</w:t>
            </w: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440" w:type="dxa"/>
            <w:vAlign w:val="bottom"/>
          </w:tcPr>
          <w:p>
            <w:pPr>
              <w:spacing w:after="0"/>
              <w:rPr>
                <w:sz w:val="19"/>
                <w:szCs w:val="19"/>
                <w:color w:val="auto"/>
              </w:rPr>
            </w:pPr>
          </w:p>
        </w:tc>
        <w:tc>
          <w:tcPr>
            <w:tcW w:w="10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(610)</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125.6</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97</w:t>
            </w: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69"/>
        </w:trPr>
        <w:tc>
          <w:tcPr>
            <w:tcW w:w="34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Content &amp; Experiences Adjusted</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1,802</w:t>
            </w: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1,973</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5,244</w:t>
            </w: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5,768</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8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4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our Media segment as a combined television and streaming business. We expect that the number of subscribers and audience ratings at our linear television networks will continue to decline as a result of the competitive environment and shifting video consumption patterns, which we aim to mitigate over time by continued growth in paid subscribers and advertising revenue at Peacock. We expect to continue to incur significant costs related to content and marketing at Peacock. Revenue and programming expenses are also impacted by the timing of certain sporting events, including the Olympics in the third quarter of 2024. Global economic conditions and consumer sentiment have in the past adversely impacted, and may continue to adversely impact, demand for our products and services and our results of operations.</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Studios segment generates revenue primarily from third parties and from licensing content to our Media segment. While results of operations for our Studios segment are not impacted, results for our total Content &amp; Experiences business may be impacted as the Studios segment licenses content to the Media segment, including for Peacock, rather than licensing the content to third parties. The Writers Guild of America and the Screen Actors Guild-American Federation of Television and Radio Artists work stoppages from May to September 2023 and July to November 2023, respectively, resulted in reduced content licensing revenue and programming and production costs at our Studios segment in the three and nine months ended September 30, 2023.</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invest significantly in existing and new theme park attractions, hotels and infrastructure, including Epic Universe in Orlando, as well as in new destinations and experiences, which we believe will have a positive impact on attendance and guest spending at our theme parks.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Segment Results of Operations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jc w:val="right"/>
              <w:ind w:right="732"/>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40" w:type="dxa"/>
            <w:vAlign w:val="bottom"/>
            <w:gridSpan w:val="3"/>
          </w:tcPr>
          <w:p>
            <w:pPr>
              <w:jc w:val="right"/>
              <w:ind w:right="752"/>
              <w:spacing w:after="0"/>
              <w:rPr>
                <w:sz w:val="20"/>
                <w:szCs w:val="20"/>
                <w:color w:val="auto"/>
              </w:rPr>
            </w:pPr>
            <w:r>
              <w:rPr>
                <w:rFonts w:ascii="Times New Roman" w:cs="Times New Roman" w:eastAsia="Times New Roman" w:hAnsi="Times New Roman"/>
                <w:sz w:val="14"/>
                <w:szCs w:val="14"/>
                <w:color w:val="auto"/>
              </w:rPr>
              <w:t>Nine Months Ended</w:t>
            </w:r>
          </w:p>
        </w:tc>
        <w:tc>
          <w:tcPr>
            <w:tcW w:w="10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2023</w:t>
            </w: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 advertising</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1,913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5,965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Domestic distribution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2,591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7,916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networks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46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1,019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46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3,062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506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1,433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8,231</w:t>
            </w:r>
          </w:p>
        </w:tc>
        <w:tc>
          <w:tcPr>
            <w:tcW w:w="46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6,029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20,926</w:t>
            </w:r>
          </w:p>
        </w:tc>
        <w:tc>
          <w:tcPr>
            <w:tcW w:w="46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18,376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46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3,944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46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11,567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and promotion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975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1,034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2,987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5,306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15,529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723</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2,832</w:t>
            </w:r>
          </w:p>
        </w:tc>
        <w:tc>
          <w:tcPr>
            <w:tcW w:w="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2,847</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Revenue</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increased for the three and nine months ended September 30, 2024 compared to the same periods in 2023 primarily due to the Paris Olympics in the third quarter of 2024. Excluding incremental revenue associated with the Paris Olympics, revenue for the three months ended September 30, 2024 increased primarily due to increases in domestic distribution, international networks and other revenue. Excluding incremental revenue associated with the Paris Olympics, revenue for the nine months ended September 30, 2024 increased primarily due to increases in domestic distribution and international networks revenue, partially offset by a decrease in domestic advertising revenue.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3"/>
          </w:tcPr>
          <w:p>
            <w:pPr>
              <w:jc w:val="right"/>
              <w:ind w:right="472"/>
              <w:spacing w:after="0"/>
              <w:rPr>
                <w:sz w:val="20"/>
                <w:szCs w:val="20"/>
                <w:color w:val="auto"/>
              </w:rPr>
            </w:pPr>
            <w:r>
              <w:rPr>
                <w:rFonts w:ascii="Times New Roman" w:cs="Times New Roman" w:eastAsia="Times New Roman" w:hAnsi="Times New Roman"/>
                <w:sz w:val="14"/>
                <w:szCs w:val="14"/>
                <w:color w:val="auto"/>
              </w:rPr>
              <w:t>Three Months Ended</w:t>
            </w: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Change</w:t>
            </w:r>
          </w:p>
        </w:tc>
        <w:tc>
          <w:tcPr>
            <w:tcW w:w="280" w:type="dxa"/>
            <w:vAlign w:val="bottom"/>
          </w:tcPr>
          <w:p>
            <w:pPr>
              <w:spacing w:after="0"/>
              <w:rPr>
                <w:sz w:val="13"/>
                <w:szCs w:val="13"/>
                <w:color w:val="auto"/>
              </w:rPr>
            </w:pPr>
          </w:p>
        </w:tc>
        <w:tc>
          <w:tcPr>
            <w:tcW w:w="1960" w:type="dxa"/>
            <w:vAlign w:val="bottom"/>
            <w:gridSpan w:val="3"/>
          </w:tcPr>
          <w:p>
            <w:pPr>
              <w:jc w:val="right"/>
              <w:ind w:right="512"/>
              <w:spacing w:after="0"/>
              <w:rPr>
                <w:sz w:val="20"/>
                <w:szCs w:val="20"/>
                <w:color w:val="auto"/>
              </w:rPr>
            </w:pPr>
            <w:r>
              <w:rPr>
                <w:rFonts w:ascii="Times New Roman" w:cs="Times New Roman" w:eastAsia="Times New Roman" w:hAnsi="Times New Roman"/>
                <w:sz w:val="14"/>
                <w:szCs w:val="14"/>
                <w:color w:val="auto"/>
              </w:rPr>
              <w:t>Nine Months Ended</w:t>
            </w:r>
          </w:p>
        </w:tc>
        <w:tc>
          <w:tcPr>
            <w:tcW w:w="10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672"/>
              <w:spacing w:after="0"/>
              <w:rPr>
                <w:sz w:val="20"/>
                <w:szCs w:val="20"/>
                <w:color w:val="auto"/>
              </w:rPr>
            </w:pPr>
            <w:r>
              <w:rPr>
                <w:rFonts w:ascii="Times New Roman" w:cs="Times New Roman" w:eastAsia="Times New Roman" w:hAnsi="Times New Roman"/>
                <w:sz w:val="14"/>
                <w:szCs w:val="14"/>
                <w:color w:val="auto"/>
              </w:rPr>
              <w:t>September 30,</w:t>
            </w:r>
          </w:p>
        </w:tc>
        <w:tc>
          <w:tcPr>
            <w:tcW w:w="10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692"/>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color w:val="auto"/>
              </w:rPr>
              <w:t>2023</w:t>
            </w: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color w:val="auto"/>
              </w:rPr>
              <w:t>2023</w:t>
            </w: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8,231</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6,029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20,926</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18,376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Olympics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260" w:type="dxa"/>
            <w:vAlign w:val="bottom"/>
          </w:tcPr>
          <w:p>
            <w:pPr>
              <w:spacing w:after="0"/>
              <w:rPr>
                <w:sz w:val="19"/>
                <w:szCs w:val="19"/>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260" w:type="dxa"/>
            <w:vAlign w:val="bottom"/>
          </w:tcPr>
          <w:p>
            <w:pPr>
              <w:spacing w:after="0"/>
              <w:rPr>
                <w:sz w:val="19"/>
                <w:szCs w:val="19"/>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Total revenue, excluding Olympics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6,325</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i w:val="1"/>
                <w:iCs w:val="1"/>
                <w:color w:val="auto"/>
              </w:rPr>
              <w:t>6,029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4.9 %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19,020</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i w:val="1"/>
                <w:iCs w:val="1"/>
                <w:color w:val="auto"/>
              </w:rPr>
              <w:t>18,376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3.5 %</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domestic advertising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3,347</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1,913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7,363</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5,965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Olympics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Domestic advertising revenue, excluding Olympics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1,915</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i w:val="1"/>
                <w:iCs w:val="1"/>
                <w:color w:val="auto"/>
              </w:rPr>
              <w:t>1,913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0.1 %</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5,931</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i w:val="1"/>
                <w:iCs w:val="1"/>
                <w:color w:val="auto"/>
              </w:rPr>
              <w:t>5,965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distribution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3,272</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2,591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8,942</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7,916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Olympics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Pr>
          <w:p>
            <w:pPr>
              <w:spacing w:after="0"/>
              <w:rPr>
                <w:sz w:val="19"/>
                <w:szCs w:val="19"/>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Pr>
          <w:p>
            <w:pPr>
              <w:spacing w:after="0"/>
              <w:rPr>
                <w:sz w:val="19"/>
                <w:szCs w:val="19"/>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Domestic distribution revenue, excluding Olympics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2,798</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i w:val="1"/>
                <w:iCs w:val="1"/>
                <w:color w:val="auto"/>
              </w:rPr>
              <w:t>2,591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8.0 %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8,468</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i w:val="1"/>
                <w:iCs w:val="1"/>
                <w:color w:val="auto"/>
              </w:rPr>
              <w:t>7,916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7.0 %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Domestic advertising revenue </w:t>
      </w:r>
      <w:r>
        <w:rPr>
          <w:rFonts w:ascii="Times New Roman" w:cs="Times New Roman" w:eastAsia="Times New Roman" w:hAnsi="Times New Roman"/>
          <w:sz w:val="18"/>
          <w:szCs w:val="18"/>
          <w:color w:val="auto"/>
        </w:rPr>
        <w:t>increased for the three and nine months ended September 30, 2024 compared to the same periods in 2023 primarily due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to the Paris Olympics in the third quarter of 2024. Excluding the incremental revenue associated with this event, domestic advertising revenue remained consistent for the three months ended September 30, 2024 primarily due to an increase in revenue at Peacock, offset by a decrease in revenue at our linear television networks, and it decreased for the nine months ended September 30, 2024 due to a decrease in revenue at our linear television networks, partially offset by an increase in revenue at Peacock.</w:t>
      </w:r>
    </w:p>
    <w:p>
      <w:pPr>
        <w:spacing w:after="0" w:line="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Domestic distribution revenue </w:t>
      </w:r>
      <w:r>
        <w:rPr>
          <w:rFonts w:ascii="Times New Roman" w:cs="Times New Roman" w:eastAsia="Times New Roman" w:hAnsi="Times New Roman"/>
          <w:sz w:val="18"/>
          <w:szCs w:val="18"/>
          <w:color w:val="auto"/>
        </w:rPr>
        <w:t>increased for the three and nine months ended September 30, 2024 compared to the same periods in 2023 and included</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the Paris Olympics in the third quarter of 2024. Excluding the incremental revenue associated with this event, domestic distribution revenue increased for the three and nine months ended September 30, 2024 primarily due to increases in Peacock paid subscribers, partially offset by decreases in revenue at our linear television networks. The decreases at our networks were primarily due to declines in the number of subscribers, partially offset by contractual rate increases.</w:t>
      </w:r>
    </w:p>
    <w:p>
      <w:pPr>
        <w:spacing w:after="0" w:line="24"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International networks revenue </w:t>
      </w:r>
      <w:r>
        <w:rPr>
          <w:rFonts w:ascii="Times New Roman" w:cs="Times New Roman" w:eastAsia="Times New Roman" w:hAnsi="Times New Roman"/>
          <w:sz w:val="18"/>
          <w:szCs w:val="18"/>
          <w:color w:val="auto"/>
        </w:rPr>
        <w:t>increased for the three and nine months ended September 30, 2024 compared to the same periods in 2023 primarily</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due to the positive impact of foreign currency and increases in revenue associated with the distribution of sports networks.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Times New Roman" w:cs="Times New Roman" w:eastAsia="Times New Roman" w:hAnsi="Times New Roman"/>
          <w:sz w:val="18"/>
          <w:szCs w:val="18"/>
          <w:color w:val="auto"/>
        </w:rPr>
        <w:t>increased for the three months ended September 30, 2024 compared to the same period in 2023 primarily due to an increase in revenue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from the licensing of our owned content.</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Media segment total revenue included $1.5 billion and $3.6 billion related to Peacock for the three and nine months ended September 30, 2024, respectively, including amounts related to the Paris Olympics. Media segment total revenue included $830 million and $2.3 billion related to Peacock for the three and nine months ended September 30, 2023, respectively. We had 36 million and 28 million paid subscribers of Peacock as of September 30, 2024 and 2023, respectively. Peacock paid subscribers represent customers from which Peacock receives a subscription fee on a retail or wholesale basis. Paid subscribers do not include certain customers that receive Peacock as part of bundled services where Peacock does not receive fees.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Costs and Expenses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increased for the three and nine months ended September 30, 2024 compared to the same periods in 2023</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costs associated with the Paris Olympics, higher programming costs at Peacock and increases in other sports programming costs for our domestic television networks. The increase for the nine months ended September 30, 2024 was partially offset by a decrease in entertainment content costs for our television networks.</w:t>
      </w:r>
    </w:p>
    <w:p>
      <w:pPr>
        <w:spacing w:after="0" w:line="1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increased for the three and nine months ended September 30, 2024 compared to the same periods in 2023</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increased costs associated with the Paris Olympics. The increase for the three months ended September 30, 2024 also includes increased spending on marketing at Peacock.</w:t>
      </w:r>
    </w:p>
    <w:p>
      <w:pPr>
        <w:spacing w:after="0" w:line="15"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Other expenses </w:t>
      </w:r>
      <w:r>
        <w:rPr>
          <w:rFonts w:ascii="Times New Roman" w:cs="Times New Roman" w:eastAsia="Times New Roman" w:hAnsi="Times New Roman"/>
          <w:sz w:val="18"/>
          <w:szCs w:val="18"/>
          <w:color w:val="auto"/>
        </w:rPr>
        <w:t>increased for the three and nine months ended September 30, 2024 compared to the same periods in 2023 primarily due to increases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costs related to Peacock.</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Media segment total costs and expenses included $1.9 billion and $5.0 billion related to Peacock for the three and nine months ended September 30, 2024, respectively, including amounts related to the Paris Olympics. Media segment total costs and expenses included $1.4 billion and $4.3 billion related to Peacock for the three and nine months ended September 30, 2023,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Studios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3"/>
          </w:tcPr>
          <w:p>
            <w:pPr>
              <w:jc w:val="right"/>
              <w:ind w:right="712"/>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Change</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gridSpan w:val="3"/>
          </w:tcPr>
          <w:p>
            <w:pPr>
              <w:jc w:val="right"/>
              <w:ind w:right="752"/>
              <w:spacing w:after="0"/>
              <w:rPr>
                <w:sz w:val="20"/>
                <w:szCs w:val="20"/>
                <w:color w:val="auto"/>
              </w:rPr>
            </w:pPr>
            <w:r>
              <w:rPr>
                <w:rFonts w:ascii="Times New Roman" w:cs="Times New Roman" w:eastAsia="Times New Roman" w:hAnsi="Times New Roman"/>
                <w:sz w:val="14"/>
                <w:szCs w:val="14"/>
                <w:color w:val="auto"/>
              </w:rPr>
              <w:t>Nine Months Ended</w:t>
            </w:r>
          </w:p>
        </w:tc>
        <w:tc>
          <w:tcPr>
            <w:tcW w:w="11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w w:val="99"/>
              </w:rPr>
              <w:t>2023</w:t>
            </w: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1,691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5,856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504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1,735</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324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970</w:t>
            </w: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2,518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7,822</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8,561</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(8.6)</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1,569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5,866</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6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314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48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1,155</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205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579</w:t>
            </w:r>
          </w:p>
        </w:tc>
        <w:tc>
          <w:tcPr>
            <w:tcW w:w="118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2,089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7,600</w:t>
            </w: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429</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9.0 %</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961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Revenue</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Content licensing revenue </w:t>
      </w:r>
      <w:r>
        <w:rPr>
          <w:rFonts w:ascii="Times New Roman" w:cs="Times New Roman" w:eastAsia="Times New Roman" w:hAnsi="Times New Roman"/>
          <w:sz w:val="18"/>
          <w:szCs w:val="18"/>
          <w:color w:val="auto"/>
        </w:rPr>
        <w:t>increased for the three months ended September 30, 2024 compared to the same period in 2023 primarily due to the timing</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of when content was made available by our television studios under licensing agreements, including the impact of the work stoppages in the prior year period.</w:t>
      </w:r>
    </w:p>
    <w:p>
      <w:pPr>
        <w:spacing w:after="0" w:line="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Content licensing revenue decreased for the nine months ended September 30, 2024 compared to the same period in 2023 primarily due to the timing of when content was made available by our film studios, partially offset by the timing of when content was made available by our television studios under licensing agreements, including the impact of the work stoppages in the prior year period.</w:t>
      </w:r>
    </w:p>
    <w:p>
      <w:pPr>
        <w:spacing w:after="0" w:line="68"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Theatrical revenue </w:t>
      </w:r>
      <w:r>
        <w:rPr>
          <w:rFonts w:ascii="Times New Roman" w:cs="Times New Roman" w:eastAsia="Times New Roman" w:hAnsi="Times New Roman"/>
          <w:sz w:val="18"/>
          <w:szCs w:val="18"/>
          <w:color w:val="auto"/>
        </w:rPr>
        <w:t>increased for the three months ended September 30, 2024 compared to the same period in 2023 primarily due to higher revenue from</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recent releases, including </w:t>
      </w:r>
      <w:r>
        <w:rPr>
          <w:rFonts w:ascii="Times New Roman" w:cs="Times New Roman" w:eastAsia="Times New Roman" w:hAnsi="Times New Roman"/>
          <w:sz w:val="18"/>
          <w:szCs w:val="18"/>
          <w:i w:val="1"/>
          <w:iCs w:val="1"/>
          <w:color w:val="auto"/>
        </w:rPr>
        <w:t>Despicable Me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Twisters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Theatrical revenue decreased for the nine months ended September 30, 2024 compared to the same period in 2023 primarily due to higher revenue from releases in the prior year period, including </w:t>
      </w:r>
      <w:r>
        <w:rPr>
          <w:rFonts w:ascii="Times New Roman" w:cs="Times New Roman" w:eastAsia="Times New Roman" w:hAnsi="Times New Roman"/>
          <w:sz w:val="18"/>
          <w:szCs w:val="18"/>
          <w:i w:val="1"/>
          <w:iCs w:val="1"/>
          <w:color w:val="auto"/>
        </w:rPr>
        <w:t>The Super Mario Bros., Oppenheimer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Fast X</w:t>
      </w:r>
      <w:r>
        <w:rPr>
          <w:rFonts w:ascii="Times New Roman" w:cs="Times New Roman" w:eastAsia="Times New Roman" w:hAnsi="Times New Roman"/>
          <w:sz w:val="18"/>
          <w:szCs w:val="18"/>
          <w:color w:val="auto"/>
        </w:rPr>
        <w:t xml:space="preserve">, compared to revenue from recent releases, including </w:t>
      </w:r>
      <w:r>
        <w:rPr>
          <w:rFonts w:ascii="Times New Roman" w:cs="Times New Roman" w:eastAsia="Times New Roman" w:hAnsi="Times New Roman"/>
          <w:sz w:val="18"/>
          <w:szCs w:val="18"/>
          <w:i w:val="1"/>
          <w:iCs w:val="1"/>
          <w:color w:val="auto"/>
        </w:rPr>
        <w:t xml:space="preserve">Despicable Me 4, Kung Fu Panda 4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Twisters.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Costs and Expenses</w:t>
      </w:r>
    </w:p>
    <w:p>
      <w:pPr>
        <w:spacing w:after="0" w:line="118"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increased for the three months ended September 30, 2024 compared to the same period in 2023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higher costs associated with content licensing sales, including the impact of work stoppages in the prior year period.</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Programming and production costs decreased for the nine months ended September 30, 2024 compared to the same period in 2023 primarily due to lower costs associated with theatrical releases, partially offset by higher costs associated with content licensing sales, including the impact of work stoppages in the prior year period.</w:t>
      </w:r>
    </w:p>
    <w:p>
      <w:pPr>
        <w:spacing w:after="0" w:line="6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decreased for the three and nine months ended September 30, 2024 compared to the same periods in 2023</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decreased spending on recent and upcoming theatrical film releases in the current year periods.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6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color w:val="auto"/>
              </w:rPr>
              <w:t>Nine Months Ended</w:t>
            </w:r>
          </w:p>
        </w:tc>
        <w:tc>
          <w:tcPr>
            <w:tcW w:w="118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w w:val="99"/>
              </w:rPr>
              <w:t>2023</w:t>
            </w: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2,418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6,576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1,435</w:t>
            </w:r>
          </w:p>
        </w:tc>
        <w:tc>
          <w:tcPr>
            <w:tcW w:w="12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4,103</w:t>
            </w:r>
          </w:p>
        </w:tc>
        <w:tc>
          <w:tcPr>
            <w:tcW w:w="11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983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2,111</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2,473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Theme parks segment revenue </w:t>
      </w:r>
      <w:r>
        <w:rPr>
          <w:rFonts w:ascii="Times New Roman" w:cs="Times New Roman" w:eastAsia="Times New Roman" w:hAnsi="Times New Roman"/>
          <w:sz w:val="18"/>
          <w:szCs w:val="18"/>
          <w:color w:val="auto"/>
        </w:rPr>
        <w:t>decreased for the three and nine months ended September 30, 2024 compared to the same periods in 2023 primarily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due to decreases at our domestic theme parks driven by decreased park attendance. The decrease for the nine months ended September 30, 2024 also includes the negative impact of foreign currency at our international theme parks.</w:t>
      </w:r>
    </w:p>
    <w:p>
      <w:pPr>
        <w:spacing w:after="0" w:line="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Theme parks segment costs and expenses </w:t>
      </w:r>
      <w:r>
        <w:rPr>
          <w:rFonts w:ascii="Times New Roman" w:cs="Times New Roman" w:eastAsia="Times New Roman" w:hAnsi="Times New Roman"/>
          <w:sz w:val="18"/>
          <w:szCs w:val="18"/>
          <w:color w:val="auto"/>
        </w:rPr>
        <w:t>were consistent for the three and nine months ended September 30, 2024 compared to the same periods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in 2023. Theme parks segment costs and expenses were consistent for the nine months ended September 30, 2024 primarily due to higher costs associated with park operations, offset by the impact of foreign currency.</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Headquarters,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60" w:type="dxa"/>
            <w:vAlign w:val="bottom"/>
            <w:gridSpan w:val="3"/>
          </w:tcPr>
          <w:p>
            <w:pPr>
              <w:jc w:val="right"/>
              <w:ind w:right="735"/>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8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color w:val="auto"/>
              </w:rPr>
              <w:t>Nine Months Ended</w:t>
            </w:r>
          </w:p>
        </w:tc>
        <w:tc>
          <w:tcPr>
            <w:tcW w:w="116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2023</w:t>
            </w: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w w:val="99"/>
              </w:rPr>
              <w:t>2023</w:t>
            </w:r>
          </w:p>
        </w:tc>
        <w:tc>
          <w:tcPr>
            <w:tcW w:w="11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45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191</w:t>
            </w:r>
          </w:p>
        </w:tc>
        <w:tc>
          <w:tcPr>
            <w:tcW w:w="12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654</w:t>
            </w:r>
          </w:p>
        </w:tc>
        <w:tc>
          <w:tcPr>
            <w:tcW w:w="11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(200)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(178)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(642)</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(610)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Headquarters and Other expenses include overhead, personnel costs and costs associated with corporate initiatives.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color w:val="auto"/>
              </w:rPr>
              <w:t>Nine Months Ended</w:t>
            </w:r>
          </w:p>
        </w:tc>
        <w:tc>
          <w:tcPr>
            <w:tcW w:w="9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2023</w:t>
            </w: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2023</w:t>
            </w: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(758)</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(419)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(1,867)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(796)</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(436)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(1,965)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17</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97</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represent eliminations of transactions between segments in our Content &amp; Experiences business, the most significant being content licensing between the Studios and Media segments, which are affected by the timing of recognition of content licenses.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increase or decrease to the extent that additional content is made available to our other segments within the Content &amp; Experiences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for additional information on transactions between our segments.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8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color w:val="auto"/>
              </w:rPr>
              <w:t>Nine Months Ended</w:t>
            </w:r>
          </w:p>
        </w:tc>
        <w:tc>
          <w:tcPr>
            <w:tcW w:w="9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w w:val="99"/>
              </w:rPr>
              <w:t>2023</w:t>
            </w: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2023</w:t>
            </w: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8"/>
                <w:szCs w:val="18"/>
                <w:color w:val="auto"/>
                <w:w w:val="96"/>
              </w:rPr>
              <w:t>675</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643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2,004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8"/>
                <w:szCs w:val="18"/>
                <w:color w:val="auto"/>
                <w:w w:val="96"/>
              </w:rPr>
              <w:t>978</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8"/>
                <w:szCs w:val="18"/>
                <w:color w:val="auto"/>
              </w:rPr>
              <w:t>893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2,844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w w:val="97"/>
              </w:rPr>
              <w:t>(302)</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7"/>
              </w:rPr>
              <w:t>(249)</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(892)</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(841)</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primarily includes overhead and personnel costs; Sky branded video services and television networks in Germany; Comcast Spectacor, which owns the Philadelphia Flyers and the Wells Fargo Center arena in Philadelphia, Pennsylvania; and Xumo, our consolidated streaming platform joint venture.</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Corporate and Other revenue </w:t>
      </w:r>
      <w:r>
        <w:rPr>
          <w:rFonts w:ascii="Times New Roman" w:cs="Times New Roman" w:eastAsia="Times New Roman" w:hAnsi="Times New Roman"/>
          <w:sz w:val="18"/>
          <w:szCs w:val="18"/>
          <w:color w:val="auto"/>
        </w:rPr>
        <w:t>increased for the three months ended September 30, 2024 compared to the same period in 2023 driven by Spectacor and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Xumo. Corporate and other revenue increased for the nine months ended September 30, 2024 compared to the same period in 2023 driven by an increase across our businesses.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Corporate and Other costs and expenses </w:t>
      </w:r>
      <w:r>
        <w:rPr>
          <w:rFonts w:ascii="Times New Roman" w:cs="Times New Roman" w:eastAsia="Times New Roman" w:hAnsi="Times New Roman"/>
          <w:sz w:val="18"/>
          <w:szCs w:val="18"/>
          <w:color w:val="auto"/>
        </w:rPr>
        <w:t>increased for the three months ended September 30, 2024 compared to the same period in 2023 due to</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increased marketing associated with the Paris Olympics and increases related to Spectacor and Xumo. Corporate and Other costs and expenses increased for the nine months ended September 30, 2024 compared to the same period in 2023 primarily due to increases related to corporate functions, increased marketing associated with the Paris Olympics, and Xumo.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238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color w:val="auto"/>
              </w:rPr>
              <w:t>Nine Months Ended</w:t>
            </w:r>
          </w:p>
        </w:tc>
        <w:tc>
          <w:tcPr>
            <w:tcW w:w="116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2023</w:t>
            </w:r>
          </w:p>
        </w:tc>
        <w:tc>
          <w:tcPr>
            <w:tcW w:w="12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2023</w:t>
            </w: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(1,358)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(4,157)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(1,375)</w:t>
            </w:r>
          </w:p>
        </w:tc>
        <w:tc>
          <w:tcPr>
            <w:tcW w:w="12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(4,191)</w:t>
            </w: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16</w:t>
            </w:r>
          </w:p>
        </w:tc>
        <w:tc>
          <w:tcPr>
            <w:tcW w:w="122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NM</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34</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represent eliminations of transactions between our Connectivity &amp; Platforms, Content &amp; Experiences and other businesses, the most significant being distribution of television network programming between the Media and Residential Connectivity &amp; Platforms segments. Current year amounts reflect an increase associated with the Paris Olympics. Eliminations of transactions between segments within Content &amp; Experiences are presented separately. Refer to Note 2 for additional information on transactions between our segments.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from Net Income Attributable to Comcast Corporation to Adjusted EBITDA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gridSpan w:val="2"/>
          </w:tcPr>
          <w:p>
            <w:pPr>
              <w:jc w:val="right"/>
              <w:ind w:right="296"/>
              <w:spacing w:after="0"/>
              <w:rPr>
                <w:sz w:val="20"/>
                <w:szCs w:val="20"/>
                <w:color w:val="auto"/>
              </w:rPr>
            </w:pPr>
            <w:r>
              <w:rPr>
                <w:rFonts w:ascii="Times New Roman" w:cs="Times New Roman" w:eastAsia="Times New Roman" w:hAnsi="Times New Roman"/>
                <w:sz w:val="14"/>
                <w:szCs w:val="14"/>
                <w:color w:val="auto"/>
              </w:rPr>
              <w:t>Three Months Ended</w:t>
            </w: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2"/>
        </w:trPr>
        <w:tc>
          <w:tcPr>
            <w:tcW w:w="49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496"/>
              <w:spacing w:after="0"/>
              <w:rPr>
                <w:sz w:val="20"/>
                <w:szCs w:val="20"/>
                <w:color w:val="auto"/>
              </w:rPr>
            </w:pPr>
            <w:r>
              <w:rPr>
                <w:rFonts w:ascii="Times New Roman" w:cs="Times New Roman" w:eastAsia="Times New Roman" w:hAnsi="Times New Roman"/>
                <w:sz w:val="14"/>
                <w:szCs w:val="14"/>
                <w:color w:val="auto"/>
              </w:rPr>
              <w:t>September 30,</w:t>
            </w: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3,629</w:t>
            </w:r>
          </w:p>
        </w:tc>
        <w:tc>
          <w:tcPr>
            <w:tcW w:w="10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4,046</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11,415</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12,128</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88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10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1,243</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1,468</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3,906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9"/>
                <w:szCs w:val="19"/>
                <w:color w:val="auto"/>
              </w:rPr>
            </w:pPr>
          </w:p>
        </w:tc>
        <w:tc>
          <w:tcPr>
            <w:tcW w:w="6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1,037</w:t>
            </w:r>
          </w:p>
        </w:tc>
        <w:tc>
          <w:tcPr>
            <w:tcW w:w="10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1,060</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3,065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140</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80" w:type="dxa"/>
            <w:vAlign w:val="bottom"/>
          </w:tcPr>
          <w:p>
            <w:pPr>
              <w:spacing w:after="0"/>
              <w:rPr>
                <w:sz w:val="19"/>
                <w:szCs w:val="19"/>
                <w:color w:val="auto"/>
              </w:rPr>
            </w:pPr>
          </w:p>
        </w:tc>
        <w:tc>
          <w:tcPr>
            <w:tcW w:w="6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2,219</w:t>
            </w:r>
          </w:p>
        </w:tc>
        <w:tc>
          <w:tcPr>
            <w:tcW w:w="10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2,203</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6,548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1,659</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1,290</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4,421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30"/>
        </w:trPr>
        <w:tc>
          <w:tcPr>
            <w:tcW w:w="49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(a)</w:t>
            </w: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9,735</w:t>
            </w:r>
          </w:p>
        </w:tc>
        <w:tc>
          <w:tcPr>
            <w:tcW w:w="10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9,962</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29,261</w:t>
            </w:r>
          </w:p>
        </w:tc>
        <w:tc>
          <w:tcPr>
            <w:tcW w:w="6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29,621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Amounts represent the impact of certain events, gains, losses or other charges that are excluded from Adjusted EBITDA, including costs related to our investment portfolio.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Connectivity &amp; Platforms Constant Currency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gridSpan w:val="7"/>
          </w:tcPr>
          <w:p>
            <w:pPr>
              <w:jc w:val="right"/>
              <w:ind w:right="753"/>
              <w:spacing w:after="0"/>
              <w:rPr>
                <w:sz w:val="20"/>
                <w:szCs w:val="20"/>
                <w:color w:val="auto"/>
              </w:rPr>
            </w:pPr>
            <w:r>
              <w:rPr>
                <w:rFonts w:ascii="Times New Roman" w:cs="Times New Roman" w:eastAsia="Times New Roman" w:hAnsi="Times New Roman"/>
                <w:sz w:val="14"/>
                <w:szCs w:val="14"/>
                <w:color w:val="auto"/>
              </w:rPr>
              <w:t>Three Months Ended September 30, 2023</w:t>
            </w:r>
          </w:p>
        </w:tc>
        <w:tc>
          <w:tcPr>
            <w:tcW w:w="300" w:type="dxa"/>
            <w:vAlign w:val="bottom"/>
          </w:tcPr>
          <w:p>
            <w:pPr>
              <w:spacing w:after="0"/>
              <w:rPr>
                <w:sz w:val="16"/>
                <w:szCs w:val="16"/>
                <w:color w:val="auto"/>
              </w:rPr>
            </w:pPr>
          </w:p>
        </w:tc>
        <w:tc>
          <w:tcPr>
            <w:tcW w:w="3620" w:type="dxa"/>
            <w:vAlign w:val="bottom"/>
            <w:gridSpan w:val="6"/>
          </w:tcPr>
          <w:p>
            <w:pPr>
              <w:jc w:val="right"/>
              <w:ind w:right="693"/>
              <w:spacing w:after="0"/>
              <w:rPr>
                <w:sz w:val="20"/>
                <w:szCs w:val="20"/>
                <w:color w:val="auto"/>
              </w:rPr>
            </w:pPr>
            <w:r>
              <w:rPr>
                <w:rFonts w:ascii="Times New Roman" w:cs="Times New Roman" w:eastAsia="Times New Roman" w:hAnsi="Times New Roman"/>
                <w:sz w:val="14"/>
                <w:szCs w:val="14"/>
                <w:color w:val="auto"/>
              </w:rPr>
              <w:t>Nine Months Ended September 30, 2023</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As Reported</w:t>
            </w:r>
          </w:p>
        </w:tc>
        <w:tc>
          <w:tcPr>
            <w:tcW w:w="13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480" w:type="dxa"/>
            <w:vAlign w:val="bottom"/>
            <w:gridSpan w:val="3"/>
          </w:tcPr>
          <w:p>
            <w:pPr>
              <w:jc w:val="right"/>
              <w:ind w:right="153"/>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300" w:type="dxa"/>
            <w:vAlign w:val="bottom"/>
          </w:tcPr>
          <w:p>
            <w:pPr>
              <w:spacing w:after="0"/>
              <w:rPr>
                <w:sz w:val="11"/>
                <w:szCs w:val="11"/>
                <w:color w:val="auto"/>
              </w:rPr>
            </w:pPr>
          </w:p>
        </w:tc>
        <w:tc>
          <w:tcPr>
            <w:tcW w:w="10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color w:val="auto"/>
              </w:rPr>
              <w:t>As Reported</w:t>
            </w:r>
          </w:p>
        </w:tc>
        <w:tc>
          <w:tcPr>
            <w:tcW w:w="1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0" w:type="dxa"/>
            <w:vAlign w:val="bottom"/>
          </w:tcPr>
          <w:p>
            <w:pPr>
              <w:spacing w:after="0"/>
              <w:rPr>
                <w:sz w:val="11"/>
                <w:szCs w:val="11"/>
                <w:color w:val="auto"/>
              </w:rPr>
            </w:pPr>
          </w:p>
        </w:tc>
        <w:tc>
          <w:tcPr>
            <w:tcW w:w="12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Currency</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Amounts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18,050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53,888</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54,141</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3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2,320</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6,894</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6,895</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20,271</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20,370</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60,783</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61,037</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6,902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20,672</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20,711</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3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1,334</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3,988</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 Adjusted</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8,221</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4"/>
                <w:szCs w:val="14"/>
                <w:color w:val="auto"/>
              </w:rPr>
            </w:pPr>
          </w:p>
        </w:tc>
        <w:tc>
          <w:tcPr>
            <w:tcW w:w="1080" w:type="dxa"/>
            <w:vAlign w:val="bottom"/>
            <w:vMerge w:val="restart"/>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8,237</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24,660</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4"/>
                <w:szCs w:val="14"/>
                <w:color w:val="auto"/>
              </w:rPr>
            </w:pPr>
          </w:p>
        </w:tc>
        <w:tc>
          <w:tcPr>
            <w:tcW w:w="1040" w:type="dxa"/>
            <w:vAlign w:val="bottom"/>
            <w:vMerge w:val="restart"/>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24,699</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bps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38.2 %</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bps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3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bps</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57.5</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bps</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 Adjusted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40.6 %</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 bps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40.4 %</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40.6 %</w:t>
            </w: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 bps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40.5 %</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gridSpan w:val="7"/>
          </w:tcPr>
          <w:p>
            <w:pPr>
              <w:jc w:val="center"/>
              <w:ind w:right="53"/>
              <w:spacing w:after="0"/>
              <w:rPr>
                <w:sz w:val="20"/>
                <w:szCs w:val="20"/>
                <w:color w:val="auto"/>
              </w:rPr>
            </w:pPr>
            <w:r>
              <w:rPr>
                <w:rFonts w:ascii="Times New Roman" w:cs="Times New Roman" w:eastAsia="Times New Roman" w:hAnsi="Times New Roman"/>
                <w:sz w:val="14"/>
                <w:szCs w:val="14"/>
                <w:color w:val="auto"/>
              </w:rPr>
              <w:t>Three Months Ended September 30, 2023</w:t>
            </w:r>
          </w:p>
        </w:tc>
        <w:tc>
          <w:tcPr>
            <w:tcW w:w="300" w:type="dxa"/>
            <w:vAlign w:val="bottom"/>
          </w:tcPr>
          <w:p>
            <w:pPr>
              <w:spacing w:after="0"/>
              <w:rPr>
                <w:sz w:val="24"/>
                <w:szCs w:val="24"/>
                <w:color w:val="auto"/>
              </w:rPr>
            </w:pPr>
          </w:p>
        </w:tc>
        <w:tc>
          <w:tcPr>
            <w:tcW w:w="3620" w:type="dxa"/>
            <w:vAlign w:val="bottom"/>
            <w:gridSpan w:val="6"/>
          </w:tcPr>
          <w:p>
            <w:pPr>
              <w:jc w:val="center"/>
              <w:ind w:right="53"/>
              <w:spacing w:after="0"/>
              <w:rPr>
                <w:sz w:val="20"/>
                <w:szCs w:val="20"/>
                <w:color w:val="auto"/>
              </w:rPr>
            </w:pPr>
            <w:r>
              <w:rPr>
                <w:rFonts w:ascii="Times New Roman" w:cs="Times New Roman" w:eastAsia="Times New Roman" w:hAnsi="Times New Roman"/>
                <w:sz w:val="14"/>
                <w:szCs w:val="14"/>
                <w:color w:val="auto"/>
              </w:rPr>
              <w:t>Nine Months Ended September 30, 2023</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300" w:type="dxa"/>
            <w:vAlign w:val="bottom"/>
          </w:tcPr>
          <w:p>
            <w:pPr>
              <w:spacing w:after="0"/>
              <w:rPr>
                <w:sz w:val="11"/>
                <w:szCs w:val="11"/>
                <w:color w:val="auto"/>
              </w:rPr>
            </w:pPr>
          </w:p>
        </w:tc>
        <w:tc>
          <w:tcPr>
            <w:tcW w:w="106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color w:val="auto"/>
              </w:rPr>
              <w:t>As Reported</w:t>
            </w:r>
          </w:p>
        </w:tc>
        <w:tc>
          <w:tcPr>
            <w:tcW w:w="1200" w:type="dxa"/>
            <w:vAlign w:val="bottom"/>
            <w:gridSpan w:val="2"/>
          </w:tcPr>
          <w:p>
            <w:pPr>
              <w:jc w:val="center"/>
              <w:ind w:left="75"/>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0" w:type="dxa"/>
            <w:vAlign w:val="bottom"/>
          </w:tcPr>
          <w:p>
            <w:pPr>
              <w:spacing w:after="0"/>
              <w:rPr>
                <w:sz w:val="11"/>
                <w:szCs w:val="11"/>
                <w:color w:val="auto"/>
              </w:rPr>
            </w:pP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4"/>
                <w:szCs w:val="14"/>
                <w:color w:val="auto"/>
                <w:w w:val="99"/>
              </w:rPr>
              <w:t>Currency</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175"/>
        </w:trPr>
        <w:tc>
          <w:tcPr>
            <w:tcW w:w="36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monthly total Connectivity &amp; Platforms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per customer relationship</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0" w:type="dxa"/>
            <w:vAlign w:val="bottom"/>
          </w:tcPr>
          <w:p>
            <w:pPr>
              <w:spacing w:after="0"/>
              <w:rPr>
                <w:sz w:val="1"/>
                <w:szCs w:val="1"/>
                <w:color w:val="auto"/>
              </w:rPr>
            </w:pPr>
          </w:p>
        </w:tc>
      </w:tr>
      <w:tr>
        <w:trPr>
          <w:trHeight w:val="175"/>
        </w:trPr>
        <w:tc>
          <w:tcPr>
            <w:tcW w:w="3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monthly total Connectivity &amp; Platforms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 per customer relationship</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0" w:type="dxa"/>
            <w:vAlign w:val="bottom"/>
          </w:tcPr>
          <w:p>
            <w:pPr>
              <w:spacing w:after="0"/>
              <w:rPr>
                <w:sz w:val="1"/>
                <w:szCs w:val="1"/>
                <w:color w:val="auto"/>
              </w:rPr>
            </w:pPr>
          </w:p>
        </w:tc>
      </w:tr>
      <w:tr>
        <w:trPr>
          <w:trHeight w:val="415"/>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gridSpan w:val="7"/>
          </w:tcPr>
          <w:p>
            <w:pPr>
              <w:jc w:val="center"/>
              <w:ind w:right="53"/>
              <w:spacing w:after="0"/>
              <w:rPr>
                <w:sz w:val="20"/>
                <w:szCs w:val="20"/>
                <w:color w:val="auto"/>
              </w:rPr>
            </w:pPr>
            <w:r>
              <w:rPr>
                <w:rFonts w:ascii="Times New Roman" w:cs="Times New Roman" w:eastAsia="Times New Roman" w:hAnsi="Times New Roman"/>
                <w:sz w:val="14"/>
                <w:szCs w:val="14"/>
                <w:color w:val="auto"/>
              </w:rPr>
              <w:t>Three Months Ended September 30, 2023</w:t>
            </w:r>
          </w:p>
        </w:tc>
        <w:tc>
          <w:tcPr>
            <w:tcW w:w="300" w:type="dxa"/>
            <w:vAlign w:val="bottom"/>
          </w:tcPr>
          <w:p>
            <w:pPr>
              <w:spacing w:after="0"/>
              <w:rPr>
                <w:sz w:val="24"/>
                <w:szCs w:val="24"/>
                <w:color w:val="auto"/>
              </w:rPr>
            </w:pPr>
          </w:p>
        </w:tc>
        <w:tc>
          <w:tcPr>
            <w:tcW w:w="3620" w:type="dxa"/>
            <w:vAlign w:val="bottom"/>
            <w:gridSpan w:val="6"/>
          </w:tcPr>
          <w:p>
            <w:pPr>
              <w:jc w:val="center"/>
              <w:ind w:right="53"/>
              <w:spacing w:after="0"/>
              <w:rPr>
                <w:sz w:val="20"/>
                <w:szCs w:val="20"/>
                <w:color w:val="auto"/>
              </w:rPr>
            </w:pPr>
            <w:r>
              <w:rPr>
                <w:rFonts w:ascii="Times New Roman" w:cs="Times New Roman" w:eastAsia="Times New Roman" w:hAnsi="Times New Roman"/>
                <w:sz w:val="14"/>
                <w:szCs w:val="14"/>
                <w:color w:val="auto"/>
              </w:rPr>
              <w:t>Nine Months Ended September 30, 2023</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300" w:type="dxa"/>
            <w:vAlign w:val="bottom"/>
          </w:tcPr>
          <w:p>
            <w:pPr>
              <w:spacing w:after="0"/>
              <w:rPr>
                <w:sz w:val="11"/>
                <w:szCs w:val="11"/>
                <w:color w:val="auto"/>
              </w:rPr>
            </w:pPr>
          </w:p>
        </w:tc>
        <w:tc>
          <w:tcPr>
            <w:tcW w:w="106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color w:val="auto"/>
              </w:rPr>
              <w:t>As Reported</w:t>
            </w:r>
          </w:p>
        </w:tc>
        <w:tc>
          <w:tcPr>
            <w:tcW w:w="1200" w:type="dxa"/>
            <w:vAlign w:val="bottom"/>
            <w:gridSpan w:val="2"/>
          </w:tcPr>
          <w:p>
            <w:pPr>
              <w:jc w:val="center"/>
              <w:ind w:left="75"/>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0" w:type="dxa"/>
            <w:vAlign w:val="bottom"/>
          </w:tcPr>
          <w:p>
            <w:pPr>
              <w:spacing w:after="0"/>
              <w:rPr>
                <w:sz w:val="11"/>
                <w:szCs w:val="11"/>
                <w:color w:val="auto"/>
              </w:rPr>
            </w:pP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4"/>
                <w:szCs w:val="14"/>
                <w:color w:val="auto"/>
                <w:w w:val="99"/>
              </w:rPr>
              <w:t>Currency</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Programming</w:t>
            </w:r>
          </w:p>
        </w:tc>
        <w:tc>
          <w:tcPr>
            <w:tcW w:w="3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Technical and support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product costs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service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Connectivity &amp; Platforms costs and</w:t>
            </w:r>
          </w:p>
        </w:tc>
        <w:tc>
          <w:tcPr>
            <w:tcW w:w="30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12,050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12,134</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36,122</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36,338</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gridSpan w:val="2"/>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12"/>
        </w:trPr>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Residential Connectivity &amp; Platforms Constant Currency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0" w:type="dxa"/>
            <w:vAlign w:val="bottom"/>
            <w:gridSpan w:val="5"/>
          </w:tcPr>
          <w:p>
            <w:pPr>
              <w:jc w:val="center"/>
              <w:ind w:right="131"/>
              <w:spacing w:after="0"/>
              <w:rPr>
                <w:sz w:val="20"/>
                <w:szCs w:val="20"/>
                <w:color w:val="auto"/>
              </w:rPr>
            </w:pPr>
            <w:r>
              <w:rPr>
                <w:rFonts w:ascii="Times New Roman" w:cs="Times New Roman" w:eastAsia="Times New Roman" w:hAnsi="Times New Roman"/>
                <w:sz w:val="14"/>
                <w:szCs w:val="14"/>
                <w:color w:val="auto"/>
              </w:rPr>
              <w:t>Three Months Ended September 30, 2023</w:t>
            </w:r>
          </w:p>
        </w:tc>
        <w:tc>
          <w:tcPr>
            <w:tcW w:w="260" w:type="dxa"/>
            <w:vAlign w:val="bottom"/>
          </w:tcPr>
          <w:p>
            <w:pPr>
              <w:spacing w:after="0"/>
              <w:rPr>
                <w:sz w:val="16"/>
                <w:szCs w:val="16"/>
                <w:color w:val="auto"/>
              </w:rPr>
            </w:pPr>
          </w:p>
        </w:tc>
        <w:tc>
          <w:tcPr>
            <w:tcW w:w="3580" w:type="dxa"/>
            <w:vAlign w:val="bottom"/>
            <w:gridSpan w:val="5"/>
          </w:tcPr>
          <w:p>
            <w:pPr>
              <w:jc w:val="center"/>
              <w:ind w:right="91"/>
              <w:spacing w:after="0"/>
              <w:rPr>
                <w:sz w:val="20"/>
                <w:szCs w:val="20"/>
                <w:color w:val="auto"/>
              </w:rPr>
            </w:pPr>
            <w:r>
              <w:rPr>
                <w:rFonts w:ascii="Times New Roman" w:cs="Times New Roman" w:eastAsia="Times New Roman" w:hAnsi="Times New Roman"/>
                <w:sz w:val="14"/>
                <w:szCs w:val="14"/>
                <w:color w:val="auto"/>
              </w:rPr>
              <w:t>Nine Months Ended September 30, 2023</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0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320" w:type="dxa"/>
            <w:vAlign w:val="bottom"/>
            <w:gridSpan w:val="2"/>
          </w:tcPr>
          <w:p>
            <w:pPr>
              <w:jc w:val="right"/>
              <w:ind w:right="31"/>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260" w:type="dxa"/>
            <w:vAlign w:val="bottom"/>
          </w:tcPr>
          <w:p>
            <w:pPr>
              <w:spacing w:after="0"/>
              <w:rPr>
                <w:sz w:val="11"/>
                <w:szCs w:val="11"/>
                <w:color w:val="auto"/>
              </w:rPr>
            </w:pPr>
          </w:p>
        </w:tc>
        <w:tc>
          <w:tcPr>
            <w:tcW w:w="10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color w:val="auto"/>
                <w:w w:val="99"/>
              </w:rPr>
              <w:t>Currency</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Amounts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color w:val="auto"/>
              </w:rPr>
              <w:t>Currency</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broadband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6,366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19,086</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19,086</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917</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8,424</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24,816</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260" w:type="dxa"/>
            <w:vAlign w:val="bottom"/>
          </w:tcPr>
          <w:p>
            <w:pPr>
              <w:spacing w:after="0"/>
              <w:rPr>
                <w:sz w:val="19"/>
                <w:szCs w:val="19"/>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7,201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22,018</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1,454</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17,951</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99</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18,050</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53,888</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54,141</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Programming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4,488</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6,659</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11,148</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33,216</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33,430</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6,886</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16</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6,902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20,672</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20,711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Adjustments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40" w:type="dxa"/>
            <w:vAlign w:val="bottom"/>
          </w:tcPr>
          <w:p>
            <w:pPr>
              <w:jc w:val="center"/>
              <w:ind w:right="888"/>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6"/>
        </w:trPr>
        <w:tc>
          <w:tcPr>
            <w:tcW w:w="80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right="868"/>
              <w:spacing w:after="0"/>
              <w:rPr>
                <w:sz w:val="20"/>
                <w:szCs w:val="20"/>
                <w:color w:val="auto"/>
              </w:rPr>
            </w:pPr>
            <w:r>
              <w:rPr>
                <w:rFonts w:ascii="Times New Roman" w:cs="Times New Roman" w:eastAsia="Times New Roman" w:hAnsi="Times New Roman"/>
                <w:sz w:val="14"/>
                <w:szCs w:val="14"/>
                <w:color w:val="auto"/>
              </w:rPr>
              <w:t>September 30,</w:t>
            </w:r>
          </w:p>
        </w:tc>
      </w:tr>
      <w:tr>
        <w:trPr>
          <w:trHeight w:val="188"/>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(in billions)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24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57"/>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2900" w:type="dxa"/>
            <w:vAlign w:val="bottom"/>
          </w:tcPr>
          <w:p>
            <w:pPr>
              <w:spacing w:after="0"/>
              <w:rPr>
                <w:sz w:val="24"/>
                <w:szCs w:val="24"/>
                <w:color w:val="auto"/>
              </w:rPr>
            </w:pPr>
          </w:p>
        </w:tc>
        <w:tc>
          <w:tcPr>
            <w:tcW w:w="1360" w:type="dxa"/>
            <w:vAlign w:val="bottom"/>
          </w:tcPr>
          <w:p>
            <w:pPr>
              <w:jc w:val="right"/>
              <w:ind w:right="355"/>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24"/>
                <w:szCs w:val="24"/>
                <w:color w:val="auto"/>
              </w:rPr>
            </w:pPr>
          </w:p>
        </w:tc>
        <w:tc>
          <w:tcPr>
            <w:tcW w:w="128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36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8.8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101.4</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September 30, 2024, amounts available under our revolving credit facility, net of amounts outstanding under our commercial paper program and outstanding letters of credit and bank guarantees, totaled $11.8 billion.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 new revolving credit facility in May 2024 (see Note 5). Our new revolving credit facility contains a financial covenant pertaining to leverage, which is the ratio of debt to EBITDA, as defined in the agreement. Compliance with this financial covenant is tested on a quarterly basis. As of September 30, 2024, we met this financial covenant, and we expect to remain in compliance with this financial covenant.</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18,304</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10,969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983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(2,652)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interest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(2,503)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(5,988)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r>
      <w:tr>
        <w:trPr>
          <w:trHeight w:val="229"/>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investments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480</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19,593</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22,579</w:t>
            </w:r>
          </w:p>
        </w:tc>
      </w:tr>
    </w:tbl>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variance in changes in operating assets and liabilities for the nine months ended September 30, 2024 compared to the same period in 2023 was primarily related to increases in receivables and decreases in deferred revenue, which includes the impact of the Paris Olympics, the timing of amortization and related payments for our film and television costs, including decreased spending in the prior year period due to the work stoppages and the timing of sports, and decreases in inventory.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payments of interest for the nine months ended September 30, 2024 compared to the same period in 2023 was primarily due to the payments of interest in the prior year period associated with our collateralized obligation which was repaid in the fourth quarter of 2023, partially offset by increased debt balances following debt issuances in the current year period and higher weighted-average interest rates.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income taxes increased for the nine months ended September 30, 2024 compared to the same period in 2023 and included higher payments in the current year period related to the preceding tax year, primarily driven by the sale of our investment in Hulu. Payments were also impacted by the timing of transferable tax credit purchases.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we entered into new rights agreements with the NBA and WNBA for television and streaming rights for certain regular and post-season games beginning with the 2025-26 season through the 2035-36 season with aggregate rights payments of $27 billion.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decreased for the nine months ended September 30, 2024 compared to the same period in 2023 primarily due to decreased capital expenditures, decreased cash paid for intangible assets related to software development and increased proceeds from the maturity of short-term investments in the current year period. Capital expenditures decreased for the nine months ended September 30, 2024 compared to the same period in 2023 primarily reflecting decreased spending by the Connectivity &amp; Platforms businesses driven by customer premise equipment and scalable infrastructure, partially offset by increased spending on line extensions; as well capital expenditures in the prior year period associated with the acquisition of land for potential theme park expansion opportunities. These decreases were partially offset by increased spending on theme park attractions.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we exercised our put right requiring Disney to purchase our interest in Hulu and received $8.6 billion, representing $9.2 billion for our share of Hulu’s minimum equity value presented as an advance on the sale of our investment in our condensed consolidated balance sheet, less $557 million for our share of prior capital calls. We expect to receive additional proceeds for the sale of our interest in Hulu following the final determination of Hulu’s fair value pursuant to a third-party appraisal process, at which time we will recognize the sale of our interest.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decreased for the nine months ended September 30, 2024 compared to the same period in 2023 primarily due to decreases in repurchases of common stock in the current year period, repayments of short-term borrowings in the prior year period, higher repurchases and repayments of debt in the prior year period and higher proceeds from borrowings in the current year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2024, we issued €1.8 billion aggregate principal amount of fixed-rate euro senior notes maturing in 2032 and 2036 and entered into a corresponding cross-currency swap, effectively converting the debt to an aggregate U.S. dollar principal amount of $2.0 billion with a weighted-average interest rate of 4.72%. We also issued £750 million ($1.0 billion using exchange rates on the date of issuance) principal amount of fixed rate sterling senior notes maturing in 2040 with an interest rate of 5.25%. The net proceeds from this issuance are intended for working capital and general corporate purposes, including the early redemption of $725 million of our outstanding 5.25% Notes due 2025, which was completed in October 2024, and the repayment of certain of our other outstanding debt with near-term maturities. In May 2024, we issued $3.3 billion aggregate principal amount of fixed-rate senior notes, which have maturities ranging between 2029 and 2054 and a weighted-average interest rate of 5.38%. The net proceeds from this issuance was for the repayment of our outstanding commercial paper, and for working capital and general corporate purposes.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we made debt repayments of $2.4 billion, including $1.9 billion principal amount of notes due at maturity and $216 million of 3.950% Notes due 2025, $149 million of 3.375% Notes due 2025 and $25 million of 5.250% Notes due 2025.</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In particular, we may repurchase varying amounts of our outstanding public notes and debentures with short to medium term maturities through privately negotiated or market transactions. See Notes 5 and 7 for additional information on our financing activities.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we repurchased a total of 162 million shares of our Class A common stock for $6.6 billion. In January 2024, our Board of Directors terminated the existing share repurchase program authorization and approved a new share repurchase program authorization of $15.0 billion, which has no expiration date. As of September 30, 2024, we had $9.0 billion remaining under the authorization. We expect to repurchase additional shares of our Class A common stock under this new authorization in the open market or in private transactions, subject to market and other conditions.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paid $328 million for the nine months ended September 30, 2024 related to employee taxes associated with the administration of our share-based compensation plans.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January 2024, our Board of Directors approved a 6.9% increase in our dividend to $1.24 per share on an annualized basis. During the nine months ended September 30, 2024, we paid dividends of $3.6 billion. In July 2024, our Board of Directors approved our third quarter dividend of $0.31 per share, which was paid in October 2024. We expect to continue to pay quarterly dividends, although each dividend is subject to approval by our Board of Directors.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and Guarantee Structure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420" w:type="dxa"/>
            <w:vAlign w:val="bottom"/>
          </w:tcPr>
          <w:p>
            <w:pPr>
              <w:spacing w:after="0"/>
              <w:rPr>
                <w:sz w:val="13"/>
                <w:szCs w:val="13"/>
                <w:color w:val="auto"/>
              </w:rPr>
            </w:pP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September 30,</w:t>
            </w:r>
          </w:p>
        </w:tc>
        <w:tc>
          <w:tcPr>
            <w:tcW w:w="280" w:type="dxa"/>
            <w:vAlign w:val="bottom"/>
          </w:tcPr>
          <w:p>
            <w:pPr>
              <w:spacing w:after="0"/>
              <w:rPr>
                <w:sz w:val="13"/>
                <w:szCs w:val="13"/>
                <w:color w:val="auto"/>
              </w:rPr>
            </w:pPr>
          </w:p>
        </w:tc>
        <w:tc>
          <w:tcPr>
            <w:tcW w:w="144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07"/>
        </w:trPr>
        <w:tc>
          <w:tcPr>
            <w:tcW w:w="7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4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Pr>
          <w:p>
            <w:pPr>
              <w:spacing w:after="0"/>
              <w:rPr>
                <w:sz w:val="9"/>
                <w:szCs w:val="9"/>
                <w:color w:val="auto"/>
              </w:rPr>
            </w:pPr>
          </w:p>
        </w:tc>
        <w:tc>
          <w:tcPr>
            <w:tcW w:w="14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86"/>
        </w:trPr>
        <w:tc>
          <w:tcPr>
            <w:tcW w:w="76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Cross-Guarantees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Comcast</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NBCUniversal</w:t>
            </w:r>
            <w:r>
              <w:rPr>
                <w:rFonts w:ascii="Times New Roman" w:cs="Times New Roman" w:eastAsia="Times New Roman" w:hAnsi="Times New Roman"/>
                <w:sz w:val="23"/>
                <w:szCs w:val="23"/>
                <w:color w:val="auto"/>
                <w:vertAlign w:val="superscript"/>
              </w:rPr>
              <w:t>(a)</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Comcast Cable</w:t>
            </w:r>
            <w:r>
              <w:rPr>
                <w:rFonts w:ascii="Times New Roman" w:cs="Times New Roman" w:eastAsia="Times New Roman" w:hAnsi="Times New Roman"/>
                <w:sz w:val="23"/>
                <w:szCs w:val="23"/>
                <w:color w:val="auto"/>
                <w:vertAlign w:val="superscript"/>
              </w:rPr>
              <w:t>(a)</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One-Way Guarantees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Not Guaranteed</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Universal Beijing Resort</w:t>
            </w:r>
            <w:r>
              <w:rPr>
                <w:rFonts w:ascii="Times New Roman" w:cs="Times New Roman" w:eastAsia="Times New Roman" w:hAnsi="Times New Roman"/>
                <w:sz w:val="23"/>
                <w:szCs w:val="23"/>
                <w:color w:val="auto"/>
                <w:vertAlign w:val="superscript"/>
              </w:rPr>
              <w:t>(b)</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issuance costs, premiums, discounts, fair value adjustments for acquisition accounting and hedged</w:t>
            </w: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positions, net</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81" w:lineRule="auto"/>
        <w:tabs>
          <w:tab w:leader="none" w:pos="3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to our Annual Report on Form 10-K, satisfy these reporting obligations.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Beijing Resort debt financing is secured by the assets of Universal Beijing Resort and the equity interests of the investors. See Note 6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Cross-Guarantees</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2024 and December 31, 2023, the combined Guarantors have noncurrent notes payable to non-guarantor subsidiaries of $81 billion and $136 billion, respectively, and noncurrent notes receivable from non-guarantor subsidiaries of $19 billion and $18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One-Way Guarantees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Comcast provides full and unconditional guarantees of certain debt issued by Sky Limited (“Sky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including all of its senior notes, and other consolidated subsidiaries not subject to the periodic reporting requirements of the SEC.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2024 and December 31, 2023, Comcast and Comcast Holdings, the combined issuer and guarantor of the guaranteed subordinated debt, have noncurrent senior notes payable to non-guarantor subsidiaries of $47 billion and $104 billion, respectively, and noncurrent notes receivable from non-guarantor subsidiaries of $15 billion and $14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estimates associated with the valuation and impairment testing of goodwill are critical in the preparation of our consolidated financial statements. We performed a quantitative assessment as of July 1, 2024 for goodwill in our Media segment. Based on this assessment, the estimated fair value of the Media reporting unit substantially exceeded its carrying value and no impairment was required.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impairment charge.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more complete discussion of the accounting estimates that we have identified as critical in the preparation of our condensed consolidated financial statements, please refer to our Management’s Discussion and Analysis of Financial Condition and Results of Operations in our 2023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our 2023 Annual Report on Form 10-K and there have been no material changes to this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included in this Quarterly Report on Form 10-Q for a discussion of legal proceedings.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2023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Comcast’s common stock repurchases during the three months ended September 30,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color w:val="auto"/>
              </w:rPr>
              <w:t>Total Dollar</w:t>
            </w:r>
          </w:p>
        </w:tc>
        <w:tc>
          <w:tcPr>
            <w:tcW w:w="240" w:type="dxa"/>
            <w:vAlign w:val="bottom"/>
          </w:tcPr>
          <w:p>
            <w:pPr>
              <w:spacing w:after="0"/>
              <w:rPr>
                <w:sz w:val="13"/>
                <w:szCs w:val="13"/>
                <w:color w:val="auto"/>
              </w:rPr>
            </w:pPr>
          </w:p>
        </w:tc>
        <w:tc>
          <w:tcPr>
            <w:tcW w:w="1660" w:type="dxa"/>
            <w:vAlign w:val="bottom"/>
          </w:tcPr>
          <w:p>
            <w:pPr>
              <w:jc w:val="center"/>
              <w:ind w:right="140"/>
              <w:spacing w:after="0"/>
              <w:rPr>
                <w:sz w:val="20"/>
                <w:szCs w:val="20"/>
                <w:color w:val="auto"/>
              </w:rPr>
            </w:pPr>
            <w:r>
              <w:rPr>
                <w:rFonts w:ascii="Times New Roman" w:cs="Times New Roman" w:eastAsia="Times New Roman" w:hAnsi="Times New Roman"/>
                <w:sz w:val="14"/>
                <w:szCs w:val="14"/>
                <w:color w:val="auto"/>
              </w:rPr>
              <w:t>Maximum Dollar</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86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Pr>
          <w:p>
            <w:pPr>
              <w:spacing w:after="0"/>
              <w:rPr>
                <w:sz w:val="12"/>
                <w:szCs w:val="12"/>
                <w:color w:val="auto"/>
              </w:rPr>
            </w:pPr>
          </w:p>
        </w:tc>
        <w:tc>
          <w:tcPr>
            <w:tcW w:w="1100" w:type="dxa"/>
            <w:vAlign w:val="bottom"/>
            <w:vMerge w:val="restart"/>
          </w:tcPr>
          <w:p>
            <w:pPr>
              <w:jc w:val="center"/>
              <w:ind w:right="259"/>
              <w:spacing w:after="0"/>
              <w:rPr>
                <w:sz w:val="20"/>
                <w:szCs w:val="20"/>
                <w:color w:val="auto"/>
              </w:rPr>
            </w:pPr>
            <w:r>
              <w:rPr>
                <w:rFonts w:ascii="Times New Roman" w:cs="Times New Roman" w:eastAsia="Times New Roman" w:hAnsi="Times New Roman"/>
                <w:sz w:val="14"/>
                <w:szCs w:val="14"/>
                <w:color w:val="auto"/>
              </w:rPr>
              <w:t>Average</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3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Value of Shares That</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center"/>
              <w:ind w:right="239"/>
              <w:spacing w:after="0" w:line="145" w:lineRule="exact"/>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2"/>
                <w:szCs w:val="12"/>
                <w:color w:val="auto"/>
              </w:rPr>
            </w:pPr>
          </w:p>
        </w:tc>
        <w:tc>
          <w:tcPr>
            <w:tcW w:w="1660" w:type="dxa"/>
            <w:vAlign w:val="bottom"/>
          </w:tcPr>
          <w:p>
            <w:pPr>
              <w:jc w:val="center"/>
              <w:ind w:right="140"/>
              <w:spacing w:after="0" w:line="145" w:lineRule="exact"/>
              <w:rPr>
                <w:sz w:val="20"/>
                <w:szCs w:val="20"/>
                <w:color w:val="auto"/>
              </w:rPr>
            </w:pPr>
            <w:r>
              <w:rPr>
                <w:rFonts w:ascii="Times New Roman" w:cs="Times New Roman" w:eastAsia="Times New Roman" w:hAnsi="Times New Roman"/>
                <w:sz w:val="14"/>
                <w:szCs w:val="14"/>
                <w:color w:val="auto"/>
                <w:w w:val="99"/>
              </w:rPr>
              <w:t>May Yet Be</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8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440" w:type="dxa"/>
            <w:vAlign w:val="bottom"/>
          </w:tcPr>
          <w:p>
            <w:pPr>
              <w:spacing w:after="0"/>
              <w:rPr>
                <w:sz w:val="12"/>
                <w:szCs w:val="12"/>
                <w:color w:val="auto"/>
              </w:rPr>
            </w:pPr>
          </w:p>
        </w:tc>
        <w:tc>
          <w:tcPr>
            <w:tcW w:w="110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color w:val="auto"/>
              </w:rPr>
              <w:t>Price</w:t>
            </w: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360" w:type="dxa"/>
            <w:vAlign w:val="bottom"/>
          </w:tcPr>
          <w:p>
            <w:pPr>
              <w:spacing w:after="0"/>
              <w:rPr>
                <w:sz w:val="12"/>
                <w:szCs w:val="12"/>
                <w:color w:val="auto"/>
              </w:rPr>
            </w:pPr>
          </w:p>
        </w:tc>
        <w:tc>
          <w:tcPr>
            <w:tcW w:w="15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1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Purchased Under the Publicly</w:t>
            </w:r>
          </w:p>
        </w:tc>
        <w:tc>
          <w:tcPr>
            <w:tcW w:w="0" w:type="dxa"/>
            <w:vAlign w:val="bottom"/>
          </w:tcPr>
          <w:p>
            <w:pPr>
              <w:spacing w:after="0"/>
              <w:rPr>
                <w:sz w:val="1"/>
                <w:szCs w:val="1"/>
                <w:color w:val="auto"/>
              </w:rPr>
            </w:pPr>
          </w:p>
        </w:tc>
      </w:tr>
      <w:tr>
        <w:trPr>
          <w:trHeight w:val="135"/>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860" w:type="dxa"/>
            <w:vAlign w:val="bottom"/>
          </w:tcPr>
          <w:p>
            <w:pPr>
              <w:jc w:val="center"/>
              <w:ind w:right="79"/>
              <w:spacing w:after="0" w:line="135" w:lineRule="exact"/>
              <w:rPr>
                <w:sz w:val="20"/>
                <w:szCs w:val="20"/>
                <w:color w:val="auto"/>
              </w:rPr>
            </w:pPr>
            <w:r>
              <w:rPr>
                <w:rFonts w:ascii="Times New Roman" w:cs="Times New Roman" w:eastAsia="Times New Roman" w:hAnsi="Times New Roman"/>
                <w:sz w:val="14"/>
                <w:szCs w:val="14"/>
                <w:color w:val="auto"/>
              </w:rPr>
              <w:t>Shares</w:t>
            </w:r>
          </w:p>
        </w:tc>
        <w:tc>
          <w:tcPr>
            <w:tcW w:w="440" w:type="dxa"/>
            <w:vAlign w:val="bottom"/>
          </w:tcPr>
          <w:p>
            <w:pPr>
              <w:spacing w:after="0"/>
              <w:rPr>
                <w:sz w:val="11"/>
                <w:szCs w:val="11"/>
                <w:color w:val="auto"/>
              </w:rPr>
            </w:pPr>
          </w:p>
        </w:tc>
        <w:tc>
          <w:tcPr>
            <w:tcW w:w="1100" w:type="dxa"/>
            <w:vAlign w:val="bottom"/>
          </w:tcPr>
          <w:p>
            <w:pPr>
              <w:jc w:val="center"/>
              <w:ind w:right="279"/>
              <w:spacing w:after="0" w:line="135" w:lineRule="exact"/>
              <w:rPr>
                <w:sz w:val="20"/>
                <w:szCs w:val="20"/>
                <w:color w:val="auto"/>
              </w:rPr>
            </w:pPr>
            <w:r>
              <w:rPr>
                <w:rFonts w:ascii="Times New Roman" w:cs="Times New Roman" w:eastAsia="Times New Roman" w:hAnsi="Times New Roman"/>
                <w:sz w:val="14"/>
                <w:szCs w:val="14"/>
                <w:color w:val="auto"/>
                <w:w w:val="96"/>
              </w:rPr>
              <w:t>Per</w:t>
            </w:r>
          </w:p>
        </w:tc>
        <w:tc>
          <w:tcPr>
            <w:tcW w:w="1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as Part of Publicly</w:t>
            </w:r>
          </w:p>
        </w:tc>
        <w:tc>
          <w:tcPr>
            <w:tcW w:w="1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Under the Publicly Announced</w:t>
            </w:r>
          </w:p>
        </w:tc>
        <w:tc>
          <w:tcPr>
            <w:tcW w:w="240" w:type="dxa"/>
            <w:vAlign w:val="bottom"/>
          </w:tcPr>
          <w:p>
            <w:pPr>
              <w:spacing w:after="0"/>
              <w:rPr>
                <w:sz w:val="11"/>
                <w:szCs w:val="11"/>
                <w:color w:val="auto"/>
              </w:rPr>
            </w:pPr>
          </w:p>
        </w:tc>
        <w:tc>
          <w:tcPr>
            <w:tcW w:w="166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Announced</w:t>
            </w:r>
          </w:p>
        </w:tc>
        <w:tc>
          <w:tcPr>
            <w:tcW w:w="0" w:type="dxa"/>
            <w:vAlign w:val="bottom"/>
          </w:tcPr>
          <w:p>
            <w:pPr>
              <w:spacing w:after="0"/>
              <w:rPr>
                <w:sz w:val="1"/>
                <w:szCs w:val="1"/>
                <w:color w:val="auto"/>
              </w:rPr>
            </w:pPr>
          </w:p>
        </w:tc>
      </w:tr>
      <w:tr>
        <w:trPr>
          <w:trHeight w:val="203"/>
        </w:trPr>
        <w:tc>
          <w:tcPr>
            <w:tcW w:w="214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color w:val="auto"/>
              </w:rPr>
              <w:t>Purchased</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color w:val="auto"/>
              </w:rPr>
              <w:t>Share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Announced Authorization</w:t>
            </w: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color w:val="auto"/>
              </w:rPr>
              <w:t>Authorization</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120"/>
              <w:spacing w:after="0" w:line="202" w:lineRule="exact"/>
              <w:rPr>
                <w:sz w:val="20"/>
                <w:szCs w:val="20"/>
                <w:color w:val="auto"/>
              </w:rPr>
            </w:pPr>
            <w:r>
              <w:rPr>
                <w:rFonts w:ascii="Times New Roman" w:cs="Times New Roman" w:eastAsia="Times New Roman" w:hAnsi="Times New Roman"/>
                <w:sz w:val="14"/>
                <w:szCs w:val="14"/>
                <w:color w:val="auto"/>
                <w:w w:val="98"/>
              </w:rPr>
              <w:t>Authorization</w:t>
            </w:r>
            <w:r>
              <w:rPr>
                <w:rFonts w:ascii="Times New Roman" w:cs="Times New Roman" w:eastAsia="Times New Roman" w:hAnsi="Times New Roman"/>
                <w:sz w:val="18"/>
                <w:szCs w:val="18"/>
                <w:color w:val="auto"/>
                <w:w w:val="98"/>
                <w:vertAlign w:val="superscript"/>
              </w:rPr>
              <w:t>(a)</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1-31, 2024</w:t>
            </w:r>
          </w:p>
        </w:tc>
        <w:tc>
          <w:tcPr>
            <w:tcW w:w="18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17,765,351</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38.77</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17,765,351</w:t>
            </w:r>
          </w:p>
        </w:tc>
        <w:tc>
          <w:tcPr>
            <w:tcW w:w="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688,839,057</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10,283,114,218</w:t>
            </w: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1-31, 2024</w:t>
            </w:r>
          </w:p>
        </w:tc>
        <w:tc>
          <w:tcPr>
            <w:tcW w:w="186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13,503,765</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39.62</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13,503,765</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534,976,025</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9,748,138,194</w:t>
            </w:r>
          </w:p>
        </w:tc>
        <w:tc>
          <w:tcPr>
            <w:tcW w:w="0" w:type="dxa"/>
            <w:vAlign w:val="bottom"/>
          </w:tcPr>
          <w:p>
            <w:pPr>
              <w:spacing w:after="0"/>
              <w:rPr>
                <w:sz w:val="1"/>
                <w:szCs w:val="1"/>
                <w:color w:val="auto"/>
              </w:rPr>
            </w:pPr>
          </w:p>
        </w:tc>
      </w:tr>
      <w:tr>
        <w:trPr>
          <w:trHeight w:val="229"/>
        </w:trPr>
        <w:tc>
          <w:tcPr>
            <w:tcW w:w="2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1-30, 2024</w:t>
            </w:r>
          </w:p>
        </w:tc>
        <w:tc>
          <w:tcPr>
            <w:tcW w:w="18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18,644,155</w:t>
            </w: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39.96</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18,644,155</w:t>
            </w:r>
          </w:p>
        </w:tc>
        <w:tc>
          <w:tcPr>
            <w:tcW w:w="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744,976,969</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9,003,161,225</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49,913,271</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39.44</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49,913,271</w:t>
            </w:r>
          </w:p>
        </w:tc>
        <w:tc>
          <w:tcPr>
            <w:tcW w:w="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1,968,792,051</w:t>
            </w:r>
          </w:p>
        </w:tc>
        <w:tc>
          <w:tcPr>
            <w:tcW w:w="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9,003,161,225</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hanging="332"/>
        <w:spacing w:after="0" w:line="281" w:lineRule="auto"/>
        <w:tabs>
          <w:tab w:leader="none" w:pos="33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2022, our Board of Directors approved a share repurchase program authorization of $20.0 billion. In January 2024, our Board of Directors terminated the existing program and approved a new share repurchase authorization of $15.0 billion, which has no expiration date. We expect to repurchase additional shares of our Class A common stock under this authorization, in the open market or in private transactions, subject to market and other conditions.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Exhibit</w:t>
      </w:r>
    </w:p>
    <w:p>
      <w:pPr>
        <w:ind w:left="280"/>
        <w:spacing w:after="0"/>
        <w:tabs>
          <w:tab w:leader="none" w:pos="88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0"/>
          <w:szCs w:val="20"/>
          <w:color w:val="auto"/>
        </w:rPr>
      </w:pPr>
    </w:p>
    <w:p>
      <w:pPr>
        <w:ind w:left="900" w:hanging="874"/>
        <w:spacing w:after="0"/>
        <w:tabs>
          <w:tab w:leader="none" w:pos="900" w:val="left"/>
        </w:tabs>
        <w:numPr>
          <w:ilvl w:val="0"/>
          <w:numId w:val="1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302 of the Sarbanes-Oxley Act of 2002.</w:t>
      </w:r>
    </w:p>
    <w:p>
      <w:pPr>
        <w:spacing w:after="0" w:line="27" w:lineRule="exact"/>
        <w:rPr>
          <w:rFonts w:ascii="Times New Roman" w:cs="Times New Roman" w:eastAsia="Times New Roman" w:hAnsi="Times New Roman"/>
          <w:sz w:val="18"/>
          <w:szCs w:val="18"/>
          <w:u w:val="single" w:color="auto"/>
          <w:color w:val="0000FF"/>
        </w:rPr>
      </w:pPr>
    </w:p>
    <w:p>
      <w:pPr>
        <w:ind w:left="900" w:hanging="874"/>
        <w:spacing w:after="0"/>
        <w:tabs>
          <w:tab w:leader="none" w:pos="900" w:val="left"/>
        </w:tabs>
        <w:numPr>
          <w:ilvl w:val="0"/>
          <w:numId w:val="1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906 of the Sarbanes-Oxley Act of 2002.</w:t>
      </w:r>
    </w:p>
    <w:p>
      <w:pPr>
        <w:spacing w:after="0" w:line="23" w:lineRule="exact"/>
        <w:rPr>
          <w:sz w:val="20"/>
          <w:szCs w:val="20"/>
          <w:color w:val="auto"/>
        </w:rPr>
      </w:pPr>
    </w:p>
    <w:p>
      <w:pPr>
        <w:jc w:val="both"/>
        <w:ind w:left="900" w:right="20" w:hanging="874"/>
        <w:spacing w:after="0" w:line="219"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Comcast Corporation’s Quarterly Report on Form 10-Q for the nine months ended September 30, 2024, filed with the Securities and Exchange Commission on October 31, 2024, formatted in Inline Extensible Business Reporting Language (iXBRL): (i) the Condensed Consolidated Statements of Income; (ii) the Condensed Consolidated Statements of Comprehensive Income; (iii) the Condensed Consolidated Statements of Cash Flows; (iv) the Condensed Consolidated Balance Sheets; (v) the Condensed Consolidated Statements of Changes in Equity; and (vi) the Notes to Condensed Consolidated Financial Statements.</w:t>
      </w:r>
    </w:p>
    <w:p>
      <w:pPr>
        <w:spacing w:after="0" w:line="9" w:lineRule="exact"/>
        <w:rPr>
          <w:sz w:val="20"/>
          <w:szCs w:val="20"/>
          <w:color w:val="auto"/>
        </w:rPr>
      </w:pPr>
    </w:p>
    <w:p>
      <w:pPr>
        <w:ind w:left="5540" w:right="4940" w:hanging="5514"/>
        <w:spacing w:after="0" w:line="632" w:lineRule="auto"/>
        <w:tabs>
          <w:tab w:leader="none" w:pos="90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iXBRL document).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77" w:lineRule="exact"/>
        <w:rPr>
          <w:sz w:val="20"/>
          <w:szCs w:val="20"/>
          <w:color w:val="auto"/>
        </w:rPr>
      </w:pPr>
    </w:p>
    <w:p>
      <w:pPr>
        <w:ind w:left="580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Daniel C. Murdock</w:t>
      </w:r>
    </w:p>
    <w:p>
      <w:pPr>
        <w:ind w:left="6380"/>
        <w:spacing w:after="0" w:line="205" w:lineRule="auto"/>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7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60" w:hanging="644"/>
        <w:spacing w:after="0" w:line="266" w:lineRule="auto"/>
        <w:tabs>
          <w:tab w:leader="none" w:pos="128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36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 Jason S. Armstrong, certify that:</w:t>
      </w:r>
    </w:p>
    <w:p>
      <w:pPr>
        <w:spacing w:after="0" w:line="63"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60" w:hanging="644"/>
        <w:spacing w:after="0" w:line="266" w:lineRule="auto"/>
        <w:tabs>
          <w:tab w:leader="none" w:pos="128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3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08"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October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68"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Brian L. Roberts, the Chief Executive Officer and Jason S. Armstrong, the Chief Financial Officer of Comcast Corporation, each certifies that, to the best of his knowledge:</w:t>
      </w:r>
    </w:p>
    <w:p>
      <w:pPr>
        <w:spacing w:after="0" w:line="54"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660" w:right="52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Comcast Corporation.</w:t>
      </w:r>
    </w:p>
    <w:p>
      <w:pPr>
        <w:spacing w:after="0" w:line="9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34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31"/>
    </w:lvl>
  </w:abstractNum>
  <w:abstractNum w:abstractNumId="16">
    <w:nsid w:val="7C83E458"/>
    <w:multiLevelType w:val="hybridMultilevel"/>
    <w:lvl w:ilvl="0">
      <w:lvlJc w:val="left"/>
      <w:lvlText w:val="%1"/>
      <w:numFmt w:val="decimal"/>
      <w:start w:val="101"/>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2024-10-31T14:18:18Z</dcterms:created>
  <dcterms:modified xsi:type="dcterms:W3CDTF">2024-10-31T14:18:18Z</dcterms:modified>
</cp:coreProperties>
</file>