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FORM 11-K</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ANNUAL REPORT</w:t>
      </w:r>
    </w:p>
    <w:p>
      <w:pPr>
        <w:spacing w:after="0" w:line="166" w:lineRule="exact"/>
        <w:rPr>
          <w:sz w:val="24"/>
          <w:szCs w:val="24"/>
          <w:color w:val="auto"/>
        </w:rPr>
      </w:pPr>
    </w:p>
    <w:p>
      <w:pPr>
        <w:jc w:val="right"/>
        <w:ind w:right="5339"/>
        <w:spacing w:after="0"/>
        <w:rPr>
          <w:sz w:val="20"/>
          <w:szCs w:val="20"/>
          <w:color w:val="auto"/>
        </w:rPr>
      </w:pPr>
      <w:r>
        <w:rPr>
          <w:rFonts w:ascii="Courier New" w:cs="Courier New" w:eastAsia="Courier New" w:hAnsi="Courier New"/>
          <w:sz w:val="15"/>
          <w:szCs w:val="15"/>
          <w:color w:val="auto"/>
        </w:rPr>
        <w:t>Pursuant to Section 15(d) of the</w:t>
      </w:r>
    </w:p>
    <w:p>
      <w:pPr>
        <w:jc w:val="right"/>
        <w:ind w:right="5339"/>
        <w:spacing w:after="0" w:line="237" w:lineRule="auto"/>
        <w:rPr>
          <w:sz w:val="20"/>
          <w:szCs w:val="20"/>
          <w:color w:val="auto"/>
        </w:rPr>
      </w:pPr>
      <w:r>
        <w:rPr>
          <w:rFonts w:ascii="Courier New" w:cs="Courier New" w:eastAsia="Courier New" w:hAnsi="Courier New"/>
          <w:sz w:val="15"/>
          <w:szCs w:val="15"/>
          <w:color w:val="auto"/>
        </w:rPr>
        <w:t>Securities Exchange Act of 1934</w:t>
      </w:r>
    </w:p>
    <w:p>
      <w:pPr>
        <w:spacing w:after="0" w:line="335"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[GRAPHIC OMITTED]</w:t>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173" w:lineRule="exact"/>
        <w:rPr>
          <w:sz w:val="24"/>
          <w:szCs w:val="24"/>
          <w:color w:val="auto"/>
        </w:rPr>
      </w:pPr>
    </w:p>
    <w:p>
      <w:pPr>
        <w:ind w:left="1580" w:right="3239" w:hanging="1220"/>
        <w:spacing w:after="0" w:line="234" w:lineRule="auto"/>
        <w:tabs>
          <w:tab w:leader="none" w:pos="15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15(d) OF THE SECURITIES EXCHANGE ACT OF 1934.</w:t>
      </w:r>
    </w:p>
    <w:p>
      <w:pPr>
        <w:ind w:left="15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fiscal year ended  December 31, 1996.</w:t>
      </w:r>
    </w:p>
    <w:p>
      <w:pPr>
        <w:spacing w:after="0" w:line="167"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66" w:lineRule="exact"/>
        <w:rPr>
          <w:sz w:val="24"/>
          <w:szCs w:val="24"/>
          <w:color w:val="auto"/>
        </w:rPr>
      </w:pPr>
    </w:p>
    <w:p>
      <w:pPr>
        <w:ind w:left="1580"/>
        <w:spacing w:after="0"/>
        <w:rPr>
          <w:sz w:val="20"/>
          <w:szCs w:val="20"/>
          <w:color w:val="auto"/>
        </w:rPr>
      </w:pPr>
      <w:r>
        <w:rPr>
          <w:rFonts w:ascii="Courier New" w:cs="Courier New" w:eastAsia="Courier New" w:hAnsi="Courier New"/>
          <w:sz w:val="15"/>
          <w:szCs w:val="15"/>
          <w:color w:val="auto"/>
        </w:rPr>
        <w:t>TRANSITION REPORT PURSUANT TO SECTION 15(d) OF THE</w:t>
      </w:r>
    </w:p>
    <w:p>
      <w:pPr>
        <w:ind w:left="1580"/>
        <w:spacing w:after="0" w:line="237" w:lineRule="auto"/>
        <w:rPr>
          <w:sz w:val="20"/>
          <w:szCs w:val="20"/>
          <w:color w:val="auto"/>
        </w:rPr>
      </w:pPr>
      <w:r>
        <w:rPr>
          <w:rFonts w:ascii="Courier New" w:cs="Courier New" w:eastAsia="Courier New" w:hAnsi="Courier New"/>
          <w:sz w:val="15"/>
          <w:szCs w:val="15"/>
          <w:color w:val="auto"/>
        </w:rPr>
        <w:t>SECURITIES EXCHANGE ACT OF 1934.</w:t>
      </w:r>
    </w:p>
    <w:p>
      <w:pPr>
        <w:ind w:left="1580"/>
        <w:spacing w:after="0" w:line="238" w:lineRule="auto"/>
        <w:rPr>
          <w:sz w:val="20"/>
          <w:szCs w:val="20"/>
          <w:color w:val="auto"/>
        </w:rPr>
      </w:pPr>
      <w:r>
        <w:rPr>
          <w:rFonts w:ascii="Courier New" w:cs="Courier New" w:eastAsia="Courier New" w:hAnsi="Courier New"/>
          <w:sz w:val="15"/>
          <w:szCs w:val="15"/>
          <w:color w:val="auto"/>
        </w:rPr>
        <w:t>For the transition period from _________ to ________</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number 0-6983</w:t>
      </w:r>
    </w:p>
    <w:p>
      <w:pPr>
        <w:spacing w:after="0" w:line="173" w:lineRule="exact"/>
        <w:rPr>
          <w:sz w:val="24"/>
          <w:szCs w:val="24"/>
          <w:color w:val="auto"/>
        </w:rPr>
      </w:pPr>
    </w:p>
    <w:p>
      <w:pPr>
        <w:ind w:right="3579" w:firstLine="1574"/>
        <w:spacing w:after="0" w:line="234" w:lineRule="auto"/>
        <w:rPr>
          <w:sz w:val="20"/>
          <w:szCs w:val="20"/>
          <w:color w:val="auto"/>
        </w:rPr>
      </w:pPr>
      <w:r>
        <w:rPr>
          <w:rFonts w:ascii="Courier New" w:cs="Courier New" w:eastAsia="Courier New" w:hAnsi="Courier New"/>
          <w:sz w:val="15"/>
          <w:szCs w:val="15"/>
          <w:color w:val="auto"/>
        </w:rPr>
        <w:t>A. Full title of the plan and the address of the plan, if different from that of the issuer named below:</w:t>
      </w:r>
    </w:p>
    <w:p>
      <w:pPr>
        <w:spacing w:after="0" w:line="167" w:lineRule="exact"/>
        <w:rPr>
          <w:sz w:val="24"/>
          <w:szCs w:val="24"/>
          <w:color w:val="auto"/>
        </w:rPr>
      </w:pPr>
    </w:p>
    <w:p>
      <w:pPr>
        <w:ind w:left="1580"/>
        <w:spacing w:after="0"/>
        <w:rPr>
          <w:sz w:val="20"/>
          <w:szCs w:val="20"/>
          <w:color w:val="auto"/>
        </w:rPr>
      </w:pPr>
      <w:r>
        <w:rPr>
          <w:rFonts w:ascii="Courier New" w:cs="Courier New" w:eastAsia="Courier New" w:hAnsi="Courier New"/>
          <w:sz w:val="15"/>
          <w:szCs w:val="15"/>
          <w:color w:val="auto"/>
        </w:rPr>
        <w:t>THE COMCAST CORPORATION RETIREMENT-INVESTMENT PLAN</w:t>
      </w:r>
    </w:p>
    <w:p>
      <w:pPr>
        <w:spacing w:after="0" w:line="173" w:lineRule="exact"/>
        <w:rPr>
          <w:sz w:val="24"/>
          <w:szCs w:val="24"/>
          <w:color w:val="auto"/>
        </w:rPr>
      </w:pPr>
    </w:p>
    <w:p>
      <w:pPr>
        <w:ind w:right="3319" w:firstLine="1574"/>
        <w:spacing w:after="0" w:line="234" w:lineRule="auto"/>
        <w:rPr>
          <w:sz w:val="20"/>
          <w:szCs w:val="20"/>
          <w:color w:val="auto"/>
        </w:rPr>
      </w:pPr>
      <w:r>
        <w:rPr>
          <w:rFonts w:ascii="Courier New" w:cs="Courier New" w:eastAsia="Courier New" w:hAnsi="Courier New"/>
          <w:sz w:val="15"/>
          <w:szCs w:val="15"/>
          <w:color w:val="auto"/>
        </w:rPr>
        <w:t>B. Name of issuer of the securities held pursuant to the plan and the address of its principal executive office:</w:t>
      </w:r>
    </w:p>
    <w:p>
      <w:pPr>
        <w:spacing w:after="0" w:line="167" w:lineRule="exact"/>
        <w:rPr>
          <w:sz w:val="24"/>
          <w:szCs w:val="24"/>
          <w:color w:val="auto"/>
        </w:rPr>
      </w:pPr>
    </w:p>
    <w:p>
      <w:pPr>
        <w:ind w:left="1580"/>
        <w:spacing w:after="0"/>
        <w:rPr>
          <w:sz w:val="20"/>
          <w:szCs w:val="20"/>
          <w:color w:val="auto"/>
        </w:rPr>
      </w:pPr>
      <w:r>
        <w:rPr>
          <w:rFonts w:ascii="Courier New" w:cs="Courier New" w:eastAsia="Courier New" w:hAnsi="Courier New"/>
          <w:sz w:val="15"/>
          <w:szCs w:val="15"/>
          <w:color w:val="auto"/>
        </w:rPr>
        <w:t>Comcast Corporation</w:t>
      </w:r>
    </w:p>
    <w:p>
      <w:pPr>
        <w:ind w:left="1580"/>
        <w:spacing w:after="0" w:line="237" w:lineRule="auto"/>
        <w:rPr>
          <w:sz w:val="20"/>
          <w:szCs w:val="20"/>
          <w:color w:val="auto"/>
        </w:rPr>
      </w:pPr>
      <w:r>
        <w:rPr>
          <w:rFonts w:ascii="Courier New" w:cs="Courier New" w:eastAsia="Courier New" w:hAnsi="Courier New"/>
          <w:sz w:val="15"/>
          <w:szCs w:val="15"/>
          <w:color w:val="auto"/>
        </w:rPr>
        <w:t>1500 Market Street</w:t>
      </w:r>
    </w:p>
    <w:p>
      <w:pPr>
        <w:ind w:left="1580"/>
        <w:spacing w:after="0" w:line="238" w:lineRule="auto"/>
        <w:rPr>
          <w:sz w:val="20"/>
          <w:szCs w:val="20"/>
          <w:color w:val="auto"/>
        </w:rPr>
      </w:pPr>
      <w:r>
        <w:rPr>
          <w:rFonts w:ascii="Courier New" w:cs="Courier New" w:eastAsia="Courier New" w:hAnsi="Courier New"/>
          <w:sz w:val="15"/>
          <w:szCs w:val="15"/>
          <w:color w:val="auto"/>
        </w:rPr>
        <w:t>Philadelphia, PA 19102-2148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COMCAST CORPORATION RETIREMENT-</w:t>
      </w:r>
    </w:p>
    <w:p>
      <w:pPr>
        <w:ind w:left="2200"/>
        <w:spacing w:after="0" w:line="237" w:lineRule="auto"/>
        <w:rPr>
          <w:sz w:val="20"/>
          <w:szCs w:val="20"/>
          <w:color w:val="auto"/>
        </w:rPr>
      </w:pPr>
      <w:r>
        <w:rPr>
          <w:rFonts w:ascii="Courier New" w:cs="Courier New" w:eastAsia="Courier New" w:hAnsi="Courier New"/>
          <w:sz w:val="15"/>
          <w:szCs w:val="15"/>
          <w:color w:val="auto"/>
        </w:rPr>
        <w:t>INVESTMENT PLAN</w:t>
      </w:r>
    </w:p>
    <w:p>
      <w:pPr>
        <w:spacing w:after="0" w:line="167"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Financial Statements as of December 31, 1996 and 1995</w:t>
      </w:r>
    </w:p>
    <w:p>
      <w:pPr>
        <w:ind w:left="2200"/>
        <w:spacing w:after="0" w:line="237" w:lineRule="auto"/>
        <w:rPr>
          <w:sz w:val="20"/>
          <w:szCs w:val="20"/>
          <w:color w:val="auto"/>
        </w:rPr>
      </w:pPr>
      <w:r>
        <w:rPr>
          <w:rFonts w:ascii="Courier New" w:cs="Courier New" w:eastAsia="Courier New" w:hAnsi="Courier New"/>
          <w:sz w:val="15"/>
          <w:szCs w:val="15"/>
          <w:color w:val="auto"/>
        </w:rPr>
        <w:t>and for each of the Three Years in the Period Ended</w:t>
      </w:r>
    </w:p>
    <w:p>
      <w:pPr>
        <w:spacing w:after="0" w:line="5" w:lineRule="exact"/>
        <w:rPr>
          <w:sz w:val="24"/>
          <w:szCs w:val="24"/>
          <w:color w:val="auto"/>
        </w:rPr>
      </w:pPr>
    </w:p>
    <w:p>
      <w:pPr>
        <w:ind w:left="2200"/>
        <w:spacing w:after="0"/>
        <w:rPr>
          <w:sz w:val="20"/>
          <w:szCs w:val="20"/>
          <w:color w:val="auto"/>
        </w:rPr>
      </w:pPr>
      <w:r>
        <w:rPr>
          <w:rFonts w:ascii="Courier New" w:cs="Courier New" w:eastAsia="Courier New" w:hAnsi="Courier New"/>
          <w:sz w:val="14"/>
          <w:szCs w:val="14"/>
          <w:color w:val="auto"/>
        </w:rPr>
        <w:t>December 31, 1996; Supplemental Schedules as of and for</w:t>
      </w:r>
    </w:p>
    <w:p>
      <w:pPr>
        <w:spacing w:after="0" w:line="3"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the Year Ended December 31, 1996; and Independent</w:t>
      </w:r>
    </w:p>
    <w:p>
      <w:pPr>
        <w:ind w:left="2200"/>
        <w:spacing w:after="0" w:line="237" w:lineRule="auto"/>
        <w:rPr>
          <w:sz w:val="20"/>
          <w:szCs w:val="20"/>
          <w:color w:val="auto"/>
        </w:rPr>
      </w:pPr>
      <w:r>
        <w:rPr>
          <w:rFonts w:ascii="Courier New" w:cs="Courier New" w:eastAsia="Courier New" w:hAnsi="Courier New"/>
          <w:sz w:val="15"/>
          <w:szCs w:val="15"/>
          <w:color w:val="auto"/>
        </w:rPr>
        <w:t>Auditors' Report</w:t>
      </w:r>
    </w:p>
    <w:p>
      <w:pPr>
        <w:sectPr>
          <w:pgSz w:w="11900" w:h="16838" w:orient="portrait"/>
          <w:cols w:equalWidth="0" w:num="1">
            <w:col w:w="10239"/>
          </w:cols>
          <w:pgMar w:left="220" w:top="393"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COMCAST CORPORATION RETIREMENT-INVESTMENT PLAN</w:t>
            </w:r>
          </w:p>
        </w:tc>
        <w:tc>
          <w:tcPr>
            <w:tcW w:w="620" w:type="dxa"/>
            <w:vAlign w:val="bottom"/>
          </w:tcPr>
          <w:p>
            <w:pPr>
              <w:spacing w:after="0"/>
              <w:rPr>
                <w:sz w:val="14"/>
                <w:szCs w:val="14"/>
                <w:color w:val="auto"/>
              </w:rPr>
            </w:pPr>
          </w:p>
        </w:tc>
      </w:tr>
      <w:tr>
        <w:trPr>
          <w:trHeight w:val="336"/>
        </w:trPr>
        <w:tc>
          <w:tcPr>
            <w:tcW w:w="6300" w:type="dxa"/>
            <w:vAlign w:val="bottom"/>
          </w:tcPr>
          <w:p>
            <w:pPr>
              <w:spacing w:after="0"/>
              <w:rPr>
                <w:sz w:val="20"/>
                <w:szCs w:val="20"/>
                <w:color w:val="auto"/>
              </w:rPr>
            </w:pPr>
            <w:r>
              <w:rPr>
                <w:rFonts w:ascii="Courier New" w:cs="Courier New" w:eastAsia="Courier New" w:hAnsi="Courier New"/>
                <w:sz w:val="15"/>
                <w:szCs w:val="15"/>
                <w:color w:val="auto"/>
              </w:rPr>
              <w:t>TABLE OF CONTENTS</w:t>
            </w:r>
          </w:p>
        </w:tc>
        <w:tc>
          <w:tcPr>
            <w:tcW w:w="620" w:type="dxa"/>
            <w:vAlign w:val="bottom"/>
          </w:tcPr>
          <w:p>
            <w:pPr>
              <w:spacing w:after="0"/>
              <w:rPr>
                <w:sz w:val="24"/>
                <w:szCs w:val="24"/>
                <w:color w:val="auto"/>
              </w:rPr>
            </w:pPr>
          </w:p>
        </w:tc>
      </w:tr>
      <w:tr>
        <w:trPr>
          <w:trHeight w:val="336"/>
        </w:trPr>
        <w:tc>
          <w:tcPr>
            <w:tcW w:w="6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336"/>
        </w:trPr>
        <w:tc>
          <w:tcPr>
            <w:tcW w:w="6300" w:type="dxa"/>
            <w:vAlign w:val="bottom"/>
          </w:tcPr>
          <w:p>
            <w:pPr>
              <w:spacing w:after="0"/>
              <w:rPr>
                <w:sz w:val="20"/>
                <w:szCs w:val="20"/>
                <w:color w:val="auto"/>
              </w:rPr>
            </w:pPr>
            <w:r>
              <w:rPr>
                <w:rFonts w:ascii="Courier New" w:cs="Courier New" w:eastAsia="Courier New" w:hAnsi="Courier New"/>
                <w:sz w:val="15"/>
                <w:szCs w:val="15"/>
                <w:color w:val="auto"/>
              </w:rPr>
              <w:t>INDEPENDENT AUDITORS' REPORT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r>
      <w:tr>
        <w:trPr>
          <w:trHeight w:val="336"/>
        </w:trPr>
        <w:tc>
          <w:tcPr>
            <w:tcW w:w="6300" w:type="dxa"/>
            <w:vAlign w:val="bottom"/>
          </w:tcPr>
          <w:p>
            <w:pPr>
              <w:spacing w:after="0"/>
              <w:rPr>
                <w:sz w:val="20"/>
                <w:szCs w:val="20"/>
                <w:color w:val="auto"/>
              </w:rPr>
            </w:pPr>
            <w:r>
              <w:rPr>
                <w:rFonts w:ascii="Courier New" w:cs="Courier New" w:eastAsia="Courier New" w:hAnsi="Courier New"/>
                <w:sz w:val="15"/>
                <w:szCs w:val="15"/>
                <w:color w:val="auto"/>
              </w:rPr>
              <w:t>FINANCIAL STATEMENTS:</w:t>
            </w:r>
          </w:p>
        </w:tc>
        <w:tc>
          <w:tcPr>
            <w:tcW w:w="620" w:type="dxa"/>
            <w:vAlign w:val="bottom"/>
          </w:tcPr>
          <w:p>
            <w:pPr>
              <w:spacing w:after="0"/>
              <w:rPr>
                <w:sz w:val="24"/>
                <w:szCs w:val="24"/>
                <w:color w:val="auto"/>
              </w:rPr>
            </w:pPr>
          </w:p>
        </w:tc>
      </w:tr>
      <w:tr>
        <w:trPr>
          <w:trHeight w:val="336"/>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Statement of Net Assets Available for Benefits With Fund</w:t>
            </w:r>
          </w:p>
        </w:tc>
        <w:tc>
          <w:tcPr>
            <w:tcW w:w="620" w:type="dxa"/>
            <w:vAlign w:val="bottom"/>
          </w:tcPr>
          <w:p>
            <w:pPr>
              <w:spacing w:after="0"/>
              <w:rPr>
                <w:sz w:val="24"/>
                <w:szCs w:val="24"/>
                <w:color w:val="auto"/>
              </w:rPr>
            </w:pPr>
          </w:p>
        </w:tc>
      </w:tr>
      <w:tr>
        <w:trPr>
          <w:trHeight w:val="168"/>
        </w:trPr>
        <w:tc>
          <w:tcPr>
            <w:tcW w:w="63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Information as of December 31, 1996 and 1995</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336"/>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Statement of Changes in Net Assets Available for Benefits With</w:t>
            </w:r>
          </w:p>
        </w:tc>
        <w:tc>
          <w:tcPr>
            <w:tcW w:w="620" w:type="dxa"/>
            <w:vAlign w:val="bottom"/>
          </w:tcPr>
          <w:p>
            <w:pPr>
              <w:spacing w:after="0"/>
              <w:rPr>
                <w:sz w:val="24"/>
                <w:szCs w:val="24"/>
                <w:color w:val="auto"/>
              </w:rPr>
            </w:pPr>
          </w:p>
        </w:tc>
      </w:tr>
      <w:tr>
        <w:trPr>
          <w:trHeight w:val="168"/>
        </w:trPr>
        <w:tc>
          <w:tcPr>
            <w:tcW w:w="63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Fund Information for the Years Ended December 31, 1996, 1995</w:t>
            </w:r>
          </w:p>
        </w:tc>
        <w:tc>
          <w:tcPr>
            <w:tcW w:w="620" w:type="dxa"/>
            <w:vAlign w:val="bottom"/>
          </w:tcPr>
          <w:p>
            <w:pPr>
              <w:spacing w:after="0"/>
              <w:rPr>
                <w:sz w:val="14"/>
                <w:szCs w:val="14"/>
                <w:color w:val="auto"/>
              </w:rPr>
            </w:pPr>
          </w:p>
        </w:tc>
      </w:tr>
      <w:tr>
        <w:trPr>
          <w:trHeight w:val="168"/>
        </w:trPr>
        <w:tc>
          <w:tcPr>
            <w:tcW w:w="63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and 1994</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r>
      <w:tr>
        <w:trPr>
          <w:trHeight w:val="336"/>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Notes to Financial Statements</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6-11</w:t>
            </w:r>
          </w:p>
        </w:tc>
      </w:tr>
      <w:tr>
        <w:trPr>
          <w:trHeight w:val="336"/>
        </w:trPr>
        <w:tc>
          <w:tcPr>
            <w:tcW w:w="6300" w:type="dxa"/>
            <w:vAlign w:val="bottom"/>
          </w:tcPr>
          <w:p>
            <w:pPr>
              <w:spacing w:after="0"/>
              <w:rPr>
                <w:sz w:val="20"/>
                <w:szCs w:val="20"/>
                <w:color w:val="auto"/>
              </w:rPr>
            </w:pPr>
            <w:r>
              <w:rPr>
                <w:rFonts w:ascii="Courier New" w:cs="Courier New" w:eastAsia="Courier New" w:hAnsi="Courier New"/>
                <w:sz w:val="15"/>
                <w:szCs w:val="15"/>
                <w:color w:val="auto"/>
              </w:rPr>
              <w:t>SUPPLEMENTAL SCHEDULES:</w:t>
            </w:r>
          </w:p>
        </w:tc>
        <w:tc>
          <w:tcPr>
            <w:tcW w:w="620" w:type="dxa"/>
            <w:vAlign w:val="bottom"/>
          </w:tcPr>
          <w:p>
            <w:pPr>
              <w:spacing w:after="0"/>
              <w:rPr>
                <w:sz w:val="24"/>
                <w:szCs w:val="24"/>
                <w:color w:val="auto"/>
              </w:rPr>
            </w:pPr>
          </w:p>
        </w:tc>
      </w:tr>
      <w:tr>
        <w:trPr>
          <w:trHeight w:val="336"/>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Line 27a - Schedule of Assets Held for Investment Purposes as of</w:t>
            </w:r>
          </w:p>
        </w:tc>
        <w:tc>
          <w:tcPr>
            <w:tcW w:w="620" w:type="dxa"/>
            <w:vAlign w:val="bottom"/>
          </w:tcPr>
          <w:p>
            <w:pPr>
              <w:spacing w:after="0"/>
              <w:rPr>
                <w:sz w:val="24"/>
                <w:szCs w:val="24"/>
                <w:color w:val="auto"/>
              </w:rPr>
            </w:pPr>
          </w:p>
        </w:tc>
      </w:tr>
      <w:tr>
        <w:trPr>
          <w:trHeight w:val="168"/>
        </w:trPr>
        <w:tc>
          <w:tcPr>
            <w:tcW w:w="63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December 31, 1996</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r>
      <w:tr>
        <w:trPr>
          <w:trHeight w:val="336"/>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w w:val="99"/>
              </w:rPr>
              <w:t>Line 27d - Schedule of Reportable Transactions for the Year Ended</w:t>
            </w:r>
          </w:p>
        </w:tc>
        <w:tc>
          <w:tcPr>
            <w:tcW w:w="620" w:type="dxa"/>
            <w:vAlign w:val="bottom"/>
          </w:tcPr>
          <w:p>
            <w:pPr>
              <w:spacing w:after="0"/>
              <w:rPr>
                <w:sz w:val="24"/>
                <w:szCs w:val="24"/>
                <w:color w:val="auto"/>
              </w:rPr>
            </w:pPr>
          </w:p>
        </w:tc>
      </w:tr>
      <w:tr>
        <w:trPr>
          <w:trHeight w:val="168"/>
        </w:trPr>
        <w:tc>
          <w:tcPr>
            <w:tcW w:w="63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December 31, 1996</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w:t>
            </w:r>
          </w:p>
        </w:tc>
      </w:tr>
    </w:tbl>
    <w:p>
      <w:pPr>
        <w:sectPr>
          <w:pgSz w:w="11900" w:h="16838" w:orient="portrait"/>
          <w:cols w:equalWidth="0" w:num="1">
            <w:col w:w="10239"/>
          </w:cols>
          <w:pgMar w:left="220" w:top="785"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Administrator</w:t>
      </w:r>
    </w:p>
    <w:p>
      <w:pPr>
        <w:spacing w:after="0" w:line="237" w:lineRule="auto"/>
        <w:rPr>
          <w:sz w:val="20"/>
          <w:szCs w:val="20"/>
          <w:color w:val="auto"/>
        </w:rPr>
      </w:pPr>
      <w:r>
        <w:rPr>
          <w:rFonts w:ascii="Courier New" w:cs="Courier New" w:eastAsia="Courier New" w:hAnsi="Courier New"/>
          <w:sz w:val="15"/>
          <w:szCs w:val="15"/>
          <w:color w:val="auto"/>
        </w:rPr>
        <w:t>Comcast Corporation Retirement-Investment Plan</w:t>
      </w:r>
    </w:p>
    <w:p>
      <w:pPr>
        <w:spacing w:after="0" w:line="238" w:lineRule="auto"/>
        <w:rPr>
          <w:sz w:val="20"/>
          <w:szCs w:val="20"/>
          <w:color w:val="auto"/>
        </w:rPr>
      </w:pPr>
      <w:r>
        <w:rPr>
          <w:rFonts w:ascii="Courier New" w:cs="Courier New" w:eastAsia="Courier New" w:hAnsi="Courier New"/>
          <w:sz w:val="15"/>
          <w:szCs w:val="15"/>
          <w:color w:val="auto"/>
        </w:rPr>
        <w:t>Philadelphia, Pennsylvania</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We have audited the accompanying statement of net assets available for benefits with fund information of the Comcast Corporation Retirement-Investment Plan (the "Plan") as of December 31, 1996 and 1995, and the related statement of changes in net assets available for benefits with fund information for each of the three years in the period ended December 31, 1996. These financial statements are the responsibility of the Plan's management. Our responsibility is to express an opinion on these financial statements based on our audits.</w:t>
      </w:r>
    </w:p>
    <w:p>
      <w:pPr>
        <w:spacing w:after="0" w:line="166"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our opinion, such financial statements present fairly, in all material respects, the net assets available for benefits of the Comcast Corporation Retirement-Investment Plan as of December 31, 1996 and 1995, and the related changes in net assets available for benefits for each of the three years in the period ended December 31, 1996 in conformity with generally accepted accounting principles.</w:t>
      </w:r>
    </w:p>
    <w:p>
      <w:pPr>
        <w:spacing w:after="0" w:line="175"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Our audits were conducted for the purpose of forming an opinion on the basic financial statements taken as a whole. The supplemental information by fund in the statement of net assets available for benefits with fund information and the statement of changes in net assets available for benefits with fund information is presented for the purpose of additional analysis of the basic financial statements rather than to present information regarding the net assets available for benefits and changes in net assets available for benefits of each fund. The supplemental schedules on pages 12 and 13 are presented for the purpose of additional analysis and are not a required part of the basic financial statements, but are supplementary information required by the Department of Labor's Rules and Regulations for Reporting and Disclosure under the Employee Retirement Income Security Act of 1974. The supplemental information by fund and supplemental schedules are the responsibility of the Plan's management. The supplemental information by fund and supplemental schedules have been subjected to the auditing procedures applied in the audits of the basic financial statements and, in our opinion, are fairly stated in all material respects when considered in relation to the basic financial statements taken as a whole.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237" w:lineRule="auto"/>
        <w:rPr>
          <w:sz w:val="20"/>
          <w:szCs w:val="20"/>
          <w:color w:val="auto"/>
        </w:rPr>
      </w:pPr>
      <w:r>
        <w:rPr>
          <w:rFonts w:ascii="Courier New" w:cs="Courier New" w:eastAsia="Courier New" w:hAnsi="Courier New"/>
          <w:sz w:val="15"/>
          <w:szCs w:val="15"/>
          <w:color w:val="auto"/>
        </w:rPr>
        <w:t>Philadelphia, Pennsylvania</w:t>
      </w:r>
    </w:p>
    <w:p>
      <w:pPr>
        <w:spacing w:after="0" w:line="238" w:lineRule="auto"/>
        <w:rPr>
          <w:sz w:val="20"/>
          <w:szCs w:val="20"/>
          <w:color w:val="auto"/>
        </w:rPr>
      </w:pPr>
      <w:r>
        <w:rPr>
          <w:rFonts w:ascii="Courier New" w:cs="Courier New" w:eastAsia="Courier New" w:hAnsi="Courier New"/>
          <w:sz w:val="15"/>
          <w:szCs w:val="15"/>
          <w:color w:val="auto"/>
        </w:rPr>
        <w:t>June 13, 1997</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- 1 -</w:t>
      </w:r>
    </w:p>
    <w:p>
      <w:pPr>
        <w:sectPr>
          <w:pgSz w:w="11900" w:h="16838" w:orient="portrait"/>
          <w:cols w:equalWidth="0" w:num="1">
            <w:col w:w="10239"/>
          </w:cols>
          <w:pgMar w:left="220" w:top="785"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73" w:lineRule="exact"/>
        <w:rPr>
          <w:sz w:val="20"/>
          <w:szCs w:val="20"/>
          <w:color w:val="auto"/>
        </w:rPr>
      </w:pPr>
    </w:p>
    <w:p>
      <w:pPr>
        <w:ind w:right="5240"/>
        <w:spacing w:after="0" w:line="234" w:lineRule="auto"/>
        <w:rPr>
          <w:sz w:val="20"/>
          <w:szCs w:val="20"/>
          <w:color w:val="auto"/>
        </w:rPr>
      </w:pPr>
      <w:r>
        <w:rPr>
          <w:rFonts w:ascii="Courier New" w:cs="Courier New" w:eastAsia="Courier New" w:hAnsi="Courier New"/>
          <w:sz w:val="15"/>
          <w:szCs w:val="15"/>
          <w:color w:val="auto"/>
        </w:rPr>
        <w:t>STATEMENT OF NET ASSETS AVAILABLE FOR BENEFITS WITH FUND INFORMATION DECEMBER 31, 1996 AND 1995</w:t>
      </w:r>
    </w:p>
    <w:p>
      <w:pPr>
        <w:spacing w:after="0" w:line="237" w:lineRule="auto"/>
        <w:rPr>
          <w:sz w:val="20"/>
          <w:szCs w:val="20"/>
          <w:color w:val="auto"/>
        </w:rPr>
      </w:pPr>
      <w:r>
        <w:rPr>
          <w:rFonts w:ascii="Courier New" w:cs="Courier New" w:eastAsia="Courier New" w:hAnsi="Courier New"/>
          <w:sz w:val="15"/>
          <w:szCs w:val="15"/>
          <w:color w:val="auto"/>
        </w:rPr>
        <w:t>_______________________________________________________________________________</w:t>
      </w:r>
    </w:p>
    <w:p>
      <w:pPr>
        <w:spacing w:after="0" w:line="342" w:lineRule="exact"/>
        <w:rPr>
          <w:sz w:val="20"/>
          <w:szCs w:val="20"/>
          <w:color w:val="auto"/>
        </w:rPr>
      </w:pPr>
    </w:p>
    <w:p>
      <w:pPr>
        <w:ind w:left="6840"/>
        <w:spacing w:after="0"/>
        <w:rPr>
          <w:sz w:val="20"/>
          <w:szCs w:val="20"/>
          <w:color w:val="auto"/>
        </w:rPr>
      </w:pPr>
      <w:r>
        <w:rPr>
          <w:rFonts w:ascii="Courier New" w:cs="Courier New" w:eastAsia="Courier New" w:hAnsi="Courier New"/>
          <w:sz w:val="14"/>
          <w:szCs w:val="14"/>
          <w:color w:val="auto"/>
        </w:rPr>
        <w:t>Mutual Funds</w:t>
      </w:r>
    </w:p>
    <w:p>
      <w:pPr>
        <w:sectPr>
          <w:pgSz w:w="11900" w:h="16838" w:orient="portrait"/>
          <w:cols w:equalWidth="0" w:num="1">
            <w:col w:w="11200"/>
          </w:cols>
          <w:pgMar w:left="220" w:top="953" w:right="479" w:bottom="1440" w:gutter="0" w:footer="0" w:header="0"/>
        </w:sectPr>
      </w:pPr>
    </w:p>
    <w:p>
      <w:pPr>
        <w:spacing w:after="0" w:line="178"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Dodge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Fidelity</w:t>
      </w:r>
    </w:p>
    <w:p>
      <w:pPr>
        <w:spacing w:after="0" w:line="3" w:lineRule="exact"/>
        <w:rPr>
          <w:sz w:val="20"/>
          <w:szCs w:val="20"/>
          <w:color w:val="auto"/>
        </w:rPr>
      </w:pPr>
    </w:p>
    <w:p>
      <w:pPr>
        <w:sectPr>
          <w:pgSz w:w="11900" w:h="16838" w:orient="portrait"/>
          <w:cols w:equalWidth="0" w:num="2">
            <w:col w:w="4380" w:space="700"/>
            <w:col w:w="6120"/>
          </w:cols>
          <w:pgMar w:left="220" w:top="953" w:right="479" w:bottom="1440" w:gutter="0" w:footer="0" w:header="0"/>
          <w:type w:val="continuous"/>
        </w:sectPr>
      </w:pPr>
    </w:p>
    <w:p>
      <w:pPr>
        <w:spacing w:after="0" w:line="7"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and Cox</w:t>
      </w:r>
    </w:p>
    <w:p>
      <w:pPr>
        <w:spacing w:after="0" w:line="10"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Balanced</w:t>
      </w:r>
    </w:p>
    <w:p>
      <w:pPr>
        <w:spacing w:after="0" w:line="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Blue Chip</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Growth</w:t>
      </w:r>
    </w:p>
    <w:p>
      <w:pPr>
        <w:ind w:left="180"/>
        <w:spacing w:after="0" w:line="237" w:lineRule="auto"/>
        <w:rPr>
          <w:sz w:val="20"/>
          <w:szCs w:val="20"/>
          <w:color w:val="auto"/>
        </w:rPr>
      </w:pPr>
      <w:r>
        <w:rPr>
          <w:rFonts w:ascii="Courier New" w:cs="Courier New" w:eastAsia="Courier New" w:hAnsi="Courier New"/>
          <w:sz w:val="15"/>
          <w:szCs w:val="15"/>
          <w:color w:val="auto"/>
        </w:rPr>
        <w:t>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Crabbe</w:t>
      </w:r>
    </w:p>
    <w:p>
      <w:pPr>
        <w:spacing w:after="0" w:line="1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Huson</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Fund</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5"/>
          <w:szCs w:val="15"/>
          <w:color w:val="auto"/>
        </w:rPr>
        <w:t>PBHG</w:t>
      </w:r>
    </w:p>
    <w:p>
      <w:pPr>
        <w:spacing w:after="0" w:line="237" w:lineRule="auto"/>
        <w:rPr>
          <w:sz w:val="20"/>
          <w:szCs w:val="20"/>
          <w:color w:val="auto"/>
        </w:rPr>
      </w:pPr>
      <w:r>
        <w:rPr>
          <w:rFonts w:ascii="Courier New" w:cs="Courier New" w:eastAsia="Courier New" w:hAnsi="Courier New"/>
          <w:sz w:val="15"/>
          <w:szCs w:val="15"/>
          <w:color w:val="auto"/>
        </w:rPr>
        <w:t>Growth</w:t>
      </w:r>
    </w:p>
    <w:p>
      <w:pPr>
        <w:ind w:left="100"/>
        <w:spacing w:after="0" w:line="238" w:lineRule="auto"/>
        <w:rPr>
          <w:sz w:val="20"/>
          <w:szCs w:val="20"/>
          <w:color w:val="auto"/>
        </w:rPr>
      </w:pPr>
      <w:r>
        <w:rPr>
          <w:rFonts w:ascii="Courier New" w:cs="Courier New" w:eastAsia="Courier New" w:hAnsi="Courier New"/>
          <w:sz w:val="15"/>
          <w:szCs w:val="15"/>
          <w:color w:val="auto"/>
        </w:rPr>
        <w:t>Fund</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color w:val="auto"/>
        </w:rPr>
        <w:t>Ivy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Mutual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Funds</w:t>
      </w:r>
    </w:p>
    <w:p>
      <w:pPr>
        <w:spacing w:after="0" w:line="166" w:lineRule="exact"/>
        <w:rPr>
          <w:sz w:val="20"/>
          <w:szCs w:val="20"/>
          <w:color w:val="auto"/>
        </w:rPr>
      </w:pPr>
    </w:p>
    <w:p>
      <w:pPr>
        <w:sectPr>
          <w:pgSz w:w="11900" w:h="16838" w:orient="portrait"/>
          <w:cols w:equalWidth="0" w:num="6">
            <w:col w:w="4480" w:space="600"/>
            <w:col w:w="780" w:space="620"/>
            <w:col w:w="520" w:space="700"/>
            <w:col w:w="540" w:space="520"/>
            <w:col w:w="1140" w:space="520"/>
            <w:col w:w="780"/>
          </w:cols>
          <w:pgMar w:left="220" w:top="953" w:right="47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DECEMBER 31, 1996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Investments, at fair or</w:t>
      </w:r>
    </w:p>
    <w:p>
      <w:pPr>
        <w:sectPr>
          <w:pgSz w:w="11900" w:h="16838" w:orient="portrait"/>
          <w:cols w:equalWidth="0" w:num="1">
            <w:col w:w="11200"/>
          </w:cols>
          <w:pgMar w:left="220" w:top="953" w:right="479" w:bottom="1440" w:gutter="0" w:footer="0" w:header="0"/>
          <w:type w:val="continuous"/>
        </w:sectPr>
      </w:pP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contract value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$13,520,611</w:t>
      </w:r>
    </w:p>
    <w:p>
      <w:pPr>
        <w:spacing w:after="0" w:line="20" w:lineRule="exact"/>
        <w:rPr>
          <w:sz w:val="20"/>
          <w:szCs w:val="20"/>
          <w:color w:val="auto"/>
        </w:rPr>
      </w:pPr>
      <w:r>
        <w:rPr>
          <w:sz w:val="20"/>
          <w:szCs w:val="20"/>
          <w:color w:val="auto"/>
        </w:rPr>
        <w:br w:type="column"/>
      </w:r>
    </w:p>
    <w:p>
      <w:pPr>
        <w:spacing w:after="0"/>
        <w:tabs>
          <w:tab w:leader="none" w:pos="1200" w:val="left"/>
        </w:tabs>
        <w:rPr>
          <w:sz w:val="20"/>
          <w:szCs w:val="20"/>
          <w:color w:val="auto"/>
        </w:rPr>
      </w:pPr>
      <w:r>
        <w:rPr>
          <w:rFonts w:ascii="Courier New" w:cs="Courier New" w:eastAsia="Courier New" w:hAnsi="Courier New"/>
          <w:sz w:val="15"/>
          <w:szCs w:val="15"/>
          <w:color w:val="auto"/>
        </w:rPr>
        <w:t>$26,443,398</w:t>
        <w:tab/>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$ 3,483,526</w:t>
      </w:r>
    </w:p>
    <w:p>
      <w:pPr>
        <w:spacing w:after="0" w:line="20" w:lineRule="exact"/>
        <w:rPr>
          <w:sz w:val="20"/>
          <w:szCs w:val="20"/>
          <w:color w:val="auto"/>
        </w:rPr>
      </w:pPr>
      <w:r>
        <w:rPr>
          <w:sz w:val="20"/>
          <w:szCs w:val="20"/>
          <w:color w:val="auto"/>
        </w:rPr>
        <w:br w:type="column"/>
      </w:r>
    </w:p>
    <w:p>
      <w:pPr>
        <w:spacing w:after="0"/>
        <w:tabs>
          <w:tab w:leader="none" w:pos="1200" w:val="left"/>
        </w:tabs>
        <w:rPr>
          <w:sz w:val="20"/>
          <w:szCs w:val="20"/>
          <w:color w:val="auto"/>
        </w:rPr>
      </w:pPr>
      <w:r>
        <w:rPr>
          <w:rFonts w:ascii="Courier New" w:cs="Courier New" w:eastAsia="Courier New" w:hAnsi="Courier New"/>
          <w:sz w:val="15"/>
          <w:szCs w:val="15"/>
          <w:color w:val="auto"/>
        </w:rPr>
        <w:t>$ 2,303,811</w:t>
      </w:r>
      <w:r>
        <w:rPr>
          <w:sz w:val="20"/>
          <w:szCs w:val="20"/>
          <w:color w:val="auto"/>
        </w:rPr>
        <w:tab/>
      </w:r>
      <w:r>
        <w:rPr>
          <w:rFonts w:ascii="Courier New" w:cs="Courier New" w:eastAsia="Courier New" w:hAnsi="Courier New"/>
          <w:sz w:val="14"/>
          <w:szCs w:val="14"/>
          <w:color w:val="auto"/>
        </w:rPr>
        <w:t>$45,751,346</w:t>
      </w:r>
    </w:p>
    <w:p>
      <w:pPr>
        <w:spacing w:after="0" w:line="1" w:lineRule="exact"/>
        <w:rPr>
          <w:sz w:val="20"/>
          <w:szCs w:val="20"/>
          <w:color w:val="auto"/>
        </w:rPr>
      </w:pPr>
    </w:p>
    <w:p>
      <w:pPr>
        <w:sectPr>
          <w:pgSz w:w="11900" w:h="16838" w:orient="portrait"/>
          <w:cols w:equalWidth="0" w:num="5">
            <w:col w:w="3060" w:space="720"/>
            <w:col w:w="960" w:space="340"/>
            <w:col w:w="1900" w:space="720"/>
            <w:col w:w="960" w:space="360"/>
            <w:col w:w="2180"/>
          </w:cols>
          <w:pgMar w:left="220" w:top="953" w:right="479" w:bottom="1440" w:gutter="0" w:footer="0" w:header="0"/>
          <w:type w:val="continuous"/>
        </w:sectPr>
      </w:pPr>
    </w:p>
    <w:p>
      <w:pPr>
        <w:ind w:left="280"/>
        <w:spacing w:after="0" w:line="237" w:lineRule="auto"/>
        <w:rPr>
          <w:sz w:val="20"/>
          <w:szCs w:val="20"/>
          <w:color w:val="auto"/>
        </w:rPr>
      </w:pPr>
      <w:r>
        <w:rPr>
          <w:rFonts w:ascii="Courier New" w:cs="Courier New" w:eastAsia="Courier New" w:hAnsi="Courier New"/>
          <w:sz w:val="15"/>
          <w:szCs w:val="15"/>
          <w:color w:val="auto"/>
        </w:rPr>
        <w:t>Cash</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Loans receivable from</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participants</w:t>
      </w:r>
    </w:p>
    <w:p>
      <w:pPr>
        <w:sectPr>
          <w:pgSz w:w="11900" w:h="16838" w:orient="portrait"/>
          <w:cols w:equalWidth="0" w:num="1">
            <w:col w:w="11200"/>
          </w:cols>
          <w:pgMar w:left="220" w:top="953" w:right="479" w:bottom="1440" w:gutter="0" w:footer="0" w:header="0"/>
          <w:type w:val="continuous"/>
        </w:sectPr>
      </w:pP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12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12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4">
            <w:col w:w="4740" w:space="340"/>
            <w:col w:w="2180" w:space="440"/>
            <w:col w:w="960" w:space="360"/>
            <w:col w:w="2180"/>
          </w:cols>
          <w:pgMar w:left="220" w:top="953" w:right="47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NET ASSETS AVAILABLE</w:t>
      </w:r>
    </w:p>
    <w:p>
      <w:pPr>
        <w:sectPr>
          <w:pgSz w:w="11900" w:h="16838" w:orient="portrait"/>
          <w:cols w:equalWidth="0" w:num="1">
            <w:col w:w="11200"/>
          </w:cols>
          <w:pgMar w:left="220" w:top="953" w:right="479" w:bottom="1440" w:gutter="0" w:footer="0" w:header="0"/>
          <w:type w:val="continuous"/>
        </w:sectPr>
      </w:pPr>
    </w:p>
    <w:p>
      <w:pPr>
        <w:spacing w:after="0" w:line="10"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FOR BENEFITS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$13,520,611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34" w:lineRule="auto"/>
        <w:rPr>
          <w:sz w:val="20"/>
          <w:szCs w:val="20"/>
          <w:color w:val="auto"/>
        </w:rPr>
      </w:pPr>
      <w:r>
        <w:rPr>
          <w:rFonts w:ascii="Courier New" w:cs="Courier New" w:eastAsia="Courier New" w:hAnsi="Courier New"/>
          <w:sz w:val="15"/>
          <w:szCs w:val="15"/>
          <w:color w:val="auto"/>
        </w:rPr>
        <w:t>$26,443,398 $ =========== ===========</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Courier New" w:cs="Courier New" w:eastAsia="Courier New" w:hAnsi="Courier New"/>
          <w:sz w:val="14"/>
          <w:szCs w:val="14"/>
          <w:color w:val="auto"/>
        </w:rPr>
        <w:t>$ 3,483,526 ===========</w:t>
      </w:r>
    </w:p>
    <w:p>
      <w:pPr>
        <w:spacing w:after="0" w:line="20" w:lineRule="exact"/>
        <w:rPr>
          <w:sz w:val="20"/>
          <w:szCs w:val="20"/>
          <w:color w:val="auto"/>
        </w:rPr>
      </w:pPr>
      <w:r>
        <w:rPr>
          <w:sz w:val="20"/>
          <w:szCs w:val="20"/>
          <w:color w:val="auto"/>
        </w:rPr>
        <w:br w:type="column"/>
      </w:r>
    </w:p>
    <w:p>
      <w:pPr>
        <w:jc w:val="both"/>
        <w:spacing w:after="0" w:line="234" w:lineRule="auto"/>
        <w:rPr>
          <w:sz w:val="20"/>
          <w:szCs w:val="20"/>
          <w:color w:val="auto"/>
        </w:rPr>
      </w:pPr>
      <w:r>
        <w:rPr>
          <w:rFonts w:ascii="Courier New" w:cs="Courier New" w:eastAsia="Courier New" w:hAnsi="Courier New"/>
          <w:sz w:val="15"/>
          <w:szCs w:val="15"/>
          <w:color w:val="auto"/>
        </w:rPr>
        <w:t>$ 2,303,811 $45,751,346 =========== ===========</w:t>
      </w:r>
    </w:p>
    <w:p>
      <w:pPr>
        <w:spacing w:after="0" w:line="213" w:lineRule="exact"/>
        <w:rPr>
          <w:sz w:val="20"/>
          <w:szCs w:val="20"/>
          <w:color w:val="auto"/>
        </w:rPr>
      </w:pPr>
    </w:p>
    <w:p>
      <w:pPr>
        <w:sectPr>
          <w:pgSz w:w="11900" w:h="16838" w:orient="portrait"/>
          <w:cols w:equalWidth="0" w:num="5">
            <w:col w:w="3060" w:space="720"/>
            <w:col w:w="960" w:space="340"/>
            <w:col w:w="2180" w:space="440"/>
            <w:col w:w="960" w:space="360"/>
            <w:col w:w="2180"/>
          </w:cols>
          <w:pgMar w:left="220" w:top="953" w:right="479" w:bottom="1440" w:gutter="0" w:footer="0" w:header="0"/>
          <w:type w:val="continuous"/>
        </w:sectPr>
      </w:pP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Investments, at fair or</w:t>
      </w:r>
    </w:p>
    <w:p>
      <w:pPr>
        <w:sectPr>
          <w:pgSz w:w="11900" w:h="16838" w:orient="portrait"/>
          <w:cols w:equalWidth="0" w:num="1">
            <w:col w:w="11200"/>
          </w:cols>
          <w:pgMar w:left="220" w:top="953" w:right="479" w:bottom="1440" w:gutter="0" w:footer="0" w:header="0"/>
          <w:type w:val="continuous"/>
        </w:sectPr>
      </w:pP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contract value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$10,772,716</w:t>
      </w:r>
    </w:p>
    <w:p>
      <w:pPr>
        <w:spacing w:after="0" w:line="20" w:lineRule="exact"/>
        <w:rPr>
          <w:sz w:val="20"/>
          <w:szCs w:val="20"/>
          <w:color w:val="auto"/>
        </w:rPr>
      </w:pPr>
      <w:r>
        <w:rPr>
          <w:sz w:val="20"/>
          <w:szCs w:val="20"/>
          <w:color w:val="auto"/>
        </w:rPr>
        <w:br w:type="column"/>
      </w:r>
    </w:p>
    <w:p>
      <w:pPr>
        <w:jc w:val="center"/>
        <w:spacing w:after="0"/>
        <w:tabs>
          <w:tab w:leader="none" w:pos="240" w:val="left"/>
        </w:tabs>
        <w:rPr>
          <w:sz w:val="20"/>
          <w:szCs w:val="20"/>
          <w:color w:val="auto"/>
        </w:rPr>
      </w:pPr>
      <w:r>
        <w:rPr>
          <w:rFonts w:ascii="Courier New" w:cs="Courier New" w:eastAsia="Courier New" w:hAnsi="Courier New"/>
          <w:sz w:val="15"/>
          <w:szCs w:val="15"/>
          <w:color w:val="auto"/>
        </w:rPr>
        <w:t>$19,920,762</w:t>
      </w:r>
      <w:r>
        <w:rPr>
          <w:sz w:val="20"/>
          <w:szCs w:val="20"/>
          <w:color w:val="auto"/>
        </w:rPr>
        <w:tab/>
      </w:r>
      <w:r>
        <w:rPr>
          <w:rFonts w:ascii="Courier New" w:cs="Courier New" w:eastAsia="Courier New" w:hAnsi="Courier New"/>
          <w:sz w:val="14"/>
          <w:szCs w:val="14"/>
          <w:color w:val="auto"/>
        </w:rPr>
        <w:t>$ 3,090,642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jc w:val="center"/>
        <w:ind w:right="50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$33,784,120</w:t>
      </w:r>
    </w:p>
    <w:p>
      <w:pPr>
        <w:spacing w:after="0" w:line="5" w:lineRule="exact"/>
        <w:rPr>
          <w:sz w:val="20"/>
          <w:szCs w:val="20"/>
          <w:color w:val="auto"/>
        </w:rPr>
      </w:pPr>
    </w:p>
    <w:p>
      <w:pPr>
        <w:sectPr>
          <w:pgSz w:w="11900" w:h="16838" w:orient="portrait"/>
          <w:cols w:equalWidth="0" w:num="6">
            <w:col w:w="3060" w:space="720"/>
            <w:col w:w="960" w:space="340"/>
            <w:col w:w="2180" w:space="360"/>
            <w:col w:w="600" w:space="720"/>
            <w:col w:w="580" w:space="720"/>
            <w:col w:w="960"/>
          </w:cols>
          <w:pgMar w:left="220" w:top="953" w:right="479" w:bottom="1440" w:gutter="0" w:footer="0" w:header="0"/>
          <w:type w:val="continuous"/>
        </w:sectPr>
      </w:pPr>
    </w:p>
    <w:p>
      <w:pPr>
        <w:ind w:left="280"/>
        <w:spacing w:after="0" w:line="237" w:lineRule="auto"/>
        <w:rPr>
          <w:sz w:val="20"/>
          <w:szCs w:val="20"/>
          <w:color w:val="auto"/>
        </w:rPr>
      </w:pPr>
      <w:r>
        <w:rPr>
          <w:rFonts w:ascii="Courier New" w:cs="Courier New" w:eastAsia="Courier New" w:hAnsi="Courier New"/>
          <w:sz w:val="15"/>
          <w:szCs w:val="15"/>
          <w:color w:val="auto"/>
        </w:rPr>
        <w:t>Cash</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Loans receivable from</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participants</w:t>
      </w:r>
    </w:p>
    <w:p>
      <w:pPr>
        <w:sectPr>
          <w:pgSz w:w="11900" w:h="16838" w:orient="portrait"/>
          <w:cols w:equalWidth="0" w:num="1">
            <w:col w:w="11200"/>
          </w:cols>
          <w:pgMar w:left="220" w:top="953" w:right="479" w:bottom="1440" w:gutter="0" w:footer="0" w:header="0"/>
          <w:type w:val="continuous"/>
        </w:sectPr>
      </w:pP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12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1300" w:val="left"/>
          <w:tab w:leader="none" w:pos="26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4740" w:space="340"/>
            <w:col w:w="2180" w:space="360"/>
            <w:col w:w="3580"/>
          </w:cols>
          <w:pgMar w:left="220" w:top="953" w:right="47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NET ASSETS AVAILABLE</w:t>
      </w:r>
    </w:p>
    <w:p>
      <w:pPr>
        <w:sectPr>
          <w:pgSz w:w="11900" w:h="16838" w:orient="portrait"/>
          <w:cols w:equalWidth="0" w:num="1">
            <w:col w:w="11200"/>
          </w:cols>
          <w:pgMar w:left="220" w:top="953" w:right="479" w:bottom="1440" w:gutter="0" w:footer="0" w:header="0"/>
          <w:type w:val="continuous"/>
        </w:sectPr>
      </w:pPr>
    </w:p>
    <w:p>
      <w:pPr>
        <w:spacing w:after="0" w:line="10"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FOR BENEFITS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$10,772,716</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both"/>
        <w:spacing w:after="0" w:line="234" w:lineRule="auto"/>
        <w:rPr>
          <w:sz w:val="20"/>
          <w:szCs w:val="20"/>
          <w:color w:val="auto"/>
        </w:rPr>
      </w:pPr>
      <w:r>
        <w:rPr>
          <w:rFonts w:ascii="Courier New" w:cs="Courier New" w:eastAsia="Courier New" w:hAnsi="Courier New"/>
          <w:sz w:val="15"/>
          <w:szCs w:val="15"/>
          <w:color w:val="auto"/>
        </w:rPr>
        <w:t>$19,920,762 $ 3,090,642 =========== ===========</w:t>
      </w:r>
    </w:p>
    <w:p>
      <w:pPr>
        <w:spacing w:after="0" w:line="20" w:lineRule="exact"/>
        <w:rPr>
          <w:sz w:val="20"/>
          <w:szCs w:val="20"/>
          <w:color w:val="auto"/>
        </w:rPr>
      </w:pPr>
      <w:r>
        <w:rPr>
          <w:sz w:val="20"/>
          <w:szCs w:val="20"/>
          <w:color w:val="auto"/>
        </w:rPr>
        <w:br w:type="column"/>
      </w:r>
    </w:p>
    <w:p>
      <w:pPr>
        <w:jc w:val="both"/>
        <w:spacing w:after="0" w:line="234" w:lineRule="auto"/>
        <w:rPr>
          <w:sz w:val="20"/>
          <w:szCs w:val="20"/>
          <w:color w:val="auto"/>
        </w:rPr>
      </w:pPr>
      <w:r>
        <w:rPr>
          <w:rFonts w:ascii="Courier New" w:cs="Courier New" w:eastAsia="Courier New" w:hAnsi="Courier New"/>
          <w:sz w:val="15"/>
          <w:szCs w:val="15"/>
          <w:color w:val="auto"/>
        </w:rPr>
        <w:t>$ $ $33,784,120 ============ ============ ===========</w:t>
      </w:r>
    </w:p>
    <w:p>
      <w:pPr>
        <w:sectPr>
          <w:pgSz w:w="11900" w:h="16838" w:orient="portrait"/>
          <w:cols w:equalWidth="0" w:num="4">
            <w:col w:w="3060" w:space="720"/>
            <w:col w:w="960" w:space="340"/>
            <w:col w:w="2180" w:space="360"/>
            <w:col w:w="3580"/>
          </w:cols>
          <w:pgMar w:left="220" w:top="953" w:right="47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9"/>
              </w:rPr>
              <w:t>Stable</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Total</w:t>
            </w: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760" w:type="dxa"/>
            <w:vAlign w:val="bottom"/>
          </w:tcPr>
          <w:p>
            <w:pPr>
              <w:spacing w:after="0"/>
              <w:rPr>
                <w:sz w:val="14"/>
                <w:szCs w:val="14"/>
                <w:color w:val="auto"/>
              </w:rPr>
            </w:pPr>
          </w:p>
        </w:tc>
        <w:tc>
          <w:tcPr>
            <w:tcW w:w="17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Comcast</w:t>
            </w:r>
          </w:p>
        </w:tc>
        <w:tc>
          <w:tcPr>
            <w:tcW w:w="13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Value</w:t>
            </w:r>
          </w:p>
        </w:tc>
        <w:tc>
          <w:tcPr>
            <w:tcW w:w="16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Investment</w:t>
            </w:r>
          </w:p>
        </w:tc>
        <w:tc>
          <w:tcPr>
            <w:tcW w:w="1700" w:type="dxa"/>
            <w:vAlign w:val="bottom"/>
            <w:gridSpan w:val="2"/>
          </w:tcPr>
          <w:p>
            <w:pPr>
              <w:ind w:left="420"/>
              <w:spacing w:after="0" w:line="168" w:lineRule="exact"/>
              <w:rPr>
                <w:sz w:val="20"/>
                <w:szCs w:val="20"/>
                <w:color w:val="auto"/>
              </w:rPr>
            </w:pPr>
            <w:r>
              <w:rPr>
                <w:rFonts w:ascii="Courier New" w:cs="Courier New" w:eastAsia="Courier New" w:hAnsi="Courier New"/>
                <w:sz w:val="15"/>
                <w:szCs w:val="15"/>
                <w:color w:val="auto"/>
              </w:rPr>
              <w:t>Participant</w:t>
            </w:r>
          </w:p>
        </w:tc>
        <w:tc>
          <w:tcPr>
            <w:tcW w:w="1260" w:type="dxa"/>
            <w:vAlign w:val="bottom"/>
          </w:tcPr>
          <w:p>
            <w:pPr>
              <w:spacing w:after="0"/>
              <w:rPr>
                <w:sz w:val="14"/>
                <w:szCs w:val="14"/>
                <w:color w:val="auto"/>
              </w:rPr>
            </w:pPr>
          </w:p>
        </w:tc>
      </w:tr>
      <w:tr>
        <w:trPr>
          <w:trHeight w:val="168"/>
        </w:trPr>
        <w:tc>
          <w:tcPr>
            <w:tcW w:w="2760" w:type="dxa"/>
            <w:vAlign w:val="bottom"/>
          </w:tcPr>
          <w:p>
            <w:pPr>
              <w:spacing w:after="0"/>
              <w:rPr>
                <w:sz w:val="14"/>
                <w:szCs w:val="14"/>
                <w:color w:val="auto"/>
              </w:rPr>
            </w:pPr>
          </w:p>
        </w:tc>
        <w:tc>
          <w:tcPr>
            <w:tcW w:w="17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Stock Fund</w:t>
            </w:r>
          </w:p>
        </w:tc>
        <w:tc>
          <w:tcPr>
            <w:tcW w:w="1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Fund</w:t>
            </w:r>
          </w:p>
        </w:tc>
        <w:tc>
          <w:tcPr>
            <w:tcW w:w="16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Funds</w:t>
            </w:r>
          </w:p>
        </w:tc>
        <w:tc>
          <w:tcPr>
            <w:tcW w:w="56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Loan Fund</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DECEMBER 31, 1996</w:t>
            </w:r>
          </w:p>
        </w:tc>
        <w:tc>
          <w:tcPr>
            <w:tcW w:w="1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27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at fair or</w:t>
            </w: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7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contract value</w:t>
            </w: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$ 19,858,161</w:t>
            </w:r>
          </w:p>
        </w:tc>
        <w:tc>
          <w:tcPr>
            <w:tcW w:w="1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$ 31,205,073</w:t>
            </w:r>
          </w:p>
        </w:tc>
        <w:tc>
          <w:tcPr>
            <w:tcW w:w="16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$96,814,580</w:t>
            </w:r>
          </w:p>
        </w:tc>
        <w:tc>
          <w:tcPr>
            <w:tcW w:w="5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$ 96,814,580</w:t>
            </w:r>
          </w:p>
        </w:tc>
      </w:tr>
      <w:tr>
        <w:trPr>
          <w:trHeight w:val="168"/>
        </w:trPr>
        <w:tc>
          <w:tcPr>
            <w:tcW w:w="27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w:t>
            </w: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3,692,819</w:t>
            </w:r>
          </w:p>
        </w:tc>
        <w:tc>
          <w:tcPr>
            <w:tcW w:w="1380" w:type="dxa"/>
            <w:vAlign w:val="bottom"/>
          </w:tcPr>
          <w:p>
            <w:pPr>
              <w:spacing w:after="0"/>
              <w:rPr>
                <w:sz w:val="14"/>
                <w:szCs w:val="14"/>
                <w:color w:val="auto"/>
              </w:rPr>
            </w:pPr>
          </w:p>
        </w:tc>
        <w:tc>
          <w:tcPr>
            <w:tcW w:w="16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3,692,819</w:t>
            </w: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3,692,819</w:t>
            </w:r>
          </w:p>
        </w:tc>
      </w:tr>
      <w:tr>
        <w:trPr>
          <w:trHeight w:val="168"/>
        </w:trPr>
        <w:tc>
          <w:tcPr>
            <w:tcW w:w="27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Loans receivable from</w:t>
            </w: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7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participants</w:t>
            </w: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4,658,990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4,658,990</w:t>
            </w:r>
          </w:p>
        </w:tc>
      </w:tr>
      <w:tr>
        <w:trPr>
          <w:trHeight w:val="168"/>
        </w:trPr>
        <w:tc>
          <w:tcPr>
            <w:tcW w:w="2760" w:type="dxa"/>
            <w:vAlign w:val="bottom"/>
          </w:tcPr>
          <w:p>
            <w:pPr>
              <w:spacing w:after="0"/>
              <w:rPr>
                <w:sz w:val="14"/>
                <w:szCs w:val="14"/>
                <w:color w:val="auto"/>
              </w:rPr>
            </w:pP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6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NET ASSETS AVAILABLE</w:t>
            </w:r>
          </w:p>
        </w:tc>
        <w:tc>
          <w:tcPr>
            <w:tcW w:w="1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27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BENEFITS</w:t>
            </w: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$ 23,550,980</w:t>
            </w:r>
          </w:p>
        </w:tc>
        <w:tc>
          <w:tcPr>
            <w:tcW w:w="1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$ 31,205,073</w:t>
            </w:r>
          </w:p>
        </w:tc>
        <w:tc>
          <w:tcPr>
            <w:tcW w:w="16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$100,507,399</w:t>
            </w:r>
          </w:p>
        </w:tc>
        <w:tc>
          <w:tcPr>
            <w:tcW w:w="5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4,658,990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$105,166,389</w:t>
            </w:r>
          </w:p>
        </w:tc>
      </w:tr>
      <w:tr>
        <w:trPr>
          <w:trHeight w:val="168"/>
        </w:trPr>
        <w:tc>
          <w:tcPr>
            <w:tcW w:w="2760" w:type="dxa"/>
            <w:vAlign w:val="bottom"/>
          </w:tcPr>
          <w:p>
            <w:pPr>
              <w:spacing w:after="0"/>
              <w:rPr>
                <w:sz w:val="14"/>
                <w:szCs w:val="14"/>
                <w:color w:val="auto"/>
              </w:rPr>
            </w:pP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6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760" w:type="dxa"/>
            <w:vAlign w:val="bottom"/>
          </w:tcPr>
          <w:p>
            <w:pPr>
              <w:spacing w:after="0"/>
              <w:rPr>
                <w:sz w:val="20"/>
                <w:szCs w:val="20"/>
                <w:color w:val="auto"/>
              </w:rPr>
            </w:pPr>
            <w:r>
              <w:rPr>
                <w:rFonts w:ascii="Courier New" w:cs="Courier New" w:eastAsia="Courier New" w:hAnsi="Courier New"/>
                <w:sz w:val="15"/>
                <w:szCs w:val="15"/>
                <w:color w:val="auto"/>
              </w:rPr>
              <w:t>DECEMBER 31, 1995</w:t>
            </w:r>
          </w:p>
        </w:tc>
        <w:tc>
          <w:tcPr>
            <w:tcW w:w="1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27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at fair or</w:t>
            </w: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7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contract value</w:t>
            </w: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$ 20,625,462</w:t>
            </w:r>
          </w:p>
        </w:tc>
        <w:tc>
          <w:tcPr>
            <w:tcW w:w="1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$ 33,077,270</w:t>
            </w:r>
          </w:p>
        </w:tc>
        <w:tc>
          <w:tcPr>
            <w:tcW w:w="16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$ 87,486,852</w:t>
            </w:r>
          </w:p>
        </w:tc>
        <w:tc>
          <w:tcPr>
            <w:tcW w:w="5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$ 87,486,852</w:t>
            </w:r>
          </w:p>
        </w:tc>
      </w:tr>
      <w:tr>
        <w:trPr>
          <w:trHeight w:val="168"/>
        </w:trPr>
        <w:tc>
          <w:tcPr>
            <w:tcW w:w="27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w:t>
            </w: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726,095</w:t>
            </w:r>
          </w:p>
        </w:tc>
        <w:tc>
          <w:tcPr>
            <w:tcW w:w="1380" w:type="dxa"/>
            <w:vAlign w:val="bottom"/>
          </w:tcPr>
          <w:p>
            <w:pPr>
              <w:spacing w:after="0"/>
              <w:rPr>
                <w:sz w:val="14"/>
                <w:szCs w:val="14"/>
                <w:color w:val="auto"/>
              </w:rPr>
            </w:pPr>
          </w:p>
        </w:tc>
        <w:tc>
          <w:tcPr>
            <w:tcW w:w="16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726,095</w:t>
            </w: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726,095</w:t>
            </w:r>
          </w:p>
        </w:tc>
      </w:tr>
      <w:tr>
        <w:trPr>
          <w:trHeight w:val="168"/>
        </w:trPr>
        <w:tc>
          <w:tcPr>
            <w:tcW w:w="27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Loans receivable from</w:t>
            </w: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7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participants</w:t>
            </w: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2,416,382</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2,416,382</w:t>
            </w:r>
          </w:p>
        </w:tc>
      </w:tr>
      <w:tr>
        <w:trPr>
          <w:trHeight w:val="168"/>
        </w:trPr>
        <w:tc>
          <w:tcPr>
            <w:tcW w:w="2760" w:type="dxa"/>
            <w:vAlign w:val="bottom"/>
          </w:tcPr>
          <w:p>
            <w:pPr>
              <w:spacing w:after="0"/>
              <w:rPr>
                <w:sz w:val="14"/>
                <w:szCs w:val="14"/>
                <w:color w:val="auto"/>
              </w:rPr>
            </w:pP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6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NET ASSETS AVAILABLE</w:t>
            </w:r>
          </w:p>
        </w:tc>
        <w:tc>
          <w:tcPr>
            <w:tcW w:w="1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27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BENEFITS</w:t>
            </w: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$ 21,351,557</w:t>
            </w:r>
          </w:p>
        </w:tc>
        <w:tc>
          <w:tcPr>
            <w:tcW w:w="1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$ 33,077,270</w:t>
            </w:r>
          </w:p>
        </w:tc>
        <w:tc>
          <w:tcPr>
            <w:tcW w:w="16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$ 88,212,947</w:t>
            </w:r>
          </w:p>
        </w:tc>
        <w:tc>
          <w:tcPr>
            <w:tcW w:w="5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2,416,382</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$ 90,629,329</w:t>
            </w:r>
          </w:p>
        </w:tc>
      </w:tr>
      <w:tr>
        <w:trPr>
          <w:trHeight w:val="168"/>
        </w:trPr>
        <w:tc>
          <w:tcPr>
            <w:tcW w:w="2760" w:type="dxa"/>
            <w:vAlign w:val="bottom"/>
          </w:tcPr>
          <w:p>
            <w:pPr>
              <w:spacing w:after="0"/>
              <w:rPr>
                <w:sz w:val="14"/>
                <w:szCs w:val="14"/>
                <w:color w:val="auto"/>
              </w:rPr>
            </w:pP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6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10500"/>
          </w:cols>
          <w:pgMar w:left="220" w:top="1290" w:right="11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73" w:lineRule="exact"/>
        <w:rPr>
          <w:sz w:val="20"/>
          <w:szCs w:val="20"/>
          <w:color w:val="auto"/>
        </w:rPr>
      </w:pPr>
    </w:p>
    <w:p>
      <w:pPr>
        <w:ind w:right="4200"/>
        <w:spacing w:after="0" w:line="234" w:lineRule="auto"/>
        <w:rPr>
          <w:sz w:val="20"/>
          <w:szCs w:val="20"/>
          <w:color w:val="auto"/>
        </w:rPr>
      </w:pPr>
      <w:r>
        <w:rPr>
          <w:rFonts w:ascii="Courier New" w:cs="Courier New" w:eastAsia="Courier New" w:hAnsi="Courier New"/>
          <w:sz w:val="15"/>
          <w:szCs w:val="15"/>
          <w:color w:val="auto"/>
        </w:rPr>
        <w:t>STATEMENT OF CHANGES IN NET ASSETS AVAILABLE FOR BENEFITS WITH FUND INFORMATION YEAR ENDED DECEMBER 31, 1996</w:t>
      </w:r>
    </w:p>
    <w:p>
      <w:pPr>
        <w:spacing w:after="0" w:line="237" w:lineRule="auto"/>
        <w:rPr>
          <w:sz w:val="20"/>
          <w:szCs w:val="20"/>
          <w:color w:val="auto"/>
        </w:rPr>
      </w:pPr>
      <w:r>
        <w:rPr>
          <w:rFonts w:ascii="Courier New" w:cs="Courier New" w:eastAsia="Courier New" w:hAnsi="Courier New"/>
          <w:sz w:val="15"/>
          <w:szCs w:val="15"/>
          <w:color w:val="auto"/>
        </w:rPr>
        <w:t>_______________________________________________________________________________</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52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Mutual Funds</w:t>
            </w:r>
          </w:p>
        </w:tc>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3420" w:type="dxa"/>
            <w:vAlign w:val="bottom"/>
          </w:tcPr>
          <w:p>
            <w:pPr>
              <w:spacing w:after="0"/>
              <w:rPr>
                <w:sz w:val="24"/>
                <w:szCs w:val="24"/>
                <w:color w:val="auto"/>
              </w:rPr>
            </w:pPr>
          </w:p>
        </w:tc>
        <w:tc>
          <w:tcPr>
            <w:tcW w:w="1320" w:type="dxa"/>
            <w:vAlign w:val="bottom"/>
          </w:tcPr>
          <w:p>
            <w:pPr>
              <w:ind w:left="520"/>
              <w:spacing w:after="0"/>
              <w:rPr>
                <w:sz w:val="20"/>
                <w:szCs w:val="20"/>
                <w:color w:val="auto"/>
              </w:rPr>
            </w:pPr>
            <w:r>
              <w:rPr>
                <w:rFonts w:ascii="Courier New" w:cs="Courier New" w:eastAsia="Courier New" w:hAnsi="Courier New"/>
                <w:sz w:val="15"/>
                <w:szCs w:val="15"/>
                <w:color w:val="auto"/>
              </w:rPr>
              <w:t>Dodge</w:t>
            </w:r>
          </w:p>
        </w:tc>
        <w:tc>
          <w:tcPr>
            <w:tcW w:w="126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Fidelity</w:t>
            </w: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342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and Cox</w:t>
            </w: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Blue Chip</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Crabbe</w:t>
            </w:r>
          </w:p>
        </w:tc>
        <w:tc>
          <w:tcPr>
            <w:tcW w:w="118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4"/>
              </w:rPr>
              <w:t>PBHG</w:t>
            </w:r>
          </w:p>
        </w:tc>
        <w:tc>
          <w:tcPr>
            <w:tcW w:w="1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Ivy</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42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Balanced</w:t>
            </w:r>
          </w:p>
        </w:tc>
        <w:tc>
          <w:tcPr>
            <w:tcW w:w="12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Growth</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Huson</w:t>
            </w:r>
          </w:p>
        </w:tc>
        <w:tc>
          <w:tcPr>
            <w:tcW w:w="11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Growth</w:t>
            </w:r>
          </w:p>
        </w:tc>
        <w:tc>
          <w:tcPr>
            <w:tcW w:w="14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International</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Mutual</w:t>
            </w:r>
          </w:p>
        </w:tc>
      </w:tr>
      <w:tr>
        <w:trPr>
          <w:trHeight w:val="168"/>
        </w:trPr>
        <w:tc>
          <w:tcPr>
            <w:tcW w:w="3420" w:type="dxa"/>
            <w:vAlign w:val="bottom"/>
          </w:tcPr>
          <w:p>
            <w:pPr>
              <w:spacing w:after="0"/>
              <w:rPr>
                <w:sz w:val="14"/>
                <w:szCs w:val="14"/>
                <w:color w:val="auto"/>
              </w:rPr>
            </w:pPr>
          </w:p>
        </w:tc>
        <w:tc>
          <w:tcPr>
            <w:tcW w:w="13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Fund</w:t>
            </w:r>
          </w:p>
        </w:tc>
        <w:tc>
          <w:tcPr>
            <w:tcW w:w="126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4"/>
              </w:rPr>
              <w:t>Fund</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Fund</w:t>
            </w:r>
          </w:p>
        </w:tc>
        <w:tc>
          <w:tcPr>
            <w:tcW w:w="118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4"/>
              </w:rPr>
              <w:t>Fund</w:t>
            </w:r>
          </w:p>
        </w:tc>
        <w:tc>
          <w:tcPr>
            <w:tcW w:w="14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Fund</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Funds</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ADDITIONS TO NET ASSETS</w:t>
            </w: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ATTRIBUTED TO:</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 income:</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realized and unrealized</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4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appreciation (depreciation) in</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4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fair value of investments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$1,123,805</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$1,608,398</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63,591</w:t>
            </w:r>
          </w:p>
        </w:tc>
        <w:tc>
          <w:tcPr>
            <w:tcW w:w="1180" w:type="dxa"/>
            <w:vAlign w:val="bottom"/>
          </w:tcPr>
          <w:p>
            <w:pPr>
              <w:jc w:val="right"/>
              <w:ind w:right="82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$ 162,970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$2,958,764</w:t>
            </w:r>
          </w:p>
        </w:tc>
      </w:tr>
      <w:tr>
        <w:trPr>
          <w:trHeight w:val="168"/>
        </w:trPr>
        <w:tc>
          <w:tcPr>
            <w:tcW w:w="3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and dividends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570,737</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1,799,338</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108,042</w:t>
            </w:r>
          </w:p>
        </w:tc>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2,478,117</w:t>
            </w:r>
          </w:p>
        </w:tc>
      </w:tr>
      <w:tr>
        <w:trPr>
          <w:trHeight w:val="168"/>
        </w:trPr>
        <w:tc>
          <w:tcPr>
            <w:tcW w:w="342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1,694,542</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3,407,736</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171,633</w:t>
            </w:r>
          </w:p>
        </w:tc>
        <w:tc>
          <w:tcPr>
            <w:tcW w:w="1180" w:type="dxa"/>
            <w:vAlign w:val="bottom"/>
          </w:tcPr>
          <w:p>
            <w:pPr>
              <w:spacing w:after="0"/>
              <w:rPr>
                <w:sz w:val="14"/>
                <w:szCs w:val="14"/>
                <w:color w:val="auto"/>
              </w:rPr>
            </w:pP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162,970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5,436,881</w:t>
            </w:r>
          </w:p>
        </w:tc>
      </w:tr>
      <w:tr>
        <w:trPr>
          <w:trHeight w:val="168"/>
        </w:trPr>
        <w:tc>
          <w:tcPr>
            <w:tcW w:w="342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tcPr>
          <w:p>
            <w:pPr>
              <w:ind w:left="280"/>
              <w:spacing w:after="0"/>
              <w:rPr>
                <w:sz w:val="20"/>
                <w:szCs w:val="20"/>
                <w:color w:val="auto"/>
              </w:rPr>
            </w:pPr>
            <w:r>
              <w:rPr>
                <w:rFonts w:ascii="Courier New" w:cs="Courier New" w:eastAsia="Courier New" w:hAnsi="Courier New"/>
                <w:sz w:val="15"/>
                <w:szCs w:val="15"/>
                <w:color w:val="auto"/>
              </w:rPr>
              <w:t>Contributions:</w:t>
            </w: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3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Employee</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1,776,306</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3,555,790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470,359</w:t>
            </w:r>
          </w:p>
        </w:tc>
        <w:tc>
          <w:tcPr>
            <w:tcW w:w="1180" w:type="dxa"/>
            <w:vAlign w:val="bottom"/>
          </w:tcPr>
          <w:p>
            <w:pPr>
              <w:spacing w:after="0"/>
              <w:rPr>
                <w:sz w:val="14"/>
                <w:szCs w:val="14"/>
                <w:color w:val="auto"/>
              </w:rPr>
            </w:pP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490,235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6,292,690</w:t>
            </w:r>
          </w:p>
        </w:tc>
      </w:tr>
      <w:tr>
        <w:trPr>
          <w:trHeight w:val="168"/>
        </w:trPr>
        <w:tc>
          <w:tcPr>
            <w:tcW w:w="3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Employer</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678,511</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1,351,871</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144,218</w:t>
            </w:r>
          </w:p>
        </w:tc>
        <w:tc>
          <w:tcPr>
            <w:tcW w:w="1180" w:type="dxa"/>
            <w:vAlign w:val="bottom"/>
          </w:tcPr>
          <w:p>
            <w:pPr>
              <w:spacing w:after="0"/>
              <w:rPr>
                <w:sz w:val="14"/>
                <w:szCs w:val="14"/>
                <w:color w:val="auto"/>
              </w:rPr>
            </w:pP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146,388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2,320,988</w:t>
            </w:r>
          </w:p>
        </w:tc>
      </w:tr>
      <w:tr>
        <w:trPr>
          <w:trHeight w:val="168"/>
        </w:trPr>
        <w:tc>
          <w:tcPr>
            <w:tcW w:w="342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2,454,817</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4,907,661</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614,577</w:t>
            </w:r>
          </w:p>
        </w:tc>
        <w:tc>
          <w:tcPr>
            <w:tcW w:w="1180" w:type="dxa"/>
            <w:vAlign w:val="bottom"/>
          </w:tcPr>
          <w:p>
            <w:pPr>
              <w:spacing w:after="0"/>
              <w:rPr>
                <w:sz w:val="14"/>
                <w:szCs w:val="14"/>
                <w:color w:val="auto"/>
              </w:rPr>
            </w:pP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636,623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8,613,678</w:t>
            </w:r>
          </w:p>
        </w:tc>
      </w:tr>
      <w:tr>
        <w:trPr>
          <w:trHeight w:val="168"/>
        </w:trPr>
        <w:tc>
          <w:tcPr>
            <w:tcW w:w="342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4,149,359</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8,315,397</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786,210</w:t>
            </w:r>
          </w:p>
        </w:tc>
        <w:tc>
          <w:tcPr>
            <w:tcW w:w="1180" w:type="dxa"/>
            <w:vAlign w:val="bottom"/>
          </w:tcPr>
          <w:p>
            <w:pPr>
              <w:spacing w:after="0"/>
              <w:rPr>
                <w:sz w:val="14"/>
                <w:szCs w:val="14"/>
                <w:color w:val="auto"/>
              </w:rPr>
            </w:pP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799,593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14,050,559</w:t>
            </w:r>
          </w:p>
        </w:tc>
      </w:tr>
      <w:tr>
        <w:trPr>
          <w:trHeight w:val="168"/>
        </w:trPr>
        <w:tc>
          <w:tcPr>
            <w:tcW w:w="342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420" w:type="dxa"/>
            <w:vAlign w:val="bottom"/>
          </w:tcPr>
          <w:p>
            <w:pPr>
              <w:spacing w:after="0"/>
              <w:rPr>
                <w:sz w:val="20"/>
                <w:szCs w:val="20"/>
                <w:color w:val="auto"/>
              </w:rPr>
            </w:pPr>
            <w:r>
              <w:rPr>
                <w:rFonts w:ascii="Courier New" w:cs="Courier New" w:eastAsia="Courier New" w:hAnsi="Courier New"/>
                <w:sz w:val="15"/>
                <w:szCs w:val="15"/>
                <w:color w:val="auto"/>
              </w:rPr>
              <w:t>DEDUCTIONS FROM NET ASSETS</w:t>
            </w: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ATTRIBUTED TO:</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Benefits paid to participants or</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beneficiaries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1,129,067</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1,977,471</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409,861</w:t>
            </w:r>
          </w:p>
        </w:tc>
        <w:tc>
          <w:tcPr>
            <w:tcW w:w="1180" w:type="dxa"/>
            <w:vAlign w:val="bottom"/>
          </w:tcPr>
          <w:p>
            <w:pPr>
              <w:spacing w:after="0"/>
              <w:rPr>
                <w:sz w:val="14"/>
                <w:szCs w:val="14"/>
                <w:color w:val="auto"/>
              </w:rPr>
            </w:pP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49,756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3,566,155</w:t>
            </w:r>
          </w:p>
        </w:tc>
      </w:tr>
      <w:tr>
        <w:trPr>
          <w:trHeight w:val="168"/>
        </w:trPr>
        <w:tc>
          <w:tcPr>
            <w:tcW w:w="342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1,129,067</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1,977,471</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409,861</w:t>
            </w:r>
          </w:p>
        </w:tc>
        <w:tc>
          <w:tcPr>
            <w:tcW w:w="1180" w:type="dxa"/>
            <w:vAlign w:val="bottom"/>
          </w:tcPr>
          <w:p>
            <w:pPr>
              <w:spacing w:after="0"/>
              <w:rPr>
                <w:sz w:val="14"/>
                <w:szCs w:val="14"/>
                <w:color w:val="auto"/>
              </w:rPr>
            </w:pP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49,756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3,566,155</w:t>
            </w:r>
          </w:p>
        </w:tc>
      </w:tr>
      <w:tr>
        <w:trPr>
          <w:trHeight w:val="168"/>
        </w:trPr>
        <w:tc>
          <w:tcPr>
            <w:tcW w:w="342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increase (decrease) prior to</w:t>
            </w: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3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interfund transfers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3,020,292</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6,337,926</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376,349</w:t>
            </w:r>
          </w:p>
        </w:tc>
        <w:tc>
          <w:tcPr>
            <w:tcW w:w="1180" w:type="dxa"/>
            <w:vAlign w:val="bottom"/>
          </w:tcPr>
          <w:p>
            <w:pPr>
              <w:spacing w:after="0"/>
              <w:rPr>
                <w:sz w:val="14"/>
                <w:szCs w:val="14"/>
                <w:color w:val="auto"/>
              </w:rPr>
            </w:pP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749,837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10,484,404</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Loan repayments--principal</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195,087</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402,499</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43,019</w:t>
            </w:r>
          </w:p>
        </w:tc>
        <w:tc>
          <w:tcPr>
            <w:tcW w:w="1180" w:type="dxa"/>
            <w:vAlign w:val="bottom"/>
          </w:tcPr>
          <w:p>
            <w:pPr>
              <w:spacing w:after="0"/>
              <w:rPr>
                <w:sz w:val="14"/>
                <w:szCs w:val="14"/>
                <w:color w:val="auto"/>
              </w:rPr>
            </w:pP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48,267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688,872</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Loan withdrawals</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(456,997)</w:t>
            </w: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(973,427)</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(256,393)</w:t>
            </w:r>
          </w:p>
        </w:tc>
        <w:tc>
          <w:tcPr>
            <w:tcW w:w="1180" w:type="dxa"/>
            <w:vAlign w:val="bottom"/>
          </w:tcPr>
          <w:p>
            <w:pPr>
              <w:spacing w:after="0"/>
              <w:rPr>
                <w:sz w:val="14"/>
                <w:szCs w:val="14"/>
                <w:color w:val="auto"/>
              </w:rPr>
            </w:pP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(54,233)</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(1,741,050)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interfund transfers</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(10,487)</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755,638</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(3,253,617)</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3,483,526</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1,559,940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2,535,000</w:t>
            </w:r>
          </w:p>
        </w:tc>
      </w:tr>
      <w:tr>
        <w:trPr>
          <w:trHeight w:val="168"/>
        </w:trPr>
        <w:tc>
          <w:tcPr>
            <w:tcW w:w="342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(decrease)</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2,747,895</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6,522,636</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(3,090,642)</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3,483,526</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2,303,811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11,967,226</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ASSETS AVAILABLE</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BENEFITS:</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Beginning of year</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10,772,716</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19,920,762</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3,090,642</w:t>
            </w:r>
          </w:p>
        </w:tc>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33,784,120</w:t>
            </w:r>
          </w:p>
        </w:tc>
      </w:tr>
      <w:tr>
        <w:trPr>
          <w:trHeight w:val="168"/>
        </w:trPr>
        <w:tc>
          <w:tcPr>
            <w:tcW w:w="342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End of year</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$13,520,611</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$26,443,398</w:t>
            </w:r>
          </w:p>
        </w:tc>
        <w:tc>
          <w:tcPr>
            <w:tcW w:w="126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$3,483,526</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$2,303,811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$45,751,346</w:t>
            </w:r>
          </w:p>
        </w:tc>
      </w:tr>
      <w:tr>
        <w:trPr>
          <w:trHeight w:val="168"/>
        </w:trPr>
        <w:tc>
          <w:tcPr>
            <w:tcW w:w="342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120"/>
          </w:cols>
          <w:pgMar w:left="220" w:top="953" w:right="55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Stable</w:t>
            </w:r>
          </w:p>
        </w:tc>
        <w:tc>
          <w:tcPr>
            <w:tcW w:w="14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Total</w:t>
            </w: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Comcast</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Value</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Investment</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Participant</w:t>
            </w:r>
          </w:p>
        </w:tc>
        <w:tc>
          <w:tcPr>
            <w:tcW w:w="128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Stock Fund</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Fund</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Funds</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Loan Fund</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ADDITIONS TO NET ASSETS</w:t>
            </w:r>
          </w:p>
        </w:tc>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ATTRIBUTED TO:</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 income:</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realized and unrealized</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2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7"/>
              </w:rPr>
              <w:t>appreciation (depreciation) in</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2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fair value of investments</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($ 324,354)</w:t>
            </w:r>
          </w:p>
        </w:tc>
        <w:tc>
          <w:tcPr>
            <w:tcW w:w="1500" w:type="dxa"/>
            <w:vAlign w:val="bottom"/>
          </w:tcPr>
          <w:p>
            <w:pPr>
              <w:jc w:val="right"/>
              <w:ind w:right="10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2,634,410</w:t>
            </w:r>
          </w:p>
        </w:tc>
        <w:tc>
          <w:tcPr>
            <w:tcW w:w="148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2,634,410</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and dividends</w:t>
            </w:r>
          </w:p>
        </w:tc>
        <w:tc>
          <w:tcPr>
            <w:tcW w:w="14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225,709</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2,064,686</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4,768,512</w:t>
            </w:r>
          </w:p>
        </w:tc>
        <w:tc>
          <w:tcPr>
            <w:tcW w:w="148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4,768,512</w:t>
            </w:r>
          </w:p>
        </w:tc>
      </w:tr>
      <w:tr>
        <w:trPr>
          <w:trHeight w:val="168"/>
        </w:trPr>
        <w:tc>
          <w:tcPr>
            <w:tcW w:w="3280" w:type="dxa"/>
            <w:vAlign w:val="bottom"/>
          </w:tcPr>
          <w:p>
            <w:pPr>
              <w:spacing w:after="0"/>
              <w:rPr>
                <w:sz w:val="14"/>
                <w:szCs w:val="14"/>
                <w:color w:val="auto"/>
              </w:rPr>
            </w:pPr>
          </w:p>
        </w:tc>
        <w:tc>
          <w:tcPr>
            <w:tcW w:w="14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(98,645)</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2,064,686</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7,402,922</w:t>
            </w:r>
          </w:p>
        </w:tc>
        <w:tc>
          <w:tcPr>
            <w:tcW w:w="148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7,402,922</w:t>
            </w:r>
          </w:p>
        </w:tc>
      </w:tr>
      <w:tr>
        <w:trPr>
          <w:trHeight w:val="168"/>
        </w:trPr>
        <w:tc>
          <w:tcPr>
            <w:tcW w:w="3280" w:type="dxa"/>
            <w:vAlign w:val="bottom"/>
          </w:tcPr>
          <w:p>
            <w:pPr>
              <w:spacing w:after="0"/>
              <w:rPr>
                <w:sz w:val="14"/>
                <w:szCs w:val="14"/>
                <w:color w:val="auto"/>
              </w:rPr>
            </w:pPr>
          </w:p>
        </w:tc>
        <w:tc>
          <w:tcPr>
            <w:tcW w:w="14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ind w:left="280"/>
              <w:spacing w:after="0"/>
              <w:rPr>
                <w:sz w:val="20"/>
                <w:szCs w:val="20"/>
                <w:color w:val="auto"/>
              </w:rPr>
            </w:pPr>
            <w:r>
              <w:rPr>
                <w:rFonts w:ascii="Courier New" w:cs="Courier New" w:eastAsia="Courier New" w:hAnsi="Courier New"/>
                <w:sz w:val="15"/>
                <w:szCs w:val="15"/>
                <w:color w:val="auto"/>
              </w:rPr>
              <w:t>Contributions:</w:t>
            </w:r>
          </w:p>
        </w:tc>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Employee</w:t>
            </w:r>
          </w:p>
        </w:tc>
        <w:tc>
          <w:tcPr>
            <w:tcW w:w="14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2,558,327</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3,132,940</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11,983,957</w:t>
            </w:r>
          </w:p>
        </w:tc>
        <w:tc>
          <w:tcPr>
            <w:tcW w:w="148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11,983,957</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Employer</w:t>
            </w:r>
          </w:p>
        </w:tc>
        <w:tc>
          <w:tcPr>
            <w:tcW w:w="14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1,499,994</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1,267,824</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5,088,806</w:t>
            </w:r>
          </w:p>
        </w:tc>
        <w:tc>
          <w:tcPr>
            <w:tcW w:w="148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5,088,806</w:t>
            </w:r>
          </w:p>
        </w:tc>
      </w:tr>
      <w:tr>
        <w:trPr>
          <w:trHeight w:val="168"/>
        </w:trPr>
        <w:tc>
          <w:tcPr>
            <w:tcW w:w="3280" w:type="dxa"/>
            <w:vAlign w:val="bottom"/>
          </w:tcPr>
          <w:p>
            <w:pPr>
              <w:spacing w:after="0"/>
              <w:rPr>
                <w:sz w:val="14"/>
                <w:szCs w:val="14"/>
                <w:color w:val="auto"/>
              </w:rPr>
            </w:pPr>
          </w:p>
        </w:tc>
        <w:tc>
          <w:tcPr>
            <w:tcW w:w="14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14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4,058,321</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4,400,764</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17,072,763</w:t>
            </w:r>
          </w:p>
        </w:tc>
        <w:tc>
          <w:tcPr>
            <w:tcW w:w="148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17,072,763</w:t>
            </w:r>
          </w:p>
        </w:tc>
      </w:tr>
      <w:tr>
        <w:trPr>
          <w:trHeight w:val="168"/>
        </w:trPr>
        <w:tc>
          <w:tcPr>
            <w:tcW w:w="3280" w:type="dxa"/>
            <w:vAlign w:val="bottom"/>
          </w:tcPr>
          <w:p>
            <w:pPr>
              <w:spacing w:after="0"/>
              <w:rPr>
                <w:sz w:val="14"/>
                <w:szCs w:val="14"/>
                <w:color w:val="auto"/>
              </w:rPr>
            </w:pPr>
          </w:p>
        </w:tc>
        <w:tc>
          <w:tcPr>
            <w:tcW w:w="14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14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3,959,676</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6,465,450</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24,475,685</w:t>
            </w:r>
          </w:p>
        </w:tc>
        <w:tc>
          <w:tcPr>
            <w:tcW w:w="148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24,475,685</w:t>
            </w:r>
          </w:p>
        </w:tc>
      </w:tr>
      <w:tr>
        <w:trPr>
          <w:trHeight w:val="168"/>
        </w:trPr>
        <w:tc>
          <w:tcPr>
            <w:tcW w:w="3280" w:type="dxa"/>
            <w:vAlign w:val="bottom"/>
          </w:tcPr>
          <w:p>
            <w:pPr>
              <w:spacing w:after="0"/>
              <w:rPr>
                <w:sz w:val="14"/>
                <w:szCs w:val="14"/>
                <w:color w:val="auto"/>
              </w:rPr>
            </w:pPr>
          </w:p>
        </w:tc>
        <w:tc>
          <w:tcPr>
            <w:tcW w:w="14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280" w:type="dxa"/>
            <w:vAlign w:val="bottom"/>
          </w:tcPr>
          <w:p>
            <w:pPr>
              <w:spacing w:after="0"/>
              <w:rPr>
                <w:sz w:val="20"/>
                <w:szCs w:val="20"/>
                <w:color w:val="auto"/>
              </w:rPr>
            </w:pPr>
            <w:r>
              <w:rPr>
                <w:rFonts w:ascii="Courier New" w:cs="Courier New" w:eastAsia="Courier New" w:hAnsi="Courier New"/>
                <w:sz w:val="15"/>
                <w:szCs w:val="15"/>
                <w:color w:val="auto"/>
              </w:rPr>
              <w:t>DEDUCTIONS FROM NET ASSETS</w:t>
            </w:r>
          </w:p>
        </w:tc>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ATTRIBUTED TO:</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Benefits paid to participants or</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beneficiaries</w:t>
            </w:r>
          </w:p>
        </w:tc>
        <w:tc>
          <w:tcPr>
            <w:tcW w:w="14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1,890,472</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4,208,171</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9,664,798</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273,827</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9,938,625</w:t>
            </w:r>
          </w:p>
        </w:tc>
      </w:tr>
      <w:tr>
        <w:trPr>
          <w:trHeight w:val="168"/>
        </w:trPr>
        <w:tc>
          <w:tcPr>
            <w:tcW w:w="3280" w:type="dxa"/>
            <w:vAlign w:val="bottom"/>
          </w:tcPr>
          <w:p>
            <w:pPr>
              <w:spacing w:after="0"/>
              <w:rPr>
                <w:sz w:val="14"/>
                <w:szCs w:val="14"/>
                <w:color w:val="auto"/>
              </w:rPr>
            </w:pPr>
          </w:p>
        </w:tc>
        <w:tc>
          <w:tcPr>
            <w:tcW w:w="14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14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1,890,472</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4,208,171</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9,664,798</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273,827</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9,938,625</w:t>
            </w:r>
          </w:p>
        </w:tc>
      </w:tr>
      <w:tr>
        <w:trPr>
          <w:trHeight w:val="168"/>
        </w:trPr>
        <w:tc>
          <w:tcPr>
            <w:tcW w:w="3280" w:type="dxa"/>
            <w:vAlign w:val="bottom"/>
          </w:tcPr>
          <w:p>
            <w:pPr>
              <w:spacing w:after="0"/>
              <w:rPr>
                <w:sz w:val="14"/>
                <w:szCs w:val="14"/>
                <w:color w:val="auto"/>
              </w:rPr>
            </w:pPr>
          </w:p>
        </w:tc>
        <w:tc>
          <w:tcPr>
            <w:tcW w:w="14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increase (decrease) prior to</w:t>
            </w:r>
          </w:p>
        </w:tc>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interfund transfers</w:t>
            </w:r>
          </w:p>
        </w:tc>
        <w:tc>
          <w:tcPr>
            <w:tcW w:w="14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2,069,204</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2,257,279</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14,810,887</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(273,827)</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14,537,060</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Loan repayments--principal</w:t>
            </w:r>
          </w:p>
        </w:tc>
        <w:tc>
          <w:tcPr>
            <w:tcW w:w="14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361,764</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574,028</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1,624,664</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(1,624,664)</w:t>
            </w:r>
          </w:p>
        </w:tc>
        <w:tc>
          <w:tcPr>
            <w:tcW w:w="1280" w:type="dxa"/>
            <w:vAlign w:val="bottom"/>
          </w:tcPr>
          <w:p>
            <w:pPr>
              <w:spacing w:after="0"/>
              <w:rPr>
                <w:sz w:val="14"/>
                <w:szCs w:val="1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Loan withdrawals</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(801,711)</w:t>
            </w:r>
          </w:p>
        </w:tc>
        <w:tc>
          <w:tcPr>
            <w:tcW w:w="1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(1,598,338)</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(4,141,099)</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4,141,099</w:t>
            </w:r>
          </w:p>
        </w:tc>
        <w:tc>
          <w:tcPr>
            <w:tcW w:w="1280" w:type="dxa"/>
            <w:vAlign w:val="bottom"/>
          </w:tcPr>
          <w:p>
            <w:pPr>
              <w:spacing w:after="0"/>
              <w:rPr>
                <w:sz w:val="14"/>
                <w:szCs w:val="1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interfund transfers</w:t>
            </w:r>
          </w:p>
        </w:tc>
        <w:tc>
          <w:tcPr>
            <w:tcW w:w="14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570,166</w:t>
            </w:r>
          </w:p>
        </w:tc>
        <w:tc>
          <w:tcPr>
            <w:tcW w:w="1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(3,105,166)</w:t>
            </w: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14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(decrease)</w:t>
            </w:r>
          </w:p>
        </w:tc>
        <w:tc>
          <w:tcPr>
            <w:tcW w:w="14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2,199,423</w:t>
            </w:r>
          </w:p>
        </w:tc>
        <w:tc>
          <w:tcPr>
            <w:tcW w:w="1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(1,872,197)</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12,294,452</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2,242,608</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14,537,060</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ASSETS AVAILABLE</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BENEFITS:</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Beginning of year</w:t>
            </w:r>
          </w:p>
        </w:tc>
        <w:tc>
          <w:tcPr>
            <w:tcW w:w="14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21,351,557</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33,077,270</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88,212,947</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2,416,382</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90,629,329</w:t>
            </w:r>
          </w:p>
        </w:tc>
      </w:tr>
      <w:tr>
        <w:trPr>
          <w:trHeight w:val="168"/>
        </w:trPr>
        <w:tc>
          <w:tcPr>
            <w:tcW w:w="3280" w:type="dxa"/>
            <w:vAlign w:val="bottom"/>
          </w:tcPr>
          <w:p>
            <w:pPr>
              <w:spacing w:after="0"/>
              <w:rPr>
                <w:sz w:val="14"/>
                <w:szCs w:val="14"/>
                <w:color w:val="auto"/>
              </w:rPr>
            </w:pPr>
          </w:p>
        </w:tc>
        <w:tc>
          <w:tcPr>
            <w:tcW w:w="14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End of year</w:t>
            </w:r>
          </w:p>
        </w:tc>
        <w:tc>
          <w:tcPr>
            <w:tcW w:w="14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  23,550,980</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31,205,073</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$ 100,507,399</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   4,658,990</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$ 105,166,389</w:t>
            </w:r>
          </w:p>
        </w:tc>
      </w:tr>
      <w:tr>
        <w:trPr>
          <w:trHeight w:val="168"/>
        </w:trPr>
        <w:tc>
          <w:tcPr>
            <w:tcW w:w="3280" w:type="dxa"/>
            <w:vAlign w:val="bottom"/>
          </w:tcPr>
          <w:p>
            <w:pPr>
              <w:spacing w:after="0"/>
              <w:rPr>
                <w:sz w:val="14"/>
                <w:szCs w:val="14"/>
                <w:color w:val="auto"/>
              </w:rPr>
            </w:pPr>
          </w:p>
        </w:tc>
        <w:tc>
          <w:tcPr>
            <w:tcW w:w="14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10420"/>
          </w:cols>
          <w:pgMar w:left="220" w:top="953" w:right="1259"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73" w:lineRule="exact"/>
        <w:rPr>
          <w:sz w:val="20"/>
          <w:szCs w:val="20"/>
          <w:color w:val="auto"/>
        </w:rPr>
      </w:pPr>
    </w:p>
    <w:p>
      <w:pPr>
        <w:ind w:right="4540"/>
        <w:spacing w:after="0" w:line="234" w:lineRule="auto"/>
        <w:rPr>
          <w:sz w:val="20"/>
          <w:szCs w:val="20"/>
          <w:color w:val="auto"/>
        </w:rPr>
      </w:pPr>
      <w:r>
        <w:rPr>
          <w:rFonts w:ascii="Courier New" w:cs="Courier New" w:eastAsia="Courier New" w:hAnsi="Courier New"/>
          <w:sz w:val="15"/>
          <w:szCs w:val="15"/>
          <w:color w:val="auto"/>
        </w:rPr>
        <w:t>STATEMENT OF CHANGES IN NET ASSETS AVAILABLE FOR BENEFITS WITH FUND INFORMATION YEAR ENDED DECEMBER 31, 1995</w:t>
      </w:r>
    </w:p>
    <w:p>
      <w:pPr>
        <w:spacing w:after="0" w:line="237" w:lineRule="auto"/>
        <w:rPr>
          <w:sz w:val="20"/>
          <w:szCs w:val="20"/>
          <w:color w:val="auto"/>
        </w:rPr>
      </w:pPr>
      <w:r>
        <w:rPr>
          <w:rFonts w:ascii="Courier New" w:cs="Courier New" w:eastAsia="Courier New" w:hAnsi="Courier New"/>
          <w:sz w:val="15"/>
          <w:szCs w:val="15"/>
          <w:color w:val="auto"/>
        </w:rPr>
        <w:t>_______________________________________________________________________________</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Mutual Funds</w:t>
            </w:r>
          </w:p>
        </w:tc>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6"/>
        </w:trPr>
        <w:tc>
          <w:tcPr>
            <w:tcW w:w="2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ind w:left="400"/>
              <w:spacing w:after="0"/>
              <w:rPr>
                <w:sz w:val="20"/>
                <w:szCs w:val="20"/>
                <w:color w:val="auto"/>
              </w:rPr>
            </w:pPr>
            <w:r>
              <w:rPr>
                <w:rFonts w:ascii="Courier New" w:cs="Courier New" w:eastAsia="Courier New" w:hAnsi="Courier New"/>
                <w:sz w:val="15"/>
                <w:szCs w:val="15"/>
                <w:color w:val="auto"/>
              </w:rPr>
              <w:t>John</w:t>
            </w:r>
          </w:p>
        </w:tc>
        <w:tc>
          <w:tcPr>
            <w:tcW w:w="1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2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Hancock</w:t>
            </w:r>
          </w:p>
        </w:tc>
        <w:tc>
          <w:tcPr>
            <w:tcW w:w="14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John</w:t>
            </w: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940" w:type="dxa"/>
            <w:vAlign w:val="bottom"/>
          </w:tcPr>
          <w:p>
            <w:pPr>
              <w:spacing w:after="0"/>
              <w:rPr>
                <w:sz w:val="14"/>
                <w:szCs w:val="14"/>
                <w:color w:val="auto"/>
              </w:rPr>
            </w:pPr>
          </w:p>
        </w:tc>
        <w:tc>
          <w:tcPr>
            <w:tcW w:w="13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Dodge</w:t>
            </w: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Fidelity</w:t>
            </w:r>
          </w:p>
        </w:tc>
        <w:tc>
          <w:tcPr>
            <w:tcW w:w="14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Balanced</w:t>
            </w:r>
          </w:p>
        </w:tc>
        <w:tc>
          <w:tcPr>
            <w:tcW w:w="14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Hancock</w:t>
            </w: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94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and Cox</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Blue Chip</w:t>
            </w:r>
          </w:p>
        </w:tc>
        <w:tc>
          <w:tcPr>
            <w:tcW w:w="14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Stock</w:t>
            </w:r>
          </w:p>
        </w:tc>
        <w:tc>
          <w:tcPr>
            <w:tcW w:w="14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Diversified</w:t>
            </w:r>
          </w:p>
        </w:tc>
        <w:tc>
          <w:tcPr>
            <w:tcW w:w="15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Crabbe</w:t>
            </w:r>
          </w:p>
        </w:tc>
        <w:tc>
          <w:tcPr>
            <w:tcW w:w="14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94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Balanced</w:t>
            </w: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Growth</w:t>
            </w:r>
          </w:p>
        </w:tc>
        <w:tc>
          <w:tcPr>
            <w:tcW w:w="14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and Bond</w:t>
            </w:r>
          </w:p>
        </w:tc>
        <w:tc>
          <w:tcPr>
            <w:tcW w:w="14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Stock</w:t>
            </w:r>
          </w:p>
        </w:tc>
        <w:tc>
          <w:tcPr>
            <w:tcW w:w="15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Huson</w:t>
            </w:r>
          </w:p>
        </w:tc>
        <w:tc>
          <w:tcPr>
            <w:tcW w:w="14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Mutual</w:t>
            </w:r>
          </w:p>
        </w:tc>
      </w:tr>
      <w:tr>
        <w:trPr>
          <w:trHeight w:val="168"/>
        </w:trPr>
        <w:tc>
          <w:tcPr>
            <w:tcW w:w="2940" w:type="dxa"/>
            <w:vAlign w:val="bottom"/>
          </w:tcPr>
          <w:p>
            <w:pPr>
              <w:spacing w:after="0"/>
              <w:rPr>
                <w:sz w:val="14"/>
                <w:szCs w:val="14"/>
                <w:color w:val="auto"/>
              </w:rPr>
            </w:pPr>
          </w:p>
        </w:tc>
        <w:tc>
          <w:tcPr>
            <w:tcW w:w="13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Fund</w:t>
            </w: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Fund</w:t>
            </w:r>
          </w:p>
        </w:tc>
        <w:tc>
          <w:tcPr>
            <w:tcW w:w="14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Fund</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Fund</w:t>
            </w:r>
          </w:p>
        </w:tc>
        <w:tc>
          <w:tcPr>
            <w:tcW w:w="15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Fund</w:t>
            </w:r>
          </w:p>
        </w:tc>
        <w:tc>
          <w:tcPr>
            <w:tcW w:w="14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Funds</w:t>
            </w:r>
          </w:p>
        </w:tc>
      </w:tr>
      <w:tr>
        <w:trPr>
          <w:trHeight w:val="505"/>
        </w:trPr>
        <w:tc>
          <w:tcPr>
            <w:tcW w:w="2940" w:type="dxa"/>
            <w:vAlign w:val="bottom"/>
          </w:tcPr>
          <w:p>
            <w:pPr>
              <w:spacing w:after="0"/>
              <w:rPr>
                <w:sz w:val="20"/>
                <w:szCs w:val="20"/>
                <w:color w:val="auto"/>
              </w:rPr>
            </w:pPr>
            <w:r>
              <w:rPr>
                <w:rFonts w:ascii="Courier New" w:cs="Courier New" w:eastAsia="Courier New" w:hAnsi="Courier New"/>
                <w:sz w:val="15"/>
                <w:szCs w:val="15"/>
                <w:color w:val="auto"/>
              </w:rPr>
              <w:t>ADDITIONS TO NET ASSETS</w:t>
            </w: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ATTRIBUTED TO:</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 income:</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realized and unrealized</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426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appreciation (depreciation) in</w:t>
            </w: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9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fair value of investments</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$102,489</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($286,269)</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$752,118</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$2,326,510</w:t>
            </w:r>
          </w:p>
        </w:tc>
        <w:tc>
          <w:tcPr>
            <w:tcW w:w="1540" w:type="dxa"/>
            <w:vAlign w:val="bottom"/>
          </w:tcPr>
          <w:p>
            <w:pPr>
              <w:jc w:val="right"/>
              <w:ind w:right="1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$2,894,848</w:t>
            </w:r>
          </w:p>
        </w:tc>
      </w:tr>
      <w:tr>
        <w:trPr>
          <w:trHeight w:val="168"/>
        </w:trPr>
        <w:tc>
          <w:tcPr>
            <w:tcW w:w="2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and dividends</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234,723</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541,784</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171,428</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188,496</w:t>
            </w:r>
          </w:p>
        </w:tc>
        <w:tc>
          <w:tcPr>
            <w:tcW w:w="154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1,136,431</w:t>
            </w:r>
          </w:p>
        </w:tc>
      </w:tr>
      <w:tr>
        <w:trPr>
          <w:trHeight w:val="168"/>
        </w:trPr>
        <w:tc>
          <w:tcPr>
            <w:tcW w:w="2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on employee loans</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9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and other</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(28,887)</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(108,826)</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12,789</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31,141</w:t>
            </w:r>
          </w:p>
        </w:tc>
        <w:tc>
          <w:tcPr>
            <w:tcW w:w="154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(93,783)</w:t>
            </w:r>
          </w:p>
        </w:tc>
      </w:tr>
      <w:tr>
        <w:trPr>
          <w:trHeight w:val="168"/>
        </w:trPr>
        <w:tc>
          <w:tcPr>
            <w:tcW w:w="294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308,325</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146,689</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936,335</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2,546,147</w:t>
            </w:r>
          </w:p>
        </w:tc>
        <w:tc>
          <w:tcPr>
            <w:tcW w:w="154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3,937,496</w:t>
            </w:r>
          </w:p>
        </w:tc>
      </w:tr>
      <w:tr>
        <w:trPr>
          <w:trHeight w:val="168"/>
        </w:trPr>
        <w:tc>
          <w:tcPr>
            <w:tcW w:w="294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ind w:left="280"/>
              <w:spacing w:after="0"/>
              <w:rPr>
                <w:sz w:val="20"/>
                <w:szCs w:val="20"/>
                <w:color w:val="auto"/>
              </w:rPr>
            </w:pPr>
            <w:r>
              <w:rPr>
                <w:rFonts w:ascii="Courier New" w:cs="Courier New" w:eastAsia="Courier New" w:hAnsi="Courier New"/>
                <w:sz w:val="15"/>
                <w:szCs w:val="15"/>
                <w:color w:val="auto"/>
              </w:rPr>
              <w:t>Contributions:</w:t>
            </w: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2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Employee</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375,792</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837,066</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650,851</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1,385,612</w:t>
            </w:r>
          </w:p>
        </w:tc>
        <w:tc>
          <w:tcPr>
            <w:tcW w:w="154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3,249,321</w:t>
            </w:r>
          </w:p>
        </w:tc>
      </w:tr>
      <w:tr>
        <w:trPr>
          <w:trHeight w:val="168"/>
        </w:trPr>
        <w:tc>
          <w:tcPr>
            <w:tcW w:w="2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Employer</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47,067</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104,081</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272,555</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544,929</w:t>
            </w:r>
          </w:p>
        </w:tc>
        <w:tc>
          <w:tcPr>
            <w:tcW w:w="154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968,632</w:t>
            </w:r>
          </w:p>
        </w:tc>
      </w:tr>
      <w:tr>
        <w:trPr>
          <w:trHeight w:val="168"/>
        </w:trPr>
        <w:tc>
          <w:tcPr>
            <w:tcW w:w="294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422,859</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941,147</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923,406</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1,930,541</w:t>
            </w:r>
          </w:p>
        </w:tc>
        <w:tc>
          <w:tcPr>
            <w:tcW w:w="154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4,217,953</w:t>
            </w:r>
          </w:p>
        </w:tc>
      </w:tr>
      <w:tr>
        <w:trPr>
          <w:trHeight w:val="168"/>
        </w:trPr>
        <w:tc>
          <w:tcPr>
            <w:tcW w:w="294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Asset transfers:</w:t>
            </w: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2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From Maclean Hunter Plans</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2,523,951</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2,835,762</w:t>
            </w: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3,090,642</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8,450,355</w:t>
            </w:r>
          </w:p>
        </w:tc>
      </w:tr>
      <w:tr>
        <w:trPr>
          <w:trHeight w:val="168"/>
        </w:trPr>
        <w:tc>
          <w:tcPr>
            <w:tcW w:w="2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From Storer Plan</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1,484,842</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4,527,668</w:t>
            </w: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6,012,510</w:t>
            </w:r>
          </w:p>
        </w:tc>
      </w:tr>
      <w:tr>
        <w:trPr>
          <w:trHeight w:val="168"/>
        </w:trPr>
        <w:tc>
          <w:tcPr>
            <w:tcW w:w="294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4,008,793</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7,363,430</w:t>
            </w: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3,090,642</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14,462,865</w:t>
            </w:r>
          </w:p>
        </w:tc>
      </w:tr>
      <w:tr>
        <w:trPr>
          <w:trHeight w:val="168"/>
        </w:trPr>
        <w:tc>
          <w:tcPr>
            <w:tcW w:w="294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4,739,977</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8,451,266</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1,859,741</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4,476,688</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3,090,642</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22,618,314</w:t>
            </w:r>
          </w:p>
        </w:tc>
      </w:tr>
      <w:tr>
        <w:trPr>
          <w:trHeight w:val="168"/>
        </w:trPr>
        <w:tc>
          <w:tcPr>
            <w:tcW w:w="294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DEDUCTIONS FROM NET ASSETS</w:t>
            </w: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ATTRIBUTED TO:</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Benefits paid to participants</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or beneficiaries</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609</w:t>
            </w:r>
          </w:p>
        </w:tc>
        <w:tc>
          <w:tcPr>
            <w:tcW w:w="1300" w:type="dxa"/>
            <w:vAlign w:val="bottom"/>
          </w:tcPr>
          <w:p>
            <w:pPr>
              <w:spacing w:after="0"/>
              <w:rPr>
                <w:sz w:val="14"/>
                <w:szCs w:val="14"/>
                <w:color w:val="auto"/>
              </w:rPr>
            </w:pP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320,502</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789,656</w:t>
            </w:r>
          </w:p>
        </w:tc>
        <w:tc>
          <w:tcPr>
            <w:tcW w:w="154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1,110,767</w:t>
            </w:r>
          </w:p>
        </w:tc>
      </w:tr>
      <w:tr>
        <w:trPr>
          <w:trHeight w:val="168"/>
        </w:trPr>
        <w:tc>
          <w:tcPr>
            <w:tcW w:w="294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609</w:t>
            </w:r>
          </w:p>
        </w:tc>
        <w:tc>
          <w:tcPr>
            <w:tcW w:w="1300" w:type="dxa"/>
            <w:vAlign w:val="bottom"/>
          </w:tcPr>
          <w:p>
            <w:pPr>
              <w:spacing w:after="0"/>
              <w:rPr>
                <w:sz w:val="14"/>
                <w:szCs w:val="14"/>
                <w:color w:val="auto"/>
              </w:rPr>
            </w:pP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320,502</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789,656</w:t>
            </w:r>
          </w:p>
        </w:tc>
        <w:tc>
          <w:tcPr>
            <w:tcW w:w="154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1,110,767</w:t>
            </w:r>
          </w:p>
        </w:tc>
      </w:tr>
      <w:tr>
        <w:trPr>
          <w:trHeight w:val="168"/>
        </w:trPr>
        <w:tc>
          <w:tcPr>
            <w:tcW w:w="294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940" w:type="dxa"/>
            <w:vAlign w:val="bottom"/>
          </w:tcPr>
          <w:p>
            <w:pPr>
              <w:spacing w:after="0"/>
              <w:rPr>
                <w:sz w:val="20"/>
                <w:szCs w:val="20"/>
                <w:color w:val="auto"/>
              </w:rPr>
            </w:pPr>
            <w:r>
              <w:rPr>
                <w:rFonts w:ascii="Courier New" w:cs="Courier New" w:eastAsia="Courier New" w:hAnsi="Courier New"/>
                <w:sz w:val="15"/>
                <w:szCs w:val="15"/>
                <w:color w:val="auto"/>
              </w:rPr>
              <w:t>Net increase prior to</w:t>
            </w: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interfund transfers</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4,739,368</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8,451,266</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1,539,239</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3,687,032</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3,090,642</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21,507,547</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Loan repayments--principal</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32,072</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69,503</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72,799</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152,112</w:t>
            </w:r>
          </w:p>
        </w:tc>
        <w:tc>
          <w:tcPr>
            <w:tcW w:w="154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326,486</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Loan withdrawals</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(132,256)</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(109,710)</w:t>
            </w:r>
          </w:p>
        </w:tc>
        <w:tc>
          <w:tcPr>
            <w:tcW w:w="154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(241,966)</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interfund transfers</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6,001,276</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11,399,993</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(5,552,325)</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(11,234,245)</w:t>
            </w:r>
          </w:p>
        </w:tc>
        <w:tc>
          <w:tcPr>
            <w:tcW w:w="154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614,699</w:t>
            </w:r>
          </w:p>
        </w:tc>
      </w:tr>
      <w:tr>
        <w:trPr>
          <w:trHeight w:val="168"/>
        </w:trPr>
        <w:tc>
          <w:tcPr>
            <w:tcW w:w="294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(decrease)</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10,772,716</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19,920,762</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(4,072,543)</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(7,504,811)</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3,090,642</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22,206,766</w:t>
            </w:r>
          </w:p>
        </w:tc>
      </w:tr>
      <w:tr>
        <w:trPr>
          <w:trHeight w:val="168"/>
        </w:trPr>
        <w:tc>
          <w:tcPr>
            <w:tcW w:w="294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ASSETS AVAILABLE</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BENEFITS:</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Beginning of year</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4,072,543</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7,504,811</w:t>
            </w:r>
          </w:p>
        </w:tc>
        <w:tc>
          <w:tcPr>
            <w:tcW w:w="154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11,577,354</w:t>
            </w:r>
          </w:p>
        </w:tc>
      </w:tr>
      <w:tr>
        <w:trPr>
          <w:trHeight w:val="168"/>
        </w:trPr>
        <w:tc>
          <w:tcPr>
            <w:tcW w:w="294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End of year</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$10,772,716</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$19,920,762</w:t>
            </w:r>
          </w:p>
        </w:tc>
        <w:tc>
          <w:tcPr>
            <w:tcW w:w="1400" w:type="dxa"/>
            <w:vAlign w:val="bottom"/>
          </w:tcPr>
          <w:p>
            <w:pPr>
              <w:jc w:val="right"/>
              <w:ind w:right="10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$3,090,642</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$33,784,120</w:t>
            </w:r>
          </w:p>
        </w:tc>
      </w:tr>
      <w:tr>
        <w:trPr>
          <w:trHeight w:val="168"/>
        </w:trPr>
        <w:tc>
          <w:tcPr>
            <w:tcW w:w="294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460"/>
          </w:cols>
          <w:pgMar w:left="220" w:top="617" w:right="21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60" w:type="dxa"/>
            <w:vAlign w:val="bottom"/>
          </w:tcPr>
          <w:p>
            <w:pPr>
              <w:ind w:left="620"/>
              <w:spacing w:after="0"/>
              <w:rPr>
                <w:sz w:val="20"/>
                <w:szCs w:val="20"/>
                <w:color w:val="auto"/>
              </w:rPr>
            </w:pPr>
            <w:r>
              <w:rPr>
                <w:rFonts w:ascii="Courier New" w:cs="Courier New" w:eastAsia="Courier New" w:hAnsi="Courier New"/>
                <w:sz w:val="15"/>
                <w:szCs w:val="15"/>
                <w:color w:val="auto"/>
              </w:rPr>
              <w:t>Stable</w:t>
            </w:r>
          </w:p>
        </w:tc>
        <w:tc>
          <w:tcPr>
            <w:tcW w:w="21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Total</w:t>
            </w: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Comcast</w:t>
            </w:r>
          </w:p>
        </w:tc>
        <w:tc>
          <w:tcPr>
            <w:tcW w:w="20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Value</w:t>
            </w:r>
          </w:p>
        </w:tc>
        <w:tc>
          <w:tcPr>
            <w:tcW w:w="2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Investment</w:t>
            </w:r>
          </w:p>
        </w:tc>
        <w:tc>
          <w:tcPr>
            <w:tcW w:w="1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Participant</w:t>
            </w:r>
          </w:p>
        </w:tc>
        <w:tc>
          <w:tcPr>
            <w:tcW w:w="126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Stock Fund</w:t>
            </w:r>
          </w:p>
        </w:tc>
        <w:tc>
          <w:tcPr>
            <w:tcW w:w="20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Fund</w:t>
            </w:r>
          </w:p>
        </w:tc>
        <w:tc>
          <w:tcPr>
            <w:tcW w:w="2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Funds</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Loan Fund</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ADDITIONS TO NET ASSETS</w:t>
            </w:r>
          </w:p>
        </w:tc>
        <w:tc>
          <w:tcPr>
            <w:tcW w:w="1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ATTRIBUTED TO:</w:t>
            </w:r>
          </w:p>
        </w:tc>
        <w:tc>
          <w:tcPr>
            <w:tcW w:w="1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 income:</w:t>
            </w:r>
          </w:p>
        </w:tc>
        <w:tc>
          <w:tcPr>
            <w:tcW w:w="1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realized and unrealized</w:t>
            </w:r>
          </w:p>
        </w:tc>
        <w:tc>
          <w:tcPr>
            <w:tcW w:w="1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2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7"/>
              </w:rPr>
              <w:t>appreciation (depreciation) in</w:t>
            </w:r>
          </w:p>
        </w:tc>
        <w:tc>
          <w:tcPr>
            <w:tcW w:w="1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2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fair value of investments</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$2,715,659</w:t>
            </w:r>
          </w:p>
        </w:tc>
        <w:tc>
          <w:tcPr>
            <w:tcW w:w="20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($154,015)</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$5,456,492</w:t>
            </w:r>
          </w:p>
        </w:tc>
        <w:tc>
          <w:tcPr>
            <w:tcW w:w="1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$5,456,492</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and dividends</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109,885</w:t>
            </w:r>
          </w:p>
        </w:tc>
        <w:tc>
          <w:tcPr>
            <w:tcW w:w="20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1,274,512</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2,520,828</w:t>
            </w:r>
          </w:p>
        </w:tc>
        <w:tc>
          <w:tcPr>
            <w:tcW w:w="148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2,520,828</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on employee loans</w:t>
            </w:r>
          </w:p>
        </w:tc>
        <w:tc>
          <w:tcPr>
            <w:tcW w:w="1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2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and other</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44,156</w:t>
            </w:r>
          </w:p>
        </w:tc>
        <w:tc>
          <w:tcPr>
            <w:tcW w:w="20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(12,412)</w:t>
            </w:r>
          </w:p>
        </w:tc>
        <w:tc>
          <w:tcPr>
            <w:tcW w:w="2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(62,039)</w:t>
            </w:r>
          </w:p>
        </w:tc>
        <w:tc>
          <w:tcPr>
            <w:tcW w:w="148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(62,039)</w:t>
            </w:r>
          </w:p>
        </w:tc>
      </w:tr>
      <w:tr>
        <w:trPr>
          <w:trHeight w:val="168"/>
        </w:trPr>
        <w:tc>
          <w:tcPr>
            <w:tcW w:w="328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2,869,700</w:t>
            </w:r>
          </w:p>
        </w:tc>
        <w:tc>
          <w:tcPr>
            <w:tcW w:w="20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1,108,085</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7,915,281</w:t>
            </w:r>
          </w:p>
        </w:tc>
        <w:tc>
          <w:tcPr>
            <w:tcW w:w="148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7,915,281</w:t>
            </w:r>
          </w:p>
        </w:tc>
      </w:tr>
      <w:tr>
        <w:trPr>
          <w:trHeight w:val="168"/>
        </w:trPr>
        <w:tc>
          <w:tcPr>
            <w:tcW w:w="328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ind w:left="280"/>
              <w:spacing w:after="0"/>
              <w:rPr>
                <w:sz w:val="20"/>
                <w:szCs w:val="20"/>
                <w:color w:val="auto"/>
              </w:rPr>
            </w:pPr>
            <w:r>
              <w:rPr>
                <w:rFonts w:ascii="Courier New" w:cs="Courier New" w:eastAsia="Courier New" w:hAnsi="Courier New"/>
                <w:sz w:val="15"/>
                <w:szCs w:val="15"/>
                <w:color w:val="auto"/>
              </w:rPr>
              <w:t>Contributions:</w:t>
            </w:r>
          </w:p>
        </w:tc>
        <w:tc>
          <w:tcPr>
            <w:tcW w:w="1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Employee</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2,196,172</w:t>
            </w:r>
          </w:p>
        </w:tc>
        <w:tc>
          <w:tcPr>
            <w:tcW w:w="20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2,310,106</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7,755,599</w:t>
            </w:r>
          </w:p>
        </w:tc>
        <w:tc>
          <w:tcPr>
            <w:tcW w:w="148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7,755,599</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Employer</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773,874</w:t>
            </w:r>
          </w:p>
        </w:tc>
        <w:tc>
          <w:tcPr>
            <w:tcW w:w="20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662,818</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2,405,324</w:t>
            </w:r>
          </w:p>
        </w:tc>
        <w:tc>
          <w:tcPr>
            <w:tcW w:w="148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2,405,324</w:t>
            </w:r>
          </w:p>
        </w:tc>
      </w:tr>
      <w:tr>
        <w:trPr>
          <w:trHeight w:val="168"/>
        </w:trPr>
        <w:tc>
          <w:tcPr>
            <w:tcW w:w="328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2,970,046</w:t>
            </w:r>
          </w:p>
        </w:tc>
        <w:tc>
          <w:tcPr>
            <w:tcW w:w="20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2,972,924</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10,160,923</w:t>
            </w:r>
          </w:p>
        </w:tc>
        <w:tc>
          <w:tcPr>
            <w:tcW w:w="148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10,160,923</w:t>
            </w:r>
          </w:p>
        </w:tc>
      </w:tr>
      <w:tr>
        <w:trPr>
          <w:trHeight w:val="168"/>
        </w:trPr>
        <w:tc>
          <w:tcPr>
            <w:tcW w:w="328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Asset transfers:</w:t>
            </w:r>
          </w:p>
        </w:tc>
        <w:tc>
          <w:tcPr>
            <w:tcW w:w="1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From Maclean Hunter Plans</w:t>
            </w:r>
          </w:p>
        </w:tc>
        <w:tc>
          <w:tcPr>
            <w:tcW w:w="1360" w:type="dxa"/>
            <w:vAlign w:val="bottom"/>
          </w:tcPr>
          <w:p>
            <w:pPr>
              <w:spacing w:after="0"/>
              <w:rPr>
                <w:sz w:val="14"/>
                <w:szCs w:val="14"/>
                <w:color w:val="auto"/>
              </w:rPr>
            </w:pPr>
          </w:p>
        </w:tc>
        <w:tc>
          <w:tcPr>
            <w:tcW w:w="20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8,996,921</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17,447,276</w:t>
            </w:r>
          </w:p>
        </w:tc>
        <w:tc>
          <w:tcPr>
            <w:tcW w:w="148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17,447,276</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From Storer Plan</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1,510,789</w:t>
            </w:r>
          </w:p>
        </w:tc>
        <w:tc>
          <w:tcPr>
            <w:tcW w:w="20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4,580,252</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12,103,551</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478,414</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12,581,965</w:t>
            </w:r>
          </w:p>
        </w:tc>
      </w:tr>
      <w:tr>
        <w:trPr>
          <w:trHeight w:val="168"/>
        </w:trPr>
        <w:tc>
          <w:tcPr>
            <w:tcW w:w="328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1,510,789</w:t>
            </w:r>
          </w:p>
        </w:tc>
        <w:tc>
          <w:tcPr>
            <w:tcW w:w="20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13,577,173</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29,550,827</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478,414</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30,029,241</w:t>
            </w:r>
          </w:p>
        </w:tc>
      </w:tr>
      <w:tr>
        <w:trPr>
          <w:trHeight w:val="168"/>
        </w:trPr>
        <w:tc>
          <w:tcPr>
            <w:tcW w:w="328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7,350,535</w:t>
            </w:r>
          </w:p>
        </w:tc>
        <w:tc>
          <w:tcPr>
            <w:tcW w:w="20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17,658,182</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47,627,031</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478,414</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48,105,445</w:t>
            </w:r>
          </w:p>
        </w:tc>
      </w:tr>
      <w:tr>
        <w:trPr>
          <w:trHeight w:val="168"/>
        </w:trPr>
        <w:tc>
          <w:tcPr>
            <w:tcW w:w="328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DEDUCTIONS FROM NET ASSETS</w:t>
            </w:r>
          </w:p>
        </w:tc>
        <w:tc>
          <w:tcPr>
            <w:tcW w:w="1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ATTRIBUTED TO:</w:t>
            </w:r>
          </w:p>
        </w:tc>
        <w:tc>
          <w:tcPr>
            <w:tcW w:w="1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Benefits paid to participants</w:t>
            </w:r>
          </w:p>
        </w:tc>
        <w:tc>
          <w:tcPr>
            <w:tcW w:w="1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or beneficiaries</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976,980</w:t>
            </w:r>
          </w:p>
        </w:tc>
        <w:tc>
          <w:tcPr>
            <w:tcW w:w="20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1,353,328</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3,441,075</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316,267</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3,757,342</w:t>
            </w:r>
          </w:p>
        </w:tc>
      </w:tr>
      <w:tr>
        <w:trPr>
          <w:trHeight w:val="168"/>
        </w:trPr>
        <w:tc>
          <w:tcPr>
            <w:tcW w:w="328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976,980</w:t>
            </w:r>
          </w:p>
        </w:tc>
        <w:tc>
          <w:tcPr>
            <w:tcW w:w="20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1,353,328</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3,441,075</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316,267</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3,757,342</w:t>
            </w:r>
          </w:p>
        </w:tc>
      </w:tr>
      <w:tr>
        <w:trPr>
          <w:trHeight w:val="168"/>
        </w:trPr>
        <w:tc>
          <w:tcPr>
            <w:tcW w:w="328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increase prior to</w:t>
            </w:r>
          </w:p>
        </w:tc>
        <w:tc>
          <w:tcPr>
            <w:tcW w:w="1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interfund transfers</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6,373,555</w:t>
            </w:r>
          </w:p>
        </w:tc>
        <w:tc>
          <w:tcPr>
            <w:tcW w:w="20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16,304,854</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44,185,956</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162,147</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44,348,103</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Loan repayments--principal</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291,009</w:t>
            </w:r>
          </w:p>
        </w:tc>
        <w:tc>
          <w:tcPr>
            <w:tcW w:w="20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315,103</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932,598</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(932,598)</w:t>
            </w:r>
          </w:p>
        </w:tc>
        <w:tc>
          <w:tcPr>
            <w:tcW w:w="1260" w:type="dxa"/>
            <w:vAlign w:val="bottom"/>
          </w:tcPr>
          <w:p>
            <w:pPr>
              <w:spacing w:after="0"/>
              <w:rPr>
                <w:sz w:val="14"/>
                <w:szCs w:val="1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Loan withdrawals</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(77,046)</w:t>
            </w:r>
          </w:p>
        </w:tc>
        <w:tc>
          <w:tcPr>
            <w:tcW w:w="20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(749,994)</w:t>
            </w:r>
          </w:p>
        </w:tc>
        <w:tc>
          <w:tcPr>
            <w:tcW w:w="2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(1,069,006)</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1,069,006</w:t>
            </w:r>
          </w:p>
        </w:tc>
        <w:tc>
          <w:tcPr>
            <w:tcW w:w="1260" w:type="dxa"/>
            <w:vAlign w:val="bottom"/>
          </w:tcPr>
          <w:p>
            <w:pPr>
              <w:spacing w:after="0"/>
              <w:rPr>
                <w:sz w:val="14"/>
                <w:szCs w:val="1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interfund transfers</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(401,885)</w:t>
            </w:r>
          </w:p>
        </w:tc>
        <w:tc>
          <w:tcPr>
            <w:tcW w:w="20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(212,814)</w:t>
            </w:r>
          </w:p>
        </w:tc>
        <w:tc>
          <w:tcPr>
            <w:tcW w:w="2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(decrease)</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6,185,633</w:t>
            </w:r>
          </w:p>
        </w:tc>
        <w:tc>
          <w:tcPr>
            <w:tcW w:w="20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15,657,149</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44,049,548</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298,555</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44,348,103</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ASSETS AVAILABLE</w:t>
            </w:r>
          </w:p>
        </w:tc>
        <w:tc>
          <w:tcPr>
            <w:tcW w:w="1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BENEFITS:</w:t>
            </w:r>
          </w:p>
        </w:tc>
        <w:tc>
          <w:tcPr>
            <w:tcW w:w="1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Beginning of year</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15,165,924</w:t>
            </w:r>
          </w:p>
        </w:tc>
        <w:tc>
          <w:tcPr>
            <w:tcW w:w="20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17,420,121</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44,163,399</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2,117,827</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46,281,226</w:t>
            </w:r>
          </w:p>
        </w:tc>
      </w:tr>
      <w:tr>
        <w:trPr>
          <w:trHeight w:val="168"/>
        </w:trPr>
        <w:tc>
          <w:tcPr>
            <w:tcW w:w="328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ind w:left="440"/>
              <w:spacing w:after="0"/>
              <w:rPr>
                <w:sz w:val="20"/>
                <w:szCs w:val="20"/>
                <w:color w:val="auto"/>
              </w:rPr>
            </w:pPr>
            <w:r>
              <w:rPr>
                <w:rFonts w:ascii="Courier New" w:cs="Courier New" w:eastAsia="Courier New" w:hAnsi="Courier New"/>
                <w:sz w:val="15"/>
                <w:szCs w:val="15"/>
                <w:color w:val="auto"/>
              </w:rPr>
              <w:t>End of year</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$21,351,557</w:t>
            </w:r>
          </w:p>
        </w:tc>
        <w:tc>
          <w:tcPr>
            <w:tcW w:w="20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$33,077,270</w:t>
            </w:r>
          </w:p>
        </w:tc>
        <w:tc>
          <w:tcPr>
            <w:tcW w:w="2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$88,212,947</w:t>
            </w:r>
          </w:p>
        </w:tc>
        <w:tc>
          <w:tcPr>
            <w:tcW w:w="14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$2,416,382</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$90,629,329</w:t>
            </w:r>
          </w:p>
        </w:tc>
      </w:tr>
      <w:tr>
        <w:trPr>
          <w:trHeight w:val="168"/>
        </w:trPr>
        <w:tc>
          <w:tcPr>
            <w:tcW w:w="328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- 4 -</w:t>
      </w:r>
    </w:p>
    <w:p>
      <w:pPr>
        <w:sectPr>
          <w:pgSz w:w="11900" w:h="16838" w:orient="portrait"/>
          <w:cols w:equalWidth="0" w:num="1">
            <w:col w:w="11540"/>
          </w:cols>
          <w:pgMar w:left="220" w:top="953" w:right="139"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STATEMENT OF CHANGES IN NET ASSETS AVAILABLE FOR BENEFITS WITH FUND INFORMATION YEAR ENDED DECEMBER 31, 1994</w:t>
      </w:r>
    </w:p>
    <w:p>
      <w:pPr>
        <w:spacing w:after="0" w:line="237" w:lineRule="auto"/>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140" w:type="dxa"/>
            <w:vAlign w:val="bottom"/>
            <w:gridSpan w:val="2"/>
          </w:tcPr>
          <w:p>
            <w:pPr>
              <w:jc w:val="right"/>
              <w:ind w:right="967"/>
              <w:spacing w:after="0"/>
              <w:rPr>
                <w:sz w:val="20"/>
                <w:szCs w:val="20"/>
                <w:color w:val="auto"/>
              </w:rPr>
            </w:pPr>
            <w:r>
              <w:rPr>
                <w:rFonts w:ascii="Courier New" w:cs="Courier New" w:eastAsia="Courier New" w:hAnsi="Courier New"/>
                <w:sz w:val="15"/>
                <w:szCs w:val="15"/>
                <w:color w:val="auto"/>
              </w:rPr>
              <w:t>Mutual Funds</w:t>
            </w:r>
          </w:p>
        </w:tc>
        <w:tc>
          <w:tcPr>
            <w:tcW w:w="1320" w:type="dxa"/>
            <w:vAlign w:val="bottom"/>
          </w:tcPr>
          <w:p>
            <w:pPr>
              <w:spacing w:after="0"/>
              <w:rPr>
                <w:sz w:val="14"/>
                <w:szCs w:val="14"/>
                <w:color w:val="auto"/>
              </w:rPr>
            </w:pPr>
          </w:p>
        </w:tc>
      </w:tr>
      <w:tr>
        <w:trPr>
          <w:trHeight w:val="336"/>
        </w:trPr>
        <w:tc>
          <w:tcPr>
            <w:tcW w:w="3460" w:type="dxa"/>
            <w:vAlign w:val="bottom"/>
          </w:tcPr>
          <w:p>
            <w:pPr>
              <w:spacing w:after="0"/>
              <w:rPr>
                <w:sz w:val="24"/>
                <w:szCs w:val="24"/>
                <w:color w:val="auto"/>
              </w:rPr>
            </w:pPr>
          </w:p>
        </w:tc>
        <w:tc>
          <w:tcPr>
            <w:tcW w:w="13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John</w:t>
            </w: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3460" w:type="dxa"/>
            <w:vAlign w:val="bottom"/>
          </w:tcPr>
          <w:p>
            <w:pPr>
              <w:spacing w:after="0"/>
              <w:rPr>
                <w:sz w:val="14"/>
                <w:szCs w:val="14"/>
                <w:color w:val="auto"/>
              </w:rPr>
            </w:pP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Hancock</w:t>
            </w:r>
          </w:p>
        </w:tc>
        <w:tc>
          <w:tcPr>
            <w:tcW w:w="15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John</w:t>
            </w:r>
          </w:p>
        </w:tc>
        <w:tc>
          <w:tcPr>
            <w:tcW w:w="15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60" w:type="dxa"/>
            <w:vAlign w:val="bottom"/>
          </w:tcPr>
          <w:p>
            <w:pPr>
              <w:spacing w:after="0"/>
              <w:rPr>
                <w:sz w:val="14"/>
                <w:szCs w:val="14"/>
                <w:color w:val="auto"/>
              </w:rPr>
            </w:pP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Balanced</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Hancock</w:t>
            </w:r>
          </w:p>
        </w:tc>
        <w:tc>
          <w:tcPr>
            <w:tcW w:w="15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60" w:type="dxa"/>
            <w:vAlign w:val="bottom"/>
          </w:tcPr>
          <w:p>
            <w:pPr>
              <w:spacing w:after="0"/>
              <w:rPr>
                <w:sz w:val="14"/>
                <w:szCs w:val="14"/>
                <w:color w:val="auto"/>
              </w:rPr>
            </w:pP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Stock</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Diversified</w:t>
            </w:r>
          </w:p>
        </w:tc>
        <w:tc>
          <w:tcPr>
            <w:tcW w:w="15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Total</w:t>
            </w:r>
          </w:p>
        </w:tc>
        <w:tc>
          <w:tcPr>
            <w:tcW w:w="1320" w:type="dxa"/>
            <w:vAlign w:val="bottom"/>
          </w:tcPr>
          <w:p>
            <w:pPr>
              <w:spacing w:after="0"/>
              <w:rPr>
                <w:sz w:val="14"/>
                <w:szCs w:val="14"/>
                <w:color w:val="auto"/>
              </w:rPr>
            </w:pPr>
          </w:p>
        </w:tc>
      </w:tr>
      <w:tr>
        <w:trPr>
          <w:trHeight w:val="168"/>
        </w:trPr>
        <w:tc>
          <w:tcPr>
            <w:tcW w:w="3460" w:type="dxa"/>
            <w:vAlign w:val="bottom"/>
          </w:tcPr>
          <w:p>
            <w:pPr>
              <w:spacing w:after="0"/>
              <w:rPr>
                <w:sz w:val="14"/>
                <w:szCs w:val="14"/>
                <w:color w:val="auto"/>
              </w:rPr>
            </w:pP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and Bond</w:t>
            </w:r>
          </w:p>
        </w:tc>
        <w:tc>
          <w:tcPr>
            <w:tcW w:w="15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Stock</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Mutual</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Comcast</w:t>
            </w:r>
          </w:p>
        </w:tc>
      </w:tr>
      <w:tr>
        <w:trPr>
          <w:trHeight w:val="168"/>
        </w:trPr>
        <w:tc>
          <w:tcPr>
            <w:tcW w:w="3460" w:type="dxa"/>
            <w:vAlign w:val="bottom"/>
          </w:tcPr>
          <w:p>
            <w:pPr>
              <w:spacing w:after="0"/>
              <w:rPr>
                <w:sz w:val="14"/>
                <w:szCs w:val="14"/>
                <w:color w:val="auto"/>
              </w:rPr>
            </w:pP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Fund</w:t>
            </w:r>
          </w:p>
        </w:tc>
        <w:tc>
          <w:tcPr>
            <w:tcW w:w="15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Fund</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Funds</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Stock Fund</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ADDITIONS TO NET ASSETS ATTRIBUTED TO:</w:t>
            </w: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3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 income:</w:t>
            </w:r>
          </w:p>
        </w:tc>
        <w:tc>
          <w:tcPr>
            <w:tcW w:w="1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realized and unrealized</w:t>
            </w:r>
          </w:p>
        </w:tc>
        <w:tc>
          <w:tcPr>
            <w:tcW w:w="1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depreciation in fair</w:t>
            </w:r>
          </w:p>
        </w:tc>
        <w:tc>
          <w:tcPr>
            <w:tcW w:w="1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value of investments</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($262,323)</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($274,997)</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($537,320)</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($7,658,351)</w:t>
            </w:r>
          </w:p>
        </w:tc>
      </w:tr>
      <w:tr>
        <w:trPr>
          <w:trHeight w:val="168"/>
        </w:trPr>
        <w:tc>
          <w:tcPr>
            <w:tcW w:w="3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and dividends</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185,621</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192,125</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377,746</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89,524</w:t>
            </w:r>
          </w:p>
        </w:tc>
      </w:tr>
      <w:tr>
        <w:trPr>
          <w:trHeight w:val="168"/>
        </w:trPr>
        <w:tc>
          <w:tcPr>
            <w:tcW w:w="3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on employee loans</w:t>
            </w:r>
          </w:p>
        </w:tc>
        <w:tc>
          <w:tcPr>
            <w:tcW w:w="1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and other</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12,046</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19,078</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31,124</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78,131</w:t>
            </w:r>
          </w:p>
        </w:tc>
      </w:tr>
      <w:tr>
        <w:trPr>
          <w:trHeight w:val="168"/>
        </w:trPr>
        <w:tc>
          <w:tcPr>
            <w:tcW w:w="346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(64,656)</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(63,794)</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(128,450)</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(7,490,696)</w:t>
            </w:r>
          </w:p>
        </w:tc>
      </w:tr>
      <w:tr>
        <w:trPr>
          <w:trHeight w:val="168"/>
        </w:trPr>
        <w:tc>
          <w:tcPr>
            <w:tcW w:w="346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60" w:type="dxa"/>
            <w:vAlign w:val="bottom"/>
          </w:tcPr>
          <w:p>
            <w:pPr>
              <w:ind w:left="280"/>
              <w:spacing w:after="0"/>
              <w:rPr>
                <w:sz w:val="20"/>
                <w:szCs w:val="20"/>
                <w:color w:val="auto"/>
              </w:rPr>
            </w:pPr>
            <w:r>
              <w:rPr>
                <w:rFonts w:ascii="Courier New" w:cs="Courier New" w:eastAsia="Courier New" w:hAnsi="Courier New"/>
                <w:sz w:val="15"/>
                <w:szCs w:val="15"/>
                <w:color w:val="auto"/>
              </w:rPr>
              <w:t>Contributions:</w:t>
            </w: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3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Employee</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930,447</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1,534,428</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2,464,875</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1,679,063</w:t>
            </w:r>
          </w:p>
        </w:tc>
      </w:tr>
      <w:tr>
        <w:trPr>
          <w:trHeight w:val="168"/>
        </w:trPr>
        <w:tc>
          <w:tcPr>
            <w:tcW w:w="3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Employer</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328,960</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622,645</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951,605</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821,427</w:t>
            </w:r>
          </w:p>
        </w:tc>
      </w:tr>
      <w:tr>
        <w:trPr>
          <w:trHeight w:val="168"/>
        </w:trPr>
        <w:tc>
          <w:tcPr>
            <w:tcW w:w="346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1,259,407</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2,157,073</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3,416,480</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2,500,490</w:t>
            </w:r>
          </w:p>
        </w:tc>
      </w:tr>
      <w:tr>
        <w:trPr>
          <w:trHeight w:val="168"/>
        </w:trPr>
        <w:tc>
          <w:tcPr>
            <w:tcW w:w="346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1,194,751</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2,093,279</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3,288,030</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(4,990,206)</w:t>
            </w:r>
          </w:p>
        </w:tc>
      </w:tr>
      <w:tr>
        <w:trPr>
          <w:trHeight w:val="168"/>
        </w:trPr>
        <w:tc>
          <w:tcPr>
            <w:tcW w:w="346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460" w:type="dxa"/>
            <w:vAlign w:val="bottom"/>
          </w:tcPr>
          <w:p>
            <w:pPr>
              <w:spacing w:after="0"/>
              <w:rPr>
                <w:sz w:val="20"/>
                <w:szCs w:val="20"/>
                <w:color w:val="auto"/>
              </w:rPr>
            </w:pPr>
            <w:r>
              <w:rPr>
                <w:rFonts w:ascii="Courier New" w:cs="Courier New" w:eastAsia="Courier New" w:hAnsi="Courier New"/>
                <w:sz w:val="15"/>
                <w:szCs w:val="15"/>
                <w:color w:val="auto"/>
              </w:rPr>
              <w:t>DEDUCTIONS FROM NET ASSETS</w:t>
            </w: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ATTRIBUTED TO:</w:t>
            </w:r>
          </w:p>
        </w:tc>
        <w:tc>
          <w:tcPr>
            <w:tcW w:w="1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Benefits paid to participants</w:t>
            </w:r>
          </w:p>
        </w:tc>
        <w:tc>
          <w:tcPr>
            <w:tcW w:w="1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or beneficiaries</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218,667</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342,900</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561,567</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1,452,869</w:t>
            </w:r>
          </w:p>
        </w:tc>
      </w:tr>
      <w:tr>
        <w:trPr>
          <w:trHeight w:val="168"/>
        </w:trPr>
        <w:tc>
          <w:tcPr>
            <w:tcW w:w="346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218,667</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342,900</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561,567</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1,452,869</w:t>
            </w:r>
          </w:p>
        </w:tc>
      </w:tr>
      <w:tr>
        <w:trPr>
          <w:trHeight w:val="168"/>
        </w:trPr>
        <w:tc>
          <w:tcPr>
            <w:tcW w:w="346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Net increase (decrease) prior to</w:t>
            </w: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3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interfund transfers</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976,084</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1,750,379</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2,726,463</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(6,443,075)</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Loan repayments--principal</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77,439</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146,856</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224,295</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269,063</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Loan withdrawals</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(194,272)</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(203,210)</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(397,482)</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(200,647)</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interfund transfers</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50,659</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192,485</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243,144</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945,380</w:t>
            </w:r>
          </w:p>
        </w:tc>
      </w:tr>
      <w:tr>
        <w:trPr>
          <w:trHeight w:val="168"/>
        </w:trPr>
        <w:tc>
          <w:tcPr>
            <w:tcW w:w="346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(decrease)</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909,910</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1,886,510</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2,796,420</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(5,429,279)</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ASSETS AVAILABLE FOR BENEFITS:</w:t>
            </w:r>
          </w:p>
        </w:tc>
        <w:tc>
          <w:tcPr>
            <w:tcW w:w="1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Beginning of year</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3,162,633</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5,618,301</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8,780,934</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20,595,203</w:t>
            </w:r>
          </w:p>
        </w:tc>
      </w:tr>
      <w:tr>
        <w:trPr>
          <w:trHeight w:val="168"/>
        </w:trPr>
        <w:tc>
          <w:tcPr>
            <w:tcW w:w="346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End of year</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$4,072,543</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$7,504,811</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$11,577,354</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$15,165,924</w:t>
            </w:r>
          </w:p>
        </w:tc>
      </w:tr>
      <w:tr>
        <w:trPr>
          <w:trHeight w:val="168"/>
        </w:trPr>
        <w:tc>
          <w:tcPr>
            <w:tcW w:w="346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617" w:right="1440"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John</w:t>
            </w:r>
          </w:p>
        </w:tc>
        <w:tc>
          <w:tcPr>
            <w:tcW w:w="1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Hancock</w:t>
            </w:r>
          </w:p>
        </w:tc>
        <w:tc>
          <w:tcPr>
            <w:tcW w:w="1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Guaranteed</w:t>
            </w: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Total</w:t>
            </w:r>
          </w:p>
        </w:tc>
        <w:tc>
          <w:tcPr>
            <w:tcW w:w="16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Investment</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Investment</w:t>
            </w: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Participant</w:t>
            </w:r>
          </w:p>
        </w:tc>
        <w:tc>
          <w:tcPr>
            <w:tcW w:w="132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Fund</w:t>
            </w: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Funds</w:t>
            </w:r>
          </w:p>
        </w:tc>
        <w:tc>
          <w:tcPr>
            <w:tcW w:w="16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Loan Fund</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w w:val="99"/>
              </w:rPr>
              <w:t>ADDITIONS TO NET ASSETS ATTRIBUTED TO:</w:t>
            </w:r>
          </w:p>
        </w:tc>
        <w:tc>
          <w:tcPr>
            <w:tcW w:w="1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 income:</w:t>
            </w:r>
          </w:p>
        </w:tc>
        <w:tc>
          <w:tcPr>
            <w:tcW w:w="1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realized and unrealized</w:t>
            </w:r>
          </w:p>
        </w:tc>
        <w:tc>
          <w:tcPr>
            <w:tcW w:w="1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depreciation in fair</w:t>
            </w:r>
          </w:p>
        </w:tc>
        <w:tc>
          <w:tcPr>
            <w:tcW w:w="1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value of investments</w:t>
            </w:r>
          </w:p>
        </w:tc>
        <w:tc>
          <w:tcPr>
            <w:tcW w:w="14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($8,195,671)</w:t>
            </w:r>
          </w:p>
        </w:tc>
        <w:tc>
          <w:tcPr>
            <w:tcW w:w="16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($8,195,671)</w:t>
            </w:r>
          </w:p>
        </w:tc>
      </w:tr>
      <w:tr>
        <w:trPr>
          <w:trHeight w:val="168"/>
        </w:trPr>
        <w:tc>
          <w:tcPr>
            <w:tcW w:w="3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and dividends</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780,604</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1,247,874</w:t>
            </w:r>
          </w:p>
        </w:tc>
        <w:tc>
          <w:tcPr>
            <w:tcW w:w="160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1,247,874</w:t>
            </w:r>
          </w:p>
        </w:tc>
      </w:tr>
      <w:tr>
        <w:trPr>
          <w:trHeight w:val="168"/>
        </w:trPr>
        <w:tc>
          <w:tcPr>
            <w:tcW w:w="3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on employee loans</w:t>
            </w:r>
          </w:p>
        </w:tc>
        <w:tc>
          <w:tcPr>
            <w:tcW w:w="1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and other</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53,084</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162,339</w:t>
            </w:r>
          </w:p>
        </w:tc>
        <w:tc>
          <w:tcPr>
            <w:tcW w:w="160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162,339</w:t>
            </w:r>
          </w:p>
        </w:tc>
      </w:tr>
      <w:tr>
        <w:trPr>
          <w:trHeight w:val="168"/>
        </w:trPr>
        <w:tc>
          <w:tcPr>
            <w:tcW w:w="34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833,688</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(6,785,458)</w:t>
            </w:r>
          </w:p>
        </w:tc>
        <w:tc>
          <w:tcPr>
            <w:tcW w:w="160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(6,785,458)</w:t>
            </w:r>
          </w:p>
        </w:tc>
      </w:tr>
      <w:tr>
        <w:trPr>
          <w:trHeight w:val="168"/>
        </w:trPr>
        <w:tc>
          <w:tcPr>
            <w:tcW w:w="34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tcPr>
          <w:p>
            <w:pPr>
              <w:ind w:left="280"/>
              <w:spacing w:after="0"/>
              <w:rPr>
                <w:sz w:val="20"/>
                <w:szCs w:val="20"/>
                <w:color w:val="auto"/>
              </w:rPr>
            </w:pPr>
            <w:r>
              <w:rPr>
                <w:rFonts w:ascii="Courier New" w:cs="Courier New" w:eastAsia="Courier New" w:hAnsi="Courier New"/>
                <w:sz w:val="15"/>
                <w:szCs w:val="15"/>
                <w:color w:val="auto"/>
              </w:rPr>
              <w:t>Contributions:</w:t>
            </w:r>
          </w:p>
        </w:tc>
        <w:tc>
          <w:tcPr>
            <w:tcW w:w="1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3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Employee</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1,780,033</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5,923,971</w:t>
            </w:r>
          </w:p>
        </w:tc>
        <w:tc>
          <w:tcPr>
            <w:tcW w:w="160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5,923,971</w:t>
            </w:r>
          </w:p>
        </w:tc>
      </w:tr>
      <w:tr>
        <w:trPr>
          <w:trHeight w:val="168"/>
        </w:trPr>
        <w:tc>
          <w:tcPr>
            <w:tcW w:w="3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Employer</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255,873</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2,028,905</w:t>
            </w:r>
          </w:p>
        </w:tc>
        <w:tc>
          <w:tcPr>
            <w:tcW w:w="160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2,028,905</w:t>
            </w:r>
          </w:p>
        </w:tc>
      </w:tr>
      <w:tr>
        <w:trPr>
          <w:trHeight w:val="168"/>
        </w:trPr>
        <w:tc>
          <w:tcPr>
            <w:tcW w:w="34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2,035,906</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7,952,876</w:t>
            </w:r>
          </w:p>
        </w:tc>
        <w:tc>
          <w:tcPr>
            <w:tcW w:w="160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7,952,876</w:t>
            </w:r>
          </w:p>
        </w:tc>
      </w:tr>
      <w:tr>
        <w:trPr>
          <w:trHeight w:val="168"/>
        </w:trPr>
        <w:tc>
          <w:tcPr>
            <w:tcW w:w="34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2,869,594</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1,167,418</w:t>
            </w:r>
          </w:p>
        </w:tc>
        <w:tc>
          <w:tcPr>
            <w:tcW w:w="160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1,167,418</w:t>
            </w:r>
          </w:p>
        </w:tc>
      </w:tr>
      <w:tr>
        <w:trPr>
          <w:trHeight w:val="168"/>
        </w:trPr>
        <w:tc>
          <w:tcPr>
            <w:tcW w:w="34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420" w:type="dxa"/>
            <w:vAlign w:val="bottom"/>
          </w:tcPr>
          <w:p>
            <w:pPr>
              <w:spacing w:after="0"/>
              <w:rPr>
                <w:sz w:val="20"/>
                <w:szCs w:val="20"/>
                <w:color w:val="auto"/>
              </w:rPr>
            </w:pPr>
            <w:r>
              <w:rPr>
                <w:rFonts w:ascii="Courier New" w:cs="Courier New" w:eastAsia="Courier New" w:hAnsi="Courier New"/>
                <w:sz w:val="15"/>
                <w:szCs w:val="15"/>
                <w:color w:val="auto"/>
              </w:rPr>
              <w:t>DEDUCTIONS FROM NET ASSETS</w:t>
            </w:r>
          </w:p>
        </w:tc>
        <w:tc>
          <w:tcPr>
            <w:tcW w:w="1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ATTRIBUTED TO:</w:t>
            </w:r>
          </w:p>
        </w:tc>
        <w:tc>
          <w:tcPr>
            <w:tcW w:w="1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Benefits paid to participants</w:t>
            </w:r>
          </w:p>
        </w:tc>
        <w:tc>
          <w:tcPr>
            <w:tcW w:w="1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or beneficiaries</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1,327,936</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3,342,372</w:t>
            </w:r>
          </w:p>
        </w:tc>
        <w:tc>
          <w:tcPr>
            <w:tcW w:w="160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3,342,372</w:t>
            </w:r>
          </w:p>
        </w:tc>
      </w:tr>
      <w:tr>
        <w:trPr>
          <w:trHeight w:val="168"/>
        </w:trPr>
        <w:tc>
          <w:tcPr>
            <w:tcW w:w="34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1,327,936</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3,342,372</w:t>
            </w:r>
          </w:p>
        </w:tc>
        <w:tc>
          <w:tcPr>
            <w:tcW w:w="160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3,342,372</w:t>
            </w:r>
          </w:p>
        </w:tc>
      </w:tr>
      <w:tr>
        <w:trPr>
          <w:trHeight w:val="168"/>
        </w:trPr>
        <w:tc>
          <w:tcPr>
            <w:tcW w:w="34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increase (decrease) prior to</w:t>
            </w:r>
          </w:p>
        </w:tc>
        <w:tc>
          <w:tcPr>
            <w:tcW w:w="1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interfund transfers</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1,541,658</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(2,174,954)</w:t>
            </w:r>
          </w:p>
        </w:tc>
        <w:tc>
          <w:tcPr>
            <w:tcW w:w="160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(2,174,954)</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Loan repayments--principal</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293,625</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786,983</w:t>
            </w:r>
          </w:p>
        </w:tc>
        <w:tc>
          <w:tcPr>
            <w:tcW w:w="1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(786,983)</w:t>
            </w:r>
          </w:p>
        </w:tc>
        <w:tc>
          <w:tcPr>
            <w:tcW w:w="132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Loan withdrawals</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(714,770)</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(1,312,899)</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1,312,899</w:t>
            </w:r>
          </w:p>
        </w:tc>
        <w:tc>
          <w:tcPr>
            <w:tcW w:w="132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interfund transfers</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(1,188,524)</w:t>
            </w:r>
          </w:p>
        </w:tc>
        <w:tc>
          <w:tcPr>
            <w:tcW w:w="1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(decrease)</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(68,011)</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(2,700,870)</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525,916</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(2,174,954)</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ASSETS AVAILABLE FOR BENEFITS:</w:t>
            </w:r>
          </w:p>
        </w:tc>
        <w:tc>
          <w:tcPr>
            <w:tcW w:w="1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Beginning of year</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17,488,132</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46,864,269</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1,591,911</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48,456,180</w:t>
            </w:r>
          </w:p>
        </w:tc>
      </w:tr>
      <w:tr>
        <w:trPr>
          <w:trHeight w:val="168"/>
        </w:trPr>
        <w:tc>
          <w:tcPr>
            <w:tcW w:w="34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End of year</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$17,420,121</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$44,163,399</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$2,117,827</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$46,281,226</w:t>
            </w:r>
          </w:p>
        </w:tc>
      </w:tr>
      <w:tr>
        <w:trPr>
          <w:trHeight w:val="168"/>
        </w:trPr>
        <w:tc>
          <w:tcPr>
            <w:tcW w:w="34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- 5 -</w:t>
      </w:r>
    </w:p>
    <w:p>
      <w:pPr>
        <w:sectPr>
          <w:pgSz w:w="11900" w:h="16838" w:orient="portrait"/>
          <w:cols w:equalWidth="0" w:num="1">
            <w:col w:w="10239"/>
          </w:cols>
          <w:pgMar w:left="220" w:top="1122"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1996, 1995 AND 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40" w:lineRule="exact"/>
        <w:rPr>
          <w:sz w:val="20"/>
          <w:szCs w:val="20"/>
          <w:color w:val="auto"/>
        </w:rPr>
      </w:pPr>
    </w:p>
    <w:p>
      <w:pPr>
        <w:ind w:left="540" w:hanging="530"/>
        <w:spacing w:after="0"/>
        <w:tabs>
          <w:tab w:leader="none" w:pos="5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72" w:lineRule="exact"/>
        <w:rPr>
          <w:rFonts w:ascii="Courier New" w:cs="Courier New" w:eastAsia="Courier New" w:hAnsi="Courier New"/>
          <w:sz w:val="15"/>
          <w:szCs w:val="15"/>
          <w:color w:val="auto"/>
        </w:rPr>
      </w:pPr>
    </w:p>
    <w:p>
      <w:pPr>
        <w:jc w:val="both"/>
        <w:ind w:left="54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financial statements of the Comcast Corporation Retirement-Investment Plan (the "Plan") are presented using the accrual basis of accounting. Investments in mutual funds and the Comcast Stock Fund are carried at fair value. Fair value is determined by the last sale or closing price as of the last trading day of the Plan year for investments in securities traded on a matured securities exchange or the Nasdaq National Market. Investment contracts which are included in the Stable Value Fund are fully benefit-responsive and are carried at contract value. Contract value represents contributions made, plus interest at the contract rate and transfers, less distributions. Loans receivable from participants are valued at cost which approximates fair value. Net unrealized appreciation or depreciation in the financial statements reflects changes in fair value of investments held at year end, while net realized gains and losses associated with the disposition of investments are recorded as of the trade date and calculated based on fair value as of such date. All costs associated with administering the Plan are paid or absorbed by Comcast Corporation ("Comcast," the "Company" or the "Plan Administrator").</w:t>
      </w:r>
    </w:p>
    <w:p>
      <w:pPr>
        <w:spacing w:after="0" w:line="174" w:lineRule="exact"/>
        <w:rPr>
          <w:rFonts w:ascii="Courier New" w:cs="Courier New" w:eastAsia="Courier New" w:hAnsi="Courier New"/>
          <w:sz w:val="15"/>
          <w:szCs w:val="15"/>
          <w:color w:val="auto"/>
        </w:rPr>
      </w:pPr>
    </w:p>
    <w:p>
      <w:pPr>
        <w:jc w:val="both"/>
        <w:ind w:left="5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that affect the amounts reported in the financial statements and accompanying notes. Actual results could differ from those estimates.</w:t>
      </w:r>
    </w:p>
    <w:p>
      <w:pPr>
        <w:spacing w:after="0" w:line="175" w:lineRule="exact"/>
        <w:rPr>
          <w:rFonts w:ascii="Courier New" w:cs="Courier New" w:eastAsia="Courier New" w:hAnsi="Courier New"/>
          <w:sz w:val="15"/>
          <w:szCs w:val="15"/>
          <w:color w:val="auto"/>
        </w:rPr>
      </w:pPr>
    </w:p>
    <w:p>
      <w:pPr>
        <w:ind w:left="540"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reclassifications have been made to the prior years' financial statements to conform to those classifications used in 1996.</w:t>
      </w:r>
    </w:p>
    <w:p>
      <w:pPr>
        <w:spacing w:after="0" w:line="166" w:lineRule="exact"/>
        <w:rPr>
          <w:rFonts w:ascii="Courier New" w:cs="Courier New" w:eastAsia="Courier New" w:hAnsi="Courier New"/>
          <w:sz w:val="15"/>
          <w:szCs w:val="15"/>
          <w:color w:val="auto"/>
        </w:rPr>
      </w:pPr>
    </w:p>
    <w:p>
      <w:pPr>
        <w:ind w:left="540" w:hanging="530"/>
        <w:spacing w:after="0"/>
        <w:tabs>
          <w:tab w:leader="none" w:pos="5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DESCRIPTION</w:t>
      </w:r>
    </w:p>
    <w:p>
      <w:pPr>
        <w:spacing w:after="0" w:line="172" w:lineRule="exact"/>
        <w:rPr>
          <w:rFonts w:ascii="Courier New" w:cs="Courier New" w:eastAsia="Courier New" w:hAnsi="Courier New"/>
          <w:sz w:val="15"/>
          <w:szCs w:val="15"/>
          <w:color w:val="auto"/>
        </w:rPr>
      </w:pPr>
    </w:p>
    <w:p>
      <w:pPr>
        <w:jc w:val="both"/>
        <w:ind w:left="540" w:right="323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following description of the Plan provides only general information. Plan participants should refer to the Plan document and applicable amendments for a more complete description of the Plan's provisions.</w:t>
      </w:r>
    </w:p>
    <w:p>
      <w:pPr>
        <w:spacing w:after="0" w:line="161" w:lineRule="exact"/>
        <w:rPr>
          <w:rFonts w:ascii="Courier New" w:cs="Courier New" w:eastAsia="Courier New" w:hAnsi="Courier New"/>
          <w:sz w:val="15"/>
          <w:szCs w:val="15"/>
          <w:color w:val="auto"/>
        </w:rPr>
      </w:pPr>
    </w:p>
    <w:p>
      <w:pPr>
        <w:jc w:val="both"/>
        <w:ind w:left="5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is a defined contribution plan qualified under Internal Revenue Code (the "Code") Sections 401(k), 401(a) and 401(m). The original Plan has been amended and restated to reflect mergers of other plans with and into the Plan and to make certain other technical, compliance and design changes. The Plan is subject to the provisions of the Employee Retirement Income Security Act of 1974 ("ERISA").</w:t>
      </w:r>
    </w:p>
    <w:p>
      <w:pPr>
        <w:spacing w:after="0" w:line="174" w:lineRule="exact"/>
        <w:rPr>
          <w:rFonts w:ascii="Courier New" w:cs="Courier New" w:eastAsia="Courier New" w:hAnsi="Courier New"/>
          <w:sz w:val="15"/>
          <w:szCs w:val="15"/>
          <w:color w:val="auto"/>
        </w:rPr>
      </w:pPr>
    </w:p>
    <w:p>
      <w:pPr>
        <w:jc w:val="both"/>
        <w:ind w:left="5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December 31, 1995 (the "Maclean Hunter Merger Date"), the 401(k) plans (collectively, the "Maclean Hunter Plans") of COM MH Cable TV, Inc., Comcast Cablevision of Detroit, Comcast Cablevision of New Jersey, Inc. and Comcast Cablevision of Broward, Inc., subsidiaries of the Company (collectively, "Maclean Hunter"), were merged with and into the Plan (the "Maclean Hunter Merger") and their net assets available for benefits of $17,447,276 were transferred into the Plan. All participants of the Maclean Hunter Plans became eligible for participation in the Plan as of the Maclean Hunter Merger Date.</w:t>
      </w:r>
    </w:p>
    <w:p>
      <w:pPr>
        <w:spacing w:after="0" w:line="178" w:lineRule="exact"/>
        <w:rPr>
          <w:rFonts w:ascii="Courier New" w:cs="Courier New" w:eastAsia="Courier New" w:hAnsi="Courier New"/>
          <w:sz w:val="15"/>
          <w:szCs w:val="15"/>
          <w:color w:val="auto"/>
        </w:rPr>
      </w:pPr>
    </w:p>
    <w:p>
      <w:pPr>
        <w:jc w:val="both"/>
        <w:ind w:left="5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December 14, 1995 (the "Stock Swap Date"), the Plan exchanged all 750,930 shares of Comcast Class A Common Stock (the "Class A Stock") held by the Plan with the Company, on a one-for-one basis, for Comcast Class A Special Common Stock (the "Class A Special Stock"). The Class A Special Stock is generally nonvoting while the Class A Stock is voting. As of the Stock Swap Date, the share price of the Class A Stock and the Class A Special Stock was $18.13 and $18.88, respectively.</w:t>
      </w:r>
    </w:p>
    <w:p>
      <w:pPr>
        <w:spacing w:after="0" w:line="175" w:lineRule="exact"/>
        <w:rPr>
          <w:rFonts w:ascii="Courier New" w:cs="Courier New" w:eastAsia="Courier New" w:hAnsi="Courier New"/>
          <w:sz w:val="15"/>
          <w:szCs w:val="15"/>
          <w:color w:val="auto"/>
        </w:rPr>
      </w:pPr>
    </w:p>
    <w:p>
      <w:pPr>
        <w:jc w:val="both"/>
        <w:ind w:left="5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September 30, 1995 (the "Storer Merger Date"), the 401(k) plan (the "Storer Plan") of Storer Communications, Inc., an indirect wholly owned subsidiary of the Company ("Storer"), was merged with and into the Plan (the "Storer Merger") and its net assets available for benefits of $12,581,965 were transferred into the Plan. All participants of the Storer Plan became eligible for participation in the Plan as of the Storer Merger Date.</w:t>
      </w:r>
    </w:p>
    <w:p>
      <w:pPr>
        <w:spacing w:after="0" w:line="169" w:lineRule="exact"/>
        <w:rPr>
          <w:rFonts w:ascii="Courier New" w:cs="Courier New" w:eastAsia="Courier New" w:hAnsi="Courier New"/>
          <w:sz w:val="15"/>
          <w:szCs w:val="15"/>
          <w:color w:val="auto"/>
        </w:rPr>
      </w:pPr>
    </w:p>
    <w:p>
      <w:pPr>
        <w:ind w:left="3500" w:hanging="167"/>
        <w:spacing w:after="0"/>
        <w:tabs>
          <w:tab w:leader="none" w:pos="350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6 -</w:t>
      </w:r>
    </w:p>
    <w:p>
      <w:pPr>
        <w:sectPr>
          <w:pgSz w:w="11900" w:h="16838" w:orient="portrait"/>
          <w:cols w:equalWidth="0" w:num="1">
            <w:col w:w="10239"/>
          </w:cols>
          <w:pgMar w:left="220" w:top="953"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1996, 1995 AND 1994 (Continued)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200" w:lineRule="exact"/>
        <w:rPr>
          <w:sz w:val="20"/>
          <w:szCs w:val="20"/>
          <w:color w:val="auto"/>
        </w:rPr>
      </w:pPr>
    </w:p>
    <w:p>
      <w:pPr>
        <w:spacing w:after="0" w:line="314" w:lineRule="exact"/>
        <w:rPr>
          <w:sz w:val="20"/>
          <w:szCs w:val="20"/>
          <w:color w:val="auto"/>
        </w:rPr>
      </w:pPr>
    </w:p>
    <w:p>
      <w:pPr>
        <w:jc w:val="both"/>
        <w:ind w:left="540" w:right="3239"/>
        <w:spacing w:after="0" w:line="254" w:lineRule="auto"/>
        <w:rPr>
          <w:sz w:val="20"/>
          <w:szCs w:val="20"/>
          <w:color w:val="auto"/>
        </w:rPr>
      </w:pPr>
      <w:r>
        <w:rPr>
          <w:rFonts w:ascii="Courier New" w:cs="Courier New" w:eastAsia="Courier New" w:hAnsi="Courier New"/>
          <w:sz w:val="14"/>
          <w:szCs w:val="14"/>
          <w:color w:val="auto"/>
        </w:rPr>
        <w:t>An employee is eligible for participation in the Plan upon completion of one year of service, as defined in the Plan. Each eligible employee may direct the Company to make contributions to the Plan of any whole percentage from 1% through 17% of their compensation, subject to certain limits imposed by the Code. The Company matches 100% of the participant's contribution up to 1% of the participant's compensation for such payroll period, and 50% of the participant's contribution in excess of 1% of the participant's compensation for such payroll period, up to a maximum total matching contribution of 3.5% of the participant's compensation. Each participant has at all times a 100% nonforfeitable interest in the</w:t>
      </w:r>
    </w:p>
    <w:p>
      <w:pPr>
        <w:spacing w:after="0" w:line="3" w:lineRule="exact"/>
        <w:rPr>
          <w:sz w:val="20"/>
          <w:szCs w:val="20"/>
          <w:color w:val="auto"/>
        </w:rPr>
      </w:pPr>
    </w:p>
    <w:p>
      <w:pPr>
        <w:jc w:val="both"/>
        <w:ind w:left="540" w:right="3239"/>
        <w:spacing w:after="0" w:line="235" w:lineRule="auto"/>
        <w:rPr>
          <w:sz w:val="20"/>
          <w:szCs w:val="20"/>
          <w:color w:val="auto"/>
        </w:rPr>
      </w:pPr>
      <w:r>
        <w:rPr>
          <w:rFonts w:ascii="Courier New" w:cs="Courier New" w:eastAsia="Courier New" w:hAnsi="Courier New"/>
          <w:sz w:val="15"/>
          <w:szCs w:val="15"/>
          <w:color w:val="auto"/>
        </w:rPr>
        <w:t>participant's contributions and earnings attributable thereto. Contributions by the Company and earnings thereon vest according to the following schedule:</w:t>
      </w:r>
    </w:p>
    <w:p>
      <w:pPr>
        <w:spacing w:after="0" w:line="167"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2040" w:type="dxa"/>
            <w:vAlign w:val="bottom"/>
            <w:gridSpan w:val="2"/>
          </w:tcPr>
          <w:p>
            <w:pPr>
              <w:spacing w:after="0"/>
              <w:rPr>
                <w:sz w:val="20"/>
                <w:szCs w:val="20"/>
                <w:color w:val="auto"/>
              </w:rPr>
            </w:pPr>
            <w:r>
              <w:rPr>
                <w:rFonts w:ascii="Courier New" w:cs="Courier New" w:eastAsia="Courier New" w:hAnsi="Courier New"/>
                <w:sz w:val="15"/>
                <w:szCs w:val="15"/>
                <w:color w:val="auto"/>
              </w:rPr>
              <w:t>Years of Service</w:t>
            </w:r>
          </w:p>
        </w:tc>
        <w:tc>
          <w:tcPr>
            <w:tcW w:w="132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rPr>
              <w:t>Vested Percentage</w:t>
            </w:r>
          </w:p>
        </w:tc>
      </w:tr>
      <w:tr>
        <w:trPr>
          <w:trHeight w:val="336"/>
        </w:trPr>
        <w:tc>
          <w:tcPr>
            <w:tcW w:w="12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3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year but less than 2 years</w:t>
            </w:r>
          </w:p>
        </w:tc>
        <w:tc>
          <w:tcPr>
            <w:tcW w:w="2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w:t>
            </w:r>
          </w:p>
        </w:tc>
      </w:tr>
      <w:tr>
        <w:trPr>
          <w:trHeight w:val="168"/>
        </w:trPr>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32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years but less than 3 years</w:t>
            </w:r>
          </w:p>
        </w:tc>
        <w:tc>
          <w:tcPr>
            <w:tcW w:w="2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1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years but less than 4</w:t>
            </w:r>
          </w:p>
        </w:tc>
        <w:tc>
          <w:tcPr>
            <w:tcW w:w="13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c>
          <w:tcPr>
            <w:tcW w:w="2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4</w:t>
            </w:r>
          </w:p>
        </w:tc>
        <w:tc>
          <w:tcPr>
            <w:tcW w:w="1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years but less than 5</w:t>
            </w:r>
          </w:p>
        </w:tc>
        <w:tc>
          <w:tcPr>
            <w:tcW w:w="13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c>
          <w:tcPr>
            <w:tcW w:w="2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c>
          <w:tcPr>
            <w:tcW w:w="1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 or more</w:t>
            </w:r>
          </w:p>
        </w:tc>
        <w:tc>
          <w:tcPr>
            <w:tcW w:w="1320" w:type="dxa"/>
            <w:vAlign w:val="bottom"/>
          </w:tcPr>
          <w:p>
            <w:pPr>
              <w:spacing w:after="0"/>
              <w:rPr>
                <w:sz w:val="14"/>
                <w:szCs w:val="14"/>
                <w:color w:val="auto"/>
              </w:rPr>
            </w:pPr>
          </w:p>
        </w:tc>
        <w:tc>
          <w:tcPr>
            <w:tcW w:w="2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100</w:t>
            </w:r>
          </w:p>
        </w:tc>
      </w:tr>
    </w:tbl>
    <w:p>
      <w:pPr>
        <w:spacing w:after="0" w:line="173" w:lineRule="exact"/>
        <w:rPr>
          <w:sz w:val="20"/>
          <w:szCs w:val="20"/>
          <w:color w:val="auto"/>
        </w:rPr>
      </w:pPr>
    </w:p>
    <w:p>
      <w:pPr>
        <w:jc w:val="both"/>
        <w:ind w:left="540" w:right="3239"/>
        <w:spacing w:after="0" w:line="235" w:lineRule="auto"/>
        <w:rPr>
          <w:sz w:val="20"/>
          <w:szCs w:val="20"/>
          <w:color w:val="auto"/>
        </w:rPr>
      </w:pPr>
      <w:r>
        <w:rPr>
          <w:rFonts w:ascii="Courier New" w:cs="Courier New" w:eastAsia="Courier New" w:hAnsi="Courier New"/>
          <w:sz w:val="15"/>
          <w:szCs w:val="15"/>
          <w:color w:val="auto"/>
        </w:rPr>
        <w:t>The Company contributes cash to purchase 10 shares of Class A Special Stock for the account of each newly eligible participant. These contributions are recorded at the market value of the shares at the date contributed.</w:t>
      </w:r>
    </w:p>
    <w:p>
      <w:pPr>
        <w:spacing w:after="0" w:line="175" w:lineRule="exact"/>
        <w:rPr>
          <w:sz w:val="20"/>
          <w:szCs w:val="20"/>
          <w:color w:val="auto"/>
        </w:rPr>
      </w:pPr>
    </w:p>
    <w:p>
      <w:pPr>
        <w:jc w:val="both"/>
        <w:ind w:left="540" w:right="3239"/>
        <w:spacing w:after="0" w:line="235" w:lineRule="auto"/>
        <w:rPr>
          <w:sz w:val="20"/>
          <w:szCs w:val="20"/>
          <w:color w:val="auto"/>
        </w:rPr>
      </w:pPr>
      <w:r>
        <w:rPr>
          <w:rFonts w:ascii="Courier New" w:cs="Courier New" w:eastAsia="Courier New" w:hAnsi="Courier New"/>
          <w:sz w:val="15"/>
          <w:szCs w:val="15"/>
          <w:color w:val="auto"/>
        </w:rPr>
        <w:t>Accounts of the participants in the former Storer Plan and Maclean Hunter Plans were transferred as of the Storer Merger Date and the Maclean Hunter Merger Date, respectively, to the Plan whether or not vested as of such merger dates.</w:t>
      </w:r>
    </w:p>
    <w:p>
      <w:pPr>
        <w:spacing w:after="0" w:line="175" w:lineRule="exact"/>
        <w:rPr>
          <w:sz w:val="20"/>
          <w:szCs w:val="20"/>
          <w:color w:val="auto"/>
        </w:rPr>
      </w:pPr>
    </w:p>
    <w:p>
      <w:pPr>
        <w:jc w:val="both"/>
        <w:ind w:left="540" w:right="3239"/>
        <w:spacing w:after="0" w:line="236" w:lineRule="auto"/>
        <w:rPr>
          <w:sz w:val="20"/>
          <w:szCs w:val="20"/>
          <w:color w:val="auto"/>
        </w:rPr>
      </w:pPr>
      <w:r>
        <w:rPr>
          <w:rFonts w:ascii="Courier New" w:cs="Courier New" w:eastAsia="Courier New" w:hAnsi="Courier New"/>
          <w:sz w:val="15"/>
          <w:szCs w:val="15"/>
          <w:color w:val="auto"/>
        </w:rPr>
        <w:t>Each participant has the right, in accordance with the provisions of the Plan, to direct the investment by State Street Bank (the "Trustee") of all amounts allocated to the separate accounts of the participant under the Plan among any one or more of the investment fund options (see Note 3). The Trustee pays benefits and expenses upon the written direction of the Plan Administrator.</w:t>
      </w:r>
    </w:p>
    <w:p>
      <w:pPr>
        <w:spacing w:after="0" w:line="175" w:lineRule="exact"/>
        <w:rPr>
          <w:sz w:val="20"/>
          <w:szCs w:val="20"/>
          <w:color w:val="auto"/>
        </w:rPr>
      </w:pPr>
    </w:p>
    <w:p>
      <w:pPr>
        <w:jc w:val="both"/>
        <w:ind w:left="540" w:right="3239"/>
        <w:spacing w:after="0" w:line="255" w:lineRule="auto"/>
        <w:rPr>
          <w:sz w:val="20"/>
          <w:szCs w:val="20"/>
          <w:color w:val="auto"/>
        </w:rPr>
      </w:pPr>
      <w:r>
        <w:rPr>
          <w:rFonts w:ascii="Courier New" w:cs="Courier New" w:eastAsia="Courier New" w:hAnsi="Courier New"/>
          <w:sz w:val="14"/>
          <w:szCs w:val="14"/>
          <w:color w:val="auto"/>
        </w:rPr>
        <w:t>Amounts contributed by the Company which are forfeited by participants as a result of the participants' separation from service prior to becoming 100% vested may be used to reduce the Company's required contributions. Pending application of the forfeitures, the Company may direct the Trustee to hold the forfeitures in cash or under investment in a suspense account. If the Plan should terminate with any forfeitures not applied against Company contributions, they will be allocated to then current participants in the proportion that each participant's compensation for that Plan year bears to the compensation for all such participants for the Plan year.</w:t>
      </w:r>
    </w:p>
    <w:p>
      <w:pPr>
        <w:spacing w:after="0" w:line="165" w:lineRule="exact"/>
        <w:rPr>
          <w:sz w:val="20"/>
          <w:szCs w:val="20"/>
          <w:color w:val="auto"/>
        </w:rPr>
      </w:pPr>
    </w:p>
    <w:p>
      <w:pPr>
        <w:jc w:val="both"/>
        <w:ind w:left="540" w:right="3239"/>
        <w:spacing w:after="0" w:line="236" w:lineRule="auto"/>
        <w:rPr>
          <w:sz w:val="20"/>
          <w:szCs w:val="20"/>
          <w:color w:val="auto"/>
        </w:rPr>
      </w:pPr>
      <w:r>
        <w:rPr>
          <w:rFonts w:ascii="Courier New" w:cs="Courier New" w:eastAsia="Courier New" w:hAnsi="Courier New"/>
          <w:sz w:val="15"/>
          <w:szCs w:val="15"/>
          <w:color w:val="auto"/>
        </w:rPr>
        <w:t>Any participant who has a separation from service for any reason except death, disability or attainment of age 65 shall be entitled to receive his vested account balance. Upon death, disability or attainment of age 65, a participant's account becomes fully vested in all Company contributions regardless of the participant's years of service. Generally, distribution will start no later than 60 days after the close of the Plan year in which the participant's separation from service occurs, subject to certain deferral rights under the Plan. The distribution alternatives permitted are a lump sum payment, an annuity, installments over a period of time or any combination of the foregoing.</w:t>
      </w:r>
    </w:p>
    <w:p>
      <w:pPr>
        <w:spacing w:after="0" w:line="179" w:lineRule="exact"/>
        <w:rPr>
          <w:sz w:val="20"/>
          <w:szCs w:val="20"/>
          <w:color w:val="auto"/>
        </w:rPr>
      </w:pPr>
    </w:p>
    <w:p>
      <w:pPr>
        <w:jc w:val="both"/>
        <w:ind w:left="540" w:right="3239"/>
        <w:spacing w:after="0" w:line="236" w:lineRule="auto"/>
        <w:rPr>
          <w:sz w:val="20"/>
          <w:szCs w:val="20"/>
          <w:color w:val="auto"/>
        </w:rPr>
      </w:pPr>
      <w:r>
        <w:rPr>
          <w:rFonts w:ascii="Courier New" w:cs="Courier New" w:eastAsia="Courier New" w:hAnsi="Courier New"/>
          <w:sz w:val="15"/>
          <w:szCs w:val="15"/>
          <w:color w:val="auto"/>
        </w:rPr>
        <w:t>Although it has not expressed any intent to do so, the Company has the right under the Plan to discontinue its contributions at any time and to terminate the Plan subject to the provisions of ERISA. In the event of Plan termination, each participant's account balance will become fully vested.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- 7 -</w:t>
      </w:r>
    </w:p>
    <w:p>
      <w:pPr>
        <w:sectPr>
          <w:pgSz w:w="11900" w:h="16838" w:orient="portrait"/>
          <w:cols w:equalWidth="0" w:num="1">
            <w:col w:w="10239"/>
          </w:cols>
          <w:pgMar w:left="220" w:top="785"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1996, 1995 AND 1994 (Continued)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40" w:lineRule="exact"/>
        <w:rPr>
          <w:sz w:val="20"/>
          <w:szCs w:val="20"/>
          <w:color w:val="auto"/>
        </w:rPr>
      </w:pPr>
    </w:p>
    <w:p>
      <w:pPr>
        <w:ind w:left="540" w:hanging="530"/>
        <w:spacing w:after="0"/>
        <w:tabs>
          <w:tab w:leader="none" w:pos="5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OPTIONS</w:t>
      </w:r>
    </w:p>
    <w:p>
      <w:pPr>
        <w:spacing w:after="0" w:line="172" w:lineRule="exact"/>
        <w:rPr>
          <w:rFonts w:ascii="Courier New" w:cs="Courier New" w:eastAsia="Courier New" w:hAnsi="Courier New"/>
          <w:sz w:val="15"/>
          <w:szCs w:val="15"/>
          <w:color w:val="auto"/>
        </w:rPr>
      </w:pPr>
    </w:p>
    <w:p>
      <w:pPr>
        <w:jc w:val="both"/>
        <w:ind w:left="5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Upon enrollment in the Plan, a participant may direct employer and employee contributions in whole percentage increments among one or more of the following funds:</w:t>
      </w:r>
    </w:p>
    <w:p>
      <w:pPr>
        <w:spacing w:after="0" w:line="173" w:lineRule="exact"/>
        <w:rPr>
          <w:rFonts w:ascii="Courier New" w:cs="Courier New" w:eastAsia="Courier New" w:hAnsi="Courier New"/>
          <w:sz w:val="15"/>
          <w:szCs w:val="15"/>
          <w:color w:val="auto"/>
        </w:rPr>
      </w:pPr>
    </w:p>
    <w:p>
      <w:pPr>
        <w:jc w:val="both"/>
        <w:ind w:left="800" w:right="3239" w:hanging="266"/>
        <w:spacing w:after="0" w:line="236" w:lineRule="auto"/>
        <w:tabs>
          <w:tab w:leader="none" w:pos="80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Dodge and Cox Balanced Fund - The assets of the Dodge and Cox Balanced Fund are invested in equity securities and fixed income obligations issued by corporations. The returns on these investments vary as the stock and bond markets fluctuate and there is no guarantee of principal or rate of return.</w:t>
      </w:r>
    </w:p>
    <w:p>
      <w:pPr>
        <w:spacing w:after="0" w:line="173" w:lineRule="exact"/>
        <w:rPr>
          <w:rFonts w:ascii="Courier New" w:cs="Courier New" w:eastAsia="Courier New" w:hAnsi="Courier New"/>
          <w:sz w:val="15"/>
          <w:szCs w:val="15"/>
          <w:color w:val="auto"/>
        </w:rPr>
      </w:pPr>
    </w:p>
    <w:p>
      <w:pPr>
        <w:jc w:val="both"/>
        <w:ind w:left="800" w:right="3239" w:hanging="266"/>
        <w:spacing w:after="0" w:line="256" w:lineRule="auto"/>
        <w:tabs>
          <w:tab w:leader="none" w:pos="80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Fidelity Blue Chip Growth Fund - The assets of the Fidelity Blue Chip Growth Fund are invested in equity securities of well-established companies. The returns on these investments vary as the stock markets fluctuate and there is no guarantee of principal or rate of return.</w:t>
      </w:r>
    </w:p>
    <w:p>
      <w:pPr>
        <w:spacing w:after="0" w:line="164" w:lineRule="exact"/>
        <w:rPr>
          <w:rFonts w:ascii="Courier New" w:cs="Courier New" w:eastAsia="Courier New" w:hAnsi="Courier New"/>
          <w:sz w:val="14"/>
          <w:szCs w:val="14"/>
          <w:color w:val="auto"/>
        </w:rPr>
      </w:pPr>
    </w:p>
    <w:p>
      <w:pPr>
        <w:jc w:val="both"/>
        <w:ind w:left="800" w:right="3239" w:hanging="266"/>
        <w:spacing w:after="0" w:line="236" w:lineRule="auto"/>
        <w:tabs>
          <w:tab w:leader="none" w:pos="80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PBHG Growth Fund - The assets of the PBHG Growth Fund are invested primarily in equity securities of mid-sized companies. The returns on these investments vary as the stock markets fluctuate and there is no guarantee of principal or rate of return. (The PBHG Growth Fund replaced the Crabbe Huson Fund effective December 31, 1996.)</w:t>
      </w:r>
    </w:p>
    <w:p>
      <w:pPr>
        <w:spacing w:after="0" w:line="173" w:lineRule="exact"/>
        <w:rPr>
          <w:rFonts w:ascii="Courier New" w:cs="Courier New" w:eastAsia="Courier New" w:hAnsi="Courier New"/>
          <w:sz w:val="15"/>
          <w:szCs w:val="15"/>
          <w:color w:val="auto"/>
        </w:rPr>
      </w:pPr>
    </w:p>
    <w:p>
      <w:pPr>
        <w:jc w:val="both"/>
        <w:ind w:left="800" w:right="3239" w:hanging="266"/>
        <w:spacing w:after="0" w:line="236" w:lineRule="auto"/>
        <w:tabs>
          <w:tab w:leader="none" w:pos="80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Ivy International Fund - The assets of the Ivy International Fund are invested in equity securities which are principally traded in European, Pacific Basin and Latin American markets. The returns on these investments vary as the stock markets fluctuate and there is no guarantee of principal or rate of return.</w:t>
      </w:r>
    </w:p>
    <w:p>
      <w:pPr>
        <w:spacing w:after="0" w:line="173" w:lineRule="exact"/>
        <w:rPr>
          <w:rFonts w:ascii="Courier New" w:cs="Courier New" w:eastAsia="Courier New" w:hAnsi="Courier New"/>
          <w:sz w:val="15"/>
          <w:szCs w:val="15"/>
          <w:color w:val="auto"/>
        </w:rPr>
      </w:pPr>
    </w:p>
    <w:p>
      <w:pPr>
        <w:jc w:val="both"/>
        <w:ind w:left="800" w:right="3239" w:hanging="266"/>
        <w:spacing w:after="0" w:line="236" w:lineRule="auto"/>
        <w:tabs>
          <w:tab w:leader="none" w:pos="80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Stock Fund - Subsequent to the Stock Swap Date (see Note 2), the assets of the Comcast Stock Fund, including earnings thereon, are invested solely in the Company's Class A Special Stock. Prior to the Stock Swap Date, certain prior account balances were invested solely in the Company's Class A Stock. The Trustee purchases the stock at prevailing rates in the open market and, in the normal course of business, sells such stock to meet the distribution requirements of the Plan. The value of the Comcast Stock Fund fluctuates and there is no guarantee of principal or rate of return.</w:t>
      </w:r>
    </w:p>
    <w:p>
      <w:pPr>
        <w:spacing w:after="0" w:line="178" w:lineRule="exact"/>
        <w:rPr>
          <w:rFonts w:ascii="Courier New" w:cs="Courier New" w:eastAsia="Courier New" w:hAnsi="Courier New"/>
          <w:sz w:val="15"/>
          <w:szCs w:val="15"/>
          <w:color w:val="auto"/>
        </w:rPr>
      </w:pPr>
    </w:p>
    <w:p>
      <w:pPr>
        <w:jc w:val="both"/>
        <w:ind w:left="800" w:right="3239" w:hanging="266"/>
        <w:spacing w:after="0" w:line="237" w:lineRule="auto"/>
        <w:tabs>
          <w:tab w:leader="none" w:pos="80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Stable Value Fund - The assets of the Stable Value Fund are invested in a diversified group of high-quality, fixed-income investments consisting of investment contracts which are obligations of creditworthy life insurance companies and commercial banks, high-quality debt securities which are held by the Plan within contracts that are intended to minimize market volatility, and short-term money market instruments. The Fund's investment return typically fluctuates within a narrow range as interest rates rise and fall. Although the Fund's objective is to preserve the principal investment, there is a potential for loss if the issuing institutions suffer insolvency. (The Stable Value Fund replaced the John Hancock Guaranteed Investment Fund effective October 1, 1995.)</w:t>
      </w:r>
    </w:p>
    <w:p>
      <w:pPr>
        <w:spacing w:after="0" w:line="173" w:lineRule="exact"/>
        <w:rPr>
          <w:sz w:val="20"/>
          <w:szCs w:val="20"/>
          <w:color w:val="auto"/>
        </w:rPr>
      </w:pPr>
    </w:p>
    <w:p>
      <w:pPr>
        <w:jc w:val="both"/>
        <w:ind w:left="540" w:right="3239"/>
        <w:spacing w:after="0" w:line="236" w:lineRule="auto"/>
        <w:rPr>
          <w:sz w:val="20"/>
          <w:szCs w:val="20"/>
          <w:color w:val="auto"/>
        </w:rPr>
      </w:pPr>
      <w:r>
        <w:rPr>
          <w:rFonts w:ascii="Courier New" w:cs="Courier New" w:eastAsia="Courier New" w:hAnsi="Courier New"/>
          <w:sz w:val="15"/>
          <w:szCs w:val="15"/>
          <w:color w:val="auto"/>
        </w:rPr>
        <w:t>The selection of investments from the options listed above is the sole responsibility of each participant. Each participant assumes all risks connected with any decrease in the market value of any securities in these funds, and such funds are the sole source of payments under the Plan. If no investment direction is made by a participant, the participant's account is invested in the Stable Value Fund at the direction of the Plan Administrator.</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- 8 -</w:t>
      </w:r>
    </w:p>
    <w:p>
      <w:pPr>
        <w:sectPr>
          <w:pgSz w:w="11900" w:h="16838" w:orient="portrait"/>
          <w:cols w:equalWidth="0" w:num="1">
            <w:col w:w="10239"/>
          </w:cols>
          <w:pgMar w:left="220" w:top="785"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1996, 1995 AND 1994 (Continued)</w:t>
      </w:r>
    </w:p>
    <w:p>
      <w:pPr>
        <w:spacing w:after="0" w:line="238" w:lineRule="auto"/>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335" w:lineRule="exact"/>
        <w:rPr>
          <w:sz w:val="20"/>
          <w:szCs w:val="20"/>
          <w:color w:val="auto"/>
        </w:rPr>
      </w:pPr>
    </w:p>
    <w:p>
      <w:pPr>
        <w:ind w:left="540" w:hanging="530"/>
        <w:spacing w:after="0"/>
        <w:tabs>
          <w:tab w:leader="none" w:pos="5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72" w:lineRule="exact"/>
        <w:rPr>
          <w:rFonts w:ascii="Courier New" w:cs="Courier New" w:eastAsia="Courier New" w:hAnsi="Courier New"/>
          <w:sz w:val="15"/>
          <w:szCs w:val="15"/>
          <w:color w:val="auto"/>
        </w:rPr>
      </w:pPr>
    </w:p>
    <w:p>
      <w:pPr>
        <w:jc w:val="both"/>
        <w:ind w:left="5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Plan's investments are held by a bank-administered trust fund and are presented in the following table. Investments that represent 5% or more of the Plan's net assets available for benefits as of December 31, 1996 and 1995 are separately identified (number of shares/units are rounded to the nearest whole share or unit).</w:t>
      </w:r>
    </w:p>
    <w:p>
      <w:pPr>
        <w:spacing w:after="0" w:line="335"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38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December 31, 1996</w:t>
            </w:r>
          </w:p>
        </w:tc>
      </w:tr>
      <w:tr>
        <w:trPr>
          <w:trHeight w:val="336"/>
        </w:trPr>
        <w:tc>
          <w:tcPr>
            <w:tcW w:w="4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500" w:type="dxa"/>
            <w:vAlign w:val="bottom"/>
          </w:tcPr>
          <w:p>
            <w:pPr>
              <w:ind w:left="800"/>
              <w:spacing w:after="0"/>
              <w:rPr>
                <w:sz w:val="20"/>
                <w:szCs w:val="20"/>
                <w:color w:val="auto"/>
              </w:rPr>
            </w:pPr>
            <w:r>
              <w:rPr>
                <w:rFonts w:ascii="Courier New" w:cs="Courier New" w:eastAsia="Courier New" w:hAnsi="Courier New"/>
                <w:sz w:val="15"/>
                <w:szCs w:val="15"/>
                <w:color w:val="auto"/>
              </w:rPr>
              <w:t>Fair</w:t>
            </w:r>
          </w:p>
        </w:tc>
      </w:tr>
      <w:tr>
        <w:trPr>
          <w:trHeight w:val="168"/>
        </w:trPr>
        <w:tc>
          <w:tcPr>
            <w:tcW w:w="4460" w:type="dxa"/>
            <w:vAlign w:val="bottom"/>
          </w:tcPr>
          <w:p>
            <w:pPr>
              <w:spacing w:after="0"/>
              <w:rPr>
                <w:sz w:val="14"/>
                <w:szCs w:val="14"/>
                <w:color w:val="auto"/>
              </w:rPr>
            </w:pPr>
          </w:p>
        </w:tc>
        <w:tc>
          <w:tcPr>
            <w:tcW w:w="2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Number of</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or Contract</w:t>
            </w:r>
          </w:p>
        </w:tc>
      </w:tr>
      <w:tr>
        <w:trPr>
          <w:trHeight w:val="168"/>
        </w:trPr>
        <w:tc>
          <w:tcPr>
            <w:tcW w:w="4460" w:type="dxa"/>
            <w:vAlign w:val="bottom"/>
          </w:tcPr>
          <w:p>
            <w:pPr>
              <w:spacing w:after="0"/>
              <w:rPr>
                <w:sz w:val="14"/>
                <w:szCs w:val="14"/>
                <w:color w:val="auto"/>
              </w:rPr>
            </w:pPr>
          </w:p>
        </w:tc>
        <w:tc>
          <w:tcPr>
            <w:tcW w:w="2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Shares/Units</w:t>
            </w:r>
          </w:p>
        </w:tc>
        <w:tc>
          <w:tcPr>
            <w:tcW w:w="15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Value</w:t>
            </w:r>
          </w:p>
        </w:tc>
      </w:tr>
      <w:tr>
        <w:trPr>
          <w:trHeight w:val="336"/>
        </w:trPr>
        <w:tc>
          <w:tcPr>
            <w:tcW w:w="4460" w:type="dxa"/>
            <w:vAlign w:val="bottom"/>
          </w:tcPr>
          <w:p>
            <w:pPr>
              <w:spacing w:after="0"/>
              <w:rPr>
                <w:sz w:val="20"/>
                <w:szCs w:val="20"/>
                <w:color w:val="auto"/>
              </w:rPr>
            </w:pPr>
            <w:r>
              <w:rPr>
                <w:rFonts w:ascii="Courier New" w:cs="Courier New" w:eastAsia="Courier New" w:hAnsi="Courier New"/>
                <w:sz w:val="15"/>
                <w:szCs w:val="15"/>
                <w:color w:val="auto"/>
              </w:rPr>
              <w:t>Mutual Funds</w:t>
            </w:r>
          </w:p>
        </w:tc>
        <w:tc>
          <w:tcPr>
            <w:tcW w:w="23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8"/>
        </w:trPr>
        <w:tc>
          <w:tcPr>
            <w:tcW w:w="44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Dodge and Cox Balanced Fund</w:t>
            </w:r>
          </w:p>
        </w:tc>
        <w:tc>
          <w:tcPr>
            <w:tcW w:w="2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209,511</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$13,520,611</w:t>
            </w:r>
          </w:p>
        </w:tc>
      </w:tr>
      <w:tr>
        <w:trPr>
          <w:trHeight w:val="168"/>
        </w:trPr>
        <w:tc>
          <w:tcPr>
            <w:tcW w:w="44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Fidelity Blue Chip Growth Fund</w:t>
            </w:r>
          </w:p>
        </w:tc>
        <w:tc>
          <w:tcPr>
            <w:tcW w:w="2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744,854</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26,443,398</w:t>
            </w:r>
          </w:p>
        </w:tc>
      </w:tr>
      <w:tr>
        <w:trPr>
          <w:trHeight w:val="168"/>
        </w:trPr>
        <w:tc>
          <w:tcPr>
            <w:tcW w:w="44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PBHG Growth Fund</w:t>
            </w:r>
          </w:p>
        </w:tc>
        <w:tc>
          <w:tcPr>
            <w:tcW w:w="2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238,254</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3,483,526</w:t>
            </w:r>
          </w:p>
        </w:tc>
      </w:tr>
      <w:tr>
        <w:trPr>
          <w:trHeight w:val="168"/>
        </w:trPr>
        <w:tc>
          <w:tcPr>
            <w:tcW w:w="44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Ivy International Fund</w:t>
            </w:r>
          </w:p>
        </w:tc>
        <w:tc>
          <w:tcPr>
            <w:tcW w:w="2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64,229</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2,303,811</w:t>
            </w:r>
          </w:p>
        </w:tc>
      </w:tr>
      <w:tr>
        <w:trPr>
          <w:trHeight w:val="168"/>
        </w:trPr>
        <w:tc>
          <w:tcPr>
            <w:tcW w:w="44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45,751,346</w:t>
            </w:r>
          </w:p>
        </w:tc>
      </w:tr>
      <w:tr>
        <w:trPr>
          <w:trHeight w:val="336"/>
        </w:trPr>
        <w:tc>
          <w:tcPr>
            <w:tcW w:w="4460" w:type="dxa"/>
            <w:vAlign w:val="bottom"/>
          </w:tcPr>
          <w:p>
            <w:pPr>
              <w:spacing w:after="0"/>
              <w:rPr>
                <w:sz w:val="20"/>
                <w:szCs w:val="20"/>
                <w:color w:val="auto"/>
              </w:rPr>
            </w:pPr>
            <w:r>
              <w:rPr>
                <w:rFonts w:ascii="Courier New" w:cs="Courier New" w:eastAsia="Courier New" w:hAnsi="Courier New"/>
                <w:sz w:val="15"/>
                <w:szCs w:val="15"/>
                <w:color w:val="auto"/>
              </w:rPr>
              <w:t>Comcast Stock Fund</w:t>
            </w:r>
          </w:p>
        </w:tc>
        <w:tc>
          <w:tcPr>
            <w:tcW w:w="23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8"/>
        </w:trPr>
        <w:tc>
          <w:tcPr>
            <w:tcW w:w="44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Class A Special Stock</w:t>
            </w:r>
          </w:p>
        </w:tc>
        <w:tc>
          <w:tcPr>
            <w:tcW w:w="2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1,114,844</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19,858,161</w:t>
            </w:r>
          </w:p>
        </w:tc>
      </w:tr>
      <w:tr>
        <w:trPr>
          <w:trHeight w:val="168"/>
        </w:trPr>
        <w:tc>
          <w:tcPr>
            <w:tcW w:w="44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Cash</w:t>
            </w:r>
          </w:p>
        </w:tc>
        <w:tc>
          <w:tcPr>
            <w:tcW w:w="2360" w:type="dxa"/>
            <w:vAlign w:val="bottom"/>
          </w:tcPr>
          <w:p>
            <w:pPr>
              <w:spacing w:after="0"/>
              <w:rPr>
                <w:sz w:val="14"/>
                <w:szCs w:val="14"/>
                <w:color w:val="auto"/>
              </w:rPr>
            </w:pP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3,692,819</w:t>
            </w:r>
          </w:p>
        </w:tc>
      </w:tr>
      <w:tr>
        <w:trPr>
          <w:trHeight w:val="168"/>
        </w:trPr>
        <w:tc>
          <w:tcPr>
            <w:tcW w:w="44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23,550,980</w:t>
            </w:r>
          </w:p>
        </w:tc>
      </w:tr>
      <w:tr>
        <w:trPr>
          <w:trHeight w:val="336"/>
        </w:trPr>
        <w:tc>
          <w:tcPr>
            <w:tcW w:w="4460" w:type="dxa"/>
            <w:vAlign w:val="bottom"/>
          </w:tcPr>
          <w:p>
            <w:pPr>
              <w:spacing w:after="0"/>
              <w:rPr>
                <w:sz w:val="20"/>
                <w:szCs w:val="20"/>
                <w:color w:val="auto"/>
              </w:rPr>
            </w:pPr>
            <w:r>
              <w:rPr>
                <w:rFonts w:ascii="Courier New" w:cs="Courier New" w:eastAsia="Courier New" w:hAnsi="Courier New"/>
                <w:sz w:val="15"/>
                <w:szCs w:val="15"/>
                <w:color w:val="auto"/>
              </w:rPr>
              <w:t>Stable Value Fund</w:t>
            </w:r>
          </w:p>
        </w:tc>
        <w:tc>
          <w:tcPr>
            <w:tcW w:w="2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N/A</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31,205,073</w:t>
            </w:r>
          </w:p>
        </w:tc>
      </w:tr>
      <w:tr>
        <w:trPr>
          <w:trHeight w:val="336"/>
        </w:trPr>
        <w:tc>
          <w:tcPr>
            <w:tcW w:w="4460" w:type="dxa"/>
            <w:vAlign w:val="bottom"/>
          </w:tcPr>
          <w:p>
            <w:pPr>
              <w:spacing w:after="0"/>
              <w:rPr>
                <w:sz w:val="20"/>
                <w:szCs w:val="20"/>
                <w:color w:val="auto"/>
              </w:rPr>
            </w:pPr>
            <w:r>
              <w:rPr>
                <w:rFonts w:ascii="Courier New" w:cs="Courier New" w:eastAsia="Courier New" w:hAnsi="Courier New"/>
                <w:sz w:val="15"/>
                <w:szCs w:val="15"/>
                <w:color w:val="auto"/>
              </w:rPr>
              <w:t>Participant Loan Fund</w:t>
            </w:r>
          </w:p>
        </w:tc>
        <w:tc>
          <w:tcPr>
            <w:tcW w:w="23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8"/>
        </w:trPr>
        <w:tc>
          <w:tcPr>
            <w:tcW w:w="44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(interest rates from 7.00% to 10.00%;</w:t>
            </w:r>
          </w:p>
        </w:tc>
        <w:tc>
          <w:tcPr>
            <w:tcW w:w="2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44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maturities from 1997 to 2001)</w:t>
            </w:r>
          </w:p>
        </w:tc>
        <w:tc>
          <w:tcPr>
            <w:tcW w:w="2360" w:type="dxa"/>
            <w:vAlign w:val="bottom"/>
          </w:tcPr>
          <w:p>
            <w:pPr>
              <w:spacing w:after="0"/>
              <w:rPr>
                <w:sz w:val="14"/>
                <w:szCs w:val="14"/>
                <w:color w:val="auto"/>
              </w:rPr>
            </w:pP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4,658,990</w:t>
            </w:r>
          </w:p>
        </w:tc>
      </w:tr>
      <w:tr>
        <w:trPr>
          <w:trHeight w:val="168"/>
        </w:trPr>
        <w:tc>
          <w:tcPr>
            <w:tcW w:w="44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$105,166,389</w:t>
            </w:r>
          </w:p>
        </w:tc>
      </w:tr>
      <w:tr>
        <w:trPr>
          <w:trHeight w:val="168"/>
        </w:trPr>
        <w:tc>
          <w:tcPr>
            <w:tcW w:w="44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460" w:type="dxa"/>
            <w:vAlign w:val="bottom"/>
          </w:tcPr>
          <w:p>
            <w:pPr>
              <w:spacing w:after="0"/>
              <w:rPr>
                <w:sz w:val="24"/>
                <w:szCs w:val="24"/>
                <w:color w:val="auto"/>
              </w:rPr>
            </w:pPr>
          </w:p>
        </w:tc>
        <w:tc>
          <w:tcPr>
            <w:tcW w:w="38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December 31, 1995</w:t>
            </w:r>
          </w:p>
        </w:tc>
      </w:tr>
      <w:tr>
        <w:trPr>
          <w:trHeight w:val="336"/>
        </w:trPr>
        <w:tc>
          <w:tcPr>
            <w:tcW w:w="4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500" w:type="dxa"/>
            <w:vAlign w:val="bottom"/>
          </w:tcPr>
          <w:p>
            <w:pPr>
              <w:ind w:left="800"/>
              <w:spacing w:after="0"/>
              <w:rPr>
                <w:sz w:val="20"/>
                <w:szCs w:val="20"/>
                <w:color w:val="auto"/>
              </w:rPr>
            </w:pPr>
            <w:r>
              <w:rPr>
                <w:rFonts w:ascii="Courier New" w:cs="Courier New" w:eastAsia="Courier New" w:hAnsi="Courier New"/>
                <w:sz w:val="15"/>
                <w:szCs w:val="15"/>
                <w:color w:val="auto"/>
              </w:rPr>
              <w:t>Fair</w:t>
            </w:r>
          </w:p>
        </w:tc>
      </w:tr>
      <w:tr>
        <w:trPr>
          <w:trHeight w:val="168"/>
        </w:trPr>
        <w:tc>
          <w:tcPr>
            <w:tcW w:w="4460" w:type="dxa"/>
            <w:vAlign w:val="bottom"/>
          </w:tcPr>
          <w:p>
            <w:pPr>
              <w:spacing w:after="0"/>
              <w:rPr>
                <w:sz w:val="14"/>
                <w:szCs w:val="14"/>
                <w:color w:val="auto"/>
              </w:rPr>
            </w:pPr>
          </w:p>
        </w:tc>
        <w:tc>
          <w:tcPr>
            <w:tcW w:w="2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Number of</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or Contract</w:t>
            </w:r>
          </w:p>
        </w:tc>
      </w:tr>
      <w:tr>
        <w:trPr>
          <w:trHeight w:val="168"/>
        </w:trPr>
        <w:tc>
          <w:tcPr>
            <w:tcW w:w="4460" w:type="dxa"/>
            <w:vAlign w:val="bottom"/>
          </w:tcPr>
          <w:p>
            <w:pPr>
              <w:spacing w:after="0"/>
              <w:rPr>
                <w:sz w:val="14"/>
                <w:szCs w:val="14"/>
                <w:color w:val="auto"/>
              </w:rPr>
            </w:pPr>
          </w:p>
        </w:tc>
        <w:tc>
          <w:tcPr>
            <w:tcW w:w="2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Shares/Units</w:t>
            </w:r>
          </w:p>
        </w:tc>
        <w:tc>
          <w:tcPr>
            <w:tcW w:w="15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Mutual Funds</w:t>
            </w:r>
          </w:p>
        </w:tc>
        <w:tc>
          <w:tcPr>
            <w:tcW w:w="2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44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Dodge and Cox Balanced Fund</w:t>
            </w:r>
          </w:p>
        </w:tc>
        <w:tc>
          <w:tcPr>
            <w:tcW w:w="2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197,117</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$10,772,716</w:t>
            </w:r>
          </w:p>
        </w:tc>
      </w:tr>
      <w:tr>
        <w:trPr>
          <w:trHeight w:val="168"/>
        </w:trPr>
        <w:tc>
          <w:tcPr>
            <w:tcW w:w="44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Fidelity Blue Chip Growth Fund</w:t>
            </w:r>
          </w:p>
        </w:tc>
        <w:tc>
          <w:tcPr>
            <w:tcW w:w="2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647,337</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19,920,762</w:t>
            </w:r>
          </w:p>
        </w:tc>
      </w:tr>
      <w:tr>
        <w:trPr>
          <w:trHeight w:val="168"/>
        </w:trPr>
        <w:tc>
          <w:tcPr>
            <w:tcW w:w="44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Crabbe Huson Fund</w:t>
            </w:r>
          </w:p>
        </w:tc>
        <w:tc>
          <w:tcPr>
            <w:tcW w:w="2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220,446</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3,090,642</w:t>
            </w:r>
          </w:p>
        </w:tc>
      </w:tr>
      <w:tr>
        <w:trPr>
          <w:trHeight w:val="168"/>
        </w:trPr>
        <w:tc>
          <w:tcPr>
            <w:tcW w:w="44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33,784,120</w:t>
            </w:r>
          </w:p>
        </w:tc>
      </w:tr>
      <w:tr>
        <w:trPr>
          <w:trHeight w:val="336"/>
        </w:trPr>
        <w:tc>
          <w:tcPr>
            <w:tcW w:w="4460" w:type="dxa"/>
            <w:vAlign w:val="bottom"/>
          </w:tcPr>
          <w:p>
            <w:pPr>
              <w:spacing w:after="0"/>
              <w:rPr>
                <w:sz w:val="20"/>
                <w:szCs w:val="20"/>
                <w:color w:val="auto"/>
              </w:rPr>
            </w:pPr>
            <w:r>
              <w:rPr>
                <w:rFonts w:ascii="Courier New" w:cs="Courier New" w:eastAsia="Courier New" w:hAnsi="Courier New"/>
                <w:sz w:val="15"/>
                <w:szCs w:val="15"/>
                <w:color w:val="auto"/>
              </w:rPr>
              <w:t>Comcast Stock Fund</w:t>
            </w:r>
          </w:p>
        </w:tc>
        <w:tc>
          <w:tcPr>
            <w:tcW w:w="23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8"/>
        </w:trPr>
        <w:tc>
          <w:tcPr>
            <w:tcW w:w="44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Class A Special Stock</w:t>
            </w:r>
          </w:p>
        </w:tc>
        <w:tc>
          <w:tcPr>
            <w:tcW w:w="2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1,134,046</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20,625,462</w:t>
            </w:r>
          </w:p>
        </w:tc>
      </w:tr>
      <w:tr>
        <w:trPr>
          <w:trHeight w:val="168"/>
        </w:trPr>
        <w:tc>
          <w:tcPr>
            <w:tcW w:w="44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Cash</w:t>
            </w:r>
          </w:p>
        </w:tc>
        <w:tc>
          <w:tcPr>
            <w:tcW w:w="2360" w:type="dxa"/>
            <w:vAlign w:val="bottom"/>
          </w:tcPr>
          <w:p>
            <w:pPr>
              <w:spacing w:after="0"/>
              <w:rPr>
                <w:sz w:val="14"/>
                <w:szCs w:val="14"/>
                <w:color w:val="auto"/>
              </w:rPr>
            </w:pP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726,095</w:t>
            </w:r>
          </w:p>
        </w:tc>
      </w:tr>
      <w:tr>
        <w:trPr>
          <w:trHeight w:val="168"/>
        </w:trPr>
        <w:tc>
          <w:tcPr>
            <w:tcW w:w="44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21,351,557</w:t>
            </w:r>
          </w:p>
        </w:tc>
      </w:tr>
      <w:tr>
        <w:trPr>
          <w:trHeight w:val="336"/>
        </w:trPr>
        <w:tc>
          <w:tcPr>
            <w:tcW w:w="4460" w:type="dxa"/>
            <w:vAlign w:val="bottom"/>
          </w:tcPr>
          <w:p>
            <w:pPr>
              <w:spacing w:after="0"/>
              <w:rPr>
                <w:sz w:val="20"/>
                <w:szCs w:val="20"/>
                <w:color w:val="auto"/>
              </w:rPr>
            </w:pPr>
            <w:r>
              <w:rPr>
                <w:rFonts w:ascii="Courier New" w:cs="Courier New" w:eastAsia="Courier New" w:hAnsi="Courier New"/>
                <w:sz w:val="15"/>
                <w:szCs w:val="15"/>
                <w:color w:val="auto"/>
              </w:rPr>
              <w:t>Stable Value Fund</w:t>
            </w:r>
          </w:p>
        </w:tc>
        <w:tc>
          <w:tcPr>
            <w:tcW w:w="2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N/A</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33,077,270</w:t>
            </w:r>
          </w:p>
        </w:tc>
      </w:tr>
      <w:tr>
        <w:trPr>
          <w:trHeight w:val="336"/>
        </w:trPr>
        <w:tc>
          <w:tcPr>
            <w:tcW w:w="4460" w:type="dxa"/>
            <w:vAlign w:val="bottom"/>
          </w:tcPr>
          <w:p>
            <w:pPr>
              <w:spacing w:after="0"/>
              <w:rPr>
                <w:sz w:val="20"/>
                <w:szCs w:val="20"/>
                <w:color w:val="auto"/>
              </w:rPr>
            </w:pPr>
            <w:r>
              <w:rPr>
                <w:rFonts w:ascii="Courier New" w:cs="Courier New" w:eastAsia="Courier New" w:hAnsi="Courier New"/>
                <w:sz w:val="15"/>
                <w:szCs w:val="15"/>
                <w:color w:val="auto"/>
              </w:rPr>
              <w:t>Participant Loan Fund</w:t>
            </w:r>
          </w:p>
        </w:tc>
        <w:tc>
          <w:tcPr>
            <w:tcW w:w="23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8"/>
        </w:trPr>
        <w:tc>
          <w:tcPr>
            <w:tcW w:w="44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(interest rates from 7.00% to 12.03%;</w:t>
            </w:r>
          </w:p>
        </w:tc>
        <w:tc>
          <w:tcPr>
            <w:tcW w:w="2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44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maturities from 1996 to 2000)</w:t>
            </w:r>
          </w:p>
        </w:tc>
        <w:tc>
          <w:tcPr>
            <w:tcW w:w="2360" w:type="dxa"/>
            <w:vAlign w:val="bottom"/>
          </w:tcPr>
          <w:p>
            <w:pPr>
              <w:spacing w:after="0"/>
              <w:rPr>
                <w:sz w:val="14"/>
                <w:szCs w:val="14"/>
                <w:color w:val="auto"/>
              </w:rPr>
            </w:pP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2,416,382</w:t>
            </w:r>
          </w:p>
        </w:tc>
      </w:tr>
      <w:tr>
        <w:trPr>
          <w:trHeight w:val="168"/>
        </w:trPr>
        <w:tc>
          <w:tcPr>
            <w:tcW w:w="44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$90,629,329</w:t>
            </w:r>
          </w:p>
        </w:tc>
      </w:tr>
      <w:tr>
        <w:trPr>
          <w:trHeight w:val="168"/>
        </w:trPr>
        <w:tc>
          <w:tcPr>
            <w:tcW w:w="44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460" w:type="dxa"/>
            <w:vAlign w:val="bottom"/>
          </w:tcPr>
          <w:p>
            <w:pPr>
              <w:ind w:left="1760"/>
              <w:spacing w:after="0"/>
              <w:rPr>
                <w:sz w:val="20"/>
                <w:szCs w:val="20"/>
                <w:color w:val="auto"/>
              </w:rPr>
            </w:pPr>
            <w:r>
              <w:rPr>
                <w:rFonts w:ascii="Courier New" w:cs="Courier New" w:eastAsia="Courier New" w:hAnsi="Courier New"/>
                <w:sz w:val="15"/>
                <w:szCs w:val="15"/>
                <w:color w:val="auto"/>
              </w:rPr>
              <w:t>- 9 -</w:t>
            </w:r>
          </w:p>
        </w:tc>
        <w:tc>
          <w:tcPr>
            <w:tcW w:w="236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1996, 1995 AND 1994 (Continued)</w:t>
      </w:r>
    </w:p>
    <w:p>
      <w:pPr>
        <w:spacing w:after="0" w:line="238" w:lineRule="auto"/>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341" w:lineRule="exact"/>
        <w:rPr>
          <w:sz w:val="20"/>
          <w:szCs w:val="20"/>
          <w:color w:val="auto"/>
        </w:rPr>
      </w:pPr>
    </w:p>
    <w:p>
      <w:pPr>
        <w:jc w:val="both"/>
        <w:ind w:left="540" w:right="3239"/>
        <w:spacing w:after="0" w:line="236" w:lineRule="auto"/>
        <w:rPr>
          <w:sz w:val="20"/>
          <w:szCs w:val="20"/>
          <w:color w:val="auto"/>
        </w:rPr>
      </w:pPr>
      <w:r>
        <w:rPr>
          <w:rFonts w:ascii="Courier New" w:cs="Courier New" w:eastAsia="Courier New" w:hAnsi="Courier New"/>
          <w:sz w:val="15"/>
          <w:szCs w:val="15"/>
          <w:color w:val="auto"/>
        </w:rPr>
        <w:t>The contract and fair values of assets included in the Stable Value Fund were $31,205,073 and $31,180,198, respectively, as of December 31, 1996, and $33,077,270 and $33,309,586, respectively, as of December 31, 1995. The average yield of investment contracts held as of December 31, 1996 and 1995 was 5.90% and 6.32%, respectively. The average yield on investment contracts for the year ended December 31, 1996 and 1995 was 6.26% and 6.32%, respectively.</w:t>
      </w:r>
    </w:p>
    <w:p>
      <w:pPr>
        <w:spacing w:after="0" w:line="169" w:lineRule="exact"/>
        <w:rPr>
          <w:sz w:val="20"/>
          <w:szCs w:val="20"/>
          <w:color w:val="auto"/>
        </w:rPr>
      </w:pPr>
    </w:p>
    <w:p>
      <w:pPr>
        <w:ind w:left="540" w:hanging="530"/>
        <w:spacing w:after="0"/>
        <w:tabs>
          <w:tab w:leader="none" w:pos="5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LOANS AND HARDSHIP WITHDRAWALS</w:t>
      </w:r>
    </w:p>
    <w:p>
      <w:pPr>
        <w:spacing w:after="0" w:line="172" w:lineRule="exact"/>
        <w:rPr>
          <w:rFonts w:ascii="Courier New" w:cs="Courier New" w:eastAsia="Courier New" w:hAnsi="Courier New"/>
          <w:sz w:val="15"/>
          <w:szCs w:val="15"/>
          <w:color w:val="auto"/>
        </w:rPr>
      </w:pPr>
    </w:p>
    <w:p>
      <w:pPr>
        <w:jc w:val="both"/>
        <w:ind w:left="5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Participants may borrow from their Plan account subject to the approval of the Plan Administrator in accordance with applicable regulations issued by the Internal Revenue Service ("IRS") and the Department of Labor. In general, participants may borrow a minimum of $500 up to a maximum of the lesser of $50,000 or 50% of the participant's nonforfeitable accrued benefit on the valuation date (as defined by the Plan) last preceding the date on which the loan is received by the Plan Administrator. The maximum term of a loan is five years. Interest accrues at a rate charged by commercial lenders for comparable loans on the date the loan application is approved. Loan transactions are treated as a transfer from (to) the investment fund to (from) the participant loan fund.</w:t>
      </w:r>
    </w:p>
    <w:p>
      <w:pPr>
        <w:spacing w:after="0" w:line="164" w:lineRule="exact"/>
        <w:rPr>
          <w:rFonts w:ascii="Courier New" w:cs="Courier New" w:eastAsia="Courier New" w:hAnsi="Courier New"/>
          <w:sz w:val="15"/>
          <w:szCs w:val="15"/>
          <w:color w:val="auto"/>
        </w:rPr>
      </w:pPr>
    </w:p>
    <w:p>
      <w:pPr>
        <w:jc w:val="both"/>
        <w:ind w:left="5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Participants may withdraw all or a portion of their benefits derived from salary reduction, rollovers or the vested portion of their employer contributions, and earnings thereon, on account of hardship, as defined by the Plan and applicable IRS regulations. Under these rules, the participant must exhaust the possibilities of all other distributions, loans, etc. available under the Plan and meet certain other requirements. Upon receiving a hardship withdrawal, the participant's elective contributions are suspended for twelve full calendar months.</w:t>
      </w:r>
    </w:p>
    <w:p>
      <w:pPr>
        <w:spacing w:after="0" w:line="159" w:lineRule="exact"/>
        <w:rPr>
          <w:rFonts w:ascii="Courier New" w:cs="Courier New" w:eastAsia="Courier New" w:hAnsi="Courier New"/>
          <w:sz w:val="15"/>
          <w:szCs w:val="15"/>
          <w:color w:val="auto"/>
        </w:rPr>
      </w:pPr>
    </w:p>
    <w:p>
      <w:pPr>
        <w:ind w:left="540" w:hanging="530"/>
        <w:spacing w:after="0"/>
        <w:tabs>
          <w:tab w:leader="none" w:pos="5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 PAYABLE</w:t>
      </w:r>
    </w:p>
    <w:p>
      <w:pPr>
        <w:spacing w:after="0" w:line="172" w:lineRule="exact"/>
        <w:rPr>
          <w:rFonts w:ascii="Courier New" w:cs="Courier New" w:eastAsia="Courier New" w:hAnsi="Courier New"/>
          <w:sz w:val="15"/>
          <w:szCs w:val="15"/>
          <w:color w:val="auto"/>
        </w:rPr>
      </w:pPr>
    </w:p>
    <w:p>
      <w:pPr>
        <w:ind w:left="540"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is a reconciliation of net assets available for benefits per the Plan's financial statements to the Plan's Form 5500:</w:t>
      </w:r>
    </w:p>
    <w:p>
      <w:pPr>
        <w:spacing w:after="0" w:line="335"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576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December</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r>
      <w:tr>
        <w:trPr>
          <w:trHeight w:val="168"/>
        </w:trPr>
        <w:tc>
          <w:tcPr>
            <w:tcW w:w="5760" w:type="dxa"/>
            <w:vAlign w:val="bottom"/>
          </w:tcPr>
          <w:p>
            <w:pPr>
              <w:spacing w:after="0"/>
              <w:rPr>
                <w:sz w:val="14"/>
                <w:szCs w:val="14"/>
                <w:color w:val="auto"/>
              </w:rPr>
            </w:pPr>
          </w:p>
        </w:tc>
        <w:tc>
          <w:tcPr>
            <w:tcW w:w="19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1996</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1995</w:t>
            </w:r>
          </w:p>
        </w:tc>
      </w:tr>
      <w:tr>
        <w:trPr>
          <w:trHeight w:val="336"/>
        </w:trPr>
        <w:tc>
          <w:tcPr>
            <w:tcW w:w="5760" w:type="dxa"/>
            <w:vAlign w:val="bottom"/>
          </w:tcPr>
          <w:p>
            <w:pPr>
              <w:spacing w:after="0"/>
              <w:rPr>
                <w:sz w:val="20"/>
                <w:szCs w:val="20"/>
                <w:color w:val="auto"/>
              </w:rPr>
            </w:pPr>
            <w:r>
              <w:rPr>
                <w:rFonts w:ascii="Courier New" w:cs="Courier New" w:eastAsia="Courier New" w:hAnsi="Courier New"/>
                <w:sz w:val="15"/>
                <w:szCs w:val="15"/>
                <w:color w:val="auto"/>
              </w:rPr>
              <w:t>Net assets available for benefits per the financial statements</w:t>
            </w:r>
          </w:p>
        </w:tc>
        <w:tc>
          <w:tcPr>
            <w:tcW w:w="19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$105,166,389</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w w:val="94"/>
              </w:rPr>
              <w:t>$90,629,329</w:t>
            </w:r>
          </w:p>
        </w:tc>
      </w:tr>
      <w:tr>
        <w:trPr>
          <w:trHeight w:val="168"/>
        </w:trPr>
        <w:tc>
          <w:tcPr>
            <w:tcW w:w="576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amounts allocated to withdrawing participants</w:t>
            </w:r>
          </w:p>
        </w:tc>
        <w:tc>
          <w:tcPr>
            <w:tcW w:w="19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(57,268)</w:t>
            </w:r>
          </w:p>
        </w:tc>
        <w:tc>
          <w:tcPr>
            <w:tcW w:w="1000" w:type="dxa"/>
            <w:vAlign w:val="bottom"/>
          </w:tcPr>
          <w:p>
            <w:pPr>
              <w:spacing w:after="0"/>
              <w:rPr>
                <w:sz w:val="14"/>
                <w:szCs w:val="14"/>
                <w:color w:val="auto"/>
              </w:rPr>
            </w:pPr>
          </w:p>
        </w:tc>
      </w:tr>
      <w:tr>
        <w:trPr>
          <w:trHeight w:val="168"/>
        </w:trPr>
        <w:tc>
          <w:tcPr>
            <w:tcW w:w="5760" w:type="dxa"/>
            <w:vAlign w:val="bottom"/>
          </w:tcPr>
          <w:p>
            <w:pPr>
              <w:spacing w:after="0"/>
              <w:rPr>
                <w:sz w:val="14"/>
                <w:szCs w:val="14"/>
                <w:color w:val="auto"/>
              </w:rPr>
            </w:pPr>
          </w:p>
        </w:tc>
        <w:tc>
          <w:tcPr>
            <w:tcW w:w="19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57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assets available for benefits per the Form 5500</w:t>
            </w:r>
          </w:p>
        </w:tc>
        <w:tc>
          <w:tcPr>
            <w:tcW w:w="19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$105,109,121</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$90,629,329</w:t>
            </w:r>
          </w:p>
        </w:tc>
      </w:tr>
      <w:tr>
        <w:trPr>
          <w:trHeight w:val="168"/>
        </w:trPr>
        <w:tc>
          <w:tcPr>
            <w:tcW w:w="5760" w:type="dxa"/>
            <w:vAlign w:val="bottom"/>
          </w:tcPr>
          <w:p>
            <w:pPr>
              <w:spacing w:after="0"/>
              <w:rPr>
                <w:sz w:val="14"/>
                <w:szCs w:val="14"/>
                <w:color w:val="auto"/>
              </w:rPr>
            </w:pPr>
          </w:p>
        </w:tc>
        <w:tc>
          <w:tcPr>
            <w:tcW w:w="19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w:t>
            </w:r>
          </w:p>
        </w:tc>
      </w:tr>
    </w:tbl>
    <w:p>
      <w:pPr>
        <w:spacing w:after="0" w:line="200" w:lineRule="exact"/>
        <w:rPr>
          <w:sz w:val="20"/>
          <w:szCs w:val="20"/>
          <w:color w:val="auto"/>
        </w:rPr>
      </w:pPr>
    </w:p>
    <w:p>
      <w:pPr>
        <w:spacing w:after="0" w:line="309" w:lineRule="exact"/>
        <w:rPr>
          <w:sz w:val="20"/>
          <w:szCs w:val="20"/>
          <w:color w:val="auto"/>
        </w:rPr>
      </w:pPr>
    </w:p>
    <w:p>
      <w:pPr>
        <w:jc w:val="both"/>
        <w:ind w:left="540" w:right="3239"/>
        <w:spacing w:after="0" w:line="261" w:lineRule="auto"/>
        <w:rPr>
          <w:sz w:val="20"/>
          <w:szCs w:val="20"/>
          <w:color w:val="auto"/>
        </w:rPr>
      </w:pPr>
      <w:r>
        <w:rPr>
          <w:rFonts w:ascii="Courier New" w:cs="Courier New" w:eastAsia="Courier New" w:hAnsi="Courier New"/>
          <w:sz w:val="14"/>
          <w:szCs w:val="14"/>
          <w:color w:val="auto"/>
        </w:rPr>
        <w:t>The following is a reconciliation of benefits paid to participants or beneficiaries per the Plan's financial statements to the Plan's Form 5500:</w:t>
      </w:r>
    </w:p>
    <w:p>
      <w:pPr>
        <w:spacing w:after="0" w:line="321"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w w:val="98"/>
              </w:rPr>
              <w:t>Year Ended December 31,</w:t>
            </w:r>
          </w:p>
        </w:tc>
        <w:tc>
          <w:tcPr>
            <w:tcW w:w="920" w:type="dxa"/>
            <w:vAlign w:val="bottom"/>
          </w:tcPr>
          <w:p>
            <w:pPr>
              <w:spacing w:after="0"/>
              <w:rPr>
                <w:sz w:val="14"/>
                <w:szCs w:val="14"/>
                <w:color w:val="auto"/>
              </w:rPr>
            </w:pPr>
          </w:p>
        </w:tc>
      </w:tr>
      <w:tr>
        <w:trPr>
          <w:trHeight w:val="168"/>
        </w:trPr>
        <w:tc>
          <w:tcPr>
            <w:tcW w:w="4420" w:type="dxa"/>
            <w:vAlign w:val="bottom"/>
          </w:tcPr>
          <w:p>
            <w:pPr>
              <w:spacing w:after="0"/>
              <w:rPr>
                <w:sz w:val="14"/>
                <w:szCs w:val="14"/>
                <w:color w:val="auto"/>
              </w:rPr>
            </w:pPr>
          </w:p>
        </w:tc>
        <w:tc>
          <w:tcPr>
            <w:tcW w:w="1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1996</w:t>
            </w:r>
          </w:p>
        </w:tc>
        <w:tc>
          <w:tcPr>
            <w:tcW w:w="21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4"/>
              </w:rPr>
              <w:t>1995</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1994</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Benefits paid to participants or beneficiaries</w:t>
            </w:r>
          </w:p>
        </w:tc>
        <w:tc>
          <w:tcPr>
            <w:tcW w:w="1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4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per the financial statements</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$9,938,625</w:t>
            </w:r>
          </w:p>
        </w:tc>
        <w:tc>
          <w:tcPr>
            <w:tcW w:w="21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$3,757,342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$3,342,372</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Add: amounts allocated to withdrawing</w:t>
            </w:r>
          </w:p>
        </w:tc>
        <w:tc>
          <w:tcPr>
            <w:tcW w:w="1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4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participants at end of year</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57,268</w:t>
            </w:r>
          </w:p>
        </w:tc>
        <w:tc>
          <w:tcPr>
            <w:tcW w:w="2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42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Benefits paid to participants or beneficiaries</w:t>
            </w:r>
          </w:p>
        </w:tc>
        <w:tc>
          <w:tcPr>
            <w:tcW w:w="1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4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per the Form 5500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$9,995,893</w:t>
            </w:r>
          </w:p>
        </w:tc>
        <w:tc>
          <w:tcPr>
            <w:tcW w:w="21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$3,757,342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$3,342,372</w:t>
            </w:r>
          </w:p>
        </w:tc>
      </w:tr>
      <w:tr>
        <w:trPr>
          <w:trHeight w:val="168"/>
        </w:trPr>
        <w:tc>
          <w:tcPr>
            <w:tcW w:w="442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505"/>
        </w:trPr>
        <w:tc>
          <w:tcPr>
            <w:tcW w:w="4420" w:type="dxa"/>
            <w:vAlign w:val="bottom"/>
          </w:tcPr>
          <w:p>
            <w:pPr>
              <w:ind w:left="2700"/>
              <w:spacing w:after="0"/>
              <w:rPr>
                <w:sz w:val="20"/>
                <w:szCs w:val="20"/>
                <w:color w:val="auto"/>
              </w:rPr>
            </w:pPr>
            <w:r>
              <w:rPr>
                <w:rFonts w:ascii="Courier New" w:cs="Courier New" w:eastAsia="Courier New" w:hAnsi="Courier New"/>
                <w:sz w:val="15"/>
                <w:szCs w:val="15"/>
                <w:color w:val="auto"/>
              </w:rPr>
              <w:t>- 10 -</w:t>
            </w:r>
          </w:p>
        </w:tc>
        <w:tc>
          <w:tcPr>
            <w:tcW w:w="1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1996, 1995 AND 1994 (Concluded)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40" w:lineRule="exact"/>
        <w:rPr>
          <w:sz w:val="20"/>
          <w:szCs w:val="20"/>
          <w:color w:val="auto"/>
        </w:rPr>
      </w:pPr>
    </w:p>
    <w:p>
      <w:pPr>
        <w:ind w:left="540" w:hanging="530"/>
        <w:spacing w:after="0"/>
        <w:tabs>
          <w:tab w:leader="none" w:pos="5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172" w:lineRule="exact"/>
        <w:rPr>
          <w:rFonts w:ascii="Courier New" w:cs="Courier New" w:eastAsia="Courier New" w:hAnsi="Courier New"/>
          <w:sz w:val="15"/>
          <w:szCs w:val="15"/>
          <w:color w:val="auto"/>
        </w:rPr>
      </w:pPr>
    </w:p>
    <w:p>
      <w:pPr>
        <w:jc w:val="both"/>
        <w:ind w:left="5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as Plan Administrator, has the authority to control and manage the operation and administration of the Plan and may delegate all or a portion of the responsibilities of controlling and managing the operation and administration of the Plan to one or more persons.</w:t>
      </w:r>
    </w:p>
    <w:p>
      <w:pPr>
        <w:spacing w:after="0" w:line="168" w:lineRule="exact"/>
        <w:rPr>
          <w:rFonts w:ascii="Courier New" w:cs="Courier New" w:eastAsia="Courier New" w:hAnsi="Courier New"/>
          <w:sz w:val="15"/>
          <w:szCs w:val="15"/>
          <w:color w:val="auto"/>
        </w:rPr>
      </w:pPr>
    </w:p>
    <w:p>
      <w:pPr>
        <w:ind w:left="540" w:hanging="530"/>
        <w:spacing w:after="0"/>
        <w:tabs>
          <w:tab w:leader="none" w:pos="5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TAX CONSIDERATIONS</w:t>
      </w:r>
    </w:p>
    <w:p>
      <w:pPr>
        <w:spacing w:after="0" w:line="172" w:lineRule="exact"/>
        <w:rPr>
          <w:rFonts w:ascii="Courier New" w:cs="Courier New" w:eastAsia="Courier New" w:hAnsi="Courier New"/>
          <w:sz w:val="15"/>
          <w:szCs w:val="15"/>
          <w:color w:val="auto"/>
        </w:rPr>
      </w:pPr>
    </w:p>
    <w:p>
      <w:pPr>
        <w:jc w:val="both"/>
        <w:ind w:left="800" w:right="3239" w:hanging="266"/>
        <w:spacing w:after="0" w:line="255" w:lineRule="auto"/>
        <w:tabs>
          <w:tab w:leader="none" w:pos="800"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 Status of the Plan - The Plan received a determination letter dated December 19, 1995 in which the IRS stated that the Plan, as amended and restated effective January 1, 1993, is qualified and that the trust established under the Plan is tax-exempt. The Plan has been amended since receiving the determination letter (see Note 2). The Company believes that the Plan continues to comply in form and operation with the applicable requirements of the Code. Therefore, the Company believes that the Plan was qualified and the related trust was tax-exempt as of December 31, 1996. Therefore, no provision for income taxes has been included in the Plan's financial statements.</w:t>
      </w:r>
    </w:p>
    <w:p>
      <w:pPr>
        <w:spacing w:after="0" w:line="165" w:lineRule="exact"/>
        <w:rPr>
          <w:rFonts w:ascii="Courier New" w:cs="Courier New" w:eastAsia="Courier New" w:hAnsi="Courier New"/>
          <w:sz w:val="14"/>
          <w:szCs w:val="14"/>
          <w:color w:val="auto"/>
        </w:rPr>
      </w:pPr>
    </w:p>
    <w:p>
      <w:pPr>
        <w:jc w:val="both"/>
        <w:ind w:left="800" w:right="3239" w:hanging="266"/>
        <w:spacing w:after="0" w:line="236" w:lineRule="auto"/>
        <w:tabs>
          <w:tab w:leader="none" w:pos="80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Impact on Plan Participants - Matching contributions and salary reduction contributions, as well as earnings on Plan assets, are generally not subject to federal income tax until distributed from a qualified plan that meets the requirements of Sections 401(a), 401(k) and 401(m) of the Code.</w:t>
      </w:r>
    </w:p>
    <w:p>
      <w:pPr>
        <w:spacing w:after="0" w:line="167"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11 -</w:t>
      </w:r>
    </w:p>
    <w:p>
      <w:pPr>
        <w:sectPr>
          <w:pgSz w:w="11900" w:h="16838" w:orient="portrait"/>
          <w:cols w:equalWidth="0" w:num="1">
            <w:col w:w="10239"/>
          </w:cols>
          <w:pgMar w:left="220" w:top="785"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LINE 27a - SCHEDULE OF ASSETS HELD FOR INVESTMENT PURPOSES</w:t>
      </w:r>
    </w:p>
    <w:p>
      <w:pPr>
        <w:spacing w:after="0" w:line="237" w:lineRule="auto"/>
        <w:rPr>
          <w:sz w:val="20"/>
          <w:szCs w:val="20"/>
          <w:color w:val="auto"/>
        </w:rPr>
      </w:pPr>
      <w:r>
        <w:rPr>
          <w:rFonts w:ascii="Courier New" w:cs="Courier New" w:eastAsia="Courier New" w:hAnsi="Courier New"/>
          <w:sz w:val="15"/>
          <w:szCs w:val="15"/>
          <w:color w:val="auto"/>
        </w:rPr>
        <w:t>DECEMBER 31, 1996</w:t>
      </w:r>
    </w:p>
    <w:p>
      <w:pPr>
        <w:spacing w:after="0" w:line="238" w:lineRule="auto"/>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2920" w:type="dxa"/>
            <w:vAlign w:val="bottom"/>
          </w:tcPr>
          <w:p>
            <w:pPr>
              <w:ind w:left="1480"/>
              <w:spacing w:after="0"/>
              <w:rPr>
                <w:sz w:val="20"/>
                <w:szCs w:val="20"/>
                <w:color w:val="auto"/>
              </w:rPr>
            </w:pPr>
            <w:r>
              <w:rPr>
                <w:rFonts w:ascii="Courier New" w:cs="Courier New" w:eastAsia="Courier New" w:hAnsi="Courier New"/>
                <w:sz w:val="15"/>
                <w:szCs w:val="15"/>
                <w:color w:val="auto"/>
                <w:w w:val="98"/>
              </w:rPr>
              <w:t>FEIN #23-1709202</w:t>
            </w: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2920" w:type="dxa"/>
            <w:vAlign w:val="bottom"/>
          </w:tcPr>
          <w:p>
            <w:pPr>
              <w:ind w:left="1480"/>
              <w:spacing w:after="0" w:line="168" w:lineRule="exact"/>
              <w:rPr>
                <w:sz w:val="20"/>
                <w:szCs w:val="20"/>
                <w:color w:val="auto"/>
              </w:rPr>
            </w:pPr>
            <w:r>
              <w:rPr>
                <w:rFonts w:ascii="Courier New" w:cs="Courier New" w:eastAsia="Courier New" w:hAnsi="Courier New"/>
                <w:sz w:val="15"/>
                <w:szCs w:val="15"/>
                <w:color w:val="auto"/>
              </w:rPr>
              <w:t>PLAN #001</w:t>
            </w: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673"/>
        </w:trPr>
        <w:tc>
          <w:tcPr>
            <w:tcW w:w="4040" w:type="dxa"/>
            <w:vAlign w:val="bottom"/>
          </w:tcPr>
          <w:p>
            <w:pPr>
              <w:spacing w:after="0"/>
              <w:rPr>
                <w:sz w:val="24"/>
                <w:szCs w:val="24"/>
                <w:color w:val="auto"/>
              </w:rPr>
            </w:pPr>
          </w:p>
        </w:tc>
        <w:tc>
          <w:tcPr>
            <w:tcW w:w="2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Description of Investment,</w:t>
            </w: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40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Identity of</w:t>
            </w:r>
          </w:p>
        </w:tc>
        <w:tc>
          <w:tcPr>
            <w:tcW w:w="2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Including Maturity Date,</w:t>
            </w:r>
          </w:p>
        </w:tc>
        <w:tc>
          <w:tcPr>
            <w:tcW w:w="1360" w:type="dxa"/>
            <w:vAlign w:val="bottom"/>
          </w:tcPr>
          <w:p>
            <w:pPr>
              <w:spacing w:after="0"/>
              <w:rPr>
                <w:sz w:val="14"/>
                <w:szCs w:val="14"/>
                <w:color w:val="auto"/>
              </w:rPr>
            </w:pPr>
          </w:p>
        </w:tc>
        <w:tc>
          <w:tcPr>
            <w:tcW w:w="14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Fair</w:t>
            </w:r>
          </w:p>
        </w:tc>
      </w:tr>
      <w:tr>
        <w:trPr>
          <w:trHeight w:val="168"/>
        </w:trPr>
        <w:tc>
          <w:tcPr>
            <w:tcW w:w="40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Issue, Borrower, Lessor</w:t>
            </w:r>
          </w:p>
        </w:tc>
        <w:tc>
          <w:tcPr>
            <w:tcW w:w="2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Rate of Interest, Par or</w:t>
            </w:r>
          </w:p>
        </w:tc>
        <w:tc>
          <w:tcPr>
            <w:tcW w:w="136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or Contract</w:t>
            </w:r>
          </w:p>
        </w:tc>
      </w:tr>
      <w:tr>
        <w:trPr>
          <w:trHeight w:val="168"/>
        </w:trPr>
        <w:tc>
          <w:tcPr>
            <w:tcW w:w="40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or Similar Party</w:t>
            </w:r>
          </w:p>
        </w:tc>
        <w:tc>
          <w:tcPr>
            <w:tcW w:w="29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Maturity Value</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Cost</w:t>
            </w:r>
          </w:p>
        </w:tc>
        <w:tc>
          <w:tcPr>
            <w:tcW w:w="14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Value</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Mutual Funds</w:t>
            </w:r>
          </w:p>
        </w:tc>
        <w:tc>
          <w:tcPr>
            <w:tcW w:w="2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4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Dodge and Cox Balanced Fund</w:t>
            </w:r>
          </w:p>
        </w:tc>
        <w:tc>
          <w:tcPr>
            <w:tcW w:w="29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209,511 shares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  12,418,755</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13,520,611</w:t>
            </w:r>
          </w:p>
        </w:tc>
      </w:tr>
      <w:tr>
        <w:trPr>
          <w:trHeight w:val="168"/>
        </w:trPr>
        <w:tc>
          <w:tcPr>
            <w:tcW w:w="4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Fidelity Blue Chip Growth Fund</w:t>
            </w:r>
          </w:p>
        </w:tc>
        <w:tc>
          <w:tcPr>
            <w:tcW w:w="29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744,854 shares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25,234,898</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26,443,398</w:t>
            </w:r>
          </w:p>
        </w:tc>
      </w:tr>
      <w:tr>
        <w:trPr>
          <w:trHeight w:val="168"/>
        </w:trPr>
        <w:tc>
          <w:tcPr>
            <w:tcW w:w="4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PBHG Fund</w:t>
            </w:r>
          </w:p>
        </w:tc>
        <w:tc>
          <w:tcPr>
            <w:tcW w:w="29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238,254 shares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3,470,384</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3,483,526</w:t>
            </w:r>
          </w:p>
        </w:tc>
      </w:tr>
      <w:tr>
        <w:trPr>
          <w:trHeight w:val="168"/>
        </w:trPr>
        <w:tc>
          <w:tcPr>
            <w:tcW w:w="4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Ivy International Fund</w:t>
            </w:r>
          </w:p>
        </w:tc>
        <w:tc>
          <w:tcPr>
            <w:tcW w:w="29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64,229 shares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2,165,883</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2,303,811</w:t>
            </w:r>
          </w:p>
        </w:tc>
      </w:tr>
      <w:tr>
        <w:trPr>
          <w:trHeight w:val="168"/>
        </w:trPr>
        <w:tc>
          <w:tcPr>
            <w:tcW w:w="40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43,289,920</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45,751,346</w:t>
            </w:r>
          </w:p>
        </w:tc>
      </w:tr>
      <w:tr>
        <w:trPr>
          <w:trHeight w:val="168"/>
        </w:trPr>
        <w:tc>
          <w:tcPr>
            <w:tcW w:w="40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040" w:type="dxa"/>
            <w:vAlign w:val="bottom"/>
          </w:tcPr>
          <w:p>
            <w:pPr>
              <w:spacing w:after="0"/>
              <w:rPr>
                <w:sz w:val="20"/>
                <w:szCs w:val="20"/>
                <w:color w:val="auto"/>
              </w:rPr>
            </w:pPr>
            <w:r>
              <w:rPr>
                <w:rFonts w:ascii="Courier New" w:cs="Courier New" w:eastAsia="Courier New" w:hAnsi="Courier New"/>
                <w:sz w:val="15"/>
                <w:szCs w:val="15"/>
                <w:color w:val="auto"/>
              </w:rPr>
              <w:t>Comcast Stock Fund</w:t>
            </w:r>
          </w:p>
        </w:tc>
        <w:tc>
          <w:tcPr>
            <w:tcW w:w="2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4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Class A Special Stock</w:t>
            </w:r>
          </w:p>
        </w:tc>
        <w:tc>
          <w:tcPr>
            <w:tcW w:w="29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1,114,844 shares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20,851,324</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19,858,161</w:t>
            </w:r>
          </w:p>
        </w:tc>
      </w:tr>
      <w:tr>
        <w:trPr>
          <w:trHeight w:val="168"/>
        </w:trPr>
        <w:tc>
          <w:tcPr>
            <w:tcW w:w="4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w:t>
            </w:r>
          </w:p>
        </w:tc>
        <w:tc>
          <w:tcPr>
            <w:tcW w:w="292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3,692,819</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3,692,819</w:t>
            </w:r>
          </w:p>
        </w:tc>
      </w:tr>
      <w:tr>
        <w:trPr>
          <w:trHeight w:val="168"/>
        </w:trPr>
        <w:tc>
          <w:tcPr>
            <w:tcW w:w="40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24,544,143</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23,550,980</w:t>
            </w:r>
          </w:p>
        </w:tc>
      </w:tr>
      <w:tr>
        <w:trPr>
          <w:trHeight w:val="168"/>
        </w:trPr>
        <w:tc>
          <w:tcPr>
            <w:tcW w:w="40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040" w:type="dxa"/>
            <w:vAlign w:val="bottom"/>
          </w:tcPr>
          <w:p>
            <w:pPr>
              <w:spacing w:after="0"/>
              <w:rPr>
                <w:sz w:val="20"/>
                <w:szCs w:val="20"/>
                <w:color w:val="auto"/>
              </w:rPr>
            </w:pPr>
            <w:r>
              <w:rPr>
                <w:rFonts w:ascii="Courier New" w:cs="Courier New" w:eastAsia="Courier New" w:hAnsi="Courier New"/>
                <w:sz w:val="15"/>
                <w:szCs w:val="15"/>
                <w:color w:val="auto"/>
              </w:rPr>
              <w:t>Stable Value Fund</w:t>
            </w:r>
          </w:p>
        </w:tc>
        <w:tc>
          <w:tcPr>
            <w:tcW w:w="29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N/A</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31,205,073</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31,205,073</w:t>
            </w:r>
          </w:p>
        </w:tc>
      </w:tr>
      <w:tr>
        <w:trPr>
          <w:trHeight w:val="168"/>
        </w:trPr>
        <w:tc>
          <w:tcPr>
            <w:tcW w:w="40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040" w:type="dxa"/>
            <w:vAlign w:val="bottom"/>
          </w:tcPr>
          <w:p>
            <w:pPr>
              <w:spacing w:after="0"/>
              <w:rPr>
                <w:sz w:val="20"/>
                <w:szCs w:val="20"/>
                <w:color w:val="auto"/>
              </w:rPr>
            </w:pPr>
            <w:r>
              <w:rPr>
                <w:rFonts w:ascii="Courier New" w:cs="Courier New" w:eastAsia="Courier New" w:hAnsi="Courier New"/>
                <w:sz w:val="15"/>
                <w:szCs w:val="15"/>
                <w:color w:val="auto"/>
              </w:rPr>
              <w:t>Participant Loan Fund</w:t>
            </w:r>
          </w:p>
        </w:tc>
        <w:tc>
          <w:tcPr>
            <w:tcW w:w="2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4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rates from 7.00% to 10.00%;</w:t>
            </w:r>
          </w:p>
        </w:tc>
        <w:tc>
          <w:tcPr>
            <w:tcW w:w="2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4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maturities from 1997 to 2001)</w:t>
            </w:r>
          </w:p>
        </w:tc>
        <w:tc>
          <w:tcPr>
            <w:tcW w:w="292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4,658,990</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4,658,990</w:t>
            </w:r>
          </w:p>
        </w:tc>
      </w:tr>
      <w:tr>
        <w:trPr>
          <w:trHeight w:val="168"/>
        </w:trPr>
        <w:tc>
          <w:tcPr>
            <w:tcW w:w="40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$ 103,698,126</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$ 105,166,389</w:t>
            </w:r>
          </w:p>
        </w:tc>
      </w:tr>
      <w:tr>
        <w:trPr>
          <w:trHeight w:val="168"/>
        </w:trPr>
        <w:tc>
          <w:tcPr>
            <w:tcW w:w="40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040" w:type="dxa"/>
            <w:vAlign w:val="bottom"/>
          </w:tcPr>
          <w:p>
            <w:pPr>
              <w:ind w:left="3240"/>
              <w:spacing w:after="0"/>
              <w:rPr>
                <w:sz w:val="20"/>
                <w:szCs w:val="20"/>
                <w:color w:val="auto"/>
              </w:rPr>
            </w:pPr>
            <w:r>
              <w:rPr>
                <w:rFonts w:ascii="Courier New" w:cs="Courier New" w:eastAsia="Courier New" w:hAnsi="Courier New"/>
                <w:sz w:val="15"/>
                <w:szCs w:val="15"/>
                <w:color w:val="auto"/>
              </w:rPr>
              <w:t>- 12 -</w:t>
            </w:r>
          </w:p>
        </w:tc>
        <w:tc>
          <w:tcPr>
            <w:tcW w:w="2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0239"/>
          </w:cols>
          <w:pgMar w:left="220" w:top="953"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LINE 27d - SCHEDULE OF REPORTABLE TRANSACTIONS</w:t>
      </w:r>
    </w:p>
    <w:p>
      <w:pPr>
        <w:spacing w:after="0" w:line="237" w:lineRule="auto"/>
        <w:rPr>
          <w:sz w:val="20"/>
          <w:szCs w:val="20"/>
          <w:color w:val="auto"/>
        </w:rPr>
      </w:pPr>
      <w:r>
        <w:rPr>
          <w:rFonts w:ascii="Courier New" w:cs="Courier New" w:eastAsia="Courier New" w:hAnsi="Courier New"/>
          <w:sz w:val="15"/>
          <w:szCs w:val="15"/>
          <w:color w:val="auto"/>
        </w:rPr>
        <w:t>YEAR ENDED DECEMBER 31, 1996</w:t>
      </w:r>
    </w:p>
    <w:p>
      <w:pPr>
        <w:spacing w:after="0" w:line="238" w:lineRule="auto"/>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167" w:lineRule="exact"/>
        <w:rPr>
          <w:sz w:val="20"/>
          <w:szCs w:val="20"/>
          <w:color w:val="auto"/>
        </w:rPr>
      </w:pPr>
    </w:p>
    <w:p>
      <w:pPr>
        <w:ind w:left="5520"/>
        <w:spacing w:after="0"/>
        <w:rPr>
          <w:sz w:val="20"/>
          <w:szCs w:val="20"/>
          <w:color w:val="auto"/>
        </w:rPr>
      </w:pPr>
      <w:r>
        <w:rPr>
          <w:rFonts w:ascii="Courier New" w:cs="Courier New" w:eastAsia="Courier New" w:hAnsi="Courier New"/>
          <w:sz w:val="15"/>
          <w:szCs w:val="15"/>
          <w:color w:val="auto"/>
        </w:rPr>
        <w:t>FEIN #23-1709202</w:t>
      </w:r>
    </w:p>
    <w:p>
      <w:pPr>
        <w:ind w:left="5520"/>
        <w:spacing w:after="0" w:line="237" w:lineRule="auto"/>
        <w:rPr>
          <w:sz w:val="20"/>
          <w:szCs w:val="20"/>
          <w:color w:val="auto"/>
        </w:rPr>
      </w:pPr>
      <w:r>
        <w:rPr>
          <w:rFonts w:ascii="Courier New" w:cs="Courier New" w:eastAsia="Courier New" w:hAnsi="Courier New"/>
          <w:sz w:val="15"/>
          <w:szCs w:val="15"/>
          <w:color w:val="auto"/>
        </w:rPr>
        <w:t>PLAN #001</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ind w:left="300"/>
              <w:spacing w:after="0"/>
              <w:rPr>
                <w:sz w:val="20"/>
                <w:szCs w:val="20"/>
                <w:color w:val="auto"/>
              </w:rPr>
            </w:pPr>
            <w:r>
              <w:rPr>
                <w:rFonts w:ascii="Courier New" w:cs="Courier New" w:eastAsia="Courier New" w:hAnsi="Courier New"/>
                <w:sz w:val="15"/>
                <w:szCs w:val="15"/>
                <w:color w:val="auto"/>
              </w:rPr>
              <w:t>Current</w:t>
            </w:r>
          </w:p>
        </w:tc>
        <w:tc>
          <w:tcPr>
            <w:tcW w:w="96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Expense</w:t>
            </w:r>
          </w:p>
        </w:tc>
        <w:tc>
          <w:tcPr>
            <w:tcW w:w="1300" w:type="dxa"/>
            <w:vAlign w:val="bottom"/>
          </w:tcPr>
          <w:p>
            <w:pPr>
              <w:spacing w:after="0"/>
              <w:rPr>
                <w:sz w:val="14"/>
                <w:szCs w:val="14"/>
                <w:color w:val="auto"/>
              </w:rPr>
            </w:pPr>
          </w:p>
        </w:tc>
        <w:tc>
          <w:tcPr>
            <w:tcW w:w="12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Value of</w:t>
            </w:r>
          </w:p>
        </w:tc>
        <w:tc>
          <w:tcPr>
            <w:tcW w:w="96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Incurred</w:t>
            </w:r>
          </w:p>
        </w:tc>
        <w:tc>
          <w:tcPr>
            <w:tcW w:w="1300" w:type="dxa"/>
            <w:vAlign w:val="bottom"/>
          </w:tcPr>
          <w:p>
            <w:pPr>
              <w:spacing w:after="0"/>
              <w:rPr>
                <w:sz w:val="14"/>
                <w:szCs w:val="14"/>
                <w:color w:val="auto"/>
              </w:rPr>
            </w:pPr>
          </w:p>
        </w:tc>
        <w:tc>
          <w:tcPr>
            <w:tcW w:w="12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Asset on</w:t>
            </w:r>
          </w:p>
        </w:tc>
        <w:tc>
          <w:tcPr>
            <w:tcW w:w="96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Purchase</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Selling</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Lease</w:t>
            </w:r>
          </w:p>
        </w:tc>
        <w:tc>
          <w:tcPr>
            <w:tcW w:w="13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with</w:t>
            </w:r>
          </w:p>
        </w:tc>
        <w:tc>
          <w:tcPr>
            <w:tcW w:w="1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Cost of</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Transaction</w:t>
            </w:r>
          </w:p>
        </w:tc>
        <w:tc>
          <w:tcPr>
            <w:tcW w:w="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Net Gain</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Identity of Party</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Price</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Price</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Rental</w:t>
            </w:r>
          </w:p>
        </w:tc>
        <w:tc>
          <w:tcPr>
            <w:tcW w:w="13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Transaction</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Asset</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Date</w:t>
            </w:r>
          </w:p>
        </w:tc>
        <w:tc>
          <w:tcPr>
            <w:tcW w:w="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6"/>
              </w:rPr>
              <w:t>or (Loss)</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Involved/Description of Asset</w:t>
            </w: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rPr>
              <w:t>Category (iii)--Series of Transactions</w:t>
            </w: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in Excess of 5% of Plan Assets</w:t>
            </w: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Mutual Funds</w:t>
            </w: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Dodge and Cox Balanced Fund</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$ 6,423,675</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$ 2,310,832</w:t>
            </w:r>
          </w:p>
        </w:tc>
        <w:tc>
          <w:tcPr>
            <w:tcW w:w="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$ 2,217,468</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$ 2,310,832</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$ 93,364</w:t>
            </w:r>
          </w:p>
        </w:tc>
      </w:tr>
      <w:tr>
        <w:trPr>
          <w:trHeight w:val="168"/>
        </w:trPr>
        <w:tc>
          <w:tcPr>
            <w:tcW w:w="3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Fidelity Blue Chip Growth Fund</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11,621,873</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3,941,095</w:t>
            </w: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3,897,079</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3,941,095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44,016</w:t>
            </w:r>
          </w:p>
        </w:tc>
      </w:tr>
      <w:tr>
        <w:trPr>
          <w:trHeight w:val="168"/>
        </w:trPr>
        <w:tc>
          <w:tcPr>
            <w:tcW w:w="3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Crabbe Huson Fund</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7,990,037</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4,642,926</w:t>
            </w: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4,609,963</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4,642,926</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32,963</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Comcast Stock Fund</w:t>
            </w: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Class A Special Stock</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9,199,565</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6,725,823</w:t>
            </w: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6,784,149</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6,725,823</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(58,326)</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Stable Value Fund</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46,466,637</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39,559,266</w:t>
            </w: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39,559,266</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39,559,266</w:t>
            </w:r>
          </w:p>
        </w:tc>
        <w:tc>
          <w:tcPr>
            <w:tcW w:w="960" w:type="dxa"/>
            <w:vAlign w:val="bottom"/>
          </w:tcPr>
          <w:p>
            <w:pPr>
              <w:spacing w:after="0"/>
              <w:rPr>
                <w:sz w:val="24"/>
                <w:szCs w:val="24"/>
                <w:color w:val="auto"/>
              </w:rPr>
            </w:pPr>
          </w:p>
        </w:tc>
      </w:tr>
    </w:tbl>
    <w:p>
      <w:pPr>
        <w:spacing w:after="0" w:line="200" w:lineRule="exact"/>
        <w:rPr>
          <w:sz w:val="20"/>
          <w:szCs w:val="20"/>
          <w:color w:val="auto"/>
        </w:rPr>
      </w:pPr>
    </w:p>
    <w:p>
      <w:pPr>
        <w:spacing w:after="0" w:line="309"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There were no category (i), (ii) or (iv) reportable transactions during 1996.</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- 13 -</w:t>
      </w:r>
    </w:p>
    <w:p>
      <w:pPr>
        <w:sectPr>
          <w:pgSz w:w="11900" w:h="16838" w:orient="portrait"/>
          <w:cols w:equalWidth="0" w:num="1">
            <w:col w:w="11300"/>
          </w:cols>
          <w:pgMar w:left="220" w:top="617" w:right="379"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consent to the incorporation by reference in Registration Statement Nos. 33-41440 and 33-63223 of Comcast Corporation on Form S-8 of our reports dated February 28, 1997 and June 13, 1997 appearing in the Annual Report on Form 10-K of Comcast Corporation for the year ended December 31, 1996 and in the Annual Report on Form 11-K of the Comcast Corporation Retirement-Investment Plan for the year ended December 31, 1996, respectively.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237" w:lineRule="auto"/>
        <w:rPr>
          <w:sz w:val="20"/>
          <w:szCs w:val="20"/>
          <w:color w:val="auto"/>
        </w:rPr>
      </w:pPr>
      <w:r>
        <w:rPr>
          <w:rFonts w:ascii="Courier New" w:cs="Courier New" w:eastAsia="Courier New" w:hAnsi="Courier New"/>
          <w:sz w:val="15"/>
          <w:szCs w:val="15"/>
          <w:color w:val="auto"/>
        </w:rPr>
        <w:t>Philadelphia, Pennsylvania</w:t>
      </w:r>
    </w:p>
    <w:p>
      <w:pPr>
        <w:spacing w:after="0" w:line="238" w:lineRule="auto"/>
        <w:rPr>
          <w:sz w:val="20"/>
          <w:szCs w:val="20"/>
          <w:color w:val="auto"/>
        </w:rPr>
      </w:pPr>
      <w:r>
        <w:rPr>
          <w:rFonts w:ascii="Courier New" w:cs="Courier New" w:eastAsia="Courier New" w:hAnsi="Courier New"/>
          <w:sz w:val="15"/>
          <w:szCs w:val="15"/>
          <w:color w:val="auto"/>
        </w:rPr>
        <w:t>June 30, 1997</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- 14 -</w:t>
      </w:r>
    </w:p>
    <w:p>
      <w:pPr>
        <w:sectPr>
          <w:pgSz w:w="11900" w:h="16838" w:orient="portrait"/>
          <w:cols w:equalWidth="0" w:num="1">
            <w:col w:w="10239"/>
          </w:cols>
          <w:pgMar w:left="220" w:top="785" w:right="1440" w:bottom="1440" w:gutter="0" w:footer="0" w:header="0"/>
        </w:sectPr>
      </w:pPr>
    </w:p>
    <w:bookmarkStart w:id="20" w:name="page21"/>
    <w:bookmarkEnd w:id="20"/>
    <w:p>
      <w:pPr>
        <w:ind w:left="3160"/>
        <w:spacing w:after="0"/>
        <w:rPr>
          <w:sz w:val="20"/>
          <w:szCs w:val="20"/>
          <w:color w:val="auto"/>
        </w:rPr>
      </w:pPr>
      <w:r>
        <w:rPr>
          <w:rFonts w:ascii="Courier New" w:cs="Courier New" w:eastAsia="Courier New" w:hAnsi="Courier New"/>
          <w:sz w:val="15"/>
          <w:szCs w:val="15"/>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THE COMCAST CORPORATION</w:t>
      </w:r>
    </w:p>
    <w:p>
      <w:pPr>
        <w:ind w:left="4480"/>
        <w:spacing w:after="0" w:line="237" w:lineRule="auto"/>
        <w:rPr>
          <w:sz w:val="20"/>
          <w:szCs w:val="20"/>
          <w:color w:val="auto"/>
        </w:rPr>
      </w:pPr>
      <w:r>
        <w:rPr>
          <w:rFonts w:ascii="Courier New" w:cs="Courier New" w:eastAsia="Courier New" w:hAnsi="Courier New"/>
          <w:sz w:val="15"/>
          <w:szCs w:val="15"/>
          <w:color w:val="auto"/>
        </w:rPr>
        <w:t>RETIREMENT-INVESTMENT PLAN</w:t>
      </w:r>
    </w:p>
    <w:p>
      <w:pPr>
        <w:spacing w:after="0" w:line="200" w:lineRule="exact"/>
        <w:rPr>
          <w:sz w:val="20"/>
          <w:szCs w:val="20"/>
          <w:color w:val="auto"/>
        </w:rPr>
      </w:pPr>
    </w:p>
    <w:p>
      <w:pPr>
        <w:spacing w:after="0" w:line="303"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By: Comcast Corporation</w:t>
      </w:r>
    </w:p>
    <w:p>
      <w:pPr>
        <w:ind w:left="4820"/>
        <w:spacing w:after="0" w:line="237" w:lineRule="auto"/>
        <w:rPr>
          <w:sz w:val="20"/>
          <w:szCs w:val="20"/>
          <w:color w:val="auto"/>
        </w:rPr>
      </w:pPr>
      <w:r>
        <w:rPr>
          <w:rFonts w:ascii="Courier New" w:cs="Courier New" w:eastAsia="Courier New" w:hAnsi="Courier New"/>
          <w:sz w:val="15"/>
          <w:szCs w:val="15"/>
          <w:color w:val="auto"/>
        </w:rPr>
        <w:t>Plan Administrator</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Lawrence S. Smith</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Lawrence S. Smith</w:t>
      </w:r>
    </w:p>
    <w:p>
      <w:pPr>
        <w:ind w:left="340"/>
        <w:spacing w:after="0" w:line="237" w:lineRule="auto"/>
        <w:rPr>
          <w:sz w:val="20"/>
          <w:szCs w:val="20"/>
          <w:color w:val="auto"/>
        </w:rPr>
      </w:pPr>
      <w:r>
        <w:rPr>
          <w:rFonts w:ascii="Courier New" w:cs="Courier New" w:eastAsia="Courier New" w:hAnsi="Courier New"/>
          <w:sz w:val="15"/>
          <w:szCs w:val="15"/>
          <w:color w:val="auto"/>
        </w:rPr>
        <w:t>Executive Vice President</w:t>
      </w:r>
    </w:p>
    <w:p>
      <w:pPr>
        <w:spacing w:after="0" w:line="173" w:lineRule="exact"/>
        <w:rPr>
          <w:sz w:val="20"/>
          <w:szCs w:val="20"/>
          <w:color w:val="auto"/>
        </w:rPr>
      </w:pPr>
    </w:p>
    <w:p>
      <w:pPr>
        <w:sectPr>
          <w:pgSz w:w="11900" w:h="16838" w:orient="portrait"/>
          <w:cols w:equalWidth="0" w:num="2">
            <w:col w:w="3760" w:space="720"/>
            <w:col w:w="5759"/>
          </w:cols>
          <w:pgMar w:left="220" w:top="617" w:right="1440" w:bottom="1440" w:gutter="0" w:footer="0" w:header="0"/>
          <w:type w:val="continuous"/>
        </w:sectPr>
      </w:pPr>
    </w:p>
    <w:p>
      <w:pPr>
        <w:ind w:left="3240"/>
        <w:spacing w:after="0"/>
        <w:rPr>
          <w:sz w:val="20"/>
          <w:szCs w:val="20"/>
          <w:color w:val="auto"/>
        </w:rPr>
      </w:pPr>
      <w:r>
        <w:rPr>
          <w:rFonts w:ascii="Courier New" w:cs="Courier New" w:eastAsia="Courier New" w:hAnsi="Courier New"/>
          <w:sz w:val="14"/>
          <w:szCs w:val="14"/>
          <w:color w:val="auto"/>
        </w:rPr>
        <w:t>- 15 -</w:t>
      </w:r>
    </w:p>
    <w:sectPr>
      <w:pgSz w:w="11900" w:h="16838" w:orient="portrait"/>
      <w:cols w:equalWidth="0" w:num="1">
        <w:col w:w="10239"/>
      </w:cols>
      <w:pgMar w:left="220" w:top="6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1."/>
      <w:numFmt w:val="decimal"/>
      <w:start w:val="1"/>
    </w:lvl>
    <w:lvl w:ilvl="1">
      <w:lvlJc w:val="left"/>
      <w:lvlText w:val="-"/>
      <w:numFmt w:val="bullet"/>
      <w:start w:val="1"/>
    </w:lvl>
  </w:abstractNum>
  <w:abstractNum w:abstractNumId="2">
    <w:nsid w:val="238E1F29"/>
    <w:multiLevelType w:val="hybridMultilevel"/>
    <w:lvl w:ilvl="0">
      <w:lvlJc w:val="left"/>
      <w:lvlText w:val="%1."/>
      <w:numFmt w:val="decimal"/>
      <w:start w:val="3"/>
    </w:lvl>
    <w:lvl w:ilvl="1">
      <w:lvlJc w:val="left"/>
      <w:lvlText w:val="%2."/>
      <w:numFmt w:val="lowerLetter"/>
      <w:start w:val="1"/>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2019-12-12T23:08:44Z</dcterms:created>
  <dcterms:modified xsi:type="dcterms:W3CDTF">2019-12-12T23:08:44Z</dcterms:modified>
</cp:coreProperties>
</file>