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ksdoc4"/>
      <w:bookmarkEnd w:id="0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952"/>
        <w:gridCol w:w="6170"/>
        <w:gridCol w:w="2057"/>
      </w:tblGrid>
      <w:tr>
        <w:trPr/>
        <w:tc>
          <w:tcPr>
            <w:tcW w:w="2312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6170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57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37"/>
            </w:tblGrid>
            <w:tr>
              <w:trPr/>
              <w:tc>
                <w:tcPr>
                  <w:tcW w:w="1937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88"/>
                    <w:gridCol w:w="693"/>
                  </w:tblGrid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81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8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93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37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52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6170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057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88"/>
        <w:gridCol w:w="3689"/>
        <w:gridCol w:w="3162"/>
      </w:tblGrid>
      <w:tr>
        <w:trPr/>
        <w:tc>
          <w:tcPr>
            <w:tcW w:w="368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HASSELL GERALD L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68"/>
            </w:tblGrid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568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PHILADELPHIA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PA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89"/>
              <w:gridCol w:w="1189"/>
              <w:gridCol w:w="1190"/>
            </w:tblGrid>
            <w:tr>
              <w:trPr/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9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689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CMCSA</w:t>
            </w:r>
            <w:r>
              <w:rPr/>
              <w:t xml:space="preserve"> ] </w:t>
            </w:r>
          </w:p>
        </w:tc>
        <w:tc>
          <w:tcPr>
            <w:tcW w:w="31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1066"/>
              <w:gridCol w:w="455"/>
              <w:gridCol w:w="1066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66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30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11/20/2019</w:t>
            </w:r>
            <w:r>
              <w:rPr/>
              <w:t xml:space="preserve"> </w:t>
            </w:r>
          </w:p>
        </w:tc>
        <w:tc>
          <w:tcPr>
            <w:tcW w:w="31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688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6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55"/>
              <w:gridCol w:w="2587"/>
            </w:tblGrid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87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672"/>
        <w:gridCol w:w="908"/>
        <w:gridCol w:w="775"/>
        <w:gridCol w:w="604"/>
        <w:gridCol w:w="362"/>
        <w:gridCol w:w="855"/>
        <w:gridCol w:w="492"/>
        <w:gridCol w:w="654"/>
        <w:gridCol w:w="1227"/>
        <w:gridCol w:w="1045"/>
        <w:gridCol w:w="945"/>
      </w:tblGrid>
      <w:tr>
        <w:trPr>
          <w:tblHeader w:val="true"/>
        </w:trPr>
        <w:tc>
          <w:tcPr>
            <w:tcW w:w="10539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67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6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1193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606"/>
        <w:gridCol w:w="351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4,185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4,185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101,893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11/20/2019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44.215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101,846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539"/>
      </w:tblGrid>
      <w:tr>
        <w:trPr/>
        <w:tc>
          <w:tcPr>
            <w:tcW w:w="10539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securities convert on a one-to-one basis.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elected to defer receipt of shares of Class A Common Stock issuable as a grant for director fees, resulting in an accrual to his account of additional phantom shares. Phantom stock may be re-deferred at future dates.</w:t>
            </w:r>
          </w:p>
        </w:tc>
      </w:tr>
      <w:tr>
        <w:trPr/>
        <w:tc>
          <w:tcPr>
            <w:tcW w:w="10539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Although the reporting person elected to defer receipt of the shares of Class A common stock underlying the phantom shares, these shares were withheld for payment of tax liability.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323"/>
        <w:gridCol w:w="2108"/>
        <w:gridCol w:w="2108"/>
      </w:tblGrid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Elizabeth Wideman, Attorney-in-fact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11/22/2019</w:t>
            </w:r>
          </w:p>
        </w:tc>
      </w:tr>
      <w:tr>
        <w:trPr/>
        <w:tc>
          <w:tcPr>
            <w:tcW w:w="63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10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539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sectPr>
      <w:type w:val="nextPage"/>
      <w:pgSz w:w="11906" w:h="16838"/>
      <w:pgMar w:left="216" w:right="216" w:header="0" w:top="216" w:footer="0" w:bottom="216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../../../../cgi-bin/browse-edgar%3Faction=getcompany&amp;CIK=0001209482" TargetMode="External"/><Relationship Id="rId4" Type="http://schemas.openxmlformats.org/officeDocument/2006/relationships/hyperlink" Target="../../../../cgi-bin/browse-edgar%3F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614</Words>
  <CharactersWithSpaces>3842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