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October 2, 2018</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$1,250,000,000 FLOATING RATE NOTES DUE 2020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$1,000,000,000 FLOATING RATE NOTES DUE 2021</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$500,000,000 FLOATING RATE NOTES DUE 2024</w:t>
      </w:r>
    </w:p>
    <w:p>
      <w:pPr>
        <w:spacing w:after="0" w:line="182"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$1,750,000,000 3.300% NOTES DUE 2020</w:t>
      </w:r>
    </w:p>
    <w:p>
      <w:pPr>
        <w:spacing w:after="0" w:line="21"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$2,000,000,000 3.450% NOTES DUE 2021</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$2,500,000,000 3.700% NOTES DUE 2024</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$3,000,000,000 3.950% NOTES DUE 2025</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$4,000,000,000 4.150% NOTES DUE 2028</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$1,500,000,000 4.250% NOTES DUE 2030</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$3,000,000,000 4.600% NOTES DUE 2038</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$4,000,000,000 4.700% NOTES DUE 2048</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$2,500,000,000 4.950% NOTES DUE 2058</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020"/>
          </w:cols>
          <w:pgMar w:left="440" w:top="233" w:right="4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1720" w:space="720"/>
            <w:col w:w="85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8" w:lineRule="exact"/>
        <w:rPr>
          <w:sz w:val="24"/>
          <w:szCs w:val="24"/>
          <w:color w:val="auto"/>
        </w:rPr>
      </w:pPr>
    </w:p>
    <w:p>
      <w:pPr>
        <w:sectPr>
          <w:pgSz w:w="11900" w:h="16838" w:orient="portrait"/>
          <w:cols w:equalWidth="0" w:num="2">
            <w:col w:w="1720" w:space="720"/>
            <w:col w:w="858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Floating Rate Notes (collectively, the “</w:t>
      </w:r>
      <w:r>
        <w:rPr>
          <w:rFonts w:ascii="Arial" w:cs="Arial" w:eastAsia="Arial" w:hAnsi="Arial"/>
          <w:sz w:val="16"/>
          <w:szCs w:val="16"/>
          <w:b w:val="1"/>
          <w:bCs w:val="1"/>
          <w:color w:val="auto"/>
        </w:rPr>
        <w:t>Floating Rate Notes</w:t>
      </w:r>
      <w:r>
        <w:rPr>
          <w:rFonts w:ascii="Arial" w:cs="Arial" w:eastAsia="Arial" w:hAnsi="Arial"/>
          <w:sz w:val="16"/>
          <w:szCs w:val="16"/>
          <w:color w:val="auto"/>
        </w:rPr>
        <w:t>”):</w:t>
      </w:r>
    </w:p>
    <w:p>
      <w:pPr>
        <w:spacing w:after="0" w:line="44"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Floating Rate Notes due 2020</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Floating Rate Notes due 2021</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Floating Rate Notes due 2024</w:t>
      </w:r>
    </w:p>
    <w:p>
      <w:pPr>
        <w:spacing w:after="0" w:line="145" w:lineRule="exact"/>
        <w:rPr>
          <w:sz w:val="24"/>
          <w:szCs w:val="24"/>
          <w:color w:val="auto"/>
        </w:rPr>
      </w:pPr>
    </w:p>
    <w:p>
      <w:pPr>
        <w:sectPr>
          <w:pgSz w:w="11900" w:h="16838" w:orient="portrait"/>
          <w:cols w:equalWidth="0" w:num="2">
            <w:col w:w="1720" w:space="720"/>
            <w:col w:w="8580"/>
          </w:cols>
          <w:pgMar w:left="440" w:top="233" w:right="43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 (collectively, the “</w:t>
      </w:r>
      <w:r>
        <w:rPr>
          <w:rFonts w:ascii="Arial" w:cs="Arial" w:eastAsia="Arial" w:hAnsi="Arial"/>
          <w:sz w:val="18"/>
          <w:szCs w:val="18"/>
          <w:b w:val="1"/>
          <w:bCs w:val="1"/>
          <w:color w:val="auto"/>
        </w:rPr>
        <w:t>Fixed Rate Notes</w:t>
      </w:r>
      <w:r>
        <w:rPr>
          <w:rFonts w:ascii="Arial" w:cs="Arial" w:eastAsia="Arial" w:hAnsi="Arial"/>
          <w:sz w:val="18"/>
          <w:szCs w:val="18"/>
          <w:color w:val="auto"/>
        </w:rPr>
        <w:t>”):</w:t>
      </w:r>
    </w:p>
    <w:p>
      <w:pPr>
        <w:spacing w:after="0" w:line="21"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3.300% Notes due 2020</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3.450% Notes due 2021</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3.700% Notes due 2024</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3.950% Notes due 2025</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4.150% Notes due 2028</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4.250% Notes due 2030</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4.600% Notes due 2038</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4.700% Notes due 2048</w:t>
      </w:r>
    </w:p>
    <w:p>
      <w:pPr>
        <w:spacing w:after="0" w:line="9"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4.950% Notes due 2058</w:t>
      </w:r>
    </w:p>
    <w:p>
      <w:pPr>
        <w:spacing w:after="0" w:line="145" w:lineRule="exact"/>
        <w:rPr>
          <w:sz w:val="24"/>
          <w:szCs w:val="24"/>
          <w:color w:val="auto"/>
        </w:rPr>
      </w:pPr>
    </w:p>
    <w:p>
      <w:pPr>
        <w:ind w:left="2440"/>
        <w:spacing w:after="0"/>
        <w:rPr>
          <w:sz w:val="20"/>
          <w:szCs w:val="20"/>
          <w:color w:val="auto"/>
        </w:rPr>
      </w:pPr>
      <w:r>
        <w:rPr>
          <w:rFonts w:ascii="Arial" w:cs="Arial" w:eastAsia="Arial" w:hAnsi="Arial"/>
          <w:sz w:val="15"/>
          <w:szCs w:val="15"/>
          <w:color w:val="auto"/>
        </w:rPr>
        <w:t>The Floating Rate Notes and the Fixed Rate Notes are collectively referred to herein as the “</w:t>
      </w:r>
      <w:r>
        <w:rPr>
          <w:rFonts w:ascii="Arial" w:cs="Arial" w:eastAsia="Arial" w:hAnsi="Arial"/>
          <w:sz w:val="15"/>
          <w:szCs w:val="15"/>
          <w:b w:val="1"/>
          <w:bCs w:val="1"/>
          <w:color w:val="auto"/>
        </w:rPr>
        <w:t>Notes</w:t>
      </w:r>
      <w:r>
        <w:rPr>
          <w:rFonts w:ascii="Arial" w:cs="Arial" w:eastAsia="Arial" w:hAnsi="Arial"/>
          <w:sz w:val="15"/>
          <w:szCs w:val="15"/>
          <w:color w:val="auto"/>
        </w:rPr>
        <w:t>”</w:t>
      </w:r>
    </w:p>
    <w:p>
      <w:pPr>
        <w:sectPr>
          <w:pgSz w:w="11900" w:h="16838" w:orient="portrait"/>
          <w:cols w:equalWidth="0" w:num="1">
            <w:col w:w="11020"/>
          </w:cols>
          <w:pgMar w:left="440" w:top="233" w:right="439" w:bottom="1440" w:gutter="0" w:footer="0" w:header="0"/>
          <w:type w:val="continuous"/>
        </w:sectPr>
      </w:pPr>
    </w:p>
    <w:p>
      <w:pPr>
        <w:spacing w:after="0" w:line="16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146" w:lineRule="exact"/>
        <w:rPr>
          <w:sz w:val="24"/>
          <w:szCs w:val="24"/>
          <w:color w:val="auto"/>
        </w:rPr>
      </w:pPr>
    </w:p>
    <w:p>
      <w:pPr>
        <w:sectPr>
          <w:pgSz w:w="11900" w:h="16838" w:orient="portrait"/>
          <w:cols w:equalWidth="0" w:num="2">
            <w:col w:w="1720" w:space="720"/>
            <w:col w:w="858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Defined Terms</w:t>
      </w:r>
    </w:p>
    <w:p>
      <w:pPr>
        <w:spacing w:after="0" w:line="20" w:lineRule="exact"/>
        <w:rPr>
          <w:sz w:val="24"/>
          <w:szCs w:val="24"/>
          <w:color w:val="auto"/>
        </w:rPr>
      </w:pPr>
      <w:r>
        <w:rPr>
          <w:sz w:val="24"/>
          <w:szCs w:val="24"/>
          <w:color w:val="auto"/>
        </w:rPr>
        <w:br w:type="column"/>
      </w:r>
    </w:p>
    <w:p>
      <w:pPr>
        <w:ind w:right="220"/>
        <w:spacing w:after="0" w:line="268" w:lineRule="auto"/>
        <w:rPr>
          <w:sz w:val="20"/>
          <w:szCs w:val="20"/>
          <w:color w:val="auto"/>
        </w:rPr>
      </w:pPr>
      <w:r>
        <w:rPr>
          <w:rFonts w:ascii="Arial" w:cs="Arial" w:eastAsia="Arial" w:hAnsi="Arial"/>
          <w:sz w:val="18"/>
          <w:szCs w:val="18"/>
          <w:color w:val="auto"/>
        </w:rPr>
        <w:t>Capitalized terms used in this Final Term Sheet that are not defined herein are used herein as defined in the Company’s preliminary prospectus supplement relating to this offering dated October 2, 2018</w:t>
      </w:r>
    </w:p>
    <w:p>
      <w:pPr>
        <w:spacing w:after="0" w:line="72" w:lineRule="exact"/>
        <w:rPr>
          <w:sz w:val="24"/>
          <w:szCs w:val="24"/>
          <w:color w:val="auto"/>
        </w:rPr>
      </w:pPr>
    </w:p>
    <w:p>
      <w:pPr>
        <w:sectPr>
          <w:pgSz w:w="11900" w:h="16838" w:orient="portrait"/>
          <w:cols w:equalWidth="0" w:num="2">
            <w:col w:w="1720" w:space="720"/>
            <w:col w:w="858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40"/>
        <w:spacing w:after="0" w:line="288" w:lineRule="auto"/>
        <w:rPr>
          <w:sz w:val="20"/>
          <w:szCs w:val="20"/>
          <w:color w:val="auto"/>
        </w:rPr>
      </w:pPr>
      <w:r>
        <w:rPr>
          <w:rFonts w:ascii="Arial" w:cs="Arial" w:eastAsia="Arial" w:hAnsi="Arial"/>
          <w:sz w:val="16"/>
          <w:szCs w:val="16"/>
          <w:color w:val="auto"/>
        </w:rPr>
        <w:t>The Company intends to use the net proceeds of this offering, together with the net proceeds from loans under its Term Loan Facilities, to finance the Company’s purchase of Sky Shares from Sky shareholders who validly accept the Sky Offer, to settle a portion of its Market Purchases and to pay related fees and expenses. The Company has also made Market Purchases with cash on hand and the net proceeds from (i) the issuance of commercial paper, (ii) loans under its Term Loan Facilities and (iii) revolving loans drawn under its Revolving Credit Facility. The Company may use a portion of the net proceeds from this offering to repay commercial paper outstanding, to repay amounts drawn under its Revolving Credit Facility and/or to replenish a portion of its cash, in each case, that was previously used for Market Purchases. This offering of Notes, which will close prior to the First Sky Settlement Date, is not conditioned on the occurrence of the First Sky Settlement Date.</w:t>
      </w:r>
    </w:p>
    <w:p>
      <w:pPr>
        <w:sectPr>
          <w:pgSz w:w="11900" w:h="16838" w:orient="portrait"/>
          <w:cols w:equalWidth="0" w:num="2">
            <w:col w:w="1720" w:space="720"/>
            <w:col w:w="8580"/>
          </w:cols>
          <w:pgMar w:left="440" w:top="233" w:right="439" w:bottom="1440" w:gutter="0" w:footer="0" w:header="0"/>
          <w:type w:val="continuous"/>
        </w:sectPr>
      </w:pPr>
    </w:p>
    <w:bookmarkStart w:id="1" w:name="page2"/>
    <w:bookmarkEnd w:id="1"/>
    <w:p>
      <w:pPr>
        <w:ind w:left="244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October 1, 2018, the Company had $3.0 billion of borrowings outstanding under the Comcast Corporation commercial paper program at a weighted average annual interest rate of approximately 2.46% and a weighted average remaining maturity of approximately 18 days, and the Company had $7.26 billion outstanding under its April Term Loan Credit Agreement (using the exchange rate as of October 1, 2018) at a weighted average interest rate of 1.66% and $1.5 billion outstanding under its Revolving Credit Facility at an interest rate of 5.25%.</w:t>
      </w:r>
    </w:p>
    <w:p>
      <w:pPr>
        <w:spacing w:after="0" w:line="102" w:lineRule="exact"/>
        <w:rPr>
          <w:sz w:val="20"/>
          <w:szCs w:val="20"/>
          <w:color w:val="auto"/>
        </w:rPr>
      </w:pPr>
    </w:p>
    <w:p>
      <w:pPr>
        <w:ind w:left="2440"/>
        <w:spacing w:after="0" w:line="294" w:lineRule="auto"/>
        <w:rPr>
          <w:sz w:val="20"/>
          <w:szCs w:val="20"/>
          <w:color w:val="auto"/>
        </w:rPr>
      </w:pPr>
      <w:r>
        <w:rPr>
          <w:rFonts w:ascii="Arial" w:cs="Arial" w:eastAsia="Arial" w:hAnsi="Arial"/>
          <w:sz w:val="16"/>
          <w:szCs w:val="16"/>
          <w:color w:val="auto"/>
        </w:rPr>
        <w:t>As at the close of business in London on September 21, 2018, the Company had received valid acceptances of the Sky Offer in respect of Sky Shares representing approximately 0.22% of the issued ordinary share capital of Sky (based on the number of Sky Shares in issue on September 21, 2018). Market Purchases through September 26, 2018 and the purchase and settlement or acceptance of the Sky Offer in respect of the Fox Shares, will result in Comcast Bidco holding or having received acceptances in respect of over 75% in aggregate of Sky Shares in issue at the time.</w:t>
      </w:r>
    </w:p>
    <w:p>
      <w:pPr>
        <w:sectPr>
          <w:pgSz w:w="11900" w:h="16838" w:orient="portrait"/>
          <w:cols w:equalWidth="0" w:num="1">
            <w:col w:w="11000"/>
          </w:cols>
          <w:pgMar w:left="440" w:top="428" w:right="459" w:bottom="1440" w:gutter="0" w:footer="0" w:header="0"/>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ectPr>
          <w:pgSz w:w="11900" w:h="16838" w:orient="portrait"/>
          <w:cols w:equalWidth="0" w:num="2">
            <w:col w:w="1720" w:space="720"/>
            <w:col w:w="8560"/>
          </w:cols>
          <w:pgMar w:left="440" w:top="428" w:right="4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-205105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1720" w:space="720"/>
            <w:col w:w="8520"/>
          </w:cols>
          <w:pgMar w:left="440" w:top="274" w:right="499" w:bottom="1440" w:gutter="0" w:footer="0" w:header="0"/>
        </w:sect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A3 (Stable); S&amp;P: A- (Negative); Fitch: A- (Stable)</w:t>
      </w:r>
    </w:p>
    <w:p>
      <w:pPr>
        <w:spacing w:after="0" w:line="134"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October 2, 2018</w:t>
      </w:r>
    </w:p>
    <w:p>
      <w:pPr>
        <w:spacing w:after="0" w:line="145"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5, 2018 (“T+3”)</w:t>
      </w:r>
    </w:p>
    <w:p>
      <w:pPr>
        <w:spacing w:after="0" w:line="181"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ind w:left="2440"/>
        <w:spacing w:after="0" w:line="290" w:lineRule="auto"/>
        <w:rPr>
          <w:sz w:val="20"/>
          <w:szCs w:val="20"/>
          <w:color w:val="auto"/>
        </w:rPr>
      </w:pPr>
      <w:r>
        <w:rPr>
          <w:rFonts w:ascii="Arial" w:cs="Arial" w:eastAsia="Arial" w:hAnsi="Arial"/>
          <w:sz w:val="16"/>
          <w:szCs w:val="16"/>
          <w:color w:val="auto"/>
        </w:rPr>
        <w:t>It is expected that delivery of the Notes will be made against payment therefor on or about October 5, 2018, which is the third business day following the date hereof (such settlement cycle being referred to as “T+3”).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T+3, to specify an alternative settlement cycle at the time of any such trade to prevent failed settlement and should consult their own advisors.</w:t>
      </w:r>
    </w:p>
    <w:p>
      <w:pPr>
        <w:sectPr>
          <w:pgSz w:w="11900" w:h="16838" w:orient="portrait"/>
          <w:cols w:equalWidth="0" w:num="1">
            <w:col w:w="10960"/>
          </w:cols>
          <w:pgMar w:left="440" w:top="274" w:right="499" w:bottom="1440" w:gutter="0" w:footer="0" w:header="0"/>
          <w:type w:val="continuous"/>
        </w:sectPr>
      </w:pPr>
    </w:p>
    <w:p>
      <w:pPr>
        <w:spacing w:after="0" w:line="72"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2020: $1,250,000,000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2021: $1,000,000,000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2024: $500,000,000</w:t>
      </w:r>
    </w:p>
    <w:p>
      <w:pPr>
        <w:spacing w:after="0" w:line="174"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2020: $1,750,000,000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2021: $2,000,000,000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2024: $2,500,000,000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2025: $3,000,000,000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2028: $4,000,000,000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2030: $1,500,000,000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2038: $3,000,000,000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2048: $4,000,000,000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2058: $2,500,000,000</w:t>
      </w:r>
    </w:p>
    <w:p>
      <w:pPr>
        <w:sectPr>
          <w:pgSz w:w="11900" w:h="16838" w:orient="portrait"/>
          <w:cols w:equalWidth="0" w:num="1">
            <w:col w:w="10960"/>
          </w:cols>
          <w:pgMar w:left="440" w:top="274" w:right="4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Maturity Date: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2020: October 1, 2020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2021: October 1, 2021</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2024: April 15, 2024</w:t>
      </w:r>
    </w:p>
    <w:p>
      <w:pPr>
        <w:spacing w:after="0" w:line="174"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2020: October 1, 2020</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2021: October 1, 2021</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2024: April 15, 2024</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2025: October 15, 2025</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2028: October 15, 2028</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2030: October 15, 2030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2038: October 15, 2038</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2048: October 15, 2048</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2058: October 15, 2058</w:t>
      </w:r>
    </w:p>
    <w:p>
      <w:pPr>
        <w:sectPr>
          <w:pgSz w:w="11900" w:h="16838" w:orient="portrait"/>
          <w:cols w:equalWidth="0" w:num="1">
            <w:col w:w="10960"/>
          </w:cols>
          <w:pgMar w:left="440" w:top="274" w:right="49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2020: Three-month LIBOR plus 0.330%</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2021: Three-month LIBOR plus 0.440%</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2024: Three-month LIBOR plus 0.630%</w:t>
      </w:r>
    </w:p>
    <w:p>
      <w:pPr>
        <w:spacing w:after="0" w:line="174" w:lineRule="exact"/>
        <w:rPr>
          <w:sz w:val="20"/>
          <w:szCs w:val="20"/>
          <w:color w:val="auto"/>
        </w:rPr>
      </w:pPr>
    </w:p>
    <w:p>
      <w:pPr>
        <w:sectPr>
          <w:pgSz w:w="11900" w:h="16838" w:orient="portrait"/>
          <w:cols w:equalWidth="0" w:num="2">
            <w:col w:w="1720" w:space="720"/>
            <w:col w:w="8520"/>
          </w:cols>
          <w:pgMar w:left="440" w:top="274" w:right="499" w:bottom="1440" w:gutter="0" w:footer="0" w:header="0"/>
          <w:type w:val="continuous"/>
        </w:sectPr>
      </w:pPr>
    </w:p>
    <w:p>
      <w:pPr>
        <w:ind w:left="2860"/>
        <w:spacing w:after="0"/>
        <w:rPr>
          <w:sz w:val="20"/>
          <w:szCs w:val="20"/>
          <w:color w:val="auto"/>
        </w:rPr>
      </w:pPr>
      <w:r>
        <w:rPr>
          <w:rFonts w:ascii="Arial" w:cs="Arial" w:eastAsia="Arial" w:hAnsi="Arial"/>
          <w:sz w:val="15"/>
          <w:szCs w:val="15"/>
          <w:color w:val="auto"/>
        </w:rPr>
        <w:t>in each case, accruing from October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694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1">
            <w:col w:w="10960"/>
          </w:cols>
          <w:pgMar w:left="440" w:top="274" w:right="499" w:bottom="1440" w:gutter="0" w:footer="0" w:header="0"/>
          <w:type w:val="continuous"/>
        </w:sectPr>
      </w:pPr>
    </w:p>
    <w:p>
      <w:pPr>
        <w:spacing w:after="0" w:line="198" w:lineRule="exact"/>
        <w:rPr>
          <w:sz w:val="20"/>
          <w:szCs w:val="20"/>
          <w:color w:val="auto"/>
        </w:rPr>
      </w:pPr>
    </w:p>
    <w:p>
      <w:pPr>
        <w:ind w:left="440" w:hanging="436"/>
        <w:spacing w:after="0"/>
        <w:tabs>
          <w:tab w:leader="none" w:pos="44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960"/>
          </w:cols>
          <w:pgMar w:left="440" w:top="274" w:right="499" w:bottom="1440" w:gutter="0" w:footer="0" w:header="0"/>
          <w:type w:val="continuous"/>
        </w:sectPr>
      </w:pPr>
    </w:p>
    <w:bookmarkStart w:id="3" w:name="page4"/>
    <w:bookmarkEnd w:id="3"/>
    <w:p>
      <w:pPr>
        <w:ind w:left="2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interest determination date for the first interest period will be October 3, 2018.</w:t>
      </w:r>
    </w:p>
    <w:p>
      <w:pPr>
        <w:spacing w:after="0" w:line="18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2020: 3.300%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2021: 3.450%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2024: 3.700%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2025: 3.950%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2028: 4.150%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2030: 4.250%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2038: 4.600%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2048: 4.700% per annum</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2058: 4.950% per annum</w:t>
      </w:r>
    </w:p>
    <w:p>
      <w:pPr>
        <w:spacing w:after="0" w:line="15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in each case, accruing from October 5, 2018</w:t>
      </w:r>
    </w:p>
    <w:p>
      <w:pPr>
        <w:sectPr>
          <w:pgSz w:w="11900" w:h="16838" w:orient="portrait"/>
          <w:cols w:equalWidth="0" w:num="1">
            <w:col w:w="10019"/>
          </w:cols>
          <w:pgMar w:left="440" w:top="428" w:right="1440"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 Count Convention: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Floating Rate Notes: Actual/360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Fixed Rate Notes: 30/360</w:t>
      </w:r>
    </w:p>
    <w:p>
      <w:pPr>
        <w:spacing w:after="0" w:line="118" w:lineRule="exact"/>
        <w:rPr>
          <w:sz w:val="20"/>
          <w:szCs w:val="20"/>
          <w:color w:val="auto"/>
        </w:rPr>
      </w:pPr>
    </w:p>
    <w:p>
      <w:pPr>
        <w:sectPr>
          <w:pgSz w:w="11900" w:h="16838" w:orient="portrait"/>
          <w:cols w:equalWidth="0" w:num="2">
            <w:col w:w="1780" w:space="660"/>
            <w:col w:w="7579"/>
          </w:cols>
          <w:pgMar w:left="440" w:top="428"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2020: January 1, April 1, July 1 and October 1, commencing January 1, 2019</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2021: January 1, April 1, July 1 and October 1, commencing January 1, 2019</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2024: January 15, April 15, July 15 and October 15, commencing January 15, 2019</w:t>
      </w:r>
    </w:p>
    <w:p>
      <w:pPr>
        <w:spacing w:after="0" w:line="186" w:lineRule="exact"/>
        <w:rPr>
          <w:sz w:val="20"/>
          <w:szCs w:val="20"/>
          <w:color w:val="auto"/>
        </w:rPr>
      </w:pPr>
    </w:p>
    <w:p>
      <w:pPr>
        <w:sectPr>
          <w:pgSz w:w="11900" w:h="16838" w:orient="portrait"/>
          <w:cols w:equalWidth="0" w:num="2">
            <w:col w:w="1820" w:space="620"/>
            <w:col w:w="7579"/>
          </w:cols>
          <w:pgMar w:left="440" w:top="428" w:right="1440"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2020: April 1 and October 1, commencing April 1,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2021: April 1 and October 1, commencing April 1,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2024: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2025: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2028: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2030: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2038: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2048: April 15 and October 15, commencing April 15, 2019</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2058: April 15 and October 15, commencing April 15, 2019</w:t>
      </w:r>
    </w:p>
    <w:p>
      <w:pPr>
        <w:sectPr>
          <w:pgSz w:w="11900" w:h="16838" w:orient="portrait"/>
          <w:cols w:equalWidth="0" w:num="1">
            <w:col w:w="10019"/>
          </w:cols>
          <w:pgMar w:left="440" w:top="428" w:right="1440"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Rate Notes: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Notes due 2020: UST 2.750% due September 30, 2020</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Notes due 2021: UST 2.750% due September 15, 2021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2024: UST 2.875% due September 30, 2023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2025: UST 3.000% due September 30, 2025</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Notes due 2028: UST 2.875% due August 15, 2028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2030: UST 2.875% due August 15, 2028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2038: UST 3.125% due May 15, 2048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2048: UST 3.125% due May 15, 2048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2058: UST 3.125% due May 15, 2048</w:t>
      </w:r>
    </w:p>
    <w:p>
      <w:pPr>
        <w:spacing w:after="0" w:line="141" w:lineRule="exact"/>
        <w:rPr>
          <w:sz w:val="20"/>
          <w:szCs w:val="20"/>
          <w:color w:val="auto"/>
        </w:rPr>
      </w:pPr>
    </w:p>
    <w:p>
      <w:pPr>
        <w:sectPr>
          <w:pgSz w:w="11900" w:h="16838" w:orient="portrait"/>
          <w:cols w:equalWidth="0" w:num="2">
            <w:col w:w="1880" w:space="560"/>
            <w:col w:w="7579"/>
          </w:cols>
          <w:pgMar w:left="440" w:top="428" w:right="1440" w:bottom="1440" w:gutter="0" w:footer="0" w:header="0"/>
          <w:type w:val="continuous"/>
        </w:sectPr>
      </w:pPr>
    </w:p>
    <w:p>
      <w:pPr>
        <w:spacing w:after="0" w:line="262" w:lineRule="auto"/>
        <w:rPr>
          <w:sz w:val="20"/>
          <w:szCs w:val="20"/>
          <w:color w:val="auto"/>
        </w:rPr>
      </w:pPr>
      <w:r>
        <w:rPr>
          <w:rFonts w:ascii="Arial" w:cs="Arial" w:eastAsia="Arial" w:hAnsi="Arial"/>
          <w:sz w:val="18"/>
          <w:szCs w:val="18"/>
          <w:b w:val="1"/>
          <w:bCs w:val="1"/>
          <w:color w:val="auto"/>
        </w:rPr>
        <w:t>Benchmark Treasury Price/Yield for Fixed Rate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Notes due 2020: 99-28 / 2.815%</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Notes due 2021: 99-19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 2.886%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Notes due 2024: 99-20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 2.951%</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Notes due 2025: 99-28 / 3.020%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2028: 98-15 / 3.056%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2030: 98-15 / 3.056%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2038: 98-15 / 3.205%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2048: 98-15 / 3.205%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2058: 98-15 / 3.205%</w:t>
      </w:r>
    </w:p>
    <w:p>
      <w:pPr>
        <w:sectPr>
          <w:pgSz w:w="11900" w:h="16838" w:orient="portrait"/>
          <w:cols w:equalWidth="0" w:num="2">
            <w:col w:w="1960" w:space="480"/>
            <w:col w:w="7579"/>
          </w:cols>
          <w:pgMar w:left="440" w:top="428"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Spread to Benchmark for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Rate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Notes due 2020: +50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-205105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Notes due 2021: +60 bps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2024: +75 bps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due 2025: +95 bps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Notes due 2028: +110 bps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2030: +120 bps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2038: +140 bps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2048: +150 bps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2058: +175 bps</w:t>
      </w:r>
    </w:p>
    <w:p>
      <w:pPr>
        <w:spacing w:after="0" w:line="153" w:lineRule="exact"/>
        <w:rPr>
          <w:sz w:val="20"/>
          <w:szCs w:val="20"/>
          <w:color w:val="auto"/>
        </w:rPr>
      </w:pPr>
    </w:p>
    <w:p>
      <w:pPr>
        <w:sectPr>
          <w:pgSz w:w="11900" w:h="16838" w:orient="portrait"/>
          <w:cols w:equalWidth="0" w:num="2">
            <w:col w:w="1920" w:space="520"/>
            <w:col w:w="8600"/>
          </w:cols>
          <w:pgMar w:left="440" w:top="274" w:right="419" w:bottom="1440" w:gutter="0" w:footer="0" w:header="0"/>
        </w:sectPr>
      </w:pPr>
    </w:p>
    <w:p>
      <w:pPr>
        <w:spacing w:after="0" w:line="275" w:lineRule="auto"/>
        <w:rPr>
          <w:sz w:val="20"/>
          <w:szCs w:val="20"/>
          <w:color w:val="auto"/>
        </w:rPr>
      </w:pPr>
      <w:r>
        <w:rPr>
          <w:rFonts w:ascii="Arial" w:cs="Arial" w:eastAsia="Arial" w:hAnsi="Arial"/>
          <w:sz w:val="18"/>
          <w:szCs w:val="18"/>
          <w:b w:val="1"/>
          <w:bCs w:val="1"/>
          <w:color w:val="auto"/>
        </w:rPr>
        <w:t>Yield to Maturity for Fixed Rate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Notes due 2020: 3.315%</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Notes due 2021: 3.486%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2024: 3.701%</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2025: 3.970%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2028: 4.156%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2030: 4.256%</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2038: 4.605%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2048: 4.705%</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Notes due 2058: 4.955%</w:t>
      </w:r>
    </w:p>
    <w:p>
      <w:pPr>
        <w:spacing w:after="0" w:line="153" w:lineRule="exact"/>
        <w:rPr>
          <w:sz w:val="20"/>
          <w:szCs w:val="20"/>
          <w:color w:val="auto"/>
        </w:rPr>
      </w:pPr>
    </w:p>
    <w:p>
      <w:pPr>
        <w:sectPr>
          <w:pgSz w:w="11900" w:h="16838" w:orient="portrait"/>
          <w:cols w:equalWidth="0" w:num="2">
            <w:col w:w="2040" w:space="400"/>
            <w:col w:w="8600"/>
          </w:cols>
          <w:pgMar w:left="440" w:top="274" w:right="4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Floating Rate Notes:</w:t>
      </w:r>
    </w:p>
    <w:p>
      <w:pPr>
        <w:spacing w:after="0" w:line="192" w:lineRule="exact"/>
        <w:rPr>
          <w:sz w:val="20"/>
          <w:szCs w:val="20"/>
          <w:color w:val="auto"/>
        </w:rPr>
      </w:pPr>
    </w:p>
    <w:p>
      <w:pPr>
        <w:sectPr>
          <w:pgSz w:w="11900" w:h="16838" w:orient="portrait"/>
          <w:cols w:equalWidth="0" w:num="2">
            <w:col w:w="1720" w:space="720"/>
            <w:col w:w="8600"/>
          </w:cols>
          <w:pgMar w:left="440" w:top="274" w:right="419" w:bottom="1440" w:gutter="0" w:footer="0" w:header="0"/>
          <w:type w:val="continuous"/>
        </w:sectPr>
      </w:pPr>
    </w:p>
    <w:p>
      <w:pPr>
        <w:ind w:left="2860"/>
        <w:spacing w:after="0"/>
        <w:rPr>
          <w:sz w:val="20"/>
          <w:szCs w:val="20"/>
          <w:color w:val="auto"/>
        </w:rPr>
      </w:pPr>
      <w:r>
        <w:rPr>
          <w:rFonts w:ascii="Arial" w:cs="Arial" w:eastAsia="Arial" w:hAnsi="Arial"/>
          <w:sz w:val="18"/>
          <w:szCs w:val="18"/>
          <w:color w:val="auto"/>
        </w:rPr>
        <w:t>The floating rate notes are not redeemable at our option prior to maturity.</w:t>
      </w:r>
    </w:p>
    <w:p>
      <w:pPr>
        <w:spacing w:after="0" w:line="15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Fixed Rate Notes:</w:t>
      </w:r>
    </w:p>
    <w:p>
      <w:pPr>
        <w:spacing w:after="0" w:line="158" w:lineRule="exact"/>
        <w:rPr>
          <w:sz w:val="20"/>
          <w:szCs w:val="20"/>
          <w:color w:val="auto"/>
        </w:rPr>
      </w:pPr>
    </w:p>
    <w:p>
      <w:pPr>
        <w:ind w:left="2860" w:right="40"/>
        <w:spacing w:after="0" w:line="287" w:lineRule="auto"/>
        <w:rPr>
          <w:sz w:val="20"/>
          <w:szCs w:val="20"/>
          <w:color w:val="auto"/>
        </w:rPr>
      </w:pPr>
      <w:r>
        <w:rPr>
          <w:rFonts w:ascii="Arial" w:cs="Arial" w:eastAsia="Arial" w:hAnsi="Arial"/>
          <w:sz w:val="16"/>
          <w:szCs w:val="16"/>
          <w:color w:val="auto"/>
        </w:rPr>
        <w:t>Each series of Fixed Rate Notes is redeemable at the option of the Company at any time, in whole or in part, at the applicable “</w:t>
      </w:r>
      <w:r>
        <w:rPr>
          <w:rFonts w:ascii="Arial" w:cs="Arial" w:eastAsia="Arial" w:hAnsi="Arial"/>
          <w:sz w:val="16"/>
          <w:szCs w:val="16"/>
          <w:b w:val="1"/>
          <w:bCs w:val="1"/>
          <w:color w:val="auto"/>
        </w:rPr>
        <w:t>Redemption Price</w:t>
      </w:r>
      <w:r>
        <w:rPr>
          <w:rFonts w:ascii="Arial" w:cs="Arial" w:eastAsia="Arial" w:hAnsi="Arial"/>
          <w:sz w:val="16"/>
          <w:szCs w:val="16"/>
          <w:color w:val="auto"/>
        </w:rPr>
        <w:t>”. Prior to the applicable “</w:t>
      </w:r>
      <w:r>
        <w:rPr>
          <w:rFonts w:ascii="Arial" w:cs="Arial" w:eastAsia="Arial" w:hAnsi="Arial"/>
          <w:sz w:val="16"/>
          <w:szCs w:val="16"/>
          <w:b w:val="1"/>
          <w:bCs w:val="1"/>
          <w:color w:val="auto"/>
        </w:rPr>
        <w:t>Par Call Date</w:t>
      </w:r>
      <w:r>
        <w:rPr>
          <w:rFonts w:ascii="Arial" w:cs="Arial" w:eastAsia="Arial" w:hAnsi="Arial"/>
          <w:sz w:val="16"/>
          <w:szCs w:val="16"/>
          <w:color w:val="auto"/>
        </w:rPr>
        <w:t>” set forth below (or, in the case of the Notes due 2020 and the Notes due 2021, the applicable maturity date), the Redemption Price applicable to each series of Fixed Rate Notes is the greater of (i) 100% of the principal amount of such notes, and (ii) the sum of the present values of the principal amount of such notes and the scheduled payments of interest thereon (exclusive of interest accrued to the date of redemption) from the redemption date to the applicable Par Call Date (or, in the case of the Notes due 2020 and the Notes due 2021, the applicable maturity date), in each case discounted to the redemption date on a semiannual basis at the Treasury Rate plus the applicable Spread to Treasuries for Make-Whole Redemption set forth below. Except with respect to the Notes due 2020 and the Notes due 2021, on and after the applicable Par Call Date, the applicable Redemption Price will equal 100% of the principal amount of such notes.</w:t>
      </w:r>
    </w:p>
    <w:p>
      <w:pPr>
        <w:sectPr>
          <w:pgSz w:w="11900" w:h="16838" w:orient="portrait"/>
          <w:cols w:equalWidth="0" w:num="1">
            <w:col w:w="11040"/>
          </w:cols>
          <w:pgMar w:left="440" w:top="274" w:right="419" w:bottom="1440" w:gutter="0" w:footer="0" w:header="0"/>
          <w:type w:val="continuous"/>
        </w:sectPr>
      </w:pPr>
    </w:p>
    <w:p>
      <w:pPr>
        <w:spacing w:after="0" w:line="376"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6"/>
              </w:rPr>
              <w:t>Spread to</w:t>
            </w: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Treasuries for</w:t>
            </w: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Make-Whole</w:t>
            </w:r>
          </w:p>
        </w:tc>
      </w:tr>
      <w:tr>
        <w:trPr>
          <w:trHeight w:val="175"/>
        </w:trPr>
        <w:tc>
          <w:tcPr>
            <w:tcW w:w="20" w:type="dxa"/>
            <w:vAlign w:val="bottom"/>
          </w:tcPr>
          <w:p>
            <w:pPr>
              <w:spacing w:after="0"/>
              <w:rPr>
                <w:sz w:val="15"/>
                <w:szCs w:val="15"/>
                <w:color w:val="auto"/>
              </w:rPr>
            </w:pPr>
          </w:p>
        </w:tc>
        <w:tc>
          <w:tcPr>
            <w:tcW w:w="262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Series</w:t>
            </w:r>
          </w:p>
        </w:tc>
        <w:tc>
          <w:tcPr>
            <w:tcW w:w="120" w:type="dxa"/>
            <w:vAlign w:val="bottom"/>
          </w:tcPr>
          <w:p>
            <w:pPr>
              <w:spacing w:after="0"/>
              <w:rPr>
                <w:sz w:val="15"/>
                <w:szCs w:val="15"/>
                <w:color w:val="auto"/>
              </w:rPr>
            </w:pPr>
          </w:p>
        </w:tc>
        <w:tc>
          <w:tcPr>
            <w:tcW w:w="27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Par Call Date</w:t>
            </w:r>
          </w:p>
        </w:tc>
        <w:tc>
          <w:tcPr>
            <w:tcW w:w="12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Redemption</w:t>
            </w:r>
          </w:p>
        </w:tc>
      </w:tr>
      <w:tr>
        <w:trPr>
          <w:trHeight w:val="201"/>
        </w:trPr>
        <w:tc>
          <w:tcPr>
            <w:tcW w:w="20" w:type="dxa"/>
            <w:vAlign w:val="bottom"/>
          </w:tcPr>
          <w:p>
            <w:pPr>
              <w:spacing w:after="0"/>
              <w:rPr>
                <w:sz w:val="17"/>
                <w:szCs w:val="17"/>
                <w:color w:val="auto"/>
              </w:rPr>
            </w:pPr>
          </w:p>
        </w:tc>
        <w:tc>
          <w:tcPr>
            <w:tcW w:w="2620" w:type="dxa"/>
            <w:vAlign w:val="bottom"/>
          </w:tcPr>
          <w:p>
            <w:pPr>
              <w:jc w:val="right"/>
              <w:ind w:right="1462"/>
              <w:spacing w:after="0" w:line="201" w:lineRule="exact"/>
              <w:rPr>
                <w:sz w:val="20"/>
                <w:szCs w:val="20"/>
                <w:color w:val="auto"/>
              </w:rPr>
            </w:pPr>
            <w:r>
              <w:rPr>
                <w:rFonts w:ascii="Arial" w:cs="Arial" w:eastAsia="Arial" w:hAnsi="Arial"/>
                <w:sz w:val="18"/>
                <w:szCs w:val="18"/>
                <w:color w:val="auto"/>
                <w:w w:val="83"/>
              </w:rPr>
              <w:t>Notes due 2020</w:t>
            </w:r>
          </w:p>
        </w:tc>
        <w:tc>
          <w:tcPr>
            <w:tcW w:w="1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7"/>
                <w:szCs w:val="17"/>
                <w:color w:val="auto"/>
              </w:rPr>
            </w:pPr>
          </w:p>
        </w:tc>
        <w:tc>
          <w:tcPr>
            <w:tcW w:w="2640" w:type="dxa"/>
            <w:vAlign w:val="bottom"/>
          </w:tcPr>
          <w:p>
            <w:pPr>
              <w:jc w:val="right"/>
              <w:ind w:right="1528"/>
              <w:spacing w:after="0" w:line="201" w:lineRule="exact"/>
              <w:rPr>
                <w:sz w:val="20"/>
                <w:szCs w:val="20"/>
                <w:color w:val="auto"/>
              </w:rPr>
            </w:pPr>
            <w:r>
              <w:rPr>
                <w:rFonts w:ascii="Arial" w:cs="Arial" w:eastAsia="Arial" w:hAnsi="Arial"/>
                <w:sz w:val="18"/>
                <w:szCs w:val="18"/>
                <w:color w:val="auto"/>
                <w:w w:val="84"/>
              </w:rPr>
              <w:t>10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2021</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N/A</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10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2024</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March 15, 2024</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15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2025</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August 15, 2025</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15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2028</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July 15, 2028</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20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2030</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July 15, 2030</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20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2038</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April 15, 2038</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25 basis points</w:t>
            </w:r>
          </w:p>
        </w:tc>
      </w:tr>
      <w:tr>
        <w:trPr>
          <w:trHeight w:val="216"/>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2048</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April 15, 2048</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25 basis points</w:t>
            </w:r>
          </w:p>
        </w:tc>
      </w:tr>
      <w:tr>
        <w:trPr>
          <w:trHeight w:val="222"/>
        </w:trPr>
        <w:tc>
          <w:tcPr>
            <w:tcW w:w="2640" w:type="dxa"/>
            <w:vAlign w:val="bottom"/>
            <w:gridSpan w:val="2"/>
          </w:tcPr>
          <w:p>
            <w:pPr>
              <w:jc w:val="right"/>
              <w:ind w:right="1462"/>
              <w:spacing w:after="0"/>
              <w:rPr>
                <w:sz w:val="20"/>
                <w:szCs w:val="20"/>
                <w:color w:val="auto"/>
              </w:rPr>
            </w:pPr>
            <w:r>
              <w:rPr>
                <w:rFonts w:ascii="Arial" w:cs="Arial" w:eastAsia="Arial" w:hAnsi="Arial"/>
                <w:sz w:val="18"/>
                <w:szCs w:val="18"/>
                <w:color w:val="auto"/>
                <w:w w:val="84"/>
              </w:rPr>
              <w:t>Notes due 2058</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April 15, 2058</w:t>
            </w:r>
          </w:p>
        </w:tc>
        <w:tc>
          <w:tcPr>
            <w:tcW w:w="2760" w:type="dxa"/>
            <w:vAlign w:val="bottom"/>
            <w:gridSpan w:val="2"/>
          </w:tcPr>
          <w:p>
            <w:pPr>
              <w:jc w:val="right"/>
              <w:ind w:right="1528"/>
              <w:spacing w:after="0"/>
              <w:rPr>
                <w:sz w:val="20"/>
                <w:szCs w:val="20"/>
                <w:color w:val="auto"/>
              </w:rPr>
            </w:pPr>
            <w:r>
              <w:rPr>
                <w:rFonts w:ascii="Arial" w:cs="Arial" w:eastAsia="Arial" w:hAnsi="Arial"/>
                <w:sz w:val="18"/>
                <w:szCs w:val="18"/>
                <w:color w:val="auto"/>
                <w:w w:val="94"/>
              </w:rPr>
              <w:t>30 basis points</w:t>
            </w:r>
          </w:p>
        </w:tc>
      </w:tr>
    </w:tbl>
    <w:p>
      <w:pPr>
        <w:spacing w:after="0" w:line="196" w:lineRule="exact"/>
        <w:rPr>
          <w:sz w:val="20"/>
          <w:szCs w:val="20"/>
          <w:color w:val="auto"/>
        </w:rPr>
      </w:pPr>
    </w:p>
    <w:p>
      <w:pPr>
        <w:jc w:val="both"/>
        <w:ind w:left="2440" w:right="20"/>
        <w:spacing w:after="0" w:line="268" w:lineRule="auto"/>
        <w:rPr>
          <w:sz w:val="20"/>
          <w:szCs w:val="20"/>
          <w:color w:val="auto"/>
        </w:rPr>
      </w:pPr>
      <w:r>
        <w:rPr>
          <w:rFonts w:ascii="Arial" w:cs="Arial" w:eastAsia="Arial" w:hAnsi="Arial"/>
          <w:sz w:val="18"/>
          <w:szCs w:val="18"/>
          <w:color w:val="auto"/>
        </w:rPr>
        <w:t>In each case described in this section, the Redemption Price will include accrued and unpaid interest thereon to the date of redemption</w:t>
      </w:r>
    </w:p>
    <w:p>
      <w:pPr>
        <w:sectPr>
          <w:pgSz w:w="11900" w:h="16838" w:orient="portrait"/>
          <w:cols w:equalWidth="0" w:num="1">
            <w:col w:w="11040"/>
          </w:cols>
          <w:pgMar w:left="440" w:top="274"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Floating Rate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-219710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5"/>
          <w:szCs w:val="15"/>
          <w:color w:val="auto"/>
        </w:rPr>
        <w:t>Notes due 2020: 100.000%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2021: 100.000%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2024: 100.000%</w:t>
      </w:r>
    </w:p>
    <w:p>
      <w:pPr>
        <w:spacing w:after="0" w:line="186" w:lineRule="exact"/>
        <w:rPr>
          <w:sz w:val="20"/>
          <w:szCs w:val="20"/>
          <w:color w:val="auto"/>
        </w:rPr>
      </w:pPr>
    </w:p>
    <w:p>
      <w:pPr>
        <w:sectPr>
          <w:pgSz w:w="11900" w:h="16838" w:orient="portrait"/>
          <w:cols w:equalWidth="0" w:num="2">
            <w:col w:w="1720" w:space="720"/>
            <w:col w:w="7579"/>
          </w:cols>
          <w:pgMar w:left="440" w:top="274" w:right="1440" w:bottom="1440" w:gutter="0" w:footer="0" w:header="0"/>
        </w:sectPr>
      </w:pPr>
    </w:p>
    <w:p>
      <w:pPr>
        <w:ind w:left="2860"/>
        <w:spacing w:after="0"/>
        <w:rPr>
          <w:sz w:val="20"/>
          <w:szCs w:val="20"/>
          <w:color w:val="auto"/>
        </w:rPr>
      </w:pPr>
      <w:r>
        <w:rPr>
          <w:rFonts w:ascii="Arial" w:cs="Arial" w:eastAsia="Arial" w:hAnsi="Arial"/>
          <w:sz w:val="16"/>
          <w:szCs w:val="16"/>
          <w:color w:val="auto"/>
        </w:rPr>
        <w:t>in each case, plus accrued interest from October 5, 2018</w:t>
      </w:r>
    </w:p>
    <w:p>
      <w:pPr>
        <w:spacing w:after="0" w:line="18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2020: 99.972%</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2021: 99.899%</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2024: 99.994%</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2025: 99.877%</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2028: 99.950%</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2030: 99.943%</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2038: 99.934%</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2048: 99.918%</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Notes due 2058: 99.912%</w:t>
      </w:r>
    </w:p>
    <w:p>
      <w:pPr>
        <w:spacing w:after="0" w:line="151" w:lineRule="exact"/>
        <w:rPr>
          <w:sz w:val="20"/>
          <w:szCs w:val="20"/>
          <w:color w:val="auto"/>
        </w:rPr>
      </w:pPr>
    </w:p>
    <w:p>
      <w:pPr>
        <w:jc w:val="center"/>
        <w:ind w:right="-180"/>
        <w:spacing w:after="0"/>
        <w:rPr>
          <w:sz w:val="20"/>
          <w:szCs w:val="20"/>
          <w:color w:val="auto"/>
        </w:rPr>
      </w:pPr>
      <w:r>
        <w:rPr>
          <w:rFonts w:ascii="Arial" w:cs="Arial" w:eastAsia="Arial" w:hAnsi="Arial"/>
          <w:sz w:val="15"/>
          <w:szCs w:val="15"/>
          <w:color w:val="auto"/>
        </w:rPr>
        <w:t>in each case, plus accrued interest, if any, from October 5, 2018</w:t>
      </w:r>
    </w:p>
    <w:p>
      <w:pPr>
        <w:sectPr>
          <w:pgSz w:w="11900" w:h="16838" w:orient="portrait"/>
          <w:cols w:equalWidth="0" w:num="1">
            <w:col w:w="10019"/>
          </w:cols>
          <w:pgMar w:left="440" w:top="274" w:right="1440" w:bottom="1440" w:gutter="0" w:footer="0" w:header="0"/>
          <w:type w:val="continuous"/>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Underwriters’ Discount: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2020: 0.150%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2021: 0.200%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2024: 0.250%</w:t>
      </w:r>
    </w:p>
    <w:p>
      <w:pPr>
        <w:spacing w:after="0" w:line="186" w:lineRule="exact"/>
        <w:rPr>
          <w:sz w:val="20"/>
          <w:szCs w:val="20"/>
          <w:color w:val="auto"/>
        </w:rPr>
      </w:pPr>
    </w:p>
    <w:p>
      <w:pPr>
        <w:sectPr>
          <w:pgSz w:w="11900" w:h="16838" w:orient="portrait"/>
          <w:cols w:equalWidth="0" w:num="2">
            <w:col w:w="1840" w:space="600"/>
            <w:col w:w="7579"/>
          </w:cols>
          <w:pgMar w:left="440" w:top="274" w:right="1440"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2020: 0.150%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2021: 0.200%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2024: 0.250%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2025: 0.350%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2028: 0.400%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2030: 0.425%</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2038: 0.600%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2048: 0.750%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2058: 0.800%</w:t>
      </w:r>
    </w:p>
    <w:p>
      <w:pPr>
        <w:sectPr>
          <w:pgSz w:w="11900" w:h="16838" w:orient="portrait"/>
          <w:cols w:equalWidth="0" w:num="1">
            <w:col w:w="10019"/>
          </w:cols>
          <w:pgMar w:left="440" w:top="274" w:right="1440" w:bottom="1440" w:gutter="0" w:footer="0" w:header="0"/>
          <w:type w:val="continuous"/>
        </w:sectPr>
      </w:pPr>
    </w:p>
    <w:p>
      <w:pPr>
        <w:spacing w:after="0" w:line="153"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Net Proceeds to Comcast, Before Expenses, per $1,000 Principal Amount of Notes: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2020: 99.850%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2021: 99.800%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2024: 99.750%</w:t>
      </w:r>
    </w:p>
    <w:p>
      <w:pPr>
        <w:spacing w:after="0" w:line="186" w:lineRule="exact"/>
        <w:rPr>
          <w:sz w:val="20"/>
          <w:szCs w:val="20"/>
          <w:color w:val="auto"/>
        </w:rPr>
      </w:pPr>
    </w:p>
    <w:p>
      <w:pPr>
        <w:sectPr>
          <w:pgSz w:w="11900" w:h="16838" w:orient="portrait"/>
          <w:cols w:equalWidth="0" w:num="2">
            <w:col w:w="2100" w:space="340"/>
            <w:col w:w="7579"/>
          </w:cols>
          <w:pgMar w:left="440" w:top="274" w:right="1440"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2020: 99.822%</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2021: 99.699%</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2024: 99.744%</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2025: 99.527%</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2028: 99.550%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2030: 99.518%</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2038: 99.334%</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2048: 99.168%</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2058: 99.112%</w:t>
      </w:r>
    </w:p>
    <w:p>
      <w:pPr>
        <w:sectPr>
          <w:pgSz w:w="11900" w:h="16838" w:orient="portrait"/>
          <w:cols w:equalWidth="0" w:num="1">
            <w:col w:w="10019"/>
          </w:cols>
          <w:pgMar w:left="440" w:top="274" w:right="1440" w:bottom="1440" w:gutter="0" w:footer="0" w:header="0"/>
          <w:type w:val="continuous"/>
        </w:sectPr>
      </w:pPr>
    </w:p>
    <w:p>
      <w:pPr>
        <w:spacing w:after="0" w:line="153"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Net Proceeds to Comcast, Before Expenses, Total</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Notes due 2020: $1,248,125,000</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2021: $998,000,000</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2024: $498,750,000</w:t>
      </w:r>
    </w:p>
    <w:p>
      <w:pPr>
        <w:spacing w:after="0" w:line="174" w:lineRule="exact"/>
        <w:rPr>
          <w:sz w:val="20"/>
          <w:szCs w:val="20"/>
          <w:color w:val="auto"/>
        </w:rPr>
      </w:pPr>
    </w:p>
    <w:p>
      <w:pPr>
        <w:sectPr>
          <w:pgSz w:w="11900" w:h="16838" w:orient="portrait"/>
          <w:cols w:equalWidth="0" w:num="2">
            <w:col w:w="1920" w:space="520"/>
            <w:col w:w="7579"/>
          </w:cols>
          <w:pgMar w:left="440" w:top="274" w:right="1440"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2020: $1,746,885,000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2021: $1,993,980,000</w:t>
      </w:r>
    </w:p>
    <w:p>
      <w:pPr>
        <w:sectPr>
          <w:pgSz w:w="11900" w:h="16838" w:orient="portrait"/>
          <w:cols w:equalWidth="0" w:num="1">
            <w:col w:w="10019"/>
          </w:cols>
          <w:pgMar w:left="440" w:top="274" w:right="1440" w:bottom="1440" w:gutter="0" w:footer="0" w:header="0"/>
          <w:type w:val="continuous"/>
        </w:sectPr>
      </w:pPr>
    </w:p>
    <w:bookmarkStart w:id="6" w:name="page7"/>
    <w:bookmarkEnd w:id="6"/>
    <w:p>
      <w:pPr>
        <w:ind w:left="28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due 2024: $2,493,600,000</w:t>
      </w:r>
    </w:p>
    <w:p>
      <w:pPr>
        <w:spacing w:after="0" w:line="50"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2025: $2,985,810,000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2028: $3,982,000,000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2030: $1,492,770,000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2038: $2,980,020,000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2048: $3,966,720,000</w:t>
      </w:r>
    </w:p>
    <w:p>
      <w:pPr>
        <w:spacing w:after="0" w:line="44" w:lineRule="exact"/>
        <w:rPr>
          <w:sz w:val="20"/>
          <w:szCs w:val="20"/>
          <w:color w:val="auto"/>
        </w:rPr>
      </w:pPr>
    </w:p>
    <w:p>
      <w:pPr>
        <w:ind w:left="2860"/>
        <w:spacing w:after="0"/>
        <w:rPr>
          <w:sz w:val="20"/>
          <w:szCs w:val="20"/>
          <w:color w:val="auto"/>
        </w:rPr>
      </w:pPr>
      <w:r>
        <w:rPr>
          <w:rFonts w:ascii="Arial" w:cs="Arial" w:eastAsia="Arial" w:hAnsi="Arial"/>
          <w:sz w:val="15"/>
          <w:szCs w:val="15"/>
          <w:color w:val="auto"/>
        </w:rPr>
        <w:t>Notes due 2058: $2,477,800,000</w:t>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Total for all Notes: $26,864,460,000</w:t>
      </w:r>
    </w:p>
    <w:p>
      <w:pPr>
        <w:sectPr>
          <w:pgSz w:w="11900" w:h="16838" w:orient="portrait"/>
          <w:cols w:equalWidth="0" w:num="1">
            <w:col w:w="10980"/>
          </w:cols>
          <w:pgMar w:left="440" w:top="280" w:right="47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 ISIN: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Floating Rate Notes: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2020: 20030N CV1 / US20030NCV10</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2021: 20030N CW9 / US20030NCW92</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Notes due 2024: 20030N CX7 / US20030NCX75</w:t>
      </w:r>
    </w:p>
    <w:p>
      <w:pPr>
        <w:spacing w:after="0" w:line="174" w:lineRule="exact"/>
        <w:rPr>
          <w:sz w:val="20"/>
          <w:szCs w:val="20"/>
          <w:color w:val="auto"/>
        </w:rPr>
      </w:pPr>
    </w:p>
    <w:p>
      <w:pPr>
        <w:sectPr>
          <w:pgSz w:w="11900" w:h="16838" w:orient="portrait"/>
          <w:cols w:equalWidth="0" w:num="2">
            <w:col w:w="1720" w:space="720"/>
            <w:col w:w="8540"/>
          </w:cols>
          <w:pgMar w:left="440" w:top="280" w:right="479" w:bottom="1440" w:gutter="0" w:footer="0" w:header="0"/>
          <w:type w:val="continuous"/>
        </w:sectPr>
      </w:pPr>
    </w:p>
    <w:p>
      <w:pPr>
        <w:ind w:left="2440"/>
        <w:spacing w:after="0"/>
        <w:rPr>
          <w:sz w:val="20"/>
          <w:szCs w:val="20"/>
          <w:color w:val="auto"/>
        </w:rPr>
      </w:pPr>
      <w:r>
        <w:rPr>
          <w:rFonts w:ascii="Arial" w:cs="Arial" w:eastAsia="Arial" w:hAnsi="Arial"/>
          <w:sz w:val="18"/>
          <w:szCs w:val="18"/>
          <w:color w:val="auto"/>
        </w:rPr>
        <w:t>Fixed Rate Notes: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2020: 20030N CP4 / US20030NCP42</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2021: 20030N CQ2 / US20030NCQ25</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2024: 20030N CR0 / US20030NCR08</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2025: 20030N CS8 / US20030NCS80</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2028: 20030N CT6 / US20030NCT63</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2030: 20030N CU3 / US20030NCU37</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2038: 20030N CL3 / US20030NCL38</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2048: 20030N CM1 / US20030NCM11</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Notes due 2058: 20030N CN9 / US20030NCN93</w:t>
      </w:r>
    </w:p>
    <w:p>
      <w:pPr>
        <w:sectPr>
          <w:pgSz w:w="11900" w:h="16838" w:orient="portrait"/>
          <w:cols w:equalWidth="0" w:num="1">
            <w:col w:w="10980"/>
          </w:cols>
          <w:pgMar w:left="440" w:top="280" w:right="479" w:bottom="1440" w:gutter="0" w:footer="0" w:header="0"/>
          <w:type w:val="continuous"/>
        </w:sectPr>
      </w:pPr>
    </w:p>
    <w:p>
      <w:pPr>
        <w:spacing w:after="0" w:line="14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128" w:lineRule="exact"/>
        <w:rPr>
          <w:sz w:val="20"/>
          <w:szCs w:val="20"/>
          <w:color w:val="auto"/>
        </w:rPr>
      </w:pPr>
    </w:p>
    <w:p>
      <w:pPr>
        <w:sectPr>
          <w:pgSz w:w="11900" w:h="16838" w:orient="portrait"/>
          <w:cols w:equalWidth="0" w:num="2">
            <w:col w:w="1720" w:space="720"/>
            <w:col w:w="8540"/>
          </w:cols>
          <w:pgMar w:left="440" w:top="28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BNP Paribas Securities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Santander Investment Securities Inc.</w:t>
      </w:r>
    </w:p>
    <w:p>
      <w:pPr>
        <w:spacing w:after="0" w:line="139" w:lineRule="exact"/>
        <w:rPr>
          <w:sz w:val="20"/>
          <w:szCs w:val="20"/>
          <w:color w:val="auto"/>
        </w:rPr>
      </w:pPr>
    </w:p>
    <w:p>
      <w:pPr>
        <w:sectPr>
          <w:pgSz w:w="11900" w:h="16838" w:orient="portrait"/>
          <w:cols w:equalWidth="0" w:num="2">
            <w:col w:w="1720" w:space="720"/>
            <w:col w:w="8540"/>
          </w:cols>
          <w:pgMar w:left="440" w:top="28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Apto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Great Pacific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Multi-Bank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Seelaus &amp; Co.,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165" w:lineRule="exact"/>
        <w:rPr>
          <w:sz w:val="20"/>
          <w:szCs w:val="20"/>
          <w:color w:val="auto"/>
        </w:rPr>
      </w:pPr>
    </w:p>
    <w:p>
      <w:pPr>
        <w:sectPr>
          <w:pgSz w:w="11900" w:h="16838" w:orient="portrait"/>
          <w:cols w:equalWidth="0" w:num="2">
            <w:col w:w="1720" w:space="720"/>
            <w:col w:w="8540"/>
          </w:cols>
          <w:pgMar w:left="440" w:top="280" w:right="479" w:bottom="1440" w:gutter="0" w:footer="0" w:header="0"/>
          <w:type w:val="continuous"/>
        </w:sectPr>
      </w:pPr>
    </w:p>
    <w:p>
      <w:pPr>
        <w:spacing w:after="0" w:line="294"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Merrill Lynch, Pierce, Fenner &amp; Smith Incorporated toll-free at (800) 294-1322 or Wells Fargo Securities, LLC at (800) 645-3751.</w:t>
      </w:r>
    </w:p>
    <w:sectPr>
      <w:pgSz w:w="11900" w:h="16838" w:orient="portrait"/>
      <w:cols w:equalWidth="0" w:num="1">
        <w:col w:w="10980"/>
      </w:cols>
      <w:pgMar w:left="440" w:top="28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2019-12-06T19:51:08Z</dcterms:created>
  <dcterms:modified xsi:type="dcterms:W3CDTF">2019-12-06T19:51:08Z</dcterms:modified>
</cp:coreProperties>
</file>