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27, 2016</w:t>
      </w:r>
    </w:p>
    <w:p>
      <w:pPr>
        <w:spacing w:after="0" w:line="207" w:lineRule="exact"/>
        <w:rPr>
          <w:sz w:val="24"/>
          <w:szCs w:val="24"/>
          <w:color w:val="auto"/>
        </w:rPr>
      </w:pPr>
    </w:p>
    <w:tbl>
      <w:tblPr>
        <w:tblLayout w:type="fixed"/>
        <w:tblInd w:w="1120" w:type="dxa"/>
        <w:tblCellMar>
          <w:top w:w="0" w:type="dxa"/>
          <w:left w:w="0" w:type="dxa"/>
          <w:bottom w:w="0" w:type="dxa"/>
          <w:right w:w="0" w:type="dxa"/>
        </w:tblCellMar>
      </w:tblPr>
      <w:tr>
        <w:trPr>
          <w:trHeight w:val="351"/>
        </w:trPr>
        <w:tc>
          <w:tcPr>
            <w:tcW w:w="2440" w:type="dxa"/>
            <w:vAlign w:val="bottom"/>
          </w:tcPr>
          <w:p>
            <w:pPr>
              <w:spacing w:after="0"/>
              <w:rPr>
                <w:sz w:val="24"/>
                <w:szCs w:val="24"/>
                <w:color w:val="auto"/>
              </w:rPr>
            </w:pPr>
          </w:p>
        </w:tc>
        <w:tc>
          <w:tcPr>
            <w:tcW w:w="6580" w:type="dxa"/>
            <w:vAlign w:val="bottom"/>
          </w:tcPr>
          <w:p>
            <w:pPr>
              <w:jc w:val="center"/>
              <w:ind w:right="2177"/>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440" w:type="dxa"/>
            <w:vAlign w:val="bottom"/>
          </w:tcPr>
          <w:p>
            <w:pPr>
              <w:spacing w:after="0"/>
              <w:rPr>
                <w:sz w:val="12"/>
                <w:szCs w:val="12"/>
                <w:color w:val="auto"/>
              </w:rPr>
            </w:pPr>
          </w:p>
        </w:tc>
        <w:tc>
          <w:tcPr>
            <w:tcW w:w="6580" w:type="dxa"/>
            <w:vAlign w:val="bottom"/>
          </w:tcPr>
          <w:p>
            <w:pPr>
              <w:jc w:val="center"/>
              <w:ind w:right="2197"/>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440" w:type="dxa"/>
            <w:vAlign w:val="bottom"/>
          </w:tcPr>
          <w:p>
            <w:pPr>
              <w:spacing w:after="0"/>
              <w:rPr>
                <w:sz w:val="15"/>
                <w:szCs w:val="15"/>
                <w:color w:val="auto"/>
              </w:rPr>
            </w:pPr>
          </w:p>
        </w:tc>
        <w:tc>
          <w:tcPr>
            <w:tcW w:w="6580" w:type="dxa"/>
            <w:vAlign w:val="bottom"/>
          </w:tcPr>
          <w:p>
            <w:pPr>
              <w:jc w:val="center"/>
              <w:ind w:right="2197"/>
              <w:spacing w:after="0"/>
              <w:rPr>
                <w:sz w:val="20"/>
                <w:szCs w:val="20"/>
                <w:color w:val="auto"/>
              </w:rPr>
            </w:pPr>
            <w:r>
              <w:rPr>
                <w:rFonts w:ascii="Arial" w:cs="Arial" w:eastAsia="Arial" w:hAnsi="Arial"/>
                <w:sz w:val="14"/>
                <w:szCs w:val="14"/>
                <w:color w:val="auto"/>
                <w:w w:val="93"/>
              </w:rPr>
              <w:t>as Specified in its Charter)</w:t>
            </w:r>
          </w:p>
        </w:tc>
      </w:tr>
      <w:tr>
        <w:trPr>
          <w:trHeight w:val="398"/>
        </w:trPr>
        <w:tc>
          <w:tcPr>
            <w:tcW w:w="2440" w:type="dxa"/>
            <w:vAlign w:val="bottom"/>
          </w:tcPr>
          <w:p>
            <w:pPr>
              <w:spacing w:after="0"/>
              <w:rPr>
                <w:sz w:val="24"/>
                <w:szCs w:val="24"/>
                <w:color w:val="auto"/>
              </w:rPr>
            </w:pPr>
          </w:p>
        </w:tc>
        <w:tc>
          <w:tcPr>
            <w:tcW w:w="6580" w:type="dxa"/>
            <w:vAlign w:val="bottom"/>
          </w:tcPr>
          <w:p>
            <w:pPr>
              <w:jc w:val="center"/>
              <w:ind w:right="2197"/>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440" w:type="dxa"/>
            <w:vAlign w:val="bottom"/>
          </w:tcPr>
          <w:p>
            <w:pPr>
              <w:spacing w:after="0"/>
              <w:rPr>
                <w:sz w:val="15"/>
                <w:szCs w:val="15"/>
                <w:color w:val="auto"/>
              </w:rPr>
            </w:pPr>
          </w:p>
        </w:tc>
        <w:tc>
          <w:tcPr>
            <w:tcW w:w="6580" w:type="dxa"/>
            <w:vAlign w:val="bottom"/>
          </w:tcPr>
          <w:p>
            <w:pPr>
              <w:jc w:val="center"/>
              <w:ind w:right="2197"/>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98"/>
        </w:trPr>
        <w:tc>
          <w:tcPr>
            <w:tcW w:w="244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001-32871</w:t>
            </w:r>
          </w:p>
        </w:tc>
        <w:tc>
          <w:tcPr>
            <w:tcW w:w="6580" w:type="dxa"/>
            <w:vAlign w:val="bottom"/>
          </w:tcPr>
          <w:p>
            <w:pPr>
              <w:jc w:val="center"/>
              <w:ind w:left="4497"/>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440" w:type="dxa"/>
            <w:vAlign w:val="bottom"/>
          </w:tcPr>
          <w:p>
            <w:pPr>
              <w:jc w:val="center"/>
              <w:spacing w:after="0"/>
              <w:rPr>
                <w:sz w:val="20"/>
                <w:szCs w:val="20"/>
                <w:color w:val="auto"/>
              </w:rPr>
            </w:pPr>
            <w:r>
              <w:rPr>
                <w:rFonts w:ascii="Arial" w:cs="Arial" w:eastAsia="Arial" w:hAnsi="Arial"/>
                <w:sz w:val="14"/>
                <w:szCs w:val="14"/>
                <w:color w:val="auto"/>
                <w:w w:val="96"/>
              </w:rPr>
              <w:t>(Commission File Number)</w:t>
            </w:r>
          </w:p>
        </w:tc>
        <w:tc>
          <w:tcPr>
            <w:tcW w:w="6580" w:type="dxa"/>
            <w:vAlign w:val="bottom"/>
          </w:tcPr>
          <w:p>
            <w:pPr>
              <w:jc w:val="center"/>
              <w:ind w:left="4517"/>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One Comcast Center</w:t>
            </w:r>
          </w:p>
        </w:tc>
        <w:tc>
          <w:tcPr>
            <w:tcW w:w="6580" w:type="dxa"/>
            <w:vAlign w:val="bottom"/>
          </w:tcPr>
          <w:p>
            <w:pPr>
              <w:spacing w:after="0"/>
              <w:rPr>
                <w:sz w:val="24"/>
                <w:szCs w:val="24"/>
                <w:color w:val="auto"/>
              </w:rPr>
            </w:pP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6580" w:type="dxa"/>
            <w:vAlign w:val="bottom"/>
          </w:tcPr>
          <w:p>
            <w:pPr>
              <w:jc w:val="center"/>
              <w:ind w:left="4497"/>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44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6580" w:type="dxa"/>
            <w:vAlign w:val="bottom"/>
          </w:tcPr>
          <w:p>
            <w:pPr>
              <w:jc w:val="center"/>
              <w:ind w:left="4497"/>
              <w:spacing w:after="0"/>
              <w:rPr>
                <w:sz w:val="20"/>
                <w:szCs w:val="20"/>
                <w:color w:val="auto"/>
              </w:rPr>
            </w:pPr>
            <w:r>
              <w:rPr>
                <w:rFonts w:ascii="Arial" w:cs="Arial" w:eastAsia="Arial" w:hAnsi="Arial"/>
                <w:sz w:val="14"/>
                <w:szCs w:val="14"/>
                <w:color w:val="auto"/>
                <w:w w:val="96"/>
              </w:rPr>
              <w:t>(Zip Code)</w:t>
            </w:r>
          </w:p>
        </w:tc>
      </w:tr>
      <w:tr>
        <w:trPr>
          <w:trHeight w:val="633"/>
        </w:trPr>
        <w:tc>
          <w:tcPr>
            <w:tcW w:w="2440" w:type="dxa"/>
            <w:vAlign w:val="bottom"/>
          </w:tcPr>
          <w:p>
            <w:pPr>
              <w:spacing w:after="0"/>
              <w:rPr>
                <w:sz w:val="24"/>
                <w:szCs w:val="24"/>
                <w:color w:val="auto"/>
              </w:rPr>
            </w:pPr>
          </w:p>
        </w:tc>
        <w:tc>
          <w:tcPr>
            <w:tcW w:w="6580" w:type="dxa"/>
            <w:vAlign w:val="bottom"/>
          </w:tcPr>
          <w:p>
            <w:pPr>
              <w:jc w:val="center"/>
              <w:ind w:right="2177"/>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r>
      <w:tr>
        <w:trPr>
          <w:trHeight w:val="596"/>
        </w:trPr>
        <w:tc>
          <w:tcPr>
            <w:tcW w:w="2440" w:type="dxa"/>
            <w:vAlign w:val="bottom"/>
          </w:tcPr>
          <w:p>
            <w:pPr>
              <w:spacing w:after="0"/>
              <w:rPr>
                <w:sz w:val="24"/>
                <w:szCs w:val="24"/>
                <w:color w:val="auto"/>
              </w:rPr>
            </w:pPr>
          </w:p>
        </w:tc>
        <w:tc>
          <w:tcPr>
            <w:tcW w:w="6580" w:type="dxa"/>
            <w:vAlign w:val="bottom"/>
          </w:tcPr>
          <w:p>
            <w:pPr>
              <w:jc w:val="center"/>
              <w:ind w:right="2177"/>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03"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July 27, 2016, Comcast Corporation (“Comcast”) issued a press release reporting the results of its operations for the three and six months ended June 30, 2016.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4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4"/>
          <w:szCs w:val="24"/>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4"/>
          <w:szCs w:val="24"/>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July 27, 2016.</w:t>
      </w:r>
    </w:p>
    <w:p>
      <w:pPr>
        <w:spacing w:after="0" w:line="23" w:lineRule="exact"/>
        <w:rPr>
          <w:sz w:val="24"/>
          <w:szCs w:val="24"/>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ectPr>
          <w:pgSz w:w="11900" w:h="16838" w:orient="portrait"/>
          <w:cols w:equalWidth="0" w:num="1">
            <w:col w:w="11420"/>
          </w:cols>
          <w:pgMar w:left="240" w:top="55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July 27, 2016</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Accounting Officer</w:t>
            </w:r>
          </w:p>
        </w:tc>
        <w:tc>
          <w:tcPr>
            <w:tcW w:w="4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62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53"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36334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COMCAST REPORTS 2nd QUARTER 2016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11430</wp:posOffset>
            </wp:positionV>
            <wp:extent cx="4364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2nd Quarter 2016 Highlights:</w:t>
      </w:r>
    </w:p>
    <w:p>
      <w:pPr>
        <w:spacing w:after="0" w:line="211" w:lineRule="exact"/>
        <w:rPr>
          <w:sz w:val="20"/>
          <w:szCs w:val="20"/>
          <w:color w:val="auto"/>
        </w:rPr>
      </w:pPr>
    </w:p>
    <w:p>
      <w:pPr>
        <w:ind w:left="600" w:hanging="268"/>
        <w:spacing w:after="0"/>
        <w:tabs>
          <w:tab w:leader="none" w:pos="600" w:val="left"/>
        </w:tabs>
        <w:numPr>
          <w:ilvl w:val="0"/>
          <w:numId w:val="2"/>
        </w:numPr>
        <w:rPr>
          <w:rFonts w:ascii="Arial" w:cs="Arial" w:eastAsia="Arial" w:hAnsi="Arial"/>
          <w:sz w:val="22"/>
          <w:szCs w:val="22"/>
          <w:color w:val="auto"/>
        </w:rPr>
      </w:pPr>
      <w:r>
        <w:rPr>
          <w:rFonts w:ascii="Arial" w:cs="Arial" w:eastAsia="Arial" w:hAnsi="Arial"/>
          <w:sz w:val="18"/>
          <w:szCs w:val="18"/>
          <w:color w:val="auto"/>
        </w:rPr>
        <w:t>Consolidated Revenue Increased 2.8%, Operating Income Decreased 1.0%, Operating Cash Flow Increased 3.0%</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Net Cash Provided by Operating Activities was $4.3 Billion, Free Cash Flow was $1.4 Billion</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Earnings per Share Decreased 1.2% to $0.83</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Dividends per Share Increased 10% and Share Repurchases were $1.1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2nd Quarter 2016 Highlights:</w:t>
      </w:r>
    </w:p>
    <w:p>
      <w:pPr>
        <w:spacing w:after="0" w:line="21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Cable Communications Revenue Increased 6.0% and Operating Cash Flow Increased 5.7%</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Customer Relationships Increased by 115,000, an 83,000 Improvement from the Second Quarter of 2015</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Total Revenue per Customer Relationship Increased 3.0%</w:t>
      </w:r>
    </w:p>
    <w:p>
      <w:pPr>
        <w:spacing w:after="0" w:line="188" w:lineRule="exact"/>
        <w:rPr>
          <w:rFonts w:ascii="Arial" w:cs="Arial" w:eastAsia="Arial" w:hAnsi="Arial"/>
          <w:sz w:val="22"/>
          <w:szCs w:val="22"/>
          <w:color w:val="auto"/>
        </w:rPr>
      </w:pPr>
    </w:p>
    <w:p>
      <w:pPr>
        <w:ind w:left="660" w:right="20" w:hanging="328"/>
        <w:spacing w:after="0" w:line="225" w:lineRule="auto"/>
        <w:tabs>
          <w:tab w:leader="none" w:pos="645" w:val="left"/>
        </w:tabs>
        <w:numPr>
          <w:ilvl w:val="0"/>
          <w:numId w:val="3"/>
        </w:numPr>
        <w:rPr>
          <w:rFonts w:ascii="Arial" w:cs="Arial" w:eastAsia="Arial" w:hAnsi="Arial"/>
          <w:sz w:val="22"/>
          <w:szCs w:val="22"/>
          <w:color w:val="auto"/>
        </w:rPr>
      </w:pPr>
      <w:r>
        <w:rPr>
          <w:rFonts w:ascii="Arial" w:cs="Arial" w:eastAsia="Arial" w:hAnsi="Arial"/>
          <w:sz w:val="18"/>
          <w:szCs w:val="18"/>
          <w:color w:val="auto"/>
        </w:rPr>
        <w:t>Video Customers Net Losses Improved to 4,000, the Best Second Quarter Result in Over 10 Years; Nearly 40% of All Video Customers Now Have X1</w:t>
      </w:r>
    </w:p>
    <w:p>
      <w:pPr>
        <w:spacing w:after="0" w:line="140"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High-Speed Internet Customers Increased by 220,000, the Best Second Quarter Result in 8 Years</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Business Services Revenue Increased 17.0%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2nd Quarter 2016 Highlights:</w:t>
      </w:r>
    </w:p>
    <w:p>
      <w:pPr>
        <w:spacing w:after="0" w:line="21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18"/>
          <w:szCs w:val="18"/>
          <w:color w:val="auto"/>
        </w:rPr>
        <w:t>Broadcast Operating Cash Flow Increased 70.5%, Reflecting Growth in Content Licensing, Retransmission and Advertising Revenues</w:t>
      </w:r>
    </w:p>
    <w:p>
      <w:pPr>
        <w:spacing w:after="0" w:line="188" w:lineRule="exact"/>
        <w:rPr>
          <w:rFonts w:ascii="Arial" w:cs="Arial" w:eastAsia="Arial" w:hAnsi="Arial"/>
          <w:sz w:val="22"/>
          <w:szCs w:val="22"/>
          <w:color w:val="auto"/>
        </w:rPr>
      </w:pPr>
    </w:p>
    <w:p>
      <w:pPr>
        <w:ind w:left="660" w:right="480" w:hanging="328"/>
        <w:spacing w:after="0" w:line="225" w:lineRule="auto"/>
        <w:tabs>
          <w:tab w:leader="none" w:pos="645" w:val="left"/>
        </w:tabs>
        <w:numPr>
          <w:ilvl w:val="0"/>
          <w:numId w:val="4"/>
        </w:numPr>
        <w:rPr>
          <w:rFonts w:ascii="Arial" w:cs="Arial" w:eastAsia="Arial" w:hAnsi="Arial"/>
          <w:sz w:val="22"/>
          <w:szCs w:val="22"/>
          <w:color w:val="auto"/>
        </w:rPr>
      </w:pPr>
      <w:r>
        <w:rPr>
          <w:rFonts w:ascii="Arial" w:cs="Arial" w:eastAsia="Arial" w:hAnsi="Arial"/>
          <w:sz w:val="18"/>
          <w:szCs w:val="18"/>
          <w:color w:val="auto"/>
        </w:rPr>
        <w:t xml:space="preserve">Theme Parks Operating Cash Flow Increased 40.5%, Primarily Reflecting the Inclusion of Universal Studios Japan, as well as the Successful Opening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Hollywood</w:t>
      </w:r>
    </w:p>
    <w:p>
      <w:pPr>
        <w:spacing w:after="0" w:line="140" w:lineRule="exact"/>
        <w:rPr>
          <w:rFonts w:ascii="Arial" w:cs="Arial" w:eastAsia="Arial" w:hAnsi="Arial"/>
          <w:sz w:val="22"/>
          <w:szCs w:val="22"/>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18"/>
          <w:szCs w:val="18"/>
          <w:color w:val="auto"/>
        </w:rPr>
        <w:t>Cable Networks Operating Cash Flow Increased 8.3%, Driven by Higher Affiliate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PHILADELPHIA – July 27, 2016… Comcast Corporation (NASDAQ: CMCSA) today reported results for the quarter ended June 30, 2016.</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Brian L. Roberts, Chairman and Chief Executive Officer of Comcast Corporation, said, “I am pleased to report excellent results as our momentum continues across our businesses. Our Cable subscriber and financial performance during the quarter was outstanding. We more than tripled our customer relationship net additions, with our best second quarter Internet customer results in eight years and our best second quarter video customer results in over ten years, and we successfully balanced this with strong operating cash flow growth. Despite an expected difficult comparison to last year’s record second quarter film slate, NBCUniversal achieved solid results, driven by strength in our TV businesses and Theme Parks, which benefitted from the successful opening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Hollywood. I am excited about the opportunities ahead for our company as we work together to bring people incredible technology, and memorable experiences, and there is no better example than the Olympic Games. The entire organization is gearing up to deliver the most comprehensive and innovative Olympics coverage in history starting next week, which will showcase the incredible breadth of NBCUniversal together with Comcast Cable and the X1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2nd Quarter</w:t>
            </w: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Year to Date</w:t>
            </w:r>
          </w:p>
        </w:tc>
        <w:tc>
          <w:tcPr>
            <w:tcW w:w="800" w:type="dxa"/>
            <w:vAlign w:val="bottom"/>
          </w:tcPr>
          <w:p>
            <w:pPr>
              <w:spacing w:after="0"/>
              <w:rPr>
                <w:sz w:val="14"/>
                <w:szCs w:val="14"/>
                <w:color w:val="auto"/>
              </w:rPr>
            </w:pPr>
          </w:p>
        </w:tc>
      </w:tr>
      <w:tr>
        <w:trPr>
          <w:trHeight w:val="178"/>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2015</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2016</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Growth</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153"/>
        </w:trPr>
        <w:tc>
          <w:tcPr>
            <w:tcW w:w="4080" w:type="dxa"/>
            <w:vAlign w:val="bottom"/>
          </w:tcPr>
          <w:p>
            <w:pPr>
              <w:ind w:left="40"/>
              <w:spacing w:after="0" w:line="153" w:lineRule="exact"/>
              <w:rPr>
                <w:sz w:val="20"/>
                <w:szCs w:val="20"/>
                <w:color w:val="auto"/>
              </w:rPr>
            </w:pPr>
            <w:r>
              <w:rPr>
                <w:rFonts w:ascii="Arial" w:cs="Arial" w:eastAsia="Arial" w:hAnsi="Arial"/>
                <w:sz w:val="14"/>
                <w:szCs w:val="14"/>
                <w:color w:val="auto"/>
              </w:rPr>
              <w:t>Revenue</w:t>
            </w:r>
          </w:p>
        </w:tc>
        <w:tc>
          <w:tcPr>
            <w:tcW w:w="1380" w:type="dxa"/>
            <w:vAlign w:val="bottom"/>
          </w:tcPr>
          <w:p>
            <w:pPr>
              <w:jc w:val="right"/>
              <w:ind w:right="8"/>
              <w:spacing w:after="0" w:line="153" w:lineRule="exact"/>
              <w:rPr>
                <w:sz w:val="20"/>
                <w:szCs w:val="20"/>
                <w:color w:val="auto"/>
              </w:rPr>
            </w:pPr>
            <w:r>
              <w:rPr>
                <w:rFonts w:ascii="Arial" w:cs="Arial" w:eastAsia="Arial" w:hAnsi="Arial"/>
                <w:sz w:val="14"/>
                <w:szCs w:val="14"/>
                <w:color w:val="auto"/>
              </w:rPr>
              <w:t>$18,743</w:t>
            </w:r>
          </w:p>
        </w:tc>
        <w:tc>
          <w:tcPr>
            <w:tcW w:w="1300" w:type="dxa"/>
            <w:vAlign w:val="bottom"/>
          </w:tcPr>
          <w:p>
            <w:pPr>
              <w:jc w:val="right"/>
              <w:ind w:right="268"/>
              <w:spacing w:after="0" w:line="153" w:lineRule="exact"/>
              <w:rPr>
                <w:sz w:val="20"/>
                <w:szCs w:val="20"/>
                <w:color w:val="auto"/>
              </w:rPr>
            </w:pPr>
            <w:r>
              <w:rPr>
                <w:rFonts w:ascii="Arial" w:cs="Arial" w:eastAsia="Arial" w:hAnsi="Arial"/>
                <w:sz w:val="14"/>
                <w:szCs w:val="14"/>
                <w:color w:val="auto"/>
              </w:rPr>
              <w:t>$19,269</w:t>
            </w:r>
          </w:p>
        </w:tc>
        <w:tc>
          <w:tcPr>
            <w:tcW w:w="1400" w:type="dxa"/>
            <w:vAlign w:val="bottom"/>
          </w:tcPr>
          <w:p>
            <w:pPr>
              <w:jc w:val="right"/>
              <w:ind w:right="508"/>
              <w:spacing w:after="0" w:line="153" w:lineRule="exact"/>
              <w:rPr>
                <w:sz w:val="20"/>
                <w:szCs w:val="20"/>
                <w:color w:val="auto"/>
              </w:rPr>
            </w:pPr>
            <w:r>
              <w:rPr>
                <w:rFonts w:ascii="Arial" w:cs="Arial" w:eastAsia="Arial" w:hAnsi="Arial"/>
                <w:sz w:val="14"/>
                <w:szCs w:val="14"/>
                <w:color w:val="auto"/>
              </w:rPr>
              <w:t>2.8%</w:t>
            </w:r>
          </w:p>
        </w:tc>
        <w:tc>
          <w:tcPr>
            <w:tcW w:w="1160" w:type="dxa"/>
            <w:vAlign w:val="bottom"/>
          </w:tcPr>
          <w:p>
            <w:pPr>
              <w:jc w:val="right"/>
              <w:spacing w:after="0" w:line="153" w:lineRule="exact"/>
              <w:rPr>
                <w:sz w:val="20"/>
                <w:szCs w:val="20"/>
                <w:color w:val="auto"/>
              </w:rPr>
            </w:pPr>
            <w:r>
              <w:rPr>
                <w:rFonts w:ascii="Arial" w:cs="Arial" w:eastAsia="Arial" w:hAnsi="Arial"/>
                <w:sz w:val="14"/>
                <w:szCs w:val="14"/>
                <w:color w:val="auto"/>
              </w:rPr>
              <w:t>$36,596</w:t>
            </w:r>
          </w:p>
        </w:tc>
        <w:tc>
          <w:tcPr>
            <w:tcW w:w="1300" w:type="dxa"/>
            <w:vAlign w:val="bottom"/>
          </w:tcPr>
          <w:p>
            <w:pPr>
              <w:jc w:val="right"/>
              <w:ind w:right="268"/>
              <w:spacing w:after="0" w:line="153" w:lineRule="exact"/>
              <w:rPr>
                <w:sz w:val="20"/>
                <w:szCs w:val="20"/>
                <w:color w:val="auto"/>
              </w:rPr>
            </w:pPr>
            <w:r>
              <w:rPr>
                <w:rFonts w:ascii="Arial" w:cs="Arial" w:eastAsia="Arial" w:hAnsi="Arial"/>
                <w:sz w:val="14"/>
                <w:szCs w:val="14"/>
                <w:color w:val="auto"/>
              </w:rPr>
              <w:t>$38,059</w:t>
            </w:r>
          </w:p>
        </w:tc>
        <w:tc>
          <w:tcPr>
            <w:tcW w:w="800" w:type="dxa"/>
            <w:vAlign w:val="bottom"/>
          </w:tcPr>
          <w:p>
            <w:pPr>
              <w:jc w:val="right"/>
              <w:spacing w:after="0" w:line="153" w:lineRule="exact"/>
              <w:rPr>
                <w:sz w:val="20"/>
                <w:szCs w:val="20"/>
                <w:color w:val="auto"/>
              </w:rPr>
            </w:pPr>
            <w:r>
              <w:rPr>
                <w:rFonts w:ascii="Arial" w:cs="Arial" w:eastAsia="Arial" w:hAnsi="Arial"/>
                <w:sz w:val="14"/>
                <w:szCs w:val="14"/>
                <w:color w:val="auto"/>
              </w:rPr>
              <w:t>4.0%</w:t>
            </w:r>
          </w:p>
        </w:tc>
      </w:tr>
      <w:tr>
        <w:trPr>
          <w:trHeight w:val="171"/>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Super Bowl</w:t>
            </w:r>
          </w:p>
        </w:tc>
        <w:tc>
          <w:tcPr>
            <w:tcW w:w="1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$36,220</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$38,059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5.1%</w:t>
            </w:r>
          </w:p>
        </w:tc>
      </w:tr>
      <w:tr>
        <w:trPr>
          <w:trHeight w:val="156"/>
        </w:trPr>
        <w:tc>
          <w:tcPr>
            <w:tcW w:w="40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Operating Income</w:t>
            </w:r>
          </w:p>
        </w:tc>
        <w:tc>
          <w:tcPr>
            <w:tcW w:w="13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$4,105</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$4,066</w:t>
            </w:r>
          </w:p>
        </w:tc>
        <w:tc>
          <w:tcPr>
            <w:tcW w:w="140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(1.0%)</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$7,995</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$8,155</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r>
      <w:tr>
        <w:trPr>
          <w:trHeight w:val="146"/>
        </w:trPr>
        <w:tc>
          <w:tcPr>
            <w:tcW w:w="4080" w:type="dxa"/>
            <w:vAlign w:val="bottom"/>
          </w:tcPr>
          <w:p>
            <w:pPr>
              <w:ind w:left="40"/>
              <w:spacing w:after="0" w:line="147" w:lineRule="exact"/>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1380" w:type="dxa"/>
            <w:vAlign w:val="bottom"/>
          </w:tcPr>
          <w:p>
            <w:pPr>
              <w:jc w:val="right"/>
              <w:ind w:right="8"/>
              <w:spacing w:after="0" w:line="147" w:lineRule="exact"/>
              <w:rPr>
                <w:sz w:val="20"/>
                <w:szCs w:val="20"/>
                <w:color w:val="auto"/>
              </w:rPr>
            </w:pPr>
            <w:r>
              <w:rPr>
                <w:rFonts w:ascii="Arial" w:cs="Arial" w:eastAsia="Arial" w:hAnsi="Arial"/>
                <w:sz w:val="14"/>
                <w:szCs w:val="14"/>
                <w:color w:val="auto"/>
              </w:rPr>
              <w:t>$6,266</w:t>
            </w:r>
          </w:p>
        </w:tc>
        <w:tc>
          <w:tcPr>
            <w:tcW w:w="130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$6,455</w:t>
            </w:r>
          </w:p>
        </w:tc>
        <w:tc>
          <w:tcPr>
            <w:tcW w:w="1400" w:type="dxa"/>
            <w:vAlign w:val="bottom"/>
          </w:tcPr>
          <w:p>
            <w:pPr>
              <w:jc w:val="right"/>
              <w:ind w:right="508"/>
              <w:spacing w:after="0" w:line="147" w:lineRule="exact"/>
              <w:rPr>
                <w:sz w:val="20"/>
                <w:szCs w:val="20"/>
                <w:color w:val="auto"/>
              </w:rPr>
            </w:pPr>
            <w:r>
              <w:rPr>
                <w:rFonts w:ascii="Arial" w:cs="Arial" w:eastAsia="Arial" w:hAnsi="Arial"/>
                <w:sz w:val="14"/>
                <w:szCs w:val="14"/>
                <w:color w:val="auto"/>
              </w:rPr>
              <w:t>3.0%</w:t>
            </w:r>
          </w:p>
        </w:tc>
        <w:tc>
          <w:tcPr>
            <w:tcW w:w="1160" w:type="dxa"/>
            <w:vAlign w:val="bottom"/>
          </w:tcPr>
          <w:p>
            <w:pPr>
              <w:jc w:val="right"/>
              <w:spacing w:after="0" w:line="147" w:lineRule="exact"/>
              <w:rPr>
                <w:sz w:val="20"/>
                <w:szCs w:val="20"/>
                <w:color w:val="auto"/>
              </w:rPr>
            </w:pPr>
            <w:r>
              <w:rPr>
                <w:rFonts w:ascii="Arial" w:cs="Arial" w:eastAsia="Arial" w:hAnsi="Arial"/>
                <w:sz w:val="14"/>
                <w:szCs w:val="14"/>
                <w:color w:val="auto"/>
              </w:rPr>
              <w:t>$12,222</w:t>
            </w:r>
          </w:p>
        </w:tc>
        <w:tc>
          <w:tcPr>
            <w:tcW w:w="130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$12,822</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4.9%</w:t>
            </w:r>
          </w:p>
        </w:tc>
      </w:tr>
      <w:tr>
        <w:trPr>
          <w:trHeight w:val="171"/>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Transaction-Related Costs (see Table 7)</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$6,345</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$6,455</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i w:val="1"/>
                <w:iCs w:val="1"/>
                <w:color w:val="auto"/>
              </w:rPr>
              <w:t>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$12,400</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$12,822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3.4%</w:t>
            </w:r>
          </w:p>
        </w:tc>
      </w:tr>
      <w:tr>
        <w:trPr>
          <w:trHeight w:val="146"/>
        </w:trPr>
        <w:tc>
          <w:tcPr>
            <w:tcW w:w="4080" w:type="dxa"/>
            <w:vAlign w:val="bottom"/>
          </w:tcPr>
          <w:p>
            <w:pPr>
              <w:ind w:left="40"/>
              <w:spacing w:after="0" w:line="147" w:lineRule="exact"/>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1380" w:type="dxa"/>
            <w:vAlign w:val="bottom"/>
          </w:tcPr>
          <w:p>
            <w:pPr>
              <w:jc w:val="right"/>
              <w:ind w:right="8"/>
              <w:spacing w:after="0" w:line="147" w:lineRule="exact"/>
              <w:rPr>
                <w:sz w:val="20"/>
                <w:szCs w:val="20"/>
                <w:color w:val="auto"/>
              </w:rPr>
            </w:pPr>
            <w:r>
              <w:rPr>
                <w:rFonts w:ascii="Arial" w:cs="Arial" w:eastAsia="Arial" w:hAnsi="Arial"/>
                <w:sz w:val="14"/>
                <w:szCs w:val="14"/>
                <w:color w:val="auto"/>
              </w:rPr>
              <w:t>$0.84</w:t>
            </w:r>
          </w:p>
        </w:tc>
        <w:tc>
          <w:tcPr>
            <w:tcW w:w="130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$0.83</w:t>
            </w:r>
          </w:p>
        </w:tc>
        <w:tc>
          <w:tcPr>
            <w:tcW w:w="1400" w:type="dxa"/>
            <w:vAlign w:val="bottom"/>
          </w:tcPr>
          <w:p>
            <w:pPr>
              <w:jc w:val="right"/>
              <w:ind w:right="508"/>
              <w:spacing w:after="0" w:line="147" w:lineRule="exact"/>
              <w:rPr>
                <w:sz w:val="20"/>
                <w:szCs w:val="20"/>
                <w:color w:val="auto"/>
              </w:rPr>
            </w:pPr>
            <w:r>
              <w:rPr>
                <w:rFonts w:ascii="Arial" w:cs="Arial" w:eastAsia="Arial" w:hAnsi="Arial"/>
                <w:sz w:val="14"/>
                <w:szCs w:val="14"/>
                <w:color w:val="auto"/>
              </w:rPr>
              <w:t>(1.2%)</w:t>
            </w:r>
          </w:p>
        </w:tc>
        <w:tc>
          <w:tcPr>
            <w:tcW w:w="1160" w:type="dxa"/>
            <w:vAlign w:val="bottom"/>
          </w:tcPr>
          <w:p>
            <w:pPr>
              <w:jc w:val="right"/>
              <w:spacing w:after="0" w:line="147" w:lineRule="exact"/>
              <w:rPr>
                <w:sz w:val="20"/>
                <w:szCs w:val="20"/>
                <w:color w:val="auto"/>
              </w:rPr>
            </w:pPr>
            <w:r>
              <w:rPr>
                <w:rFonts w:ascii="Arial" w:cs="Arial" w:eastAsia="Arial" w:hAnsi="Arial"/>
                <w:sz w:val="14"/>
                <w:szCs w:val="14"/>
                <w:color w:val="auto"/>
              </w:rPr>
              <w:t>$1.65</w:t>
            </w:r>
          </w:p>
        </w:tc>
        <w:tc>
          <w:tcPr>
            <w:tcW w:w="130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$1.70</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3.0%</w:t>
            </w:r>
          </w:p>
        </w:tc>
      </w:tr>
      <w:tr>
        <w:trPr>
          <w:trHeight w:val="171"/>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 (see Table 5)</w:t>
            </w:r>
          </w:p>
        </w:tc>
        <w:tc>
          <w:tcPr>
            <w:tcW w:w="1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$1.63</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$1.67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2.5%</w:t>
            </w:r>
          </w:p>
        </w:tc>
      </w:tr>
      <w:tr>
        <w:trPr>
          <w:trHeight w:val="156"/>
        </w:trPr>
        <w:tc>
          <w:tcPr>
            <w:tcW w:w="40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3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$3,589</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$4,273</w:t>
            </w:r>
          </w:p>
        </w:tc>
        <w:tc>
          <w:tcPr>
            <w:tcW w:w="140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19.1%</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$8,834</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$9,383</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w:t>
            </w:r>
          </w:p>
        </w:tc>
      </w:tr>
      <w:tr>
        <w:trPr>
          <w:trHeight w:val="179"/>
        </w:trPr>
        <w:tc>
          <w:tcPr>
            <w:tcW w:w="408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$1,501</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$1,420</w:t>
            </w:r>
          </w:p>
        </w:tc>
        <w:tc>
          <w:tcPr>
            <w:tcW w:w="1400" w:type="dxa"/>
            <w:vAlign w:val="bottom"/>
          </w:tcPr>
          <w:p>
            <w:pPr>
              <w:jc w:val="right"/>
              <w:ind w:right="508"/>
              <w:spacing w:after="0"/>
              <w:rPr>
                <w:sz w:val="20"/>
                <w:szCs w:val="20"/>
                <w:color w:val="auto"/>
              </w:rPr>
            </w:pPr>
            <w:r>
              <w:rPr>
                <w:rFonts w:ascii="Arial" w:cs="Arial" w:eastAsia="Arial" w:hAnsi="Arial"/>
                <w:sz w:val="14"/>
                <w:szCs w:val="14"/>
                <w:color w:val="auto"/>
              </w:rPr>
              <w:t>(5.4%)</w:t>
            </w:r>
          </w:p>
        </w:tc>
        <w:tc>
          <w:tcPr>
            <w:tcW w:w="1160" w:type="dxa"/>
            <w:vAlign w:val="bottom"/>
          </w:tcPr>
          <w:p>
            <w:pPr>
              <w:jc w:val="right"/>
              <w:spacing w:after="0"/>
              <w:rPr>
                <w:sz w:val="20"/>
                <w:szCs w:val="20"/>
                <w:color w:val="auto"/>
              </w:rPr>
            </w:pPr>
            <w:r>
              <w:rPr>
                <w:rFonts w:ascii="Arial" w:cs="Arial" w:eastAsia="Arial" w:hAnsi="Arial"/>
                <w:sz w:val="14"/>
                <w:szCs w:val="14"/>
                <w:color w:val="auto"/>
              </w:rPr>
              <w:t>$4,684</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$4,225</w:t>
            </w:r>
          </w:p>
        </w:tc>
        <w:tc>
          <w:tcPr>
            <w:tcW w:w="800" w:type="dxa"/>
            <w:vAlign w:val="bottom"/>
          </w:tcPr>
          <w:p>
            <w:pPr>
              <w:jc w:val="right"/>
              <w:spacing w:after="0"/>
              <w:rPr>
                <w:sz w:val="20"/>
                <w:szCs w:val="20"/>
                <w:color w:val="auto"/>
              </w:rPr>
            </w:pPr>
            <w:r>
              <w:rPr>
                <w:rFonts w:ascii="Arial" w:cs="Arial" w:eastAsia="Arial" w:hAnsi="Arial"/>
                <w:sz w:val="14"/>
                <w:szCs w:val="14"/>
                <w:color w:val="auto"/>
              </w:rPr>
              <w:t>(9.8%)</w:t>
            </w:r>
          </w:p>
        </w:tc>
      </w:tr>
    </w:tbl>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second quarter of 2016 increased 2.8% to $19.3 billion.</w:t>
      </w:r>
      <w:r>
        <w:rPr>
          <w:rFonts w:ascii="Arial" w:cs="Arial" w:eastAsia="Arial" w:hAnsi="Arial"/>
          <w:sz w:val="18"/>
          <w:szCs w:val="18"/>
          <w:b w:val="1"/>
          <w:bCs w:val="1"/>
          <w:i w:val="1"/>
          <w:iCs w:val="1"/>
          <w:color w:val="auto"/>
        </w:rPr>
        <w:t xml:space="preserve"> Consolidated Operating Income </w:t>
      </w:r>
      <w:r>
        <w:rPr>
          <w:rFonts w:ascii="Arial" w:cs="Arial" w:eastAsia="Arial" w:hAnsi="Arial"/>
          <w:sz w:val="18"/>
          <w:szCs w:val="18"/>
          <w:color w:val="auto"/>
        </w:rPr>
        <w:t>decreased 1.0%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$4.1 billion. </w:t>
      </w:r>
      <w:r>
        <w:rPr>
          <w:rFonts w:ascii="Arial" w:cs="Arial" w:eastAsia="Arial" w:hAnsi="Arial"/>
          <w:sz w:val="18"/>
          <w:szCs w:val="18"/>
          <w:b w:val="1"/>
          <w:bCs w:val="1"/>
          <w:i w:val="1"/>
          <w:iCs w:val="1"/>
          <w:color w:val="auto"/>
        </w:rPr>
        <w:t>Consolidated Operating Cash Flow</w:t>
      </w:r>
      <w:r>
        <w:rPr>
          <w:rFonts w:ascii="Arial" w:cs="Arial" w:eastAsia="Arial" w:hAnsi="Arial"/>
          <w:sz w:val="18"/>
          <w:szCs w:val="18"/>
          <w:color w:val="auto"/>
        </w:rPr>
        <w:t xml:space="preserve"> increased 3.0% to $6.5 billion. Excluding $79 million of Time Warner Cable and Charter transaction-related costs in the second quarter of 2015, consolidated operating cash flow increased 1.7% (see Table 7).</w:t>
      </w:r>
    </w:p>
    <w:p>
      <w:pPr>
        <w:spacing w:after="0" w:line="13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six months ended June 30, 2016, consolidated revenue increased 4.0% to $38.1 billion. Excluding $376 million of revenue generated by the broadcast of the NFL’s Super Bowl in the first quarter of 2015, consolidated revenue increased 5.1% (see Table 7). Consolidated</w:t>
      </w:r>
    </w:p>
    <w:p>
      <w:pPr>
        <w:sectPr>
          <w:pgSz w:w="11900" w:h="16838" w:orient="portrait"/>
          <w:cols w:equalWidth="0" w:num="1">
            <w:col w:w="11420"/>
          </w:cols>
          <w:pgMar w:left="240" w:top="118" w:right="239" w:bottom="0" w:gutter="0" w:footer="0" w:header="0"/>
        </w:sectPr>
      </w:pPr>
    </w:p>
    <w:bookmarkStart w:id="3" w:name="page4"/>
    <w:bookmarkEnd w:id="3"/>
    <w:p>
      <w:pPr>
        <w:jc w:val="both"/>
        <w:spacing w:after="0" w:line="245" w:lineRule="auto"/>
        <w:rPr>
          <w:sz w:val="20"/>
          <w:szCs w:val="20"/>
          <w:color w:val="auto"/>
        </w:rPr>
      </w:pPr>
      <w:r>
        <w:rPr>
          <w:rFonts w:ascii="Arial" w:cs="Arial" w:eastAsia="Arial" w:hAnsi="Arial"/>
          <w:sz w:val="18"/>
          <w:szCs w:val="18"/>
          <w:color w:val="auto"/>
        </w:rPr>
        <w:t>operating income increased 2.0% to $ 8.2 billion. Consolidated operating cash flow increased 4.9% to $ 12.8 billion. Excluding $178 million of transaction-related costs in the first six months of 2015, consolidated operating cash flow increased 3.4% (see Table 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2016 was $0.83, a 1.2% decrease compared to the second quarter of 2015 (see Table 5).</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EPS for the six months ended June 30, 2016 was $1.70, a 3.0% increase from the $1.65 reported in the prior year. Excluding adjustments in the first quarter of 2016 and the first six months of 2015, EPS increased 2.5% to $1.67 (see Table 5).</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15.2% to $2.3 billion in the second quarter of 2016. Cable Communications’ capital expenditures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12.0% to $1.9 billion in the second quarter of 2016, reflecting increased investment in line extensions, a higher level of investment in scalable infrastructure to increase network capacity and continued spending on customer premise equipment related to the deployment of the X1 platform and wireless gateways. Cable capital expenditures represented 15.1% of Cable revenue in the second quarter of 2016 compared to 14.3% in last year’s second quarter. NBCUniversal’s capital expenditures increased 32.4% to $360 million in the second quarter of 2016, primarily reflecting increased spending at our Theme Parks, which now includes Universal Studios Japan.</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2016, capital expenditures increased 12.4% to $4.2 billion compared to the prior year. Cable Communications capital expenditures increased 10.6% to $3.5 billion and represented 14.0% of Cable revenue compared to 13.5% in 2015. NBCUniversal’s capital expenditures increased 21.3% to $655 million for the first six months of 2016.</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increased 19.1% to $4.3 billion in the second quarter of 2016.</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decreased 5.4%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$1.4 billion, reflecting growth in consolidated operating cash flow, offset by higher capital expenditures. Net cash provided by operating activities for the six months ended June 30, 2016 increased 6.2% to $9.4 billion. Free cash flow decreased 9.8% to $4.2 billion compared to 2015 (see Table 4).</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second quarter of 2016, Comcast paid dividends totaling $670 million and repurchased 18.4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$1.1 billion. In the first six months of 2016, Comcast has repurchased 40.4 million of its common shares for $2.4 billion. As of June 30, 2016, Comcast had $7.6 billion available under its share repurchase authorization.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2015</w:t>
            </w:r>
            <w:r>
              <w:rPr>
                <w:rFonts w:ascii="Arial" w:cs="Arial" w:eastAsia="Arial" w:hAnsi="Arial"/>
                <w:sz w:val="14"/>
                <w:szCs w:val="14"/>
                <w:color w:val="auto"/>
                <w:vertAlign w:val="superscript"/>
              </w:rPr>
              <w:t>4</w:t>
            </w: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2nd Quarter</w:t>
            </w:r>
          </w:p>
        </w:tc>
        <w:tc>
          <w:tcPr>
            <w:tcW w:w="1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2015</w:t>
            </w:r>
            <w:r>
              <w:rPr>
                <w:rFonts w:ascii="Arial" w:cs="Arial" w:eastAsia="Arial" w:hAnsi="Arial"/>
                <w:sz w:val="14"/>
                <w:szCs w:val="14"/>
                <w:color w:val="auto"/>
                <w:vertAlign w:val="superscript"/>
              </w:rPr>
              <w:t>4</w:t>
            </w: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Year to Date</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12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1580" w:type="dxa"/>
            <w:vAlign w:val="bottom"/>
            <w:vMerge w:val="continue"/>
          </w:tcPr>
          <w:p>
            <w:pPr>
              <w:spacing w:after="0"/>
              <w:rPr>
                <w:sz w:val="14"/>
                <w:szCs w:val="14"/>
                <w:color w:val="auto"/>
              </w:rPr>
            </w:pPr>
          </w:p>
        </w:tc>
        <w:tc>
          <w:tcPr>
            <w:tcW w:w="130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2016</w:t>
            </w:r>
          </w:p>
        </w:tc>
        <w:tc>
          <w:tcPr>
            <w:tcW w:w="1260" w:type="dxa"/>
            <w:vAlign w:val="bottom"/>
          </w:tcPr>
          <w:p>
            <w:pPr>
              <w:jc w:val="right"/>
              <w:ind w:right="388"/>
              <w:spacing w:after="0" w:line="157" w:lineRule="exact"/>
              <w:rPr>
                <w:sz w:val="20"/>
                <w:szCs w:val="20"/>
                <w:color w:val="auto"/>
              </w:rPr>
            </w:pPr>
            <w:r>
              <w:rPr>
                <w:rFonts w:ascii="Arial" w:cs="Arial" w:eastAsia="Arial" w:hAnsi="Arial"/>
                <w:sz w:val="14"/>
                <w:szCs w:val="14"/>
                <w:color w:val="auto"/>
              </w:rPr>
              <w:t>Growth</w:t>
            </w:r>
          </w:p>
        </w:tc>
        <w:tc>
          <w:tcPr>
            <w:tcW w:w="1040" w:type="dxa"/>
            <w:vAlign w:val="bottom"/>
            <w:vMerge w:val="continue"/>
          </w:tcPr>
          <w:p>
            <w:pPr>
              <w:spacing w:after="0"/>
              <w:rPr>
                <w:sz w:val="14"/>
                <w:szCs w:val="14"/>
                <w:color w:val="auto"/>
              </w:rPr>
            </w:pPr>
          </w:p>
        </w:tc>
        <w:tc>
          <w:tcPr>
            <w:tcW w:w="1300" w:type="dxa"/>
            <w:vAlign w:val="bottom"/>
          </w:tcPr>
          <w:p>
            <w:pPr>
              <w:jc w:val="right"/>
              <w:ind w:right="228"/>
              <w:spacing w:after="0" w:line="157" w:lineRule="exact"/>
              <w:rPr>
                <w:sz w:val="20"/>
                <w:szCs w:val="20"/>
                <w:color w:val="auto"/>
              </w:rPr>
            </w:pPr>
            <w:r>
              <w:rPr>
                <w:rFonts w:ascii="Arial" w:cs="Arial" w:eastAsia="Arial" w:hAnsi="Arial"/>
                <w:sz w:val="14"/>
                <w:szCs w:val="14"/>
                <w:color w:val="auto"/>
              </w:rPr>
              <w:t>2016</w:t>
            </w:r>
          </w:p>
        </w:tc>
        <w:tc>
          <w:tcPr>
            <w:tcW w:w="8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62"/>
        </w:trPr>
        <w:tc>
          <w:tcPr>
            <w:tcW w:w="4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5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Video</w:t>
            </w: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$5,431</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$5,581</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2.8%</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$10,762</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$11,119</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High-Speed Internet</w:t>
            </w: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3,101</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3,369</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8.6%</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6,145</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6,644</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Voice</w:t>
            </w: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903</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893</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(1.1%)</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1,809</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1,789</w:t>
            </w: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Business Services</w:t>
            </w: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1,163</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1,360</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17.0%</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2,279</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2,671</w:t>
            </w: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Advertising</w:t>
            </w: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577</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597</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3.5%</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1,076</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1,156</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Other</w:t>
            </w: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565</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644</w:t>
            </w:r>
          </w:p>
        </w:tc>
        <w:tc>
          <w:tcPr>
            <w:tcW w:w="12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13.7%</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1,110</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1,269</w:t>
            </w: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90"/>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$11,740</w:t>
            </w: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$12,444</w:t>
            </w: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6.0%</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$23,181</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$24,648</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$4,777</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$5,048</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5.7%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$9,435</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$9,937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1580" w:type="dxa"/>
            <w:vAlign w:val="bottom"/>
          </w:tcPr>
          <w:p>
            <w:pPr>
              <w:jc w:val="right"/>
              <w:spacing w:after="0"/>
              <w:rPr>
                <w:sz w:val="20"/>
                <w:szCs w:val="20"/>
                <w:color w:val="auto"/>
              </w:rPr>
            </w:pPr>
            <w:r>
              <w:rPr>
                <w:rFonts w:ascii="Arial" w:cs="Arial" w:eastAsia="Arial" w:hAnsi="Arial"/>
                <w:sz w:val="14"/>
                <w:szCs w:val="14"/>
                <w:i w:val="1"/>
                <w:iCs w:val="1"/>
                <w:color w:val="auto"/>
              </w:rPr>
              <w:t>40.7%</w:t>
            </w:r>
          </w:p>
        </w:tc>
        <w:tc>
          <w:tcPr>
            <w:tcW w:w="1300" w:type="dxa"/>
            <w:vAlign w:val="bottom"/>
          </w:tcPr>
          <w:p>
            <w:pPr>
              <w:jc w:val="right"/>
              <w:ind w:right="268"/>
              <w:spacing w:after="0"/>
              <w:rPr>
                <w:sz w:val="20"/>
                <w:szCs w:val="20"/>
                <w:color w:val="auto"/>
              </w:rPr>
            </w:pPr>
            <w:r>
              <w:rPr>
                <w:rFonts w:ascii="Arial" w:cs="Arial" w:eastAsia="Arial" w:hAnsi="Arial"/>
                <w:sz w:val="14"/>
                <w:szCs w:val="14"/>
                <w:i w:val="1"/>
                <w:iCs w:val="1"/>
                <w:color w:val="auto"/>
              </w:rPr>
              <w:t>40.6%</w:t>
            </w:r>
          </w:p>
        </w:tc>
        <w:tc>
          <w:tcPr>
            <w:tcW w:w="1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40.7%</w:t>
            </w:r>
          </w:p>
        </w:tc>
        <w:tc>
          <w:tcPr>
            <w:tcW w:w="1300" w:type="dxa"/>
            <w:vAlign w:val="bottom"/>
          </w:tcPr>
          <w:p>
            <w:pPr>
              <w:jc w:val="right"/>
              <w:ind w:right="228"/>
              <w:spacing w:after="0"/>
              <w:rPr>
                <w:sz w:val="20"/>
                <w:szCs w:val="20"/>
                <w:color w:val="auto"/>
              </w:rPr>
            </w:pPr>
            <w:r>
              <w:rPr>
                <w:rFonts w:ascii="Arial" w:cs="Arial" w:eastAsia="Arial" w:hAnsi="Arial"/>
                <w:sz w:val="14"/>
                <w:szCs w:val="14"/>
                <w:i w:val="1"/>
                <w:iCs w:val="1"/>
                <w:color w:val="auto"/>
              </w:rPr>
              <w:t>40.3%</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$1,678</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$1,881</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12.0%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$3,124</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$3,457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Percent of Cable Communications Revenue</w:t>
            </w: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i w:val="1"/>
                <w:iCs w:val="1"/>
                <w:color w:val="auto"/>
              </w:rPr>
              <w:t>14.3%</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i w:val="1"/>
                <w:iCs w:val="1"/>
                <w:color w:val="auto"/>
              </w:rPr>
              <w:t>15.1%</w:t>
            </w:r>
          </w:p>
        </w:tc>
        <w:tc>
          <w:tcPr>
            <w:tcW w:w="1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i w:val="1"/>
                <w:iCs w:val="1"/>
                <w:color w:val="auto"/>
              </w:rPr>
              <w:t>13.5%</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i w:val="1"/>
                <w:iCs w:val="1"/>
                <w:color w:val="auto"/>
              </w:rPr>
              <w:t>14.0%</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6.0% to $12.4 billion in the second quarter of 2016,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business services, and video revenue. High-speed Internet revenue increased 8.6%, reflecting an increase in the number of residential high-speed Internet customers, rate adjustments and an increase in the number of customers receiving higher levels of service. Business services revenue increased 17.0%, primarily due to an increase in the number of small business customers, as well as continued growth in our medium-sized business services. Video revenue increased 2.8%, primarily reflecting rate adjustments, as well as an increase in the number of customers subscribing to additional services, partially offset by additional revenue in the prior year period associated with a boxing event available on pay-per-view. Other revenue increased 13.7%, primarily reflecting an increase in Xfinity Home revenue and higher franchise and regulatory fees. Advertising revenue increased 3.5%, reflecting an increase in political advertising revenue.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2016, Cable revenue increased 6.3% to $24.6 billion compared to 2015, driven by growth in high-speed Internet, business services, and video.</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115,000 to 28.1 million in the second quarter of 2016, an 83,000 improvement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the second quarter of 2015, primarily reflecting increases in double and triple product relationships. At the end of the second quarter, penetration of our double and triple product customers increased to 70% compared to 69% in the second quarter of 2015. Video customer net losses of 4,000 were the best result for a second quarter in over 10 years, high-speed Internet customer net additions of 220,000 were the best result for a second quarter in 8 years, and Voice customer net additions improved to 64,000.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12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Net Additions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550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252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2Q15</w:t>
            </w:r>
          </w:p>
        </w:tc>
        <w:tc>
          <w:tcPr>
            <w:tcW w:w="1240" w:type="dxa"/>
            <w:vAlign w:val="bottom"/>
          </w:tcPr>
          <w:p>
            <w:pPr>
              <w:jc w:val="right"/>
              <w:ind w:right="688"/>
              <w:spacing w:after="0" w:line="157" w:lineRule="exact"/>
              <w:rPr>
                <w:sz w:val="20"/>
                <w:szCs w:val="20"/>
                <w:color w:val="auto"/>
              </w:rPr>
            </w:pPr>
            <w:r>
              <w:rPr>
                <w:rFonts w:ascii="Arial" w:cs="Arial" w:eastAsia="Arial" w:hAnsi="Arial"/>
                <w:sz w:val="14"/>
                <w:szCs w:val="14"/>
                <w:color w:val="auto"/>
              </w:rPr>
              <w:t>2Q16</w:t>
            </w:r>
          </w:p>
        </w:tc>
        <w:tc>
          <w:tcPr>
            <w:tcW w:w="1780" w:type="dxa"/>
            <w:vAlign w:val="bottom"/>
          </w:tcPr>
          <w:p>
            <w:pPr>
              <w:jc w:val="right"/>
              <w:ind w:right="588"/>
              <w:spacing w:after="0" w:line="157" w:lineRule="exact"/>
              <w:rPr>
                <w:sz w:val="20"/>
                <w:szCs w:val="20"/>
                <w:color w:val="auto"/>
              </w:rPr>
            </w:pPr>
            <w:r>
              <w:rPr>
                <w:rFonts w:ascii="Arial" w:cs="Arial" w:eastAsia="Arial" w:hAnsi="Arial"/>
                <w:sz w:val="14"/>
                <w:szCs w:val="14"/>
                <w:color w:val="auto"/>
              </w:rPr>
              <w:t>2Q15</w:t>
            </w:r>
          </w:p>
        </w:tc>
        <w:tc>
          <w:tcPr>
            <w:tcW w:w="4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2Q16</w:t>
            </w:r>
          </w:p>
        </w:tc>
      </w:tr>
      <w:tr>
        <w:trPr>
          <w:trHeight w:val="162"/>
        </w:trPr>
        <w:tc>
          <w:tcPr>
            <w:tcW w:w="5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Video Customers</w:t>
            </w:r>
          </w:p>
        </w:tc>
        <w:tc>
          <w:tcPr>
            <w:tcW w:w="25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22,306</w:t>
            </w:r>
          </w:p>
        </w:tc>
        <w:tc>
          <w:tcPr>
            <w:tcW w:w="12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22,396</w:t>
            </w:r>
          </w:p>
        </w:tc>
        <w:tc>
          <w:tcPr>
            <w:tcW w:w="17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(69)</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r>
      <w:tr>
        <w:trPr>
          <w:trHeight w:val="156"/>
        </w:trPr>
        <w:tc>
          <w:tcPr>
            <w:tcW w:w="5500" w:type="dxa"/>
            <w:vAlign w:val="bottom"/>
          </w:tcPr>
          <w:p>
            <w:pPr>
              <w:spacing w:after="0" w:line="155" w:lineRule="exact"/>
              <w:rPr>
                <w:sz w:val="20"/>
                <w:szCs w:val="20"/>
                <w:color w:val="auto"/>
              </w:rPr>
            </w:pPr>
            <w:r>
              <w:rPr>
                <w:rFonts w:ascii="Arial" w:cs="Arial" w:eastAsia="Arial" w:hAnsi="Arial"/>
                <w:sz w:val="14"/>
                <w:szCs w:val="14"/>
                <w:color w:val="auto"/>
              </w:rPr>
              <w:t>High-Speed Internet Customers</w:t>
            </w:r>
          </w:p>
        </w:tc>
        <w:tc>
          <w:tcPr>
            <w:tcW w:w="2520" w:type="dxa"/>
            <w:vAlign w:val="bottom"/>
          </w:tcPr>
          <w:p>
            <w:pPr>
              <w:jc w:val="right"/>
              <w:ind w:right="488"/>
              <w:spacing w:after="0" w:line="155" w:lineRule="exact"/>
              <w:rPr>
                <w:sz w:val="20"/>
                <w:szCs w:val="20"/>
                <w:color w:val="auto"/>
              </w:rPr>
            </w:pPr>
            <w:r>
              <w:rPr>
                <w:rFonts w:ascii="Arial" w:cs="Arial" w:eastAsia="Arial" w:hAnsi="Arial"/>
                <w:sz w:val="14"/>
                <w:szCs w:val="14"/>
                <w:color w:val="auto"/>
              </w:rPr>
              <w:t>22,548</w:t>
            </w:r>
          </w:p>
        </w:tc>
        <w:tc>
          <w:tcPr>
            <w:tcW w:w="1240" w:type="dxa"/>
            <w:vAlign w:val="bottom"/>
          </w:tcPr>
          <w:p>
            <w:pPr>
              <w:jc w:val="right"/>
              <w:ind w:right="688"/>
              <w:spacing w:after="0" w:line="155" w:lineRule="exact"/>
              <w:rPr>
                <w:sz w:val="20"/>
                <w:szCs w:val="20"/>
                <w:color w:val="auto"/>
              </w:rPr>
            </w:pPr>
            <w:r>
              <w:rPr>
                <w:rFonts w:ascii="Arial" w:cs="Arial" w:eastAsia="Arial" w:hAnsi="Arial"/>
                <w:sz w:val="14"/>
                <w:szCs w:val="14"/>
                <w:color w:val="auto"/>
              </w:rPr>
              <w:t>23,987</w:t>
            </w:r>
          </w:p>
        </w:tc>
        <w:tc>
          <w:tcPr>
            <w:tcW w:w="1780" w:type="dxa"/>
            <w:vAlign w:val="bottom"/>
          </w:tcPr>
          <w:p>
            <w:pPr>
              <w:jc w:val="right"/>
              <w:ind w:right="588"/>
              <w:spacing w:after="0" w:line="155" w:lineRule="exact"/>
              <w:rPr>
                <w:sz w:val="20"/>
                <w:szCs w:val="20"/>
                <w:color w:val="auto"/>
              </w:rPr>
            </w:pPr>
            <w:r>
              <w:rPr>
                <w:rFonts w:ascii="Arial" w:cs="Arial" w:eastAsia="Arial" w:hAnsi="Arial"/>
                <w:sz w:val="14"/>
                <w:szCs w:val="14"/>
                <w:color w:val="auto"/>
              </w:rPr>
              <w:t>180</w:t>
            </w:r>
          </w:p>
        </w:tc>
        <w:tc>
          <w:tcPr>
            <w:tcW w:w="4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220</w:t>
            </w:r>
          </w:p>
        </w:tc>
      </w:tr>
      <w:tr>
        <w:trPr>
          <w:trHeight w:val="163"/>
        </w:trPr>
        <w:tc>
          <w:tcPr>
            <w:tcW w:w="5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Voice Customers</w:t>
            </w:r>
          </w:p>
        </w:tc>
        <w:tc>
          <w:tcPr>
            <w:tcW w:w="252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11,319</w:t>
            </w:r>
          </w:p>
        </w:tc>
        <w:tc>
          <w:tcPr>
            <w:tcW w:w="124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11,641</w:t>
            </w:r>
          </w:p>
        </w:tc>
        <w:tc>
          <w:tcPr>
            <w:tcW w:w="178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49</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4"/>
                <w:szCs w:val="14"/>
                <w:color w:val="auto"/>
              </w:rPr>
            </w:pPr>
          </w:p>
        </w:tc>
      </w:tr>
      <w:tr>
        <w:trPr>
          <w:trHeight w:val="169"/>
        </w:trPr>
        <w:tc>
          <w:tcPr>
            <w:tcW w:w="55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Single Product Customers</w:t>
            </w:r>
          </w:p>
        </w:tc>
        <w:tc>
          <w:tcPr>
            <w:tcW w:w="25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8,343</w:t>
            </w:r>
          </w:p>
        </w:tc>
        <w:tc>
          <w:tcPr>
            <w:tcW w:w="12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8,416</w:t>
            </w:r>
          </w:p>
        </w:tc>
        <w:tc>
          <w:tcPr>
            <w:tcW w:w="17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(56)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4"/>
                <w:szCs w:val="14"/>
                <w:color w:val="auto"/>
              </w:rPr>
            </w:pPr>
          </w:p>
        </w:tc>
      </w:tr>
      <w:tr>
        <w:trPr>
          <w:trHeight w:val="156"/>
        </w:trPr>
        <w:tc>
          <w:tcPr>
            <w:tcW w:w="5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Double Product Customers</w:t>
            </w:r>
          </w:p>
        </w:tc>
        <w:tc>
          <w:tcPr>
            <w:tcW w:w="25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8,936</w:t>
            </w:r>
          </w:p>
        </w:tc>
        <w:tc>
          <w:tcPr>
            <w:tcW w:w="12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9,399</w:t>
            </w:r>
          </w:p>
        </w:tc>
        <w:tc>
          <w:tcPr>
            <w:tcW w:w="178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46</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3"/>
                <w:szCs w:val="13"/>
                <w:color w:val="auto"/>
              </w:rPr>
            </w:pPr>
          </w:p>
        </w:tc>
      </w:tr>
      <w:tr>
        <w:trPr>
          <w:trHeight w:val="163"/>
        </w:trPr>
        <w:tc>
          <w:tcPr>
            <w:tcW w:w="5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Triple Product Customers</w:t>
            </w:r>
          </w:p>
        </w:tc>
        <w:tc>
          <w:tcPr>
            <w:tcW w:w="25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9,987</w:t>
            </w:r>
          </w:p>
        </w:tc>
        <w:tc>
          <w:tcPr>
            <w:tcW w:w="12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10,269</w:t>
            </w:r>
          </w:p>
        </w:tc>
        <w:tc>
          <w:tcPr>
            <w:tcW w:w="178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42</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4"/>
                <w:szCs w:val="14"/>
                <w:color w:val="auto"/>
              </w:rPr>
            </w:pPr>
          </w:p>
        </w:tc>
      </w:tr>
      <w:tr>
        <w:trPr>
          <w:trHeight w:val="167"/>
        </w:trPr>
        <w:tc>
          <w:tcPr>
            <w:tcW w:w="5500" w:type="dxa"/>
            <w:vAlign w:val="bottom"/>
          </w:tcPr>
          <w:p>
            <w:pPr>
              <w:spacing w:after="0"/>
              <w:rPr>
                <w:sz w:val="20"/>
                <w:szCs w:val="20"/>
                <w:color w:val="auto"/>
              </w:rPr>
            </w:pPr>
            <w:r>
              <w:rPr>
                <w:rFonts w:ascii="Arial" w:cs="Arial" w:eastAsia="Arial" w:hAnsi="Arial"/>
                <w:sz w:val="14"/>
                <w:szCs w:val="14"/>
                <w:b w:val="1"/>
                <w:bCs w:val="1"/>
                <w:color w:val="auto"/>
              </w:rPr>
              <w:t>Customer Relationships</w:t>
            </w:r>
          </w:p>
        </w:tc>
        <w:tc>
          <w:tcPr>
            <w:tcW w:w="2520" w:type="dxa"/>
            <w:vAlign w:val="bottom"/>
          </w:tcPr>
          <w:p>
            <w:pPr>
              <w:jc w:val="right"/>
              <w:ind w:right="488"/>
              <w:spacing w:after="0"/>
              <w:rPr>
                <w:sz w:val="20"/>
                <w:szCs w:val="20"/>
                <w:color w:val="auto"/>
              </w:rPr>
            </w:pPr>
            <w:r>
              <w:rPr>
                <w:rFonts w:ascii="Arial" w:cs="Arial" w:eastAsia="Arial" w:hAnsi="Arial"/>
                <w:sz w:val="14"/>
                <w:szCs w:val="14"/>
                <w:b w:val="1"/>
                <w:bCs w:val="1"/>
                <w:color w:val="auto"/>
              </w:rPr>
              <w:t>27,265</w:t>
            </w:r>
          </w:p>
        </w:tc>
        <w:tc>
          <w:tcPr>
            <w:tcW w:w="1240" w:type="dxa"/>
            <w:vAlign w:val="bottom"/>
          </w:tcPr>
          <w:p>
            <w:pPr>
              <w:jc w:val="right"/>
              <w:ind w:right="688"/>
              <w:spacing w:after="0"/>
              <w:rPr>
                <w:sz w:val="20"/>
                <w:szCs w:val="20"/>
                <w:color w:val="auto"/>
              </w:rPr>
            </w:pPr>
            <w:r>
              <w:rPr>
                <w:rFonts w:ascii="Arial" w:cs="Arial" w:eastAsia="Arial" w:hAnsi="Arial"/>
                <w:sz w:val="14"/>
                <w:szCs w:val="14"/>
                <w:b w:val="1"/>
                <w:bCs w:val="1"/>
                <w:color w:val="auto"/>
              </w:rPr>
              <w:t>28,085</w:t>
            </w:r>
          </w:p>
        </w:tc>
        <w:tc>
          <w:tcPr>
            <w:tcW w:w="1780" w:type="dxa"/>
            <w:vAlign w:val="bottom"/>
          </w:tcPr>
          <w:p>
            <w:pPr>
              <w:jc w:val="right"/>
              <w:ind w:right="588"/>
              <w:spacing w:after="0"/>
              <w:rPr>
                <w:sz w:val="20"/>
                <w:szCs w:val="20"/>
                <w:color w:val="auto"/>
              </w:rPr>
            </w:pPr>
            <w:r>
              <w:rPr>
                <w:rFonts w:ascii="Arial" w:cs="Arial" w:eastAsia="Arial" w:hAnsi="Arial"/>
                <w:sz w:val="14"/>
                <w:szCs w:val="14"/>
                <w:b w:val="1"/>
                <w:bCs w:val="1"/>
                <w:color w:val="auto"/>
              </w:rPr>
              <w:t>31</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20" w:type="dxa"/>
            <w:vAlign w:val="bottom"/>
          </w:tcPr>
          <w:p>
            <w:pPr>
              <w:spacing w:after="0"/>
              <w:rPr>
                <w:sz w:val="14"/>
                <w:szCs w:val="14"/>
                <w:color w:val="auto"/>
              </w:rPr>
            </w:pPr>
          </w:p>
        </w:tc>
      </w:tr>
      <w:tr>
        <w:trPr>
          <w:trHeight w:val="172"/>
        </w:trPr>
        <w:tc>
          <w:tcPr>
            <w:tcW w:w="5500" w:type="dxa"/>
            <w:vAlign w:val="bottom"/>
          </w:tcPr>
          <w:p>
            <w:pPr>
              <w:spacing w:after="0"/>
              <w:rPr>
                <w:sz w:val="20"/>
                <w:szCs w:val="20"/>
                <w:color w:val="auto"/>
              </w:rPr>
            </w:pPr>
            <w:r>
              <w:rPr>
                <w:rFonts w:ascii="Arial" w:cs="Arial" w:eastAsia="Arial" w:hAnsi="Arial"/>
                <w:sz w:val="14"/>
                <w:szCs w:val="14"/>
                <w:color w:val="auto"/>
              </w:rPr>
              <w:t>Customer metrics include residential and business customers.</w:t>
            </w:r>
          </w:p>
        </w:tc>
        <w:tc>
          <w:tcPr>
            <w:tcW w:w="2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165" w:lineRule="exact"/>
        <w:rPr>
          <w:sz w:val="20"/>
          <w:szCs w:val="20"/>
          <w:color w:val="auto"/>
        </w:rPr>
      </w:pPr>
    </w:p>
    <w:p>
      <w:pPr>
        <w:sectPr>
          <w:pgSz w:w="11900" w:h="16838" w:orient="portrait"/>
          <w:cols w:equalWidth="0" w:num="1">
            <w:col w:w="11420"/>
          </w:cols>
          <w:pgMar w:left="240" w:top="140" w:right="239" w:bottom="0" w:gutter="0" w:footer="0" w:header="0"/>
        </w:sect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5.7% to $5.0 billion in the second quarter of 2016, reflecting higher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a 6.2% increase in operating expenses. The higher expenses were primarily due to a 7.4% increase in video programming costs, reflecting the timing of contract renewals, as well as higher retransmission consent fees and sports programming costs, partially offset by</w:t>
      </w:r>
    </w:p>
    <w:p>
      <w:pPr>
        <w:sectPr>
          <w:pgSz w:w="11900" w:h="16838" w:orient="portrait"/>
          <w:cols w:equalWidth="0" w:num="1">
            <w:col w:w="11420"/>
          </w:cols>
          <w:pgMar w:left="240" w:top="140" w:right="239" w:bottom="0" w:gutter="0" w:footer="0" w:header="0"/>
          <w:type w:val="continuous"/>
        </w:sectPr>
      </w:pPr>
    </w:p>
    <w:bookmarkStart w:id="4" w:name="page5"/>
    <w:bookmarkEnd w:id="4"/>
    <w:p>
      <w:pPr>
        <w:jc w:val="both"/>
        <w:spacing w:after="0" w:line="245" w:lineRule="auto"/>
        <w:rPr>
          <w:sz w:val="20"/>
          <w:szCs w:val="20"/>
          <w:color w:val="auto"/>
        </w:rPr>
      </w:pPr>
      <w:r>
        <w:rPr>
          <w:rFonts w:ascii="Arial" w:cs="Arial" w:eastAsia="Arial" w:hAnsi="Arial"/>
          <w:sz w:val="18"/>
          <w:szCs w:val="18"/>
          <w:color w:val="auto"/>
        </w:rPr>
        <w:t>fees associated with a boxing event available on pay-per-view in the prior year period. Technical and product support expenses increased 5.9% primarily related to the development, delivery and support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of our X1 platform, Cloud DVR technology and wireless gateways, and the continued growth in business services and home security and automation services. Advertising, marketing and promotion costs increased 4.4%, primarily due to increases in spending associated with attracting new residential and business services customers. Customer service expenses increased 6.0%, primarily due to increased support for improving the customer experience and increases in total labor costs. This quarter’s operating cash flow margin was 40.6% compared to 40.7% in the second quarter of 2015.</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2016, Cable operating cash flow increased 5.3% to $ 9.9 billion compared to 2015, driven by higher revenue, partially offset by a 7.0% increase in operating expenses primarily related to an 8.4% increase in video programming costs, as well as higher technical and product support expenses, higher advertising, marketing and promotion costs, and higher customer service expenses. Year-to-date operating cash flow margin was 40.3% compared to 40.7% in 2015.</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2nd Quarter</w:t>
            </w: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Year to Date</w:t>
            </w:r>
          </w:p>
        </w:tc>
        <w:tc>
          <w:tcPr>
            <w:tcW w:w="760" w:type="dxa"/>
            <w:vAlign w:val="bottom"/>
          </w:tcPr>
          <w:p>
            <w:pPr>
              <w:spacing w:after="0"/>
              <w:rPr>
                <w:sz w:val="14"/>
                <w:szCs w:val="14"/>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Pro</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jc w:val="right"/>
              <w:ind w:right="128"/>
              <w:spacing w:after="0" w:line="160" w:lineRule="exact"/>
              <w:rPr>
                <w:sz w:val="20"/>
                <w:szCs w:val="20"/>
                <w:color w:val="auto"/>
              </w:rPr>
            </w:pPr>
            <w:r>
              <w:rPr>
                <w:rFonts w:ascii="Arial" w:cs="Arial" w:eastAsia="Arial" w:hAnsi="Arial"/>
                <w:sz w:val="14"/>
                <w:szCs w:val="14"/>
                <w:color w:val="auto"/>
              </w:rPr>
              <w:t>Reported</w:t>
            </w:r>
          </w:p>
        </w:tc>
        <w:tc>
          <w:tcPr>
            <w:tcW w:w="1180" w:type="dxa"/>
            <w:vAlign w:val="bottom"/>
          </w:tcPr>
          <w:p>
            <w:pPr>
              <w:jc w:val="right"/>
              <w:ind w:right="228"/>
              <w:spacing w:after="0" w:line="160" w:lineRule="exact"/>
              <w:rPr>
                <w:sz w:val="20"/>
                <w:szCs w:val="20"/>
                <w:color w:val="auto"/>
              </w:rPr>
            </w:pPr>
            <w:r>
              <w:rPr>
                <w:rFonts w:ascii="Arial" w:cs="Arial" w:eastAsia="Arial" w:hAnsi="Arial"/>
                <w:sz w:val="14"/>
                <w:szCs w:val="14"/>
                <w:color w:val="auto"/>
              </w:rPr>
              <w:t>Pro Forma</w:t>
            </w: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jc w:val="right"/>
              <w:spacing w:after="0" w:line="160" w:lineRule="exact"/>
              <w:rPr>
                <w:sz w:val="20"/>
                <w:szCs w:val="20"/>
                <w:color w:val="auto"/>
              </w:rPr>
            </w:pPr>
            <w:r>
              <w:rPr>
                <w:rFonts w:ascii="Arial" w:cs="Arial" w:eastAsia="Arial" w:hAnsi="Arial"/>
                <w:sz w:val="14"/>
                <w:szCs w:val="14"/>
                <w:color w:val="auto"/>
              </w:rPr>
              <w:t>Reported</w:t>
            </w:r>
          </w:p>
        </w:tc>
        <w:tc>
          <w:tcPr>
            <w:tcW w:w="6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Forma</w:t>
            </w:r>
          </w:p>
        </w:tc>
        <w:tc>
          <w:tcPr>
            <w:tcW w:w="0" w:type="dxa"/>
            <w:vAlign w:val="bottom"/>
          </w:tcPr>
          <w:p>
            <w:pPr>
              <w:spacing w:after="0"/>
              <w:rPr>
                <w:sz w:val="1"/>
                <w:szCs w:val="1"/>
                <w:color w:val="auto"/>
              </w:rPr>
            </w:pPr>
          </w:p>
        </w:tc>
      </w:tr>
      <w:tr>
        <w:trPr>
          <w:trHeight w:val="167"/>
        </w:trPr>
        <w:tc>
          <w:tcPr>
            <w:tcW w:w="324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1540" w:type="dxa"/>
            <w:vAlign w:val="bottom"/>
          </w:tcPr>
          <w:p>
            <w:pPr>
              <w:jc w:val="right"/>
              <w:ind w:right="268"/>
              <w:spacing w:after="0" w:line="160" w:lineRule="exact"/>
              <w:rPr>
                <w:sz w:val="20"/>
                <w:szCs w:val="20"/>
                <w:color w:val="auto"/>
              </w:rPr>
            </w:pPr>
            <w:r>
              <w:rPr>
                <w:rFonts w:ascii="Arial" w:cs="Arial" w:eastAsia="Arial" w:hAnsi="Arial"/>
                <w:sz w:val="14"/>
                <w:szCs w:val="14"/>
                <w:color w:val="auto"/>
              </w:rPr>
              <w:t>2015</w:t>
            </w:r>
          </w:p>
        </w:tc>
        <w:tc>
          <w:tcPr>
            <w:tcW w:w="1180" w:type="dxa"/>
            <w:vAlign w:val="bottom"/>
          </w:tcPr>
          <w:p>
            <w:pPr>
              <w:jc w:val="right"/>
              <w:ind w:right="148"/>
              <w:spacing w:after="0" w:line="160" w:lineRule="exact"/>
              <w:rPr>
                <w:sz w:val="20"/>
                <w:szCs w:val="20"/>
                <w:color w:val="auto"/>
              </w:rPr>
            </w:pPr>
            <w:r>
              <w:rPr>
                <w:rFonts w:ascii="Arial" w:cs="Arial" w:eastAsia="Arial" w:hAnsi="Arial"/>
                <w:sz w:val="14"/>
                <w:szCs w:val="14"/>
                <w:color w:val="auto"/>
              </w:rPr>
              <w:t>2016</w:t>
            </w:r>
          </w:p>
        </w:tc>
        <w:tc>
          <w:tcPr>
            <w:tcW w:w="860" w:type="dxa"/>
            <w:vAlign w:val="bottom"/>
          </w:tcPr>
          <w:p>
            <w:pPr>
              <w:jc w:val="right"/>
              <w:ind w:right="128"/>
              <w:spacing w:after="0" w:line="160" w:lineRule="exact"/>
              <w:rPr>
                <w:sz w:val="20"/>
                <w:szCs w:val="20"/>
                <w:color w:val="auto"/>
              </w:rPr>
            </w:pPr>
            <w:r>
              <w:rPr>
                <w:rFonts w:ascii="Arial" w:cs="Arial" w:eastAsia="Arial" w:hAnsi="Arial"/>
                <w:sz w:val="14"/>
                <w:szCs w:val="14"/>
                <w:color w:val="auto"/>
              </w:rPr>
              <w:t>Growth</w:t>
            </w:r>
          </w:p>
        </w:tc>
        <w:tc>
          <w:tcPr>
            <w:tcW w:w="1180" w:type="dxa"/>
            <w:vAlign w:val="bottom"/>
          </w:tcPr>
          <w:p>
            <w:pPr>
              <w:jc w:val="right"/>
              <w:ind w:right="228"/>
              <w:spacing w:after="0" w:line="160" w:lineRule="exact"/>
              <w:rPr>
                <w:sz w:val="20"/>
                <w:szCs w:val="20"/>
                <w:color w:val="auto"/>
              </w:rPr>
            </w:pPr>
            <w:r>
              <w:rPr>
                <w:rFonts w:ascii="Arial" w:cs="Arial" w:eastAsia="Arial" w:hAnsi="Arial"/>
                <w:sz w:val="14"/>
                <w:szCs w:val="14"/>
                <w:color w:val="auto"/>
              </w:rPr>
              <w:t>Growth</w:t>
            </w:r>
            <w:r>
              <w:rPr>
                <w:rFonts w:ascii="Arial" w:cs="Arial" w:eastAsia="Arial" w:hAnsi="Arial"/>
                <w:sz w:val="14"/>
                <w:szCs w:val="14"/>
                <w:color w:val="auto"/>
                <w:vertAlign w:val="superscript"/>
              </w:rPr>
              <w:t>5</w:t>
            </w:r>
          </w:p>
        </w:tc>
        <w:tc>
          <w:tcPr>
            <w:tcW w:w="960" w:type="dxa"/>
            <w:vAlign w:val="bottom"/>
          </w:tcPr>
          <w:p>
            <w:pPr>
              <w:jc w:val="right"/>
              <w:ind w:right="88"/>
              <w:spacing w:after="0" w:line="160" w:lineRule="exact"/>
              <w:rPr>
                <w:sz w:val="20"/>
                <w:szCs w:val="20"/>
                <w:color w:val="auto"/>
              </w:rPr>
            </w:pPr>
            <w:r>
              <w:rPr>
                <w:rFonts w:ascii="Arial" w:cs="Arial" w:eastAsia="Arial" w:hAnsi="Arial"/>
                <w:sz w:val="14"/>
                <w:szCs w:val="14"/>
                <w:color w:val="auto"/>
              </w:rPr>
              <w:t>2015</w:t>
            </w:r>
          </w:p>
        </w:tc>
        <w:tc>
          <w:tcPr>
            <w:tcW w:w="1100" w:type="dxa"/>
            <w:vAlign w:val="bottom"/>
          </w:tcPr>
          <w:p>
            <w:pPr>
              <w:jc w:val="right"/>
              <w:ind w:right="288"/>
              <w:spacing w:after="0" w:line="160" w:lineRule="exact"/>
              <w:rPr>
                <w:sz w:val="20"/>
                <w:szCs w:val="20"/>
                <w:color w:val="auto"/>
              </w:rPr>
            </w:pPr>
            <w:r>
              <w:rPr>
                <w:rFonts w:ascii="Arial" w:cs="Arial" w:eastAsia="Arial" w:hAnsi="Arial"/>
                <w:sz w:val="14"/>
                <w:szCs w:val="14"/>
                <w:color w:val="auto"/>
              </w:rPr>
              <w:t>2016</w:t>
            </w:r>
          </w:p>
        </w:tc>
        <w:tc>
          <w:tcPr>
            <w:tcW w:w="760" w:type="dxa"/>
            <w:vAlign w:val="bottom"/>
          </w:tcPr>
          <w:p>
            <w:pPr>
              <w:jc w:val="right"/>
              <w:spacing w:after="0" w:line="160" w:lineRule="exact"/>
              <w:rPr>
                <w:sz w:val="20"/>
                <w:szCs w:val="20"/>
                <w:color w:val="auto"/>
              </w:rPr>
            </w:pPr>
            <w:r>
              <w:rPr>
                <w:rFonts w:ascii="Arial" w:cs="Arial" w:eastAsia="Arial" w:hAnsi="Arial"/>
                <w:sz w:val="14"/>
                <w:szCs w:val="14"/>
                <w:color w:val="auto"/>
              </w:rPr>
              <w:t>Growth</w:t>
            </w:r>
          </w:p>
        </w:tc>
        <w:tc>
          <w:tcPr>
            <w:tcW w:w="6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Growth</w:t>
            </w:r>
            <w:r>
              <w:rPr>
                <w:rFonts w:ascii="Arial" w:cs="Arial" w:eastAsia="Arial" w:hAnsi="Arial"/>
                <w:sz w:val="14"/>
                <w:szCs w:val="14"/>
                <w:color w:val="auto"/>
                <w:vertAlign w:val="superscript"/>
              </w:rPr>
              <w:t>5</w:t>
            </w:r>
          </w:p>
        </w:tc>
        <w:tc>
          <w:tcPr>
            <w:tcW w:w="0" w:type="dxa"/>
            <w:vAlign w:val="bottom"/>
          </w:tcPr>
          <w:p>
            <w:pPr>
              <w:spacing w:after="0"/>
              <w:rPr>
                <w:sz w:val="1"/>
                <w:szCs w:val="1"/>
                <w:color w:val="auto"/>
              </w:rPr>
            </w:pPr>
          </w:p>
        </w:tc>
      </w:tr>
      <w:tr>
        <w:trPr>
          <w:trHeight w:val="162"/>
        </w:trPr>
        <w:tc>
          <w:tcPr>
            <w:tcW w:w="3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5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Cable Networks</w:t>
            </w:r>
          </w:p>
        </w:tc>
        <w:tc>
          <w:tcPr>
            <w:tcW w:w="15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$2,450</w:t>
            </w:r>
          </w:p>
        </w:tc>
        <w:tc>
          <w:tcPr>
            <w:tcW w:w="11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$2,566</w:t>
            </w:r>
          </w:p>
        </w:tc>
        <w:tc>
          <w:tcPr>
            <w:tcW w:w="8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4.7%</w:t>
            </w: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$4,809</w:t>
            </w:r>
          </w:p>
        </w:tc>
        <w:tc>
          <w:tcPr>
            <w:tcW w:w="11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$5,019</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40" w:type="dxa"/>
            <w:vAlign w:val="bottom"/>
          </w:tcPr>
          <w:p>
            <w:pPr>
              <w:ind w:left="40"/>
              <w:spacing w:after="0" w:line="147" w:lineRule="exact"/>
              <w:rPr>
                <w:sz w:val="20"/>
                <w:szCs w:val="20"/>
                <w:color w:val="auto"/>
              </w:rPr>
            </w:pPr>
            <w:r>
              <w:rPr>
                <w:rFonts w:ascii="Arial" w:cs="Arial" w:eastAsia="Arial" w:hAnsi="Arial"/>
                <w:sz w:val="14"/>
                <w:szCs w:val="14"/>
                <w:color w:val="auto"/>
              </w:rPr>
              <w:t>Broadcast Television</w:t>
            </w:r>
          </w:p>
        </w:tc>
        <w:tc>
          <w:tcPr>
            <w:tcW w:w="154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1,813</w:t>
            </w:r>
          </w:p>
        </w:tc>
        <w:tc>
          <w:tcPr>
            <w:tcW w:w="118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2,128</w:t>
            </w:r>
          </w:p>
        </w:tc>
        <w:tc>
          <w:tcPr>
            <w:tcW w:w="860" w:type="dxa"/>
            <w:vAlign w:val="bottom"/>
          </w:tcPr>
          <w:p>
            <w:pPr>
              <w:jc w:val="right"/>
              <w:ind w:right="128"/>
              <w:spacing w:after="0" w:line="147" w:lineRule="exact"/>
              <w:rPr>
                <w:sz w:val="20"/>
                <w:szCs w:val="20"/>
                <w:color w:val="auto"/>
              </w:rPr>
            </w:pPr>
            <w:r>
              <w:rPr>
                <w:rFonts w:ascii="Arial" w:cs="Arial" w:eastAsia="Arial" w:hAnsi="Arial"/>
                <w:sz w:val="14"/>
                <w:szCs w:val="14"/>
                <w:color w:val="auto"/>
              </w:rPr>
              <w:t>17.3%</w:t>
            </w:r>
          </w:p>
        </w:tc>
        <w:tc>
          <w:tcPr>
            <w:tcW w:w="1180" w:type="dxa"/>
            <w:vAlign w:val="bottom"/>
          </w:tcPr>
          <w:p>
            <w:pPr>
              <w:spacing w:after="0"/>
              <w:rPr>
                <w:sz w:val="12"/>
                <w:szCs w:val="12"/>
                <w:color w:val="auto"/>
              </w:rPr>
            </w:pPr>
          </w:p>
        </w:tc>
        <w:tc>
          <w:tcPr>
            <w:tcW w:w="960" w:type="dxa"/>
            <w:vAlign w:val="bottom"/>
          </w:tcPr>
          <w:p>
            <w:pPr>
              <w:jc w:val="right"/>
              <w:ind w:right="88"/>
              <w:spacing w:after="0" w:line="147" w:lineRule="exact"/>
              <w:rPr>
                <w:sz w:val="20"/>
                <w:szCs w:val="20"/>
                <w:color w:val="auto"/>
              </w:rPr>
            </w:pPr>
            <w:r>
              <w:rPr>
                <w:rFonts w:ascii="Arial" w:cs="Arial" w:eastAsia="Arial" w:hAnsi="Arial"/>
                <w:sz w:val="14"/>
                <w:szCs w:val="14"/>
                <w:color w:val="auto"/>
              </w:rPr>
              <w:t>4,061</w:t>
            </w:r>
          </w:p>
        </w:tc>
        <w:tc>
          <w:tcPr>
            <w:tcW w:w="1100" w:type="dxa"/>
            <w:vAlign w:val="bottom"/>
          </w:tcPr>
          <w:p>
            <w:pPr>
              <w:jc w:val="right"/>
              <w:ind w:right="288"/>
              <w:spacing w:after="0" w:line="147" w:lineRule="exact"/>
              <w:rPr>
                <w:sz w:val="20"/>
                <w:szCs w:val="20"/>
                <w:color w:val="auto"/>
              </w:rPr>
            </w:pPr>
            <w:r>
              <w:rPr>
                <w:rFonts w:ascii="Arial" w:cs="Arial" w:eastAsia="Arial" w:hAnsi="Arial"/>
                <w:sz w:val="14"/>
                <w:szCs w:val="14"/>
                <w:color w:val="auto"/>
              </w:rPr>
              <w:t>4,212</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3.7%</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Super Bowl</w:t>
            </w:r>
          </w:p>
        </w:tc>
        <w:tc>
          <w:tcPr>
            <w:tcW w:w="1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3,685</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i w:val="1"/>
                <w:iCs w:val="1"/>
                <w:color w:val="auto"/>
              </w:rPr>
              <w:t>4,212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14.3%</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Filmed Entertainment</w:t>
            </w:r>
          </w:p>
        </w:tc>
        <w:tc>
          <w:tcPr>
            <w:tcW w:w="15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2,266</w:t>
            </w:r>
          </w:p>
        </w:tc>
        <w:tc>
          <w:tcPr>
            <w:tcW w:w="11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1,351</w:t>
            </w:r>
          </w:p>
        </w:tc>
        <w:tc>
          <w:tcPr>
            <w:tcW w:w="8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(40.4%)</w:t>
            </w: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3,712</w:t>
            </w:r>
          </w:p>
        </w:tc>
        <w:tc>
          <w:tcPr>
            <w:tcW w:w="11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2,734</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Theme Parks</w:t>
            </w:r>
          </w:p>
        </w:tc>
        <w:tc>
          <w:tcPr>
            <w:tcW w:w="15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773</w:t>
            </w:r>
          </w:p>
        </w:tc>
        <w:tc>
          <w:tcPr>
            <w:tcW w:w="11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1,136</w:t>
            </w:r>
          </w:p>
        </w:tc>
        <w:tc>
          <w:tcPr>
            <w:tcW w:w="8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47.0%</w:t>
            </w:r>
          </w:p>
        </w:tc>
        <w:tc>
          <w:tcPr>
            <w:tcW w:w="11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10.6%</w:t>
            </w:r>
          </w:p>
        </w:tc>
        <w:tc>
          <w:tcPr>
            <w:tcW w:w="9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1,424</w:t>
            </w:r>
          </w:p>
        </w:tc>
        <w:tc>
          <w:tcPr>
            <w:tcW w:w="11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2,162</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51.8%</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Headquarters, Other and Eliminations</w:t>
            </w:r>
          </w:p>
        </w:tc>
        <w:tc>
          <w:tcPr>
            <w:tcW w:w="15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(72)</w:t>
            </w:r>
          </w:p>
        </w:tc>
        <w:tc>
          <w:tcPr>
            <w:tcW w:w="11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(78)</w:t>
            </w:r>
          </w:p>
        </w:tc>
        <w:tc>
          <w:tcPr>
            <w:tcW w:w="8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(172)</w:t>
            </w:r>
          </w:p>
        </w:tc>
        <w:tc>
          <w:tcPr>
            <w:tcW w:w="11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(163)</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40" w:type="dxa"/>
            <w:vAlign w:val="bottom"/>
          </w:tcPr>
          <w:p>
            <w:pPr>
              <w:ind w:left="40"/>
              <w:spacing w:after="0" w:line="151" w:lineRule="exact"/>
              <w:rPr>
                <w:sz w:val="20"/>
                <w:szCs w:val="20"/>
                <w:color w:val="auto"/>
              </w:rPr>
            </w:pPr>
            <w:r>
              <w:rPr>
                <w:rFonts w:ascii="Arial" w:cs="Arial" w:eastAsia="Arial" w:hAnsi="Arial"/>
                <w:sz w:val="14"/>
                <w:szCs w:val="14"/>
                <w:b w:val="1"/>
                <w:bCs w:val="1"/>
                <w:color w:val="auto"/>
              </w:rPr>
              <w:t>NBCUniversal Revenue</w:t>
            </w:r>
          </w:p>
        </w:tc>
        <w:tc>
          <w:tcPr>
            <w:tcW w:w="1540" w:type="dxa"/>
            <w:vAlign w:val="bottom"/>
          </w:tcPr>
          <w:p>
            <w:pPr>
              <w:jc w:val="right"/>
              <w:ind w:right="268"/>
              <w:spacing w:after="0" w:line="151" w:lineRule="exact"/>
              <w:rPr>
                <w:sz w:val="20"/>
                <w:szCs w:val="20"/>
                <w:color w:val="auto"/>
              </w:rPr>
            </w:pPr>
            <w:r>
              <w:rPr>
                <w:rFonts w:ascii="Arial" w:cs="Arial" w:eastAsia="Arial" w:hAnsi="Arial"/>
                <w:sz w:val="14"/>
                <w:szCs w:val="14"/>
                <w:b w:val="1"/>
                <w:bCs w:val="1"/>
                <w:color w:val="auto"/>
              </w:rPr>
              <w:t>$7,230</w:t>
            </w:r>
          </w:p>
        </w:tc>
        <w:tc>
          <w:tcPr>
            <w:tcW w:w="1180" w:type="dxa"/>
            <w:vAlign w:val="bottom"/>
          </w:tcPr>
          <w:p>
            <w:pPr>
              <w:jc w:val="right"/>
              <w:ind w:right="148"/>
              <w:spacing w:after="0" w:line="151" w:lineRule="exact"/>
              <w:rPr>
                <w:sz w:val="20"/>
                <w:szCs w:val="20"/>
                <w:color w:val="auto"/>
              </w:rPr>
            </w:pPr>
            <w:r>
              <w:rPr>
                <w:rFonts w:ascii="Arial" w:cs="Arial" w:eastAsia="Arial" w:hAnsi="Arial"/>
                <w:sz w:val="14"/>
                <w:szCs w:val="14"/>
                <w:b w:val="1"/>
                <w:bCs w:val="1"/>
                <w:color w:val="auto"/>
              </w:rPr>
              <w:t>$7,103</w:t>
            </w:r>
          </w:p>
        </w:tc>
        <w:tc>
          <w:tcPr>
            <w:tcW w:w="860" w:type="dxa"/>
            <w:vAlign w:val="bottom"/>
          </w:tcPr>
          <w:p>
            <w:pPr>
              <w:jc w:val="right"/>
              <w:ind w:right="128"/>
              <w:spacing w:after="0" w:line="151" w:lineRule="exact"/>
              <w:rPr>
                <w:sz w:val="20"/>
                <w:szCs w:val="20"/>
                <w:color w:val="auto"/>
              </w:rPr>
            </w:pPr>
            <w:r>
              <w:rPr>
                <w:rFonts w:ascii="Arial" w:cs="Arial" w:eastAsia="Arial" w:hAnsi="Arial"/>
                <w:sz w:val="14"/>
                <w:szCs w:val="14"/>
                <w:b w:val="1"/>
                <w:bCs w:val="1"/>
                <w:color w:val="auto"/>
              </w:rPr>
              <w:t>(1.8%)</w:t>
            </w:r>
          </w:p>
        </w:tc>
        <w:tc>
          <w:tcPr>
            <w:tcW w:w="1180" w:type="dxa"/>
            <w:vAlign w:val="bottom"/>
          </w:tcPr>
          <w:p>
            <w:pPr>
              <w:jc w:val="right"/>
              <w:ind w:right="228"/>
              <w:spacing w:after="0" w:line="151" w:lineRule="exact"/>
              <w:rPr>
                <w:sz w:val="20"/>
                <w:szCs w:val="20"/>
                <w:color w:val="auto"/>
              </w:rPr>
            </w:pPr>
            <w:r>
              <w:rPr>
                <w:rFonts w:ascii="Arial" w:cs="Arial" w:eastAsia="Arial" w:hAnsi="Arial"/>
                <w:sz w:val="14"/>
                <w:szCs w:val="14"/>
                <w:b w:val="1"/>
                <w:bCs w:val="1"/>
                <w:color w:val="auto"/>
              </w:rPr>
              <w:t>(5.1%)</w:t>
            </w:r>
          </w:p>
        </w:tc>
        <w:tc>
          <w:tcPr>
            <w:tcW w:w="960" w:type="dxa"/>
            <w:vAlign w:val="bottom"/>
          </w:tcPr>
          <w:p>
            <w:pPr>
              <w:jc w:val="right"/>
              <w:ind w:right="88"/>
              <w:spacing w:after="0" w:line="151" w:lineRule="exact"/>
              <w:rPr>
                <w:sz w:val="20"/>
                <w:szCs w:val="20"/>
                <w:color w:val="auto"/>
              </w:rPr>
            </w:pPr>
            <w:r>
              <w:rPr>
                <w:rFonts w:ascii="Arial" w:cs="Arial" w:eastAsia="Arial" w:hAnsi="Arial"/>
                <w:sz w:val="14"/>
                <w:szCs w:val="14"/>
                <w:b w:val="1"/>
                <w:bCs w:val="1"/>
                <w:color w:val="auto"/>
              </w:rPr>
              <w:t>$13,834</w:t>
            </w:r>
          </w:p>
        </w:tc>
        <w:tc>
          <w:tcPr>
            <w:tcW w:w="1100" w:type="dxa"/>
            <w:vAlign w:val="bottom"/>
          </w:tcPr>
          <w:p>
            <w:pPr>
              <w:jc w:val="right"/>
              <w:ind w:right="288"/>
              <w:spacing w:after="0" w:line="151" w:lineRule="exact"/>
              <w:rPr>
                <w:sz w:val="20"/>
                <w:szCs w:val="20"/>
                <w:color w:val="auto"/>
              </w:rPr>
            </w:pPr>
            <w:r>
              <w:rPr>
                <w:rFonts w:ascii="Arial" w:cs="Arial" w:eastAsia="Arial" w:hAnsi="Arial"/>
                <w:sz w:val="14"/>
                <w:szCs w:val="14"/>
                <w:b w:val="1"/>
                <w:bCs w:val="1"/>
                <w:color w:val="auto"/>
              </w:rPr>
              <w:t>$13,964</w:t>
            </w:r>
          </w:p>
        </w:tc>
        <w:tc>
          <w:tcPr>
            <w:tcW w:w="7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0.9%</w:t>
            </w:r>
          </w:p>
        </w:tc>
        <w:tc>
          <w:tcPr>
            <w:tcW w:w="6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Excluding Super Bowl</w:t>
            </w:r>
          </w:p>
        </w:tc>
        <w:tc>
          <w:tcPr>
            <w:tcW w:w="1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i w:val="1"/>
                <w:iCs w:val="1"/>
                <w:color w:val="auto"/>
              </w:rPr>
              <w:t>$13,458</w:t>
            </w: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i w:val="1"/>
                <w:iCs w:val="1"/>
                <w:color w:val="auto"/>
              </w:rPr>
              <w:t>$13,964</w:t>
            </w:r>
          </w:p>
        </w:tc>
        <w:tc>
          <w:tcPr>
            <w:tcW w:w="7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6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Cable Networks</w:t>
            </w:r>
          </w:p>
        </w:tc>
        <w:tc>
          <w:tcPr>
            <w:tcW w:w="15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$872</w:t>
            </w:r>
          </w:p>
        </w:tc>
        <w:tc>
          <w:tcPr>
            <w:tcW w:w="11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$944</w:t>
            </w:r>
          </w:p>
        </w:tc>
        <w:tc>
          <w:tcPr>
            <w:tcW w:w="8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8.3%</w:t>
            </w: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$1,770</w:t>
            </w:r>
          </w:p>
        </w:tc>
        <w:tc>
          <w:tcPr>
            <w:tcW w:w="11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$1,900</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Broadcast Television</w:t>
            </w:r>
          </w:p>
        </w:tc>
        <w:tc>
          <w:tcPr>
            <w:tcW w:w="15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231</w:t>
            </w:r>
          </w:p>
        </w:tc>
        <w:tc>
          <w:tcPr>
            <w:tcW w:w="11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394</w:t>
            </w:r>
          </w:p>
        </w:tc>
        <w:tc>
          <w:tcPr>
            <w:tcW w:w="8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70.5%</w:t>
            </w: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413</w:t>
            </w:r>
          </w:p>
        </w:tc>
        <w:tc>
          <w:tcPr>
            <w:tcW w:w="11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678</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Filmed Entertainment</w:t>
            </w:r>
          </w:p>
        </w:tc>
        <w:tc>
          <w:tcPr>
            <w:tcW w:w="15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422</w:t>
            </w:r>
          </w:p>
        </w:tc>
        <w:tc>
          <w:tcPr>
            <w:tcW w:w="11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56</w:t>
            </w:r>
          </w:p>
        </w:tc>
        <w:tc>
          <w:tcPr>
            <w:tcW w:w="8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(86.7%)</w:t>
            </w: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715</w:t>
            </w:r>
          </w:p>
        </w:tc>
        <w:tc>
          <w:tcPr>
            <w:tcW w:w="11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223</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(68.8%)</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40" w:type="dxa"/>
            <w:vAlign w:val="bottom"/>
          </w:tcPr>
          <w:p>
            <w:pPr>
              <w:ind w:left="40"/>
              <w:spacing w:after="0" w:line="155" w:lineRule="exact"/>
              <w:rPr>
                <w:sz w:val="20"/>
                <w:szCs w:val="20"/>
                <w:color w:val="auto"/>
              </w:rPr>
            </w:pPr>
            <w:r>
              <w:rPr>
                <w:rFonts w:ascii="Arial" w:cs="Arial" w:eastAsia="Arial" w:hAnsi="Arial"/>
                <w:sz w:val="14"/>
                <w:szCs w:val="14"/>
                <w:color w:val="auto"/>
              </w:rPr>
              <w:t>Theme Parks</w:t>
            </w:r>
          </w:p>
        </w:tc>
        <w:tc>
          <w:tcPr>
            <w:tcW w:w="154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334</w:t>
            </w:r>
          </w:p>
        </w:tc>
        <w:tc>
          <w:tcPr>
            <w:tcW w:w="118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469</w:t>
            </w:r>
          </w:p>
        </w:tc>
        <w:tc>
          <w:tcPr>
            <w:tcW w:w="86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40.5%</w:t>
            </w:r>
          </w:p>
        </w:tc>
        <w:tc>
          <w:tcPr>
            <w:tcW w:w="118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5.3%</w:t>
            </w:r>
          </w:p>
        </w:tc>
        <w:tc>
          <w:tcPr>
            <w:tcW w:w="9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578</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844</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46.0%</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3"/>
        </w:trPr>
        <w:tc>
          <w:tcPr>
            <w:tcW w:w="32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Headquarters, Other and Eliminations</w:t>
            </w:r>
          </w:p>
        </w:tc>
        <w:tc>
          <w:tcPr>
            <w:tcW w:w="154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(167)</w:t>
            </w:r>
          </w:p>
        </w:tc>
        <w:tc>
          <w:tcPr>
            <w:tcW w:w="118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(174)</w:t>
            </w:r>
          </w:p>
        </w:tc>
        <w:tc>
          <w:tcPr>
            <w:tcW w:w="86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NM</w:t>
            </w:r>
          </w:p>
        </w:tc>
        <w:tc>
          <w:tcPr>
            <w:tcW w:w="1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(309)</w:t>
            </w:r>
          </w:p>
        </w:tc>
        <w:tc>
          <w:tcPr>
            <w:tcW w:w="11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(334)</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6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540" w:type="dxa"/>
            <w:vAlign w:val="bottom"/>
          </w:tcPr>
          <w:p>
            <w:pPr>
              <w:jc w:val="right"/>
              <w:ind w:right="268"/>
              <w:spacing w:after="0"/>
              <w:rPr>
                <w:sz w:val="20"/>
                <w:szCs w:val="20"/>
                <w:color w:val="auto"/>
              </w:rPr>
            </w:pPr>
            <w:r>
              <w:rPr>
                <w:rFonts w:ascii="Arial" w:cs="Arial" w:eastAsia="Arial" w:hAnsi="Arial"/>
                <w:sz w:val="14"/>
                <w:szCs w:val="14"/>
                <w:b w:val="1"/>
                <w:bCs w:val="1"/>
                <w:color w:val="auto"/>
              </w:rPr>
              <w:t>$1,692</w:t>
            </w: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$1,689</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(0.2%)</w:t>
            </w: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(6.4%)</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$3,167</w:t>
            </w: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$3,311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NM=comparison not meaningful.</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1.8% to $7.1 billion in the second quarter of 2016 and</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remained stable at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Pro Forma</w:t>
      </w:r>
      <w:r>
        <w:rPr>
          <w:rFonts w:ascii="Arial" w:cs="Arial" w:eastAsia="Arial" w:hAnsi="Arial"/>
          <w:sz w:val="18"/>
          <w:szCs w:val="18"/>
          <w:b w:val="1"/>
          <w:bCs w:val="1"/>
          <w:i w:val="1"/>
          <w:iCs w:val="1"/>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Revenue</w:t>
      </w:r>
      <w:r>
        <w:rPr>
          <w:rFonts w:ascii="Arial" w:cs="Arial" w:eastAsia="Arial" w:hAnsi="Arial"/>
          <w:sz w:val="18"/>
          <w:szCs w:val="18"/>
          <w:color w:val="auto"/>
        </w:rPr>
        <w:t xml:space="preserve"> for NBCUniversal decreased 5.1%. </w:t>
      </w:r>
      <w:r>
        <w:rPr>
          <w:rFonts w:ascii="Arial" w:cs="Arial" w:eastAsia="Arial" w:hAnsi="Arial"/>
          <w:sz w:val="18"/>
          <w:szCs w:val="18"/>
          <w:b w:val="1"/>
          <w:bCs w:val="1"/>
          <w:i w:val="1"/>
          <w:iCs w:val="1"/>
          <w:color w:val="auto"/>
        </w:rPr>
        <w:t>Pro Forma</w:t>
      </w:r>
      <w:r>
        <w:rPr>
          <w:rFonts w:ascii="Arial" w:cs="Arial" w:eastAsia="Arial" w:hAnsi="Arial"/>
          <w:sz w:val="18"/>
          <w:szCs w:val="18"/>
          <w:b w:val="1"/>
          <w:bCs w:val="1"/>
          <w:i w:val="1"/>
          <w:iCs w:val="1"/>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decreased 6.4%, reflecting a decline in Filmed Entertainment, partially offset by results at Broadcast Television, Cable Networks and Theme Parks.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six months ended June 30, 2016, NBCUniversal revenue increased 0.9% to $14.0 billion compared to 2015 and operating cash flow increased 4.5% to $3.3 billion.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revenue for NBCUniversal decreased 2.8%. Excluding $376 million of revenue generated by the broadcast of the NFL’s Super Bowl in the first quarter of 2015, pro forma revenue decreased 0.2% (see Table 7).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operating cash flow decreased 2.6%, reflecting a decline in Filmed Entertainment, partially offset by results at Broadcast Television, Cable Networks and Theme Parks.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Cable Networks revenue increased 4.7% to $2.6 billion in the second quarter of 2016, reflecting higher distribution revenue and content licensing and other revenue. Distribution revenue increased 6.9%, driven by contractual rate increases and contract renewals, partially offset by a decline in subscribers at our cable networks. Content licensing and other revenue increased 13.0%, primarily due to the timing of content provided under licensing agreements. Advertising revenue was stable compared to the second quarter of 2015, due to higher rates, offset by audience ratings declines. Operating cash flow increased 8.3% to $944 million in the second quarter of 2016, reflecting higher revenue and decreases in advertising, marketing and promotion expenses, partially offset by an increase in programming and production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2016, revenue from the Cable Networks segment increased 4.4% to $5.0 billion compared to 2015, reflecting higher distribution and content licensing and other revenue. Operating cash flow increased 7.3% to $1.9 billion in the first six months of 2016, reflecting higher revenue and a modest increase in programming and production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Broadcast Television revenue increased 17.3% to $2.1 billion in the second quarter of 2016, reflecting higher content licensing, distribution and other, and advertising revenue. Content licensing revenue increased 59.9%, primarily due to the timing of content provided under licensing agreements. Distribution and other revenue increased 35.0%, primarily due to higher retransmission consent fees. Advertising revenue increased 2.9%, reflecting higher rates, partially offset by audience ratings declines. Operating cash flow increased 70.5% to $394 million, reflecting higher revenue, partially offset by increased programming and production costs.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2016, revenue from the Broadcast Television segment increased 3.7% to $4.2 billion compared to 2015. Excluding $376 million of revenue generated by the broadcast of the NFL’s Super Bowl in the first quarter of 2015, revenue increased 14.3% (see Table 7). Operating cash flow increased 64.3% to $678 million compared to 2015, reflecting the increase in revenue and lower programming and production costs compared to last year which included the Super Bowl.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ectPr>
          <w:pgSz w:w="11900" w:h="16838" w:orient="portrait"/>
          <w:cols w:equalWidth="0" w:num="1">
            <w:col w:w="11420"/>
          </w:cols>
          <w:pgMar w:left="240" w:top="140" w:right="239" w:bottom="0" w:gutter="0" w:footer="0" w:header="0"/>
        </w:sectPr>
      </w:pPr>
    </w:p>
    <w:bookmarkStart w:id="5" w:name="page6"/>
    <w:bookmarkEnd w:id="5"/>
    <w:p>
      <w:pPr>
        <w:jc w:val="both"/>
        <w:spacing w:after="0" w:line="236" w:lineRule="auto"/>
        <w:rPr>
          <w:sz w:val="20"/>
          <w:szCs w:val="20"/>
          <w:color w:val="auto"/>
        </w:rPr>
      </w:pPr>
      <w:r>
        <w:rPr>
          <w:rFonts w:ascii="Arial" w:cs="Arial" w:eastAsia="Arial" w:hAnsi="Arial"/>
          <w:sz w:val="18"/>
          <w:szCs w:val="18"/>
          <w:color w:val="auto"/>
        </w:rPr>
        <w:t xml:space="preserve">Filmed Entertainment revenue declined 40.4% in the second quarter of 2016, reflecting lower theatrical and home entertainment revenue, partially offset by higher content licensing and other revenue. Theatrical revenue declined 78.8% compared to last year’s second quarter which included the strong performances of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and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Home entertainment revenue declined 25.1%, primarily due to the strong performance of several releases in the prior year period, including </w:t>
      </w:r>
      <w:r>
        <w:rPr>
          <w:rFonts w:ascii="Arial" w:cs="Arial" w:eastAsia="Arial" w:hAnsi="Arial"/>
          <w:sz w:val="18"/>
          <w:szCs w:val="18"/>
          <w:i w:val="1"/>
          <w:iCs w:val="1"/>
          <w:color w:val="auto"/>
        </w:rPr>
        <w:t>Fifty Shades of Grey</w:t>
      </w:r>
      <w:r>
        <w:rPr>
          <w:rFonts w:ascii="Arial" w:cs="Arial" w:eastAsia="Arial" w:hAnsi="Arial"/>
          <w:sz w:val="18"/>
          <w:szCs w:val="18"/>
          <w:color w:val="auto"/>
        </w:rPr>
        <w:t xml:space="preserve">. Content licensing revenue increased 63.2%, primarily due to the timing of availability of content in the Pay TV window. Other revenue increased 24.4% due to higher Fandango revenue. Operating cash flow decreased 86.7% to $ 56 million, reflecting lower revenue, partially offset by lower programming and production costs. The decrease in programming and production costs were primarily due to lower amortization of film production costs in the current year period due to our larger film slate in 2015, which included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and </w:t>
      </w:r>
      <w:r>
        <w:rPr>
          <w:rFonts w:ascii="Arial" w:cs="Arial" w:eastAsia="Arial" w:hAnsi="Arial"/>
          <w:sz w:val="18"/>
          <w:szCs w:val="18"/>
          <w:i w:val="1"/>
          <w:iCs w:val="1"/>
          <w:color w:val="auto"/>
        </w:rPr>
        <w:t>Jurassic World</w:t>
      </w:r>
      <w:r>
        <w:rPr>
          <w:rFonts w:ascii="Arial" w:cs="Arial" w:eastAsia="Arial" w:hAnsi="Arial"/>
          <w:sz w:val="18"/>
          <w:szCs w:val="18"/>
          <w:color w:val="auto"/>
        </w:rPr>
        <w:t>.</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2016, revenue from the Filmed Entertainment segment decreased 26.4% to $2.7 billion compared to 2015, reflecting lower theatrical and home entertainment revenue, partially offset by higher content licensing and other revenue. Operating cash flow decreased 68.8% to $223 million compared to 2015, reflecting lower revenue, partially offset by lower programming and production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Theme Parks revenue increased 47.0% to $1.1 billion and operating cash flow increased 40.5% to $469 million in the second quarter of 2016.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revenue increased 10.6%, reflecting higher per capita spending at the parks and the successful opening of Hollywood’s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Wizarding World of Harry Potte</w:t>
      </w:r>
      <w:r>
        <w:rPr>
          <w:rFonts w:ascii="Arial" w:cs="Arial" w:eastAsia="Arial" w:hAnsi="Arial"/>
          <w:sz w:val="18"/>
          <w:szCs w:val="18"/>
          <w:color w:val="auto"/>
        </w:rPr>
        <w:t>r™ attraction. Pro forma</w:t>
      </w:r>
      <w:r>
        <w:rPr>
          <w:rFonts w:ascii="Arial" w:cs="Arial" w:eastAsia="Arial" w:hAnsi="Arial"/>
          <w:sz w:val="18"/>
          <w:szCs w:val="18"/>
          <w:color w:val="auto"/>
          <w:vertAlign w:val="superscript"/>
        </w:rPr>
        <w:t>5</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cash flow increased 5.3%, reflecting higher revenue, partially offset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operating expenses, including costs to support new attractions.</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2016, revenue from the Theme Parks segment increased 51.8% to $2.2 billion and operating cash flow increased 46.0% to $844 million compared to 2015.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revenue increased 10.2%, reflecting higher per capita spending at the parks and the successful opening of Hollywood’s </w:t>
      </w:r>
      <w:r>
        <w:rPr>
          <w:rFonts w:ascii="Arial" w:cs="Arial" w:eastAsia="Arial" w:hAnsi="Arial"/>
          <w:sz w:val="18"/>
          <w:szCs w:val="18"/>
          <w:i w:val="1"/>
          <w:iCs w:val="1"/>
          <w:color w:val="auto"/>
        </w:rPr>
        <w:t>The Wizarding World of Harry Potte</w:t>
      </w:r>
      <w:r>
        <w:rPr>
          <w:rFonts w:ascii="Arial" w:cs="Arial" w:eastAsia="Arial" w:hAnsi="Arial"/>
          <w:sz w:val="18"/>
          <w:szCs w:val="18"/>
          <w:color w:val="auto"/>
        </w:rPr>
        <w:t>r™ attraction.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operating cash flow increased 4.4%, reflecting higher revenue, partially offset by an increase in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June 30, 2016, NBCUniversal Headquarters, Other and Eliminations operating cash flow loss was $174 million compared to a loss of $167 million in the second quarter of 2015.</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2016, NBCUniversal Headquarters, Other and Eliminations operating cash flow loss was $334 million compared to a loss of $309 million in 2015.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include corporate operations, Comcast Spectacor and eliminations among Comcast’s businesses. For the quarter ended June 30, 2016, Corporate, Other and Eliminations revenue was ($278) million compared to ($227) million in 2015. The operating cash flow loss was $282 million compared to a loss of $203 million in the second quarter of 2015, including $116 million related to the settlement of insurance obligations in 2016 and $79 million of transaction-related costs in 2015.</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2016, Corporate, Other and Eliminations revenue was ($553) million compared to ($419) million in 2015. The operating cash flow loss was $426 million compared to a loss of $380 million in the first six months of 2015, including $116 million related to the settlement of insurance obligations in 2016 and $178 million of transaction-related costs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8" w:lineRule="exact"/>
        <w:rPr>
          <w:sz w:val="20"/>
          <w:szCs w:val="20"/>
          <w:color w:val="auto"/>
        </w:rPr>
      </w:pPr>
    </w:p>
    <w:p>
      <w:pPr>
        <w:ind w:left="180" w:hanging="166"/>
        <w:spacing w:after="0" w:line="246" w:lineRule="auto"/>
        <w:tabs>
          <w:tab w:leader="none" w:pos="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 See Table 4 for reconciliation of non-GAAP financial measures.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6"/>
        <w:spacing w:after="0" w:line="23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benefits. The definition of Free Cash Flow excludes any impact from Economic Stimulus packages. These amounts have been excluded from Free Cash Flow to provide an appropriate comparison. See Table 4 for reconciliation of non-GAAP financial measures.</w:t>
      </w:r>
    </w:p>
    <w:p>
      <w:pPr>
        <w:spacing w:after="0" w:line="189" w:lineRule="exact"/>
        <w:rPr>
          <w:sz w:val="20"/>
          <w:szCs w:val="20"/>
          <w:color w:val="auto"/>
        </w:rPr>
      </w:pPr>
    </w:p>
    <w:p>
      <w:pPr>
        <w:jc w:val="both"/>
        <w:ind w:left="180" w:hanging="166"/>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the first quarter of 2016, certain operations and businesses including several strategic business initiatives that were previously presented in Corporate, Other and Eliminations are now presented in our Cable Communications segment to reflect a change in our management reporting presentation. For segment reporting purposes, we have adjusted all periods presented to reflect this change.</w:t>
      </w:r>
    </w:p>
    <w:p>
      <w:pPr>
        <w:spacing w:after="0" w:line="189" w:lineRule="exact"/>
        <w:rPr>
          <w:sz w:val="20"/>
          <w:szCs w:val="20"/>
          <w:color w:val="auto"/>
        </w:rPr>
      </w:pPr>
    </w:p>
    <w:p>
      <w:pPr>
        <w:ind w:left="180" w:hanging="166"/>
        <w:spacing w:after="0" w:line="246"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 forma information is presented for the acquisition of the 51% interest of Universal Studios Japan. See Table 6 for more detailed information.</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27, 2016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Those parties interested in participating via telephone should dial (800) 263-8495 with the conference ID number 28741694. A replay of the call will be available starting at 11:30 a.m. ET on July 27, 2016, on the Investor Relations website or by telephone. To access the telephone replay, which will be available until Wednesday, August 3, 2016 at midnight ET, please dial (855) 859-2056 and enter the conference ID number 28741694.</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ectPr>
          <w:pgSz w:w="11900" w:h="16838" w:orient="portrait"/>
          <w:cols w:equalWidth="0" w:num="1">
            <w:col w:w="11420"/>
          </w:cols>
          <w:pgMar w:left="240" w:top="140" w:right="2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040" w:type="dxa"/>
            <w:vAlign w:val="bottom"/>
          </w:tcPr>
          <w:p>
            <w:pPr>
              <w:spacing w:after="0"/>
              <w:rPr>
                <w:sz w:val="19"/>
                <w:szCs w:val="19"/>
                <w:color w:val="auto"/>
              </w:rPr>
            </w:pPr>
          </w:p>
        </w:tc>
        <w:tc>
          <w:tcPr>
            <w:tcW w:w="3100" w:type="dxa"/>
            <w:vAlign w:val="bottom"/>
          </w:tcPr>
          <w:p>
            <w:pPr>
              <w:ind w:left="1440"/>
              <w:spacing w:after="0"/>
              <w:rPr>
                <w:sz w:val="20"/>
                <w:szCs w:val="20"/>
                <w:color w:val="auto"/>
              </w:rPr>
            </w:pPr>
            <w:r>
              <w:rPr>
                <w:rFonts w:ascii="Arial" w:cs="Arial" w:eastAsia="Arial" w:hAnsi="Arial"/>
                <w:sz w:val="18"/>
                <w:szCs w:val="18"/>
                <w:b w:val="1"/>
                <w:bCs w:val="1"/>
                <w:color w:val="auto"/>
              </w:rPr>
              <w:t>Press Contacts:</w:t>
            </w:r>
          </w:p>
        </w:tc>
        <w:tc>
          <w:tcPr>
            <w:tcW w:w="1540" w:type="dxa"/>
            <w:vAlign w:val="bottom"/>
          </w:tcPr>
          <w:p>
            <w:pPr>
              <w:spacing w:after="0"/>
              <w:rPr>
                <w:sz w:val="19"/>
                <w:szCs w:val="19"/>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Jason Armstrong</w:t>
            </w:r>
          </w:p>
        </w:tc>
        <w:tc>
          <w:tcPr>
            <w:tcW w:w="3040" w:type="dxa"/>
            <w:vAlign w:val="bottom"/>
          </w:tcPr>
          <w:p>
            <w:pPr>
              <w:jc w:val="right"/>
              <w:ind w:right="1350"/>
              <w:spacing w:after="0" w:line="202" w:lineRule="exact"/>
              <w:rPr>
                <w:sz w:val="20"/>
                <w:szCs w:val="20"/>
                <w:color w:val="auto"/>
              </w:rPr>
            </w:pPr>
            <w:r>
              <w:rPr>
                <w:rFonts w:ascii="Arial" w:cs="Arial" w:eastAsia="Arial" w:hAnsi="Arial"/>
                <w:sz w:val="18"/>
                <w:szCs w:val="18"/>
                <w:color w:val="auto"/>
              </w:rPr>
              <w:t>(215) 286-7972</w:t>
            </w:r>
          </w:p>
        </w:tc>
        <w:tc>
          <w:tcPr>
            <w:tcW w:w="3100" w:type="dxa"/>
            <w:vAlign w:val="bottom"/>
          </w:tcPr>
          <w:p>
            <w:pPr>
              <w:ind w:left="1440"/>
              <w:spacing w:after="0" w:line="202" w:lineRule="exact"/>
              <w:rPr>
                <w:sz w:val="20"/>
                <w:szCs w:val="20"/>
                <w:color w:val="auto"/>
              </w:rPr>
            </w:pPr>
            <w:r>
              <w:rPr>
                <w:rFonts w:ascii="Arial" w:cs="Arial" w:eastAsia="Arial" w:hAnsi="Arial"/>
                <w:sz w:val="18"/>
                <w:szCs w:val="18"/>
                <w:color w:val="auto"/>
              </w:rPr>
              <w:t>D’Arcy Rudnay</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17"/>
        </w:trPr>
        <w:tc>
          <w:tcPr>
            <w:tcW w:w="1940" w:type="dxa"/>
            <w:vAlign w:val="bottom"/>
          </w:tcPr>
          <w:p>
            <w:pPr>
              <w:spacing w:after="0"/>
              <w:rPr>
                <w:sz w:val="20"/>
                <w:szCs w:val="20"/>
                <w:color w:val="auto"/>
              </w:rPr>
            </w:pPr>
            <w:r>
              <w:rPr>
                <w:rFonts w:ascii="Arial" w:cs="Arial" w:eastAsia="Arial" w:hAnsi="Arial"/>
                <w:sz w:val="18"/>
                <w:szCs w:val="18"/>
                <w:color w:val="auto"/>
              </w:rPr>
              <w:t>Jane Kearns</w:t>
            </w:r>
          </w:p>
        </w:tc>
        <w:tc>
          <w:tcPr>
            <w:tcW w:w="3040" w:type="dxa"/>
            <w:vAlign w:val="bottom"/>
          </w:tcPr>
          <w:p>
            <w:pPr>
              <w:jc w:val="right"/>
              <w:ind w:right="1350"/>
              <w:spacing w:after="0"/>
              <w:rPr>
                <w:sz w:val="20"/>
                <w:szCs w:val="20"/>
                <w:color w:val="auto"/>
              </w:rPr>
            </w:pPr>
            <w:r>
              <w:rPr>
                <w:rFonts w:ascii="Arial" w:cs="Arial" w:eastAsia="Arial" w:hAnsi="Arial"/>
                <w:sz w:val="18"/>
                <w:szCs w:val="18"/>
                <w:color w:val="auto"/>
              </w:rPr>
              <w:t>(215) 286-4794</w:t>
            </w:r>
          </w:p>
        </w:tc>
        <w:tc>
          <w:tcPr>
            <w:tcW w:w="3100" w:type="dxa"/>
            <w:vAlign w:val="bottom"/>
          </w:tcPr>
          <w:p>
            <w:pPr>
              <w:ind w:left="1440"/>
              <w:spacing w:after="0"/>
              <w:rPr>
                <w:sz w:val="20"/>
                <w:szCs w:val="20"/>
                <w:color w:val="auto"/>
              </w:rPr>
            </w:pPr>
            <w:r>
              <w:rPr>
                <w:rFonts w:ascii="Arial" w:cs="Arial" w:eastAsia="Arial" w:hAnsi="Arial"/>
                <w:sz w:val="18"/>
                <w:szCs w:val="18"/>
                <w:color w:val="auto"/>
              </w:rPr>
              <w:t>John Demming</w:t>
            </w:r>
          </w:p>
        </w:tc>
        <w:tc>
          <w:tcPr>
            <w:tcW w:w="154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auto"/>
        </w:rPr>
        <w:t>www.comcastcorporation.com</w:t>
      </w:r>
      <w:r>
        <w:rPr>
          <w:rFonts w:ascii="Arial" w:cs="Arial" w:eastAsia="Arial" w:hAnsi="Arial"/>
          <w:sz w:val="16"/>
          <w:szCs w:val="16"/>
          <w:color w:val="auto"/>
        </w:rPr>
        <w:t xml:space="preserve"> for more information.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454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2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636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15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9"/>
              </w:rPr>
              <w:t>June 30,</w:t>
            </w: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15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9"/>
              </w:rPr>
              <w:t>June 30,</w:t>
            </w: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3"/>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2015</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2015</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36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$18,743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$19,269</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$36,596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$38,059</w:t>
            </w:r>
          </w:p>
        </w:tc>
        <w:tc>
          <w:tcPr>
            <w:tcW w:w="0" w:type="dxa"/>
            <w:vAlign w:val="bottom"/>
          </w:tcPr>
          <w:p>
            <w:pPr>
              <w:spacing w:after="0"/>
              <w:rPr>
                <w:sz w:val="1"/>
                <w:szCs w:val="1"/>
                <w:color w:val="auto"/>
              </w:rPr>
            </w:pPr>
          </w:p>
        </w:tc>
      </w:tr>
      <w:tr>
        <w:trPr>
          <w:trHeight w:val="346"/>
        </w:trPr>
        <w:tc>
          <w:tcPr>
            <w:tcW w:w="63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020" w:type="dxa"/>
            <w:vAlign w:val="bottom"/>
          </w:tcPr>
          <w:p>
            <w:pPr>
              <w:jc w:val="right"/>
              <w:spacing w:after="0"/>
              <w:rPr>
                <w:sz w:val="20"/>
                <w:szCs w:val="20"/>
                <w:color w:val="auto"/>
              </w:rPr>
            </w:pPr>
            <w:r>
              <w:rPr>
                <w:rFonts w:ascii="Arial" w:cs="Arial" w:eastAsia="Arial" w:hAnsi="Arial"/>
                <w:sz w:val="18"/>
                <w:szCs w:val="18"/>
                <w:color w:val="auto"/>
              </w:rPr>
              <w:t>5,669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5,492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10,923</w:t>
            </w:r>
          </w:p>
        </w:tc>
        <w:tc>
          <w:tcPr>
            <w:tcW w:w="0" w:type="dxa"/>
            <w:vAlign w:val="bottom"/>
          </w:tcPr>
          <w:p>
            <w:pPr>
              <w:spacing w:after="0"/>
              <w:rPr>
                <w:sz w:val="1"/>
                <w:szCs w:val="1"/>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5,274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5,761</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10,348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11,286</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1,561</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3,028</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12,477</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12,814</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24,374</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25,237</w:t>
            </w:r>
          </w:p>
        </w:tc>
        <w:tc>
          <w:tcPr>
            <w:tcW w:w="0" w:type="dxa"/>
            <w:vAlign w:val="bottom"/>
          </w:tcPr>
          <w:p>
            <w:pPr>
              <w:spacing w:after="0"/>
              <w:rPr>
                <w:sz w:val="1"/>
                <w:szCs w:val="1"/>
                <w:color w:val="auto"/>
              </w:rPr>
            </w:pPr>
          </w:p>
        </w:tc>
      </w:tr>
      <w:tr>
        <w:trPr>
          <w:trHeight w:val="412"/>
        </w:trPr>
        <w:tc>
          <w:tcPr>
            <w:tcW w:w="636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020" w:type="dxa"/>
            <w:vAlign w:val="bottom"/>
          </w:tcPr>
          <w:p>
            <w:pPr>
              <w:jc w:val="right"/>
              <w:spacing w:after="0"/>
              <w:rPr>
                <w:sz w:val="20"/>
                <w:szCs w:val="20"/>
                <w:color w:val="auto"/>
              </w:rPr>
            </w:pPr>
            <w:r>
              <w:rPr>
                <w:rFonts w:ascii="Arial" w:cs="Arial" w:eastAsia="Arial" w:hAnsi="Arial"/>
                <w:sz w:val="18"/>
                <w:szCs w:val="18"/>
                <w:color w:val="auto"/>
              </w:rPr>
              <w:t>6,266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6,455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12,222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12,822</w:t>
            </w:r>
          </w:p>
        </w:tc>
        <w:tc>
          <w:tcPr>
            <w:tcW w:w="0" w:type="dxa"/>
            <w:vAlign w:val="bottom"/>
          </w:tcPr>
          <w:p>
            <w:pPr>
              <w:spacing w:after="0"/>
              <w:rPr>
                <w:sz w:val="1"/>
                <w:szCs w:val="1"/>
                <w:color w:val="auto"/>
              </w:rPr>
            </w:pPr>
          </w:p>
        </w:tc>
      </w:tr>
      <w:tr>
        <w:trPr>
          <w:trHeight w:val="369"/>
        </w:trPr>
        <w:tc>
          <w:tcPr>
            <w:tcW w:w="636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1,674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1,868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3,653</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521</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1,014</w:t>
            </w:r>
          </w:p>
        </w:tc>
        <w:tc>
          <w:tcPr>
            <w:tcW w:w="0" w:type="dxa"/>
            <w:vAlign w:val="bottom"/>
          </w:tcPr>
          <w:p>
            <w:pPr>
              <w:spacing w:after="0"/>
              <w:rPr>
                <w:sz w:val="1"/>
                <w:szCs w:val="1"/>
                <w:color w:val="auto"/>
              </w:rPr>
            </w:pPr>
          </w:p>
        </w:tc>
      </w:tr>
      <w:tr>
        <w:trPr>
          <w:trHeight w:val="196"/>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2,161</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2,389</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4,227</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4,667</w:t>
            </w:r>
          </w:p>
        </w:tc>
        <w:tc>
          <w:tcPr>
            <w:tcW w:w="0" w:type="dxa"/>
            <w:vAlign w:val="bottom"/>
          </w:tcPr>
          <w:p>
            <w:pPr>
              <w:spacing w:after="0"/>
              <w:rPr>
                <w:sz w:val="1"/>
                <w:szCs w:val="1"/>
                <w:color w:val="auto"/>
              </w:rPr>
            </w:pPr>
          </w:p>
        </w:tc>
      </w:tr>
      <w:tr>
        <w:trPr>
          <w:trHeight w:val="232"/>
        </w:trPr>
        <w:tc>
          <w:tcPr>
            <w:tcW w:w="636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4,066</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8,155</w:t>
            </w: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(732)</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(1,435)</w:t>
            </w:r>
          </w:p>
        </w:tc>
        <w:tc>
          <w:tcPr>
            <w:tcW w:w="0" w:type="dxa"/>
            <w:vAlign w:val="bottom"/>
          </w:tcPr>
          <w:p>
            <w:pPr>
              <w:spacing w:after="0"/>
              <w:rPr>
                <w:sz w:val="1"/>
                <w:szCs w:val="1"/>
                <w:color w:val="auto"/>
              </w:rPr>
            </w:pPr>
          </w:p>
        </w:tc>
      </w:tr>
      <w:tr>
        <w:trPr>
          <w:trHeight w:val="181"/>
        </w:trPr>
        <w:tc>
          <w:tcPr>
            <w:tcW w:w="6360" w:type="dxa"/>
            <w:vAlign w:val="bottom"/>
          </w:tcPr>
          <w:p>
            <w:pPr>
              <w:ind w:left="180"/>
              <w:spacing w:after="0" w:line="181" w:lineRule="exact"/>
              <w:rPr>
                <w:sz w:val="20"/>
                <w:szCs w:val="20"/>
                <w:color w:val="auto"/>
              </w:rPr>
            </w:pPr>
            <w:r>
              <w:rPr>
                <w:rFonts w:ascii="Arial" w:cs="Arial" w:eastAsia="Arial" w:hAnsi="Arial"/>
                <w:sz w:val="18"/>
                <w:szCs w:val="18"/>
                <w:color w:val="auto"/>
              </w:rPr>
              <w:t>Interest expense</w:t>
            </w: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(713)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(1,369)</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(loss), net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58</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(617)</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(708)</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(1,105)</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(1,262)</w:t>
            </w:r>
          </w:p>
        </w:tc>
        <w:tc>
          <w:tcPr>
            <w:tcW w:w="0" w:type="dxa"/>
            <w:vAlign w:val="bottom"/>
          </w:tcPr>
          <w:p>
            <w:pPr>
              <w:spacing w:after="0"/>
              <w:rPr>
                <w:sz w:val="1"/>
                <w:szCs w:val="1"/>
                <w:color w:val="auto"/>
              </w:rPr>
            </w:pPr>
          </w:p>
        </w:tc>
      </w:tr>
      <w:tr>
        <w:trPr>
          <w:trHeight w:val="412"/>
        </w:trPr>
        <w:tc>
          <w:tcPr>
            <w:tcW w:w="6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3,488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3,358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6,890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6,893</w:t>
            </w:r>
          </w:p>
        </w:tc>
        <w:tc>
          <w:tcPr>
            <w:tcW w:w="0" w:type="dxa"/>
            <w:vAlign w:val="bottom"/>
          </w:tcPr>
          <w:p>
            <w:pPr>
              <w:spacing w:after="0"/>
              <w:rPr>
                <w:sz w:val="1"/>
                <w:szCs w:val="1"/>
                <w:color w:val="auto"/>
              </w:rPr>
            </w:pPr>
          </w:p>
        </w:tc>
      </w:tr>
      <w:tr>
        <w:trPr>
          <w:trHeight w:val="392"/>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(1,278)</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(2,589)</w:t>
            </w:r>
          </w:p>
        </w:tc>
        <w:tc>
          <w:tcPr>
            <w:tcW w:w="0" w:type="dxa"/>
            <w:vAlign w:val="bottom"/>
          </w:tcPr>
          <w:p>
            <w:pPr>
              <w:spacing w:after="0"/>
              <w:rPr>
                <w:sz w:val="1"/>
                <w:szCs w:val="1"/>
                <w:color w:val="auto"/>
              </w:rPr>
            </w:pPr>
          </w:p>
        </w:tc>
      </w:tr>
      <w:tr>
        <w:trPr>
          <w:trHeight w:val="412"/>
        </w:trPr>
        <w:tc>
          <w:tcPr>
            <w:tcW w:w="63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2,175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2,080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4,304</w:t>
            </w:r>
          </w:p>
        </w:tc>
        <w:tc>
          <w:tcPr>
            <w:tcW w:w="0" w:type="dxa"/>
            <w:vAlign w:val="bottom"/>
          </w:tcPr>
          <w:p>
            <w:pPr>
              <w:spacing w:after="0"/>
              <w:rPr>
                <w:sz w:val="1"/>
                <w:szCs w:val="1"/>
                <w:color w:val="auto"/>
              </w:rPr>
            </w:pPr>
          </w:p>
        </w:tc>
      </w:tr>
      <w:tr>
        <w:trPr>
          <w:trHeight w:val="391"/>
        </w:trPr>
        <w:tc>
          <w:tcPr>
            <w:tcW w:w="636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 and redeemable</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17"/>
        </w:trPr>
        <w:tc>
          <w:tcPr>
            <w:tcW w:w="6360" w:type="dxa"/>
            <w:vAlign w:val="bottom"/>
          </w:tcPr>
          <w:p>
            <w:pPr>
              <w:ind w:left="360"/>
              <w:spacing w:after="0"/>
              <w:rPr>
                <w:sz w:val="20"/>
                <w:szCs w:val="20"/>
                <w:color w:val="auto"/>
              </w:rPr>
            </w:pPr>
            <w:r>
              <w:rPr>
                <w:rFonts w:ascii="Arial" w:cs="Arial" w:eastAsia="Arial" w:hAnsi="Arial"/>
                <w:sz w:val="18"/>
                <w:szCs w:val="18"/>
                <w:color w:val="auto"/>
              </w:rPr>
              <w:t>subsidiary preferred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0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$2,137</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$2,028</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$4,196</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$4,162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4" w:right="239" w:bottom="157"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$0.84</w:t>
            </w:r>
          </w:p>
        </w:tc>
        <w:tc>
          <w:tcPr>
            <w:tcW w:w="28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$0.83</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8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common share attributable to Comcast</w:t>
            </w:r>
          </w:p>
        </w:tc>
        <w:tc>
          <w:tcPr>
            <w:tcW w:w="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5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$0.275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$0.55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8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552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2,531</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2,446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2,544</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2,454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40" w:type="dxa"/>
            <w:vAlign w:val="bottom"/>
            <w:vMerge w:val="restart"/>
          </w:tcPr>
          <w:p>
            <w:pPr>
              <w:jc w:val="right"/>
              <w:ind w:right="513"/>
              <w:spacing w:after="0"/>
              <w:rPr>
                <w:sz w:val="20"/>
                <w:szCs w:val="20"/>
                <w:color w:val="auto"/>
              </w:rPr>
            </w:pPr>
            <w:r>
              <w:rPr>
                <w:rFonts w:ascii="Arial" w:cs="Arial" w:eastAsia="Arial" w:hAnsi="Arial"/>
                <w:sz w:val="16"/>
                <w:szCs w:val="16"/>
                <w:color w:val="auto"/>
              </w:rPr>
              <w:t>8</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5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358140</wp:posOffset>
            </wp:positionV>
            <wp:extent cx="995045" cy="43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20"/>
                <w:szCs w:val="20"/>
                <w:color w:val="auto"/>
              </w:rPr>
            </w:pPr>
            <w:r>
              <w:rPr>
                <w:rFonts w:ascii="Arial" w:cs="Arial" w:eastAsia="Arial" w:hAnsi="Arial"/>
                <w:sz w:val="18"/>
                <w:szCs w:val="18"/>
                <w:color w:val="auto"/>
              </w:rPr>
              <w:t>(in millions)</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0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$4,665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080" w:type="dxa"/>
            <w:vAlign w:val="bottom"/>
          </w:tcPr>
          <w:p>
            <w:pPr>
              <w:ind w:left="260"/>
              <w:spacing w:after="0" w:line="181"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$2,295</w:t>
            </w:r>
          </w:p>
        </w:tc>
        <w:tc>
          <w:tcPr>
            <w:tcW w:w="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260"/>
              <w:spacing w:after="0" w:line="202" w:lineRule="exact"/>
              <w:rPr>
                <w:sz w:val="20"/>
                <w:szCs w:val="20"/>
                <w:color w:val="auto"/>
              </w:rPr>
            </w:pPr>
            <w:r>
              <w:rPr>
                <w:rFonts w:ascii="Arial" w:cs="Arial" w:eastAsia="Arial" w:hAnsi="Arial"/>
                <w:sz w:val="18"/>
                <w:szCs w:val="18"/>
                <w:color w:val="auto"/>
              </w:rPr>
              <w:t>Receivables, net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6,896</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6,708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260"/>
              <w:spacing w:after="0" w:line="202" w:lineRule="exact"/>
              <w:rPr>
                <w:sz w:val="20"/>
                <w:szCs w:val="20"/>
                <w:color w:val="auto"/>
              </w:rPr>
            </w:pPr>
            <w:r>
              <w:rPr>
                <w:rFonts w:ascii="Arial" w:cs="Arial" w:eastAsia="Arial" w:hAnsi="Arial"/>
                <w:sz w:val="18"/>
                <w:szCs w:val="18"/>
                <w:color w:val="auto"/>
              </w:rPr>
              <w:t>Programming rights</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1,213</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1,435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1,899</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080" w:type="dxa"/>
            <w:vAlign w:val="bottom"/>
          </w:tcPr>
          <w:p>
            <w:pPr>
              <w:ind w:left="400"/>
              <w:spacing w:after="0" w:line="197" w:lineRule="exact"/>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12,303</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30"/>
              <w:spacing w:after="0" w:line="197" w:lineRule="exact"/>
              <w:rPr>
                <w:sz w:val="20"/>
                <w:szCs w:val="20"/>
                <w:color w:val="auto"/>
              </w:rPr>
            </w:pPr>
            <w:r>
              <w:rPr>
                <w:rFonts w:ascii="Arial" w:cs="Arial" w:eastAsia="Arial" w:hAnsi="Arial"/>
                <w:sz w:val="18"/>
                <w:szCs w:val="18"/>
                <w:b w:val="1"/>
                <w:bCs w:val="1"/>
                <w:color w:val="auto"/>
              </w:rPr>
              <w:t>14,777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80" w:type="dxa"/>
            <w:vAlign w:val="bottom"/>
          </w:tcPr>
          <w:p>
            <w:pPr>
              <w:ind w:left="140"/>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5,855</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5,811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3,679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33,665</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34,896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59,364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32,945</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33,792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16,946</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17,204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80" w:type="dxa"/>
            <w:vAlign w:val="bottom"/>
          </w:tcPr>
          <w:p>
            <w:pPr>
              <w:ind w:left="140"/>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2,272</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2,462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$166,574</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$171,985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$6,359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080" w:type="dxa"/>
            <w:vAlign w:val="bottom"/>
          </w:tcPr>
          <w:p>
            <w:pPr>
              <w:ind w:left="26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$6,215</w:t>
            </w:r>
          </w:p>
        </w:tc>
        <w:tc>
          <w:tcPr>
            <w:tcW w:w="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260"/>
              <w:spacing w:after="0" w:line="202" w:lineRule="exact"/>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1,572</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1,542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260"/>
              <w:spacing w:after="0" w:line="202" w:lineRule="exact"/>
              <w:rPr>
                <w:sz w:val="20"/>
                <w:szCs w:val="20"/>
                <w:color w:val="auto"/>
              </w:rPr>
            </w:pPr>
            <w:r>
              <w:rPr>
                <w:rFonts w:ascii="Arial" w:cs="Arial" w:eastAsia="Arial" w:hAnsi="Arial"/>
                <w:sz w:val="18"/>
                <w:szCs w:val="18"/>
                <w:color w:val="auto"/>
              </w:rPr>
              <w:t>Deferred revenue</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1,302</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1,611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2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5,462</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5,155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3,627</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080" w:type="dxa"/>
            <w:vAlign w:val="bottom"/>
          </w:tcPr>
          <w:p>
            <w:pPr>
              <w:ind w:left="400"/>
              <w:spacing w:after="0" w:line="197" w:lineRule="exact"/>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18,178</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30"/>
              <w:spacing w:after="0" w:line="197" w:lineRule="exact"/>
              <w:rPr>
                <w:sz w:val="20"/>
                <w:szCs w:val="20"/>
                <w:color w:val="auto"/>
              </w:rPr>
            </w:pPr>
            <w:r>
              <w:rPr>
                <w:rFonts w:ascii="Arial" w:cs="Arial" w:eastAsia="Arial" w:hAnsi="Arial"/>
                <w:sz w:val="18"/>
                <w:szCs w:val="18"/>
                <w:b w:val="1"/>
                <w:bCs w:val="1"/>
                <w:color w:val="auto"/>
              </w:rPr>
              <w:t>17,601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80" w:type="dxa"/>
            <w:vAlign w:val="bottom"/>
          </w:tcPr>
          <w:p>
            <w:pPr>
              <w:ind w:left="140"/>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48,994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52,629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33,566</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34,512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10,637</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10,719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1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1,248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80" w:type="dxa"/>
            <w:vAlign w:val="bottom"/>
          </w:tcPr>
          <w:p>
            <w:pPr>
              <w:ind w:left="140"/>
              <w:spacing w:after="0"/>
              <w:rPr>
                <w:sz w:val="20"/>
                <w:szCs w:val="20"/>
                <w:color w:val="auto"/>
              </w:rPr>
            </w:pPr>
            <w:r>
              <w:rPr>
                <w:rFonts w:ascii="Arial" w:cs="Arial" w:eastAsia="Arial" w:hAnsi="Arial"/>
                <w:sz w:val="18"/>
                <w:szCs w:val="18"/>
                <w:color w:val="auto"/>
              </w:rPr>
              <w:t>Equity</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53,098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080" w:type="dxa"/>
            <w:vAlign w:val="bottom"/>
          </w:tcPr>
          <w:p>
            <w:pPr>
              <w:ind w:left="260"/>
              <w:spacing w:after="0" w:line="181" w:lineRule="exact"/>
              <w:rPr>
                <w:sz w:val="20"/>
                <w:szCs w:val="20"/>
                <w:color w:val="auto"/>
              </w:rPr>
            </w:pPr>
            <w:r>
              <w:rPr>
                <w:rFonts w:ascii="Arial" w:cs="Arial" w:eastAsia="Arial" w:hAnsi="Arial"/>
                <w:sz w:val="18"/>
                <w:szCs w:val="18"/>
                <w:color w:val="auto"/>
              </w:rPr>
              <w:t>Comcast Corporation shareholders’ equity</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52,269</w:t>
            </w:r>
          </w:p>
        </w:tc>
        <w:tc>
          <w:tcPr>
            <w:tcW w:w="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260"/>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1,709</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080" w:type="dxa"/>
            <w:vAlign w:val="bottom"/>
          </w:tcPr>
          <w:p>
            <w:pPr>
              <w:ind w:left="400"/>
              <w:spacing w:after="0" w:line="197" w:lineRule="exact"/>
              <w:rPr>
                <w:sz w:val="20"/>
                <w:szCs w:val="20"/>
                <w:color w:val="auto"/>
              </w:rPr>
            </w:pPr>
            <w:r>
              <w:rPr>
                <w:rFonts w:ascii="Arial" w:cs="Arial" w:eastAsia="Arial" w:hAnsi="Arial"/>
                <w:sz w:val="18"/>
                <w:szCs w:val="18"/>
                <w:color w:val="auto"/>
              </w:rPr>
              <w:t>Total equity</w:t>
            </w:r>
          </w:p>
        </w:tc>
        <w:tc>
          <w:tcPr>
            <w:tcW w:w="14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53,978</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30"/>
              <w:spacing w:after="0" w:line="197" w:lineRule="exact"/>
              <w:rPr>
                <w:sz w:val="20"/>
                <w:szCs w:val="20"/>
                <w:color w:val="auto"/>
              </w:rPr>
            </w:pPr>
            <w:r>
              <w:rPr>
                <w:rFonts w:ascii="Arial" w:cs="Arial" w:eastAsia="Arial" w:hAnsi="Arial"/>
                <w:sz w:val="18"/>
                <w:szCs w:val="18"/>
                <w:b w:val="1"/>
                <w:bCs w:val="1"/>
                <w:color w:val="auto"/>
              </w:rPr>
              <w:t>55,276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0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$166,574</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$171,985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80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0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b w:val="1"/>
          <w:bCs w:val="1"/>
          <w:color w:val="C9C9C9"/>
        </w:rPr>
        <w:t>TABLE 3</w:t>
      </w:r>
    </w:p>
    <w:p>
      <w:pPr>
        <w:sectPr>
          <w:pgSz w:w="11900" w:h="16838" w:orient="portrait"/>
          <w:cols w:equalWidth="0" w:num="1">
            <w:col w:w="11460"/>
          </w:cols>
          <w:pgMar w:left="240" w:top="112" w:right="199" w:bottom="0" w:gutter="0" w:footer="0" w:header="0"/>
          <w:type w:val="continuous"/>
        </w:sectPr>
      </w:pPr>
    </w:p>
    <w:bookmarkStart w:id="8" w:name="page9"/>
    <w:bookmarkEnd w:id="8"/>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40" w:type="dxa"/>
            <w:vAlign w:val="bottom"/>
          </w:tcPr>
          <w:p>
            <w:pPr>
              <w:spacing w:after="0"/>
              <w:rPr>
                <w:sz w:val="20"/>
                <w:szCs w:val="20"/>
                <w:color w:val="auto"/>
              </w:rPr>
            </w:pPr>
            <w:r>
              <w:rPr>
                <w:rFonts w:ascii="Arial" w:cs="Arial" w:eastAsia="Arial" w:hAnsi="Arial"/>
                <w:sz w:val="18"/>
                <w:szCs w:val="18"/>
                <w:color w:val="auto"/>
              </w:rPr>
              <w:t>(in millions)</w:t>
            </w:r>
          </w:p>
        </w:tc>
        <w:tc>
          <w:tcPr>
            <w:tcW w:w="318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9"/>
              </w:rPr>
              <w:t>Six Months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204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9"/>
              </w:rPr>
              <w:t>June 30,</w:t>
            </w: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spacing w:after="0"/>
              <w:rPr>
                <w:sz w:val="21"/>
                <w:szCs w:val="21"/>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$4,316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$4,304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4,227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4,667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Noncash interest expense (income),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Equity in net (income) losses of investees,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Cash received from investees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Net (gain) loss on investment activity and other</w:t>
            </w:r>
          </w:p>
        </w:tc>
        <w:tc>
          <w:tcPr>
            <w:tcW w:w="150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Current and noncurrent receivables, net</w:t>
            </w:r>
          </w:p>
        </w:tc>
        <w:tc>
          <w:tcPr>
            <w:tcW w:w="1500" w:type="dxa"/>
            <w:vAlign w:val="bottom"/>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Film and television costs,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6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60"/>
              <w:spacing w:after="0"/>
              <w:rPr>
                <w:sz w:val="20"/>
                <w:szCs w:val="20"/>
                <w:color w:val="auto"/>
              </w:rPr>
            </w:pPr>
            <w:r>
              <w:rPr>
                <w:rFonts w:ascii="Arial" w:cs="Arial" w:eastAsia="Arial" w:hAnsi="Arial"/>
                <w:sz w:val="18"/>
                <w:szCs w:val="18"/>
                <w:color w:val="auto"/>
              </w:rPr>
              <w:t>Other operating assets and liabilities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8,834</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(3,697)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Cash paid for intangible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and construction of real estate properties</w:t>
            </w:r>
          </w:p>
        </w:tc>
        <w:tc>
          <w:tcPr>
            <w:tcW w:w="15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net of cash acquired</w:t>
            </w:r>
          </w:p>
        </w:tc>
        <w:tc>
          <w:tcPr>
            <w:tcW w:w="150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sales of businesses and investments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(repayments of) short-term borrowings, net</w:t>
            </w:r>
          </w:p>
        </w:tc>
        <w:tc>
          <w:tcPr>
            <w:tcW w:w="150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3,996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4,753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and repayments of debt</w:t>
            </w:r>
          </w:p>
        </w:tc>
        <w:tc>
          <w:tcPr>
            <w:tcW w:w="1500" w:type="dxa"/>
            <w:vAlign w:val="bottom"/>
          </w:tcPr>
          <w:p>
            <w:pPr>
              <w:jc w:val="right"/>
              <w:spacing w:after="0"/>
              <w:rPr>
                <w:sz w:val="20"/>
                <w:szCs w:val="20"/>
                <w:color w:val="auto"/>
              </w:rPr>
            </w:pPr>
            <w:r>
              <w:rPr>
                <w:rFonts w:ascii="Arial" w:cs="Arial" w:eastAsia="Arial" w:hAnsi="Arial"/>
                <w:sz w:val="18"/>
                <w:szCs w:val="18"/>
                <w:color w:val="auto"/>
              </w:rPr>
              <w:t>(3,666)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and retirements of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(3,585)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Issuances of common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50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2,370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3,910</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$3,486</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5640"/>
              <w:spacing w:after="0"/>
              <w:rPr>
                <w:sz w:val="20"/>
                <w:szCs w:val="20"/>
                <w:color w:val="auto"/>
              </w:rPr>
            </w:pPr>
            <w:r>
              <w:rPr>
                <w:rFonts w:ascii="Arial" w:cs="Arial" w:eastAsia="Arial" w:hAnsi="Arial"/>
                <w:sz w:val="14"/>
                <w:szCs w:val="14"/>
                <w:color w:val="auto"/>
              </w:rPr>
              <w:t>10</w:t>
            </w: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2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454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75" w:lineRule="exact"/>
        <w:rPr>
          <w:sz w:val="20"/>
          <w:szCs w:val="20"/>
          <w:color w:val="auto"/>
        </w:rPr>
      </w:pPr>
    </w:p>
    <w:p>
      <w:pPr>
        <w:ind w:right="2460"/>
        <w:spacing w:after="0" w:line="261" w:lineRule="auto"/>
        <w:rPr>
          <w:sz w:val="20"/>
          <w:szCs w:val="20"/>
          <w:color w:val="auto"/>
        </w:rPr>
      </w:pPr>
      <w:r>
        <w:rPr>
          <w:rFonts w:ascii="Arial" w:cs="Arial" w:eastAsia="Arial" w:hAnsi="Arial"/>
          <w:sz w:val="22"/>
          <w:szCs w:val="22"/>
          <w:b w:val="1"/>
          <w:bCs w:val="1"/>
          <w:color w:val="C9C9C9"/>
        </w:rPr>
        <w:t>Reconciliations to Operating Cash Flow and Free Cash Flow and Alternate Presentation of Net Cash Provided by Operating Activities (Unaudited)</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38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4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June 30,</w:t>
            </w:r>
          </w:p>
        </w:tc>
      </w:tr>
      <w:tr>
        <w:trPr>
          <w:trHeight w:val="175"/>
        </w:trPr>
        <w:tc>
          <w:tcPr>
            <w:tcW w:w="452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2015</w:t>
            </w:r>
          </w:p>
        </w:tc>
        <w:tc>
          <w:tcPr>
            <w:tcW w:w="152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2015</w:t>
            </w:r>
          </w:p>
        </w:tc>
        <w:tc>
          <w:tcPr>
            <w:tcW w:w="16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2016</w:t>
            </w:r>
          </w:p>
        </w:tc>
      </w:tr>
      <w:tr>
        <w:trPr>
          <w:trHeight w:val="142"/>
        </w:trPr>
        <w:tc>
          <w:tcPr>
            <w:tcW w:w="4520" w:type="dxa"/>
            <w:vAlign w:val="bottom"/>
          </w:tcPr>
          <w:p>
            <w:pPr>
              <w:spacing w:after="0" w:line="143" w:lineRule="exact"/>
              <w:rPr>
                <w:sz w:val="20"/>
                <w:szCs w:val="20"/>
                <w:color w:val="auto"/>
              </w:rPr>
            </w:pPr>
            <w:r>
              <w:rPr>
                <w:rFonts w:ascii="Arial" w:cs="Arial" w:eastAsia="Arial" w:hAnsi="Arial"/>
                <w:sz w:val="14"/>
                <w:szCs w:val="14"/>
                <w:b w:val="1"/>
                <w:bCs w:val="1"/>
                <w:color w:val="auto"/>
              </w:rPr>
              <w:t>Operating income</w:t>
            </w:r>
          </w:p>
        </w:tc>
        <w:tc>
          <w:tcPr>
            <w:tcW w:w="86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$4,105</w:t>
            </w:r>
          </w:p>
        </w:tc>
        <w:tc>
          <w:tcPr>
            <w:tcW w:w="152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$4,066</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$7,995</w:t>
            </w:r>
          </w:p>
        </w:tc>
        <w:tc>
          <w:tcPr>
            <w:tcW w:w="84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$8,155</w:t>
            </w:r>
          </w:p>
        </w:tc>
      </w:tr>
      <w:tr>
        <w:trPr>
          <w:trHeight w:val="175"/>
        </w:trPr>
        <w:tc>
          <w:tcPr>
            <w:tcW w:w="45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2,161</w:t>
            </w:r>
          </w:p>
        </w:tc>
        <w:tc>
          <w:tcPr>
            <w:tcW w:w="1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2,389</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4,227</w:t>
            </w: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4,667</w:t>
            </w:r>
          </w:p>
        </w:tc>
      </w:tr>
      <w:tr>
        <w:trPr>
          <w:trHeight w:val="129"/>
        </w:trPr>
        <w:tc>
          <w:tcPr>
            <w:tcW w:w="4520" w:type="dxa"/>
            <w:vAlign w:val="bottom"/>
          </w:tcPr>
          <w:p>
            <w:pPr>
              <w:spacing w:after="0" w:line="129" w:lineRule="exact"/>
              <w:rPr>
                <w:sz w:val="20"/>
                <w:szCs w:val="20"/>
                <w:color w:val="auto"/>
              </w:rPr>
            </w:pPr>
            <w:r>
              <w:rPr>
                <w:rFonts w:ascii="Arial" w:cs="Arial" w:eastAsia="Arial" w:hAnsi="Arial"/>
                <w:sz w:val="14"/>
                <w:szCs w:val="14"/>
                <w:b w:val="1"/>
                <w:bCs w:val="1"/>
                <w:color w:val="auto"/>
              </w:rPr>
              <w:t>Operating income before depreciation and amortization</w:t>
            </w:r>
          </w:p>
        </w:tc>
        <w:tc>
          <w:tcPr>
            <w:tcW w:w="860" w:type="dxa"/>
            <w:vAlign w:val="bottom"/>
            <w:tcBorders>
              <w:top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90"/>
        </w:trPr>
        <w:tc>
          <w:tcPr>
            <w:tcW w:w="4520" w:type="dxa"/>
            <w:vAlign w:val="bottom"/>
          </w:tcPr>
          <w:p>
            <w:pPr>
              <w:ind w:left="180"/>
              <w:spacing w:after="0"/>
              <w:rPr>
                <w:sz w:val="20"/>
                <w:szCs w:val="20"/>
                <w:color w:val="auto"/>
              </w:rPr>
            </w:pPr>
            <w:r>
              <w:rPr>
                <w:rFonts w:ascii="Arial" w:cs="Arial" w:eastAsia="Arial" w:hAnsi="Arial"/>
                <w:sz w:val="14"/>
                <w:szCs w:val="14"/>
                <w:b w:val="1"/>
                <w:bCs w:val="1"/>
                <w:color w:val="auto"/>
              </w:rPr>
              <w:t>(Operating Cash Flow)</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6,266</w:t>
            </w:r>
          </w:p>
        </w:tc>
        <w:tc>
          <w:tcPr>
            <w:tcW w:w="1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6,455</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12,222</w:t>
            </w: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12,822</w:t>
            </w:r>
          </w:p>
        </w:tc>
      </w:tr>
      <w:tr>
        <w:trPr>
          <w:trHeight w:val="123"/>
        </w:trPr>
        <w:tc>
          <w:tcPr>
            <w:tcW w:w="4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ectPr>
          <w:pgSz w:w="11900" w:h="16900" w:orient="portrait"/>
          <w:cols w:equalWidth="0" w:num="1">
            <w:col w:w="11460"/>
          </w:cols>
          <w:pgMar w:left="240" w:top="105"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ind w:left="340"/>
              <w:spacing w:after="0"/>
              <w:rPr>
                <w:sz w:val="20"/>
                <w:szCs w:val="20"/>
                <w:color w:val="auto"/>
              </w:rPr>
            </w:pPr>
            <w:r>
              <w:rPr>
                <w:rFonts w:ascii="Arial" w:cs="Arial" w:eastAsia="Arial" w:hAnsi="Arial"/>
                <w:sz w:val="14"/>
                <w:szCs w:val="14"/>
                <w:color w:val="auto"/>
              </w:rPr>
              <w:t>Noncash share-based compensation expense</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159</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178</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294</w:t>
            </w: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331</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(373)</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(304)</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(809)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Pr>
          <w:p>
            <w:pPr>
              <w:ind w:left="340"/>
              <w:spacing w:after="0" w:line="143" w:lineRule="exact"/>
              <w:rPr>
                <w:sz w:val="20"/>
                <w:szCs w:val="20"/>
                <w:color w:val="auto"/>
              </w:rPr>
            </w:pPr>
            <w:r>
              <w:rPr>
                <w:rFonts w:ascii="Arial" w:cs="Arial" w:eastAsia="Arial" w:hAnsi="Arial"/>
                <w:sz w:val="14"/>
                <w:szCs w:val="14"/>
                <w:color w:val="auto"/>
              </w:rPr>
              <w:t>Cash basis operating income</w:t>
            </w:r>
          </w:p>
        </w:tc>
        <w:tc>
          <w:tcPr>
            <w:tcW w:w="86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6,048</w:t>
            </w:r>
          </w:p>
        </w:tc>
        <w:tc>
          <w:tcPr>
            <w:tcW w:w="152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6,260</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12,212</w:t>
            </w:r>
          </w:p>
        </w:tc>
        <w:tc>
          <w:tcPr>
            <w:tcW w:w="84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12,344</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340"/>
              <w:spacing w:after="0"/>
              <w:rPr>
                <w:sz w:val="20"/>
                <w:szCs w:val="20"/>
                <w:color w:val="auto"/>
              </w:rPr>
            </w:pPr>
            <w:r>
              <w:rPr>
                <w:rFonts w:ascii="Arial" w:cs="Arial" w:eastAsia="Arial" w:hAnsi="Arial"/>
                <w:sz w:val="14"/>
                <w:szCs w:val="14"/>
                <w:color w:val="auto"/>
              </w:rPr>
              <w:t>Payments of interest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(550)</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(512)</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(1,241)</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(1,235)</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340"/>
              <w:spacing w:after="0"/>
              <w:rPr>
                <w:sz w:val="20"/>
                <w:szCs w:val="20"/>
                <w:color w:val="auto"/>
              </w:rPr>
            </w:pPr>
            <w:r>
              <w:rPr>
                <w:rFonts w:ascii="Arial" w:cs="Arial" w:eastAsia="Arial" w:hAnsi="Arial"/>
                <w:sz w:val="14"/>
                <w:szCs w:val="14"/>
                <w:color w:val="auto"/>
              </w:rPr>
              <w:t>Payments of income taxes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(1,881)</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(1,495)</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(1,999)</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(1,685)</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340"/>
              <w:spacing w:after="0"/>
              <w:rPr>
                <w:sz w:val="20"/>
                <w:szCs w:val="20"/>
                <w:color w:val="auto"/>
              </w:rPr>
            </w:pPr>
            <w:r>
              <w:rPr>
                <w:rFonts w:ascii="Arial" w:cs="Arial" w:eastAsia="Arial" w:hAnsi="Arial"/>
                <w:sz w:val="14"/>
                <w:szCs w:val="14"/>
                <w:color w:val="auto"/>
              </w:rPr>
              <w:t>Excess tax benefits under share-based compensation</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(160)</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340"/>
              <w:spacing w:after="0"/>
              <w:rPr>
                <w:sz w:val="20"/>
                <w:szCs w:val="20"/>
                <w:color w:val="auto"/>
              </w:rPr>
            </w:pPr>
            <w:r>
              <w:rPr>
                <w:rFonts w:ascii="Arial" w:cs="Arial" w:eastAsia="Arial" w:hAnsi="Arial"/>
                <w:sz w:val="14"/>
                <w:szCs w:val="14"/>
                <w:color w:val="auto"/>
              </w:rPr>
              <w:t>Other</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46</w:t>
            </w:r>
          </w:p>
        </w:tc>
        <w:tc>
          <w:tcPr>
            <w:tcW w:w="1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119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$3,589</w:t>
            </w:r>
          </w:p>
        </w:tc>
        <w:tc>
          <w:tcPr>
            <w:tcW w:w="15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$4,273</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$8,834</w:t>
            </w:r>
          </w:p>
        </w:tc>
        <w:tc>
          <w:tcPr>
            <w:tcW w:w="8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$9,383</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60" w:type="dxa"/>
            <w:vAlign w:val="bottom"/>
          </w:tcPr>
          <w:p>
            <w:pPr>
              <w:ind w:left="340"/>
              <w:spacing w:after="0" w:line="143" w:lineRule="exact"/>
              <w:rPr>
                <w:sz w:val="20"/>
                <w:szCs w:val="20"/>
                <w:color w:val="auto"/>
              </w:rPr>
            </w:pPr>
            <w:r>
              <w:rPr>
                <w:rFonts w:ascii="Arial" w:cs="Arial" w:eastAsia="Arial" w:hAnsi="Arial"/>
                <w:sz w:val="14"/>
                <w:szCs w:val="14"/>
                <w:color w:val="auto"/>
              </w:rPr>
              <w:t>Capital expenditures</w:t>
            </w: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(1,971)</w:t>
            </w:r>
          </w:p>
        </w:tc>
        <w:tc>
          <w:tcPr>
            <w:tcW w:w="152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(2,271)</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(3,697)</w:t>
            </w:r>
          </w:p>
        </w:tc>
        <w:tc>
          <w:tcPr>
            <w:tcW w:w="84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(4,156)</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340"/>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(359)</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(600)</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(737)</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340"/>
              <w:spacing w:after="0"/>
              <w:rPr>
                <w:sz w:val="20"/>
                <w:szCs w:val="20"/>
                <w:color w:val="auto"/>
              </w:rPr>
            </w:pPr>
            <w:r>
              <w:rPr>
                <w:rFonts w:ascii="Arial" w:cs="Arial" w:eastAsia="Arial" w:hAnsi="Arial"/>
                <w:sz w:val="14"/>
                <w:szCs w:val="14"/>
                <w:color w:val="auto"/>
              </w:rPr>
              <w:t>Principal payments on capital leases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340"/>
              <w:spacing w:after="0"/>
              <w:rPr>
                <w:sz w:val="20"/>
                <w:szCs w:val="20"/>
                <w:color w:val="auto"/>
              </w:rPr>
            </w:pPr>
            <w:r>
              <w:rPr>
                <w:rFonts w:ascii="Arial" w:cs="Arial" w:eastAsia="Arial" w:hAnsi="Arial"/>
                <w:sz w:val="14"/>
                <w:szCs w:val="14"/>
                <w:color w:val="auto"/>
              </w:rPr>
              <w:t>Distributions to noncontrolling interests and dividends for</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(125)</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60" w:type="dxa"/>
            <w:vAlign w:val="bottom"/>
          </w:tcPr>
          <w:p>
            <w:pPr>
              <w:ind w:left="520"/>
              <w:spacing w:after="0" w:line="144" w:lineRule="exact"/>
              <w:rPr>
                <w:sz w:val="20"/>
                <w:szCs w:val="20"/>
                <w:color w:val="auto"/>
              </w:rPr>
            </w:pPr>
            <w:r>
              <w:rPr>
                <w:rFonts w:ascii="Arial" w:cs="Arial" w:eastAsia="Arial" w:hAnsi="Arial"/>
                <w:sz w:val="14"/>
                <w:szCs w:val="14"/>
                <w:color w:val="auto"/>
              </w:rPr>
              <w:t>redeemable subsidiary preferred stock</w:t>
            </w:r>
          </w:p>
        </w:tc>
        <w:tc>
          <w:tcPr>
            <w:tcW w:w="860" w:type="dxa"/>
            <w:vAlign w:val="bottom"/>
          </w:tcPr>
          <w:p>
            <w:pPr>
              <w:jc w:val="right"/>
              <w:ind w:right="48"/>
              <w:spacing w:after="0" w:line="144" w:lineRule="exact"/>
              <w:rPr>
                <w:sz w:val="20"/>
                <w:szCs w:val="20"/>
                <w:color w:val="auto"/>
              </w:rPr>
            </w:pPr>
            <w:r>
              <w:rPr>
                <w:rFonts w:ascii="Arial" w:cs="Arial" w:eastAsia="Arial" w:hAnsi="Arial"/>
                <w:sz w:val="14"/>
                <w:szCs w:val="14"/>
                <w:color w:val="auto"/>
              </w:rPr>
              <w:t>(52)</w:t>
            </w:r>
          </w:p>
        </w:tc>
        <w:tc>
          <w:tcPr>
            <w:tcW w:w="1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4"/>
                <w:szCs w:val="14"/>
                <w:color w:val="auto"/>
              </w:rPr>
              <w:t>(114)</w:t>
            </w:r>
          </w:p>
        </w:tc>
        <w:tc>
          <w:tcPr>
            <w:tcW w:w="16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340"/>
              <w:spacing w:after="0" w:line="176" w:lineRule="exact"/>
              <w:rPr>
                <w:sz w:val="20"/>
                <w:szCs w:val="20"/>
                <w:color w:val="auto"/>
              </w:rPr>
            </w:pPr>
            <w:r>
              <w:rPr>
                <w:rFonts w:ascii="Arial" w:cs="Arial" w:eastAsia="Arial" w:hAnsi="Arial"/>
                <w:sz w:val="14"/>
                <w:szCs w:val="14"/>
                <w:color w:val="auto"/>
              </w:rPr>
              <w:t>Nonoperating items</w:t>
            </w:r>
            <w:r>
              <w:rPr>
                <w:rFonts w:ascii="Arial" w:cs="Arial" w:eastAsia="Arial" w:hAnsi="Arial"/>
                <w:sz w:val="17"/>
                <w:szCs w:val="17"/>
                <w:color w:val="auto"/>
                <w:vertAlign w:val="superscript"/>
              </w:rPr>
              <w:t>(1)</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(16)</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Pr>
          <w:p>
            <w:pPr>
              <w:ind w:left="340"/>
              <w:spacing w:after="0" w:line="143" w:lineRule="exact"/>
              <w:rPr>
                <w:sz w:val="20"/>
                <w:szCs w:val="20"/>
                <w:color w:val="auto"/>
              </w:rPr>
            </w:pPr>
            <w:r>
              <w:rPr>
                <w:rFonts w:ascii="Arial" w:cs="Arial" w:eastAsia="Arial" w:hAnsi="Arial"/>
                <w:sz w:val="14"/>
                <w:szCs w:val="14"/>
                <w:color w:val="auto"/>
              </w:rPr>
              <w:t>Free Cash Flow (including Economic Stimulus Packages)</w:t>
            </w:r>
          </w:p>
        </w:tc>
        <w:tc>
          <w:tcPr>
            <w:tcW w:w="86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1,167</w:t>
            </w:r>
          </w:p>
        </w:tc>
        <w:tc>
          <w:tcPr>
            <w:tcW w:w="152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1,527</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4,350</w:t>
            </w:r>
          </w:p>
        </w:tc>
        <w:tc>
          <w:tcPr>
            <w:tcW w:w="84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4,332</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340"/>
              <w:spacing w:after="0" w:line="176" w:lineRule="exact"/>
              <w:rPr>
                <w:sz w:val="20"/>
                <w:szCs w:val="20"/>
                <w:color w:val="auto"/>
              </w:rPr>
            </w:pPr>
            <w:r>
              <w:rPr>
                <w:rFonts w:ascii="Arial" w:cs="Arial" w:eastAsia="Arial" w:hAnsi="Arial"/>
                <w:sz w:val="14"/>
                <w:szCs w:val="14"/>
                <w:color w:val="auto"/>
              </w:rPr>
              <w:t>Economic Stimulus Packages</w:t>
            </w:r>
            <w:r>
              <w:rPr>
                <w:rFonts w:ascii="Arial" w:cs="Arial" w:eastAsia="Arial" w:hAnsi="Arial"/>
                <w:sz w:val="17"/>
                <w:szCs w:val="17"/>
                <w:color w:val="auto"/>
                <w:vertAlign w:val="superscript"/>
              </w:rPr>
              <w:t>(1)</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334</w:t>
            </w:r>
          </w:p>
        </w:tc>
        <w:tc>
          <w:tcPr>
            <w:tcW w:w="1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Total Free Cash Flow</w:t>
            </w:r>
          </w:p>
        </w:tc>
        <w:tc>
          <w:tcPr>
            <w:tcW w:w="8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$1,501</w:t>
            </w:r>
          </w:p>
        </w:tc>
        <w:tc>
          <w:tcPr>
            <w:tcW w:w="15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$1,420</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$4,684</w:t>
            </w:r>
          </w:p>
        </w:tc>
        <w:tc>
          <w:tcPr>
            <w:tcW w:w="8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$4,225</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240" w:type="dxa"/>
            <w:vAlign w:val="bottom"/>
            <w:tcBorders>
              <w:bottom w:val="single" w:sz="8" w:color="0050B9"/>
            </w:tcBorders>
            <w:gridSpan w:val="3"/>
          </w:tcPr>
          <w:p>
            <w:pPr>
              <w:spacing w:after="0"/>
              <w:rPr>
                <w:sz w:val="20"/>
                <w:szCs w:val="20"/>
                <w:color w:val="auto"/>
              </w:rPr>
            </w:pPr>
            <w:r>
              <w:rPr>
                <w:rFonts w:ascii="Arial" w:cs="Arial" w:eastAsia="Arial" w:hAnsi="Arial"/>
                <w:sz w:val="22"/>
                <w:szCs w:val="22"/>
                <w:b w:val="1"/>
                <w:bCs w:val="1"/>
                <w:color w:val="C9C9C9"/>
              </w:rPr>
              <w:t>Alternate Presentation of Free Cash Flow (Unaudited)</w:t>
            </w:r>
          </w:p>
        </w:tc>
        <w:tc>
          <w:tcPr>
            <w:tcW w:w="740" w:type="dxa"/>
            <w:vAlign w:val="bottom"/>
            <w:tcBorders>
              <w:bottom w:val="single" w:sz="8" w:color="0050B9"/>
            </w:tcBorders>
          </w:tcPr>
          <w:p>
            <w:pPr>
              <w:spacing w:after="0"/>
              <w:rPr>
                <w:sz w:val="24"/>
                <w:szCs w:val="24"/>
                <w:color w:val="auto"/>
              </w:rPr>
            </w:pPr>
          </w:p>
        </w:tc>
        <w:tc>
          <w:tcPr>
            <w:tcW w:w="200" w:type="dxa"/>
            <w:vAlign w:val="bottom"/>
            <w:tcBorders>
              <w:bottom w:val="single" w:sz="8" w:color="0050B9"/>
            </w:tcBorders>
          </w:tcPr>
          <w:p>
            <w:pPr>
              <w:spacing w:after="0"/>
              <w:rPr>
                <w:sz w:val="24"/>
                <w:szCs w:val="24"/>
                <w:color w:val="auto"/>
              </w:rPr>
            </w:pPr>
          </w:p>
        </w:tc>
        <w:tc>
          <w:tcPr>
            <w:tcW w:w="140" w:type="dxa"/>
            <w:vAlign w:val="bottom"/>
            <w:tcBorders>
              <w:bottom w:val="single" w:sz="8" w:color="0050B9"/>
            </w:tcBorders>
          </w:tcPr>
          <w:p>
            <w:pPr>
              <w:spacing w:after="0"/>
              <w:rPr>
                <w:sz w:val="24"/>
                <w:szCs w:val="24"/>
                <w:color w:val="auto"/>
              </w:rPr>
            </w:pPr>
          </w:p>
        </w:tc>
        <w:tc>
          <w:tcPr>
            <w:tcW w:w="800" w:type="dxa"/>
            <w:vAlign w:val="bottom"/>
            <w:tcBorders>
              <w:bottom w:val="single" w:sz="8" w:color="0050B9"/>
            </w:tcBorders>
          </w:tcPr>
          <w:p>
            <w:pPr>
              <w:spacing w:after="0"/>
              <w:rPr>
                <w:sz w:val="24"/>
                <w:szCs w:val="24"/>
                <w:color w:val="auto"/>
              </w:rPr>
            </w:pPr>
          </w:p>
        </w:tc>
        <w:tc>
          <w:tcPr>
            <w:tcW w:w="840" w:type="dxa"/>
            <w:vAlign w:val="bottom"/>
            <w:tcBorders>
              <w:bottom w:val="single" w:sz="8" w:color="0050B9"/>
            </w:tcBorders>
          </w:tcPr>
          <w:p>
            <w:pPr>
              <w:spacing w:after="0"/>
              <w:rPr>
                <w:sz w:val="24"/>
                <w:szCs w:val="24"/>
                <w:color w:val="auto"/>
              </w:rPr>
            </w:pPr>
          </w:p>
        </w:tc>
        <w:tc>
          <w:tcPr>
            <w:tcW w:w="780" w:type="dxa"/>
            <w:vAlign w:val="bottom"/>
            <w:tcBorders>
              <w:bottom w:val="single" w:sz="8" w:color="0050B9"/>
            </w:tcBorders>
          </w:tcPr>
          <w:p>
            <w:pPr>
              <w:spacing w:after="0"/>
              <w:rPr>
                <w:sz w:val="24"/>
                <w:szCs w:val="24"/>
                <w:color w:val="auto"/>
              </w:rPr>
            </w:pPr>
          </w:p>
        </w:tc>
        <w:tc>
          <w:tcPr>
            <w:tcW w:w="680" w:type="dxa"/>
            <w:vAlign w:val="bottom"/>
            <w:tcBorders>
              <w:bottom w:val="single" w:sz="8" w:color="0050B9"/>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380" w:type="dxa"/>
            <w:vAlign w:val="bottom"/>
            <w:gridSpan w:val="2"/>
            <w:vMerge w:val="restart"/>
          </w:tcPr>
          <w:p>
            <w:pPr>
              <w:jc w:val="center"/>
              <w:ind w:left="68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60" w:type="dxa"/>
            <w:vAlign w:val="bottom"/>
            <w:vMerge w:val="restart"/>
          </w:tcPr>
          <w:p>
            <w:pPr>
              <w:ind w:left="340"/>
              <w:spacing w:after="0"/>
              <w:rPr>
                <w:sz w:val="20"/>
                <w:szCs w:val="20"/>
                <w:color w:val="auto"/>
              </w:rPr>
            </w:pPr>
            <w:r>
              <w:rPr>
                <w:rFonts w:ascii="Arial" w:cs="Arial" w:eastAsia="Arial" w:hAnsi="Arial"/>
                <w:sz w:val="14"/>
                <w:szCs w:val="14"/>
                <w:color w:val="auto"/>
              </w:rPr>
              <w:t>(in millions)</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2015</w:t>
            </w:r>
          </w:p>
        </w:tc>
        <w:tc>
          <w:tcPr>
            <w:tcW w:w="152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2015</w:t>
            </w:r>
          </w:p>
        </w:tc>
        <w:tc>
          <w:tcPr>
            <w:tcW w:w="16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60" w:type="dxa"/>
            <w:vAlign w:val="bottom"/>
            <w:vMerge w:val="continue"/>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340"/>
              <w:spacing w:after="0"/>
              <w:rPr>
                <w:sz w:val="20"/>
                <w:szCs w:val="20"/>
                <w:color w:val="auto"/>
              </w:rPr>
            </w:pPr>
            <w:r>
              <w:rPr>
                <w:rFonts w:ascii="Arial" w:cs="Arial" w:eastAsia="Arial" w:hAnsi="Arial"/>
                <w:sz w:val="14"/>
                <w:szCs w:val="14"/>
                <w:b w:val="1"/>
                <w:bCs w:val="1"/>
                <w:color w:val="auto"/>
              </w:rPr>
              <w:t>Operating Cash Flow</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$6,266</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$6,455</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$12,222</w:t>
            </w: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$12,822</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34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(1,971)</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(2,271)</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(3,697)</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(4,156)</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340"/>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(359)</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(600)</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(737)</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340"/>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(550)</w:t>
            </w:r>
          </w:p>
        </w:tc>
        <w:tc>
          <w:tcPr>
            <w:tcW w:w="1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(512)</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(1,241)</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860" w:type="dxa"/>
            <w:vAlign w:val="bottom"/>
          </w:tcPr>
          <w:p>
            <w:pPr>
              <w:ind w:left="340"/>
              <w:spacing w:after="0" w:line="157" w:lineRule="exact"/>
              <w:rPr>
                <w:sz w:val="20"/>
                <w:szCs w:val="20"/>
                <w:color w:val="auto"/>
              </w:rPr>
            </w:pPr>
            <w:r>
              <w:rPr>
                <w:rFonts w:ascii="Arial" w:cs="Arial" w:eastAsia="Arial" w:hAnsi="Arial"/>
                <w:sz w:val="14"/>
                <w:szCs w:val="14"/>
                <w:color w:val="auto"/>
              </w:rPr>
              <w:t>Cash taxes on operating items (including Economic Stimulus</w:t>
            </w:r>
          </w:p>
        </w:tc>
        <w:tc>
          <w:tcPr>
            <w:tcW w:w="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(1,605)</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(1,861)</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60" w:type="dxa"/>
            <w:vAlign w:val="bottom"/>
          </w:tcPr>
          <w:p>
            <w:pPr>
              <w:ind w:left="520"/>
              <w:spacing w:after="0" w:line="150" w:lineRule="exact"/>
              <w:rPr>
                <w:sz w:val="20"/>
                <w:szCs w:val="20"/>
                <w:color w:val="auto"/>
              </w:rPr>
            </w:pPr>
            <w:r>
              <w:rPr>
                <w:rFonts w:ascii="Arial" w:cs="Arial" w:eastAsia="Arial" w:hAnsi="Arial"/>
                <w:sz w:val="14"/>
                <w:szCs w:val="14"/>
                <w:color w:val="auto"/>
              </w:rPr>
              <w:t>Packages)</w:t>
            </w:r>
            <w:r>
              <w:rPr>
                <w:rFonts w:ascii="Arial" w:cs="Arial" w:eastAsia="Arial" w:hAnsi="Arial"/>
                <w:sz w:val="17"/>
                <w:szCs w:val="17"/>
                <w:color w:val="auto"/>
                <w:vertAlign w:val="superscript"/>
              </w:rPr>
              <w:t>(2)</w:t>
            </w: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(2,025)</w:t>
            </w:r>
          </w:p>
        </w:tc>
        <w:tc>
          <w:tcPr>
            <w:tcW w:w="1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(2,289)</w:t>
            </w:r>
          </w:p>
        </w:tc>
        <w:tc>
          <w:tcPr>
            <w:tcW w:w="16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(373)</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(304)</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(809)</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340"/>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159</w:t>
            </w:r>
          </w:p>
        </w:tc>
        <w:tc>
          <w:tcPr>
            <w:tcW w:w="1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178</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294</w:t>
            </w: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331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340"/>
              <w:spacing w:after="0"/>
              <w:rPr>
                <w:sz w:val="20"/>
                <w:szCs w:val="20"/>
                <w:color w:val="auto"/>
              </w:rPr>
            </w:pPr>
            <w:r>
              <w:rPr>
                <w:rFonts w:ascii="Arial" w:cs="Arial" w:eastAsia="Arial" w:hAnsi="Arial"/>
                <w:sz w:val="14"/>
                <w:szCs w:val="14"/>
                <w:color w:val="auto"/>
              </w:rPr>
              <w:t>Distributions to noncontrolling interests and dividends for</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(125)</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60" w:type="dxa"/>
            <w:vAlign w:val="bottom"/>
          </w:tcPr>
          <w:p>
            <w:pPr>
              <w:ind w:left="520"/>
              <w:spacing w:after="0" w:line="144" w:lineRule="exact"/>
              <w:rPr>
                <w:sz w:val="20"/>
                <w:szCs w:val="20"/>
                <w:color w:val="auto"/>
              </w:rPr>
            </w:pPr>
            <w:r>
              <w:rPr>
                <w:rFonts w:ascii="Arial" w:cs="Arial" w:eastAsia="Arial" w:hAnsi="Arial"/>
                <w:sz w:val="14"/>
                <w:szCs w:val="14"/>
                <w:color w:val="auto"/>
              </w:rPr>
              <w:t>redeemable subsidiary preferred stock</w:t>
            </w:r>
          </w:p>
        </w:tc>
        <w:tc>
          <w:tcPr>
            <w:tcW w:w="860" w:type="dxa"/>
            <w:vAlign w:val="bottom"/>
          </w:tcPr>
          <w:p>
            <w:pPr>
              <w:jc w:val="right"/>
              <w:ind w:right="48"/>
              <w:spacing w:after="0" w:line="144" w:lineRule="exact"/>
              <w:rPr>
                <w:sz w:val="20"/>
                <w:szCs w:val="20"/>
                <w:color w:val="auto"/>
              </w:rPr>
            </w:pPr>
            <w:r>
              <w:rPr>
                <w:rFonts w:ascii="Arial" w:cs="Arial" w:eastAsia="Arial" w:hAnsi="Arial"/>
                <w:sz w:val="14"/>
                <w:szCs w:val="14"/>
                <w:color w:val="auto"/>
              </w:rPr>
              <w:t>(52)</w:t>
            </w:r>
          </w:p>
        </w:tc>
        <w:tc>
          <w:tcPr>
            <w:tcW w:w="1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4"/>
                <w:szCs w:val="14"/>
                <w:color w:val="auto"/>
              </w:rPr>
              <w:t>(114)</w:t>
            </w:r>
          </w:p>
        </w:tc>
        <w:tc>
          <w:tcPr>
            <w:tcW w:w="16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340"/>
              <w:spacing w:after="0"/>
              <w:rPr>
                <w:sz w:val="20"/>
                <w:szCs w:val="20"/>
                <w:color w:val="auto"/>
              </w:rPr>
            </w:pPr>
            <w:r>
              <w:rPr>
                <w:rFonts w:ascii="Arial" w:cs="Arial" w:eastAsia="Arial" w:hAnsi="Arial"/>
                <w:sz w:val="14"/>
                <w:szCs w:val="14"/>
                <w:color w:val="auto"/>
              </w:rPr>
              <w:t>Other</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44</w:t>
            </w:r>
          </w:p>
        </w:tc>
        <w:tc>
          <w:tcPr>
            <w:tcW w:w="1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102</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Pr>
          <w:p>
            <w:pPr>
              <w:ind w:left="340"/>
              <w:spacing w:after="0" w:line="143" w:lineRule="exact"/>
              <w:rPr>
                <w:sz w:val="20"/>
                <w:szCs w:val="20"/>
                <w:color w:val="auto"/>
              </w:rPr>
            </w:pPr>
            <w:r>
              <w:rPr>
                <w:rFonts w:ascii="Arial" w:cs="Arial" w:eastAsia="Arial" w:hAnsi="Arial"/>
                <w:sz w:val="14"/>
                <w:szCs w:val="14"/>
                <w:color w:val="auto"/>
              </w:rPr>
              <w:t>Free Cash Flow (including Economic Stimulus Packages)</w:t>
            </w:r>
          </w:p>
        </w:tc>
        <w:tc>
          <w:tcPr>
            <w:tcW w:w="86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1,167</w:t>
            </w:r>
          </w:p>
        </w:tc>
        <w:tc>
          <w:tcPr>
            <w:tcW w:w="152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1,527</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4,350</w:t>
            </w:r>
          </w:p>
        </w:tc>
        <w:tc>
          <w:tcPr>
            <w:tcW w:w="84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4,332</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340"/>
              <w:spacing w:after="0" w:line="176" w:lineRule="exact"/>
              <w:rPr>
                <w:sz w:val="20"/>
                <w:szCs w:val="20"/>
                <w:color w:val="auto"/>
              </w:rPr>
            </w:pPr>
            <w:r>
              <w:rPr>
                <w:rFonts w:ascii="Arial" w:cs="Arial" w:eastAsia="Arial" w:hAnsi="Arial"/>
                <w:sz w:val="14"/>
                <w:szCs w:val="14"/>
                <w:color w:val="auto"/>
              </w:rPr>
              <w:t>Economic Stimulus Packages</w:t>
            </w:r>
            <w:r>
              <w:rPr>
                <w:rFonts w:ascii="Arial" w:cs="Arial" w:eastAsia="Arial" w:hAnsi="Arial"/>
                <w:sz w:val="17"/>
                <w:szCs w:val="17"/>
                <w:color w:val="auto"/>
                <w:vertAlign w:val="superscript"/>
              </w:rPr>
              <w:t>(2)</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334</w:t>
            </w:r>
          </w:p>
        </w:tc>
        <w:tc>
          <w:tcPr>
            <w:tcW w:w="1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Total Free Cash Flow</w:t>
            </w:r>
          </w:p>
        </w:tc>
        <w:tc>
          <w:tcPr>
            <w:tcW w:w="8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$1,501</w:t>
            </w:r>
          </w:p>
        </w:tc>
        <w:tc>
          <w:tcPr>
            <w:tcW w:w="15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$1,420</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$4,684</w:t>
            </w:r>
          </w:p>
        </w:tc>
        <w:tc>
          <w:tcPr>
            <w:tcW w:w="8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$4,225</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440" w:right="420" w:hanging="432"/>
        <w:spacing w:after="0" w:line="230" w:lineRule="auto"/>
        <w:tabs>
          <w:tab w:leader="none" w:pos="44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Nonoperating items include adjustments for cash taxes paid related to certain investing and financing transactions and to reflect cash taxes paid in the year of the related taxable income. Our definition of Free Cash Flow specifically excludes any impact from the Economic Stimulus Packages and these amounts are presented separately.</w:t>
      </w:r>
    </w:p>
    <w:p>
      <w:pPr>
        <w:spacing w:after="0" w:line="118" w:lineRule="exact"/>
        <w:rPr>
          <w:rFonts w:ascii="Arial" w:cs="Arial" w:eastAsia="Arial" w:hAnsi="Arial"/>
          <w:sz w:val="13"/>
          <w:szCs w:val="13"/>
          <w:color w:val="auto"/>
        </w:rPr>
      </w:pPr>
    </w:p>
    <w:p>
      <w:pPr>
        <w:ind w:left="440" w:right="260" w:hanging="432"/>
        <w:spacing w:after="0" w:line="247" w:lineRule="auto"/>
        <w:tabs>
          <w:tab w:leader="none" w:pos="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Cash taxes on operating items (including Economic Stimulus Packages) has been adjusted to include the impact of excess tax benefits under share-based compensation arrangements and to exclude the impact of nonoperating items. Nonoperating items include adjustments for cash taxes paid related to certain investing and financing transactions and to reflect cash taxes paid in the year of the related taxable income. Our definition of Free Cash Flow specifically excludes any impact from the Economic Stimulus Packages and these amounts are presented separately.</w:t>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Payments of income taxes</w:t>
      </w:r>
    </w:p>
    <w:p>
      <w:pPr>
        <w:spacing w:after="0" w:line="15" w:lineRule="exact"/>
        <w:rPr>
          <w:sz w:val="20"/>
          <w:szCs w:val="20"/>
          <w:color w:val="auto"/>
        </w:rPr>
      </w:pPr>
    </w:p>
    <w:p>
      <w:pPr>
        <w:ind w:left="920"/>
        <w:spacing w:after="0" w:line="241" w:lineRule="auto"/>
        <w:rPr>
          <w:sz w:val="20"/>
          <w:szCs w:val="20"/>
          <w:color w:val="auto"/>
        </w:rPr>
      </w:pPr>
      <w:r>
        <w:rPr>
          <w:rFonts w:ascii="Arial" w:cs="Arial" w:eastAsia="Arial" w:hAnsi="Arial"/>
          <w:sz w:val="14"/>
          <w:szCs w:val="14"/>
          <w:color w:val="auto"/>
        </w:rPr>
        <w:t>Excess tax benefits under share-based compensation Nonoperating items</w:t>
      </w:r>
    </w:p>
    <w:p>
      <w:pPr>
        <w:spacing w:after="0" w:line="1" w:lineRule="exact"/>
        <w:rPr>
          <w:sz w:val="20"/>
          <w:szCs w:val="20"/>
          <w:color w:val="auto"/>
        </w:rPr>
      </w:pPr>
    </w:p>
    <w:p>
      <w:pPr>
        <w:ind w:left="640" w:right="20" w:hanging="181"/>
        <w:spacing w:after="0" w:line="258" w:lineRule="auto"/>
        <w:rPr>
          <w:sz w:val="20"/>
          <w:szCs w:val="20"/>
          <w:color w:val="auto"/>
        </w:rPr>
      </w:pPr>
      <w:r>
        <w:rPr>
          <w:rFonts w:ascii="Arial" w:cs="Arial" w:eastAsia="Arial" w:hAnsi="Arial"/>
          <w:sz w:val="14"/>
          <w:szCs w:val="14"/>
          <w:color w:val="auto"/>
        </w:rPr>
        <w:t>Cash taxes on operating items (including Economic Stimulus Packages)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860" w:type="dxa"/>
            <w:vAlign w:val="bottom"/>
          </w:tcPr>
          <w:p>
            <w:pPr>
              <w:spacing w:after="0"/>
              <w:rPr>
                <w:sz w:val="14"/>
                <w:szCs w:val="14"/>
                <w:color w:val="auto"/>
              </w:rPr>
            </w:pPr>
          </w:p>
        </w:tc>
        <w:tc>
          <w:tcPr>
            <w:tcW w:w="1520" w:type="dxa"/>
            <w:vAlign w:val="bottom"/>
          </w:tcPr>
          <w:p>
            <w:pPr>
              <w:jc w:val="center"/>
              <w:ind w:right="68"/>
              <w:spacing w:after="0"/>
              <w:rPr>
                <w:sz w:val="20"/>
                <w:szCs w:val="20"/>
                <w:color w:val="auto"/>
              </w:rPr>
            </w:pPr>
            <w:r>
              <w:rPr>
                <w:rFonts w:ascii="Arial" w:cs="Arial" w:eastAsia="Arial" w:hAnsi="Arial"/>
                <w:sz w:val="14"/>
                <w:szCs w:val="14"/>
                <w:color w:val="auto"/>
              </w:rPr>
              <w:t>Three Months Ended</w:t>
            </w:r>
          </w:p>
        </w:tc>
        <w:tc>
          <w:tcPr>
            <w:tcW w:w="7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tcPr>
          <w:p>
            <w:pPr>
              <w:jc w:val="center"/>
              <w:ind w:left="468"/>
              <w:spacing w:after="0"/>
              <w:rPr>
                <w:sz w:val="20"/>
                <w:szCs w:val="20"/>
                <w:color w:val="auto"/>
              </w:rPr>
            </w:pPr>
            <w:r>
              <w:rPr>
                <w:rFonts w:ascii="Arial" w:cs="Arial" w:eastAsia="Arial" w:hAnsi="Arial"/>
                <w:sz w:val="14"/>
                <w:szCs w:val="14"/>
                <w:color w:val="auto"/>
              </w:rPr>
              <w:t>Six Months Ended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60" w:type="dxa"/>
            <w:vAlign w:val="bottom"/>
            <w:vMerge w:val="restart"/>
          </w:tcPr>
          <w:p>
            <w:pPr>
              <w:jc w:val="right"/>
              <w:ind w:right="188"/>
              <w:spacing w:after="0"/>
              <w:rPr>
                <w:sz w:val="20"/>
                <w:szCs w:val="20"/>
                <w:color w:val="auto"/>
              </w:rPr>
            </w:pPr>
            <w:r>
              <w:rPr>
                <w:rFonts w:ascii="Arial" w:cs="Arial" w:eastAsia="Arial" w:hAnsi="Arial"/>
                <w:sz w:val="14"/>
                <w:szCs w:val="14"/>
                <w:color w:val="auto"/>
              </w:rPr>
              <w:t>2015</w:t>
            </w:r>
          </w:p>
        </w:tc>
        <w:tc>
          <w:tcPr>
            <w:tcW w:w="1520" w:type="dxa"/>
            <w:vAlign w:val="bottom"/>
          </w:tcPr>
          <w:p>
            <w:pPr>
              <w:jc w:val="center"/>
              <w:ind w:right="88"/>
              <w:spacing w:after="0"/>
              <w:rPr>
                <w:sz w:val="20"/>
                <w:szCs w:val="20"/>
                <w:color w:val="auto"/>
              </w:rPr>
            </w:pPr>
            <w:r>
              <w:rPr>
                <w:rFonts w:ascii="Arial" w:cs="Arial" w:eastAsia="Arial" w:hAnsi="Arial"/>
                <w:sz w:val="14"/>
                <w:szCs w:val="14"/>
                <w:color w:val="auto"/>
              </w:rPr>
              <w:t>June 30,</w:t>
            </w: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color w:val="auto"/>
              </w:rPr>
              <w:t>2016</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2015</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rPr>
              <w:t>June 30,</w:t>
            </w: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47"/>
        </w:trPr>
        <w:tc>
          <w:tcPr>
            <w:tcW w:w="860" w:type="dxa"/>
            <w:vAlign w:val="bottom"/>
            <w:tcBorders>
              <w:bottom w:val="single" w:sz="8" w:color="auto"/>
            </w:tcBorders>
            <w:vMerge w:val="continue"/>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($1,881)</w:t>
            </w:r>
          </w:p>
        </w:tc>
        <w:tc>
          <w:tcPr>
            <w:tcW w:w="15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($1,495)</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($1,999)</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162"/>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57"/>
        </w:trPr>
        <w:tc>
          <w:tcPr>
            <w:tcW w:w="8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(70)</w:t>
            </w:r>
          </w:p>
        </w:tc>
        <w:tc>
          <w:tcPr>
            <w:tcW w:w="15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(61)</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(70)</w:t>
            </w:r>
          </w:p>
        </w:tc>
        <w:tc>
          <w:tcPr>
            <w:tcW w:w="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91"/>
        </w:trPr>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($2,025)</w:t>
            </w:r>
          </w:p>
        </w:tc>
        <w:tc>
          <w:tcPr>
            <w:tcW w:w="15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($1,605)</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($2,289)</w:t>
            </w:r>
          </w:p>
        </w:tc>
        <w:tc>
          <w:tcPr>
            <w:tcW w:w="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2380" w:type="dxa"/>
            <w:vAlign w:val="bottom"/>
            <w:gridSpan w:val="2"/>
          </w:tcPr>
          <w:p>
            <w:pPr>
              <w:jc w:val="right"/>
              <w:ind w:right="1368"/>
              <w:spacing w:after="0"/>
              <w:rPr>
                <w:sz w:val="20"/>
                <w:szCs w:val="20"/>
                <w:color w:val="auto"/>
              </w:rPr>
            </w:pPr>
            <w:r>
              <w:rPr>
                <w:rFonts w:ascii="Arial" w:cs="Arial" w:eastAsia="Arial" w:hAnsi="Arial"/>
                <w:sz w:val="14"/>
                <w:szCs w:val="14"/>
                <w:color w:val="auto"/>
              </w:rPr>
              <w:t>11</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57150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520"/>
            <w:col w:w="6560"/>
          </w:cols>
          <w:pgMar w:left="240" w:top="127" w:right="239" w:bottom="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-74295</wp:posOffset>
            </wp:positionV>
            <wp:extent cx="995045" cy="43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80" w:type="dxa"/>
            <w:vAlign w:val="bottom"/>
            <w:gridSpan w:val="4"/>
          </w:tcPr>
          <w:p>
            <w:pPr>
              <w:jc w:val="center"/>
              <w:ind w:right="288"/>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3"/>
          </w:tcPr>
          <w:p>
            <w:pPr>
              <w:jc w:val="right"/>
              <w:ind w:right="708"/>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90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6"/>
              </w:rPr>
              <w:t>2016</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900" w:type="dxa"/>
            <w:vAlign w:val="bottom"/>
            <w:vMerge w:val="continue"/>
          </w:tcPr>
          <w:p>
            <w:pPr>
              <w:spacing w:after="0"/>
              <w:rPr>
                <w:sz w:val="13"/>
                <w:szCs w:val="13"/>
                <w:color w:val="auto"/>
              </w:rPr>
            </w:pP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21"/>
                <w:szCs w:val="21"/>
                <w:color w:val="auto"/>
                <w:vertAlign w:val="superscript"/>
              </w:rPr>
              <w:t>(1)</w:t>
            </w: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96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21"/>
                <w:szCs w:val="21"/>
                <w:color w:val="auto"/>
                <w:vertAlign w:val="superscript"/>
              </w:rPr>
              <w:t>(1)</w:t>
            </w: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3"/>
              </w:rPr>
              <w:t xml:space="preserve">EPS </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20" w:type="dxa"/>
            <w:vAlign w:val="bottom"/>
            <w:tcBorders>
              <w:right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390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$2,137</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180" w:type="dxa"/>
            <w:vAlign w:val="bottom"/>
          </w:tcPr>
          <w:p>
            <w:pPr>
              <w:spacing w:after="0"/>
              <w:rPr>
                <w:sz w:val="24"/>
                <w:szCs w:val="24"/>
                <w:color w:val="auto"/>
              </w:rPr>
            </w:pPr>
          </w:p>
        </w:tc>
        <w:tc>
          <w:tcPr>
            <w:tcW w:w="9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$2,028</w:t>
            </w:r>
          </w:p>
        </w:tc>
        <w:tc>
          <w:tcPr>
            <w:tcW w:w="62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$0.83</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$4,196</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$1.65</w:t>
            </w: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$4,162</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i w:val="1"/>
                <w:iCs w:val="1"/>
                <w:color w:val="auto"/>
              </w:rPr>
              <w:t>(5.1%)</w:t>
            </w:r>
          </w:p>
        </w:tc>
        <w:tc>
          <w:tcPr>
            <w:tcW w:w="820" w:type="dxa"/>
            <w:vAlign w:val="bottom"/>
            <w:tcBorders>
              <w:right w:val="single" w:sz="8" w:color="auto"/>
            </w:tcBorders>
            <w:gridSpan w:val="2"/>
          </w:tcPr>
          <w:p>
            <w:pPr>
              <w:ind w:left="200"/>
              <w:spacing w:after="0"/>
              <w:rPr>
                <w:sz w:val="20"/>
                <w:szCs w:val="20"/>
                <w:color w:val="auto"/>
              </w:rPr>
            </w:pPr>
            <w:r>
              <w:rPr>
                <w:rFonts w:ascii="Arial" w:cs="Arial" w:eastAsia="Arial" w:hAnsi="Arial"/>
                <w:sz w:val="14"/>
                <w:szCs w:val="14"/>
                <w:i w:val="1"/>
                <w:iCs w:val="1"/>
                <w:color w:val="auto"/>
              </w:rPr>
              <w:t>(1.2%)</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ind w:left="100"/>
              <w:spacing w:after="0"/>
              <w:rPr>
                <w:sz w:val="20"/>
                <w:szCs w:val="20"/>
                <w:color w:val="auto"/>
              </w:rPr>
            </w:pPr>
            <w:r>
              <w:rPr>
                <w:rFonts w:ascii="Arial" w:cs="Arial" w:eastAsia="Arial" w:hAnsi="Arial"/>
                <w:sz w:val="14"/>
                <w:szCs w:val="14"/>
                <w:i w:val="1"/>
                <w:iCs w:val="1"/>
                <w:color w:val="auto"/>
              </w:rPr>
              <w:t>(0.8%)</w:t>
            </w:r>
          </w:p>
        </w:tc>
        <w:tc>
          <w:tcPr>
            <w:tcW w:w="700" w:type="dxa"/>
            <w:vAlign w:val="bottom"/>
          </w:tcPr>
          <w:p>
            <w:pPr>
              <w:jc w:val="right"/>
              <w:ind w:right="28"/>
              <w:spacing w:after="0"/>
              <w:rPr>
                <w:sz w:val="20"/>
                <w:szCs w:val="20"/>
                <w:color w:val="auto"/>
              </w:rPr>
            </w:pPr>
            <w:r>
              <w:rPr>
                <w:rFonts w:ascii="Arial" w:cs="Arial" w:eastAsia="Arial" w:hAnsi="Arial"/>
                <w:sz w:val="14"/>
                <w:szCs w:val="14"/>
                <w:i w:val="1"/>
                <w:iCs w:val="1"/>
                <w:color w:val="auto"/>
              </w:rPr>
              <w:t>3.0%</w:t>
            </w:r>
          </w:p>
        </w:tc>
        <w:tc>
          <w:tcPr>
            <w:tcW w:w="0" w:type="dxa"/>
            <w:vAlign w:val="bottom"/>
          </w:tcPr>
          <w:p>
            <w:pPr>
              <w:spacing w:after="0"/>
              <w:rPr>
                <w:sz w:val="1"/>
                <w:szCs w:val="1"/>
                <w:color w:val="auto"/>
              </w:rPr>
            </w:pPr>
          </w:p>
        </w:tc>
      </w:tr>
      <w:tr>
        <w:trPr>
          <w:trHeight w:val="314"/>
        </w:trPr>
        <w:tc>
          <w:tcPr>
            <w:tcW w:w="3900" w:type="dxa"/>
            <w:vAlign w:val="bottom"/>
          </w:tcPr>
          <w:p>
            <w:pPr>
              <w:ind w:left="440"/>
              <w:spacing w:after="0"/>
              <w:rPr>
                <w:sz w:val="20"/>
                <w:szCs w:val="20"/>
                <w:color w:val="auto"/>
              </w:rPr>
            </w:pPr>
            <w:r>
              <w:rPr>
                <w:rFonts w:ascii="Arial" w:cs="Arial" w:eastAsia="Arial" w:hAnsi="Arial"/>
                <w:sz w:val="14"/>
                <w:szCs w:val="14"/>
                <w:color w:val="auto"/>
              </w:rPr>
              <w:t>Gains on sales of businesses and investments</w:t>
            </w:r>
            <w:r>
              <w:rPr>
                <w:rFonts w:ascii="Arial" w:cs="Arial" w:eastAsia="Arial" w:hAnsi="Arial"/>
                <w:sz w:val="14"/>
                <w:szCs w:val="14"/>
                <w:color w:val="auto"/>
                <w:vertAlign w:val="superscript"/>
              </w:rPr>
              <w:t>(2)</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(107)</w:t>
            </w:r>
          </w:p>
        </w:tc>
        <w:tc>
          <w:tcPr>
            <w:tcW w:w="640" w:type="dxa"/>
            <w:vAlign w:val="bottom"/>
          </w:tcPr>
          <w:p>
            <w:pPr>
              <w:jc w:val="right"/>
              <w:spacing w:after="0"/>
              <w:rPr>
                <w:sz w:val="20"/>
                <w:szCs w:val="20"/>
                <w:color w:val="auto"/>
              </w:rPr>
            </w:pPr>
            <w:r>
              <w:rPr>
                <w:rFonts w:ascii="Arial" w:cs="Arial" w:eastAsia="Arial" w:hAnsi="Arial"/>
                <w:sz w:val="14"/>
                <w:szCs w:val="14"/>
                <w:color w:val="auto"/>
              </w:rPr>
              <w:t>(0.04)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6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(202)</w:t>
            </w:r>
          </w:p>
        </w:tc>
        <w:tc>
          <w:tcPr>
            <w:tcW w:w="700" w:type="dxa"/>
            <w:vAlign w:val="bottom"/>
          </w:tcPr>
          <w:p>
            <w:pPr>
              <w:jc w:val="right"/>
              <w:spacing w:after="0"/>
              <w:rPr>
                <w:sz w:val="20"/>
                <w:szCs w:val="20"/>
                <w:color w:val="auto"/>
              </w:rPr>
            </w:pPr>
            <w:r>
              <w:rPr>
                <w:rFonts w:ascii="Arial" w:cs="Arial" w:eastAsia="Arial" w:hAnsi="Arial"/>
                <w:sz w:val="14"/>
                <w:szCs w:val="14"/>
                <w:color w:val="auto"/>
              </w:rPr>
              <w:t>(0.08)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(67)</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160"/>
        </w:trPr>
        <w:tc>
          <w:tcPr>
            <w:tcW w:w="3900" w:type="dxa"/>
            <w:vAlign w:val="bottom"/>
          </w:tcPr>
          <w:p>
            <w:pPr>
              <w:ind w:left="440"/>
              <w:spacing w:after="0" w:line="160" w:lineRule="exact"/>
              <w:rPr>
                <w:sz w:val="20"/>
                <w:szCs w:val="20"/>
                <w:color w:val="auto"/>
              </w:rPr>
            </w:pPr>
            <w:r>
              <w:rPr>
                <w:rFonts w:ascii="Arial" w:cs="Arial" w:eastAsia="Arial" w:hAnsi="Arial"/>
                <w:sz w:val="14"/>
                <w:szCs w:val="14"/>
                <w:color w:val="auto"/>
              </w:rPr>
              <w:t>Gain on settlement of contingent consideration</w:t>
            </w: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w:t>
            </w:r>
          </w:p>
        </w:tc>
        <w:tc>
          <w:tcPr>
            <w:tcW w:w="6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7" w:lineRule="exact"/>
              <w:rPr>
                <w:sz w:val="20"/>
                <w:szCs w:val="20"/>
                <w:color w:val="auto"/>
              </w:rPr>
            </w:pPr>
            <w:r>
              <w:rPr>
                <w:rFonts w:ascii="Arial" w:cs="Arial" w:eastAsia="Arial" w:hAnsi="Arial"/>
                <w:sz w:val="14"/>
                <w:szCs w:val="14"/>
                <w:color w:val="auto"/>
              </w:rPr>
              <w:t>liability</w:t>
            </w:r>
            <w:r>
              <w:rPr>
                <w:rFonts w:ascii="Arial" w:cs="Arial" w:eastAsia="Arial" w:hAnsi="Arial"/>
                <w:sz w:val="14"/>
                <w:szCs w:val="14"/>
                <w:color w:val="auto"/>
                <w:vertAlign w:val="superscript"/>
              </w:rPr>
              <w:t>(3)</w:t>
            </w:r>
          </w:p>
        </w:tc>
        <w:tc>
          <w:tcPr>
            <w:tcW w:w="980" w:type="dxa"/>
            <w:vAlign w:val="bottom"/>
          </w:tcPr>
          <w:p>
            <w:pPr>
              <w:jc w:val="right"/>
              <w:ind w:right="168"/>
              <w:spacing w:after="0" w:line="147" w:lineRule="exact"/>
              <w:rPr>
                <w:sz w:val="20"/>
                <w:szCs w:val="20"/>
                <w:color w:val="auto"/>
              </w:rPr>
            </w:pPr>
            <w:r>
              <w:rPr>
                <w:rFonts w:ascii="Arial" w:cs="Arial" w:eastAsia="Arial" w:hAnsi="Arial"/>
                <w:sz w:val="14"/>
                <w:szCs w:val="14"/>
                <w:color w:val="auto"/>
              </w:rPr>
              <w:t>(150)</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(0.06)</w:t>
            </w: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(150)</w:t>
            </w: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440"/>
              <w:spacing w:after="0"/>
              <w:rPr>
                <w:sz w:val="20"/>
                <w:szCs w:val="20"/>
                <w:color w:val="auto"/>
              </w:rPr>
            </w:pPr>
            <w:r>
              <w:rPr>
                <w:rFonts w:ascii="Arial" w:cs="Arial" w:eastAsia="Arial" w:hAnsi="Arial"/>
                <w:sz w:val="14"/>
                <w:szCs w:val="14"/>
                <w:color w:val="auto"/>
              </w:rPr>
              <w:t>Loss on early redemption of debt</w:t>
            </w:r>
            <w:r>
              <w:rPr>
                <w:rFonts w:ascii="Arial" w:cs="Arial" w:eastAsia="Arial" w:hAnsi="Arial"/>
                <w:sz w:val="14"/>
                <w:szCs w:val="14"/>
                <w:color w:val="auto"/>
                <w:vertAlign w:val="superscript"/>
              </w:rPr>
              <w:t>(4)</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29</w:t>
            </w:r>
          </w:p>
        </w:tc>
        <w:tc>
          <w:tcPr>
            <w:tcW w:w="640" w:type="dxa"/>
            <w:vAlign w:val="bottom"/>
          </w:tcPr>
          <w:p>
            <w:pPr>
              <w:jc w:val="right"/>
              <w:spacing w:after="0"/>
              <w:rPr>
                <w:sz w:val="20"/>
                <w:szCs w:val="20"/>
                <w:color w:val="auto"/>
              </w:rPr>
            </w:pPr>
            <w:r>
              <w:rPr>
                <w:rFonts w:ascii="Arial" w:cs="Arial" w:eastAsia="Arial" w:hAnsi="Arial"/>
                <w:sz w:val="14"/>
                <w:szCs w:val="14"/>
                <w:color w:val="auto"/>
              </w:rPr>
              <w:t>0.01</w:t>
            </w:r>
          </w:p>
        </w:tc>
        <w:tc>
          <w:tcPr>
            <w:tcW w:w="1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6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29</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0"/>
        </w:trPr>
        <w:tc>
          <w:tcPr>
            <w:tcW w:w="3900" w:type="dxa"/>
            <w:vAlign w:val="bottom"/>
          </w:tcPr>
          <w:p>
            <w:pPr>
              <w:ind w:left="440"/>
              <w:spacing w:after="0" w:line="160" w:lineRule="exact"/>
              <w:rPr>
                <w:sz w:val="20"/>
                <w:szCs w:val="20"/>
                <w:color w:val="auto"/>
              </w:rPr>
            </w:pPr>
            <w:r>
              <w:rPr>
                <w:rFonts w:ascii="Arial" w:cs="Arial" w:eastAsia="Arial" w:hAnsi="Arial"/>
                <w:sz w:val="14"/>
                <w:szCs w:val="14"/>
                <w:color w:val="auto"/>
              </w:rPr>
              <w:t>Costs related to Time Warner Cable and Charter</w:t>
            </w: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w:t>
            </w:r>
          </w:p>
        </w:tc>
        <w:tc>
          <w:tcPr>
            <w:tcW w:w="6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6"/>
        </w:trPr>
        <w:tc>
          <w:tcPr>
            <w:tcW w:w="3900" w:type="dxa"/>
            <w:vAlign w:val="bottom"/>
          </w:tcPr>
          <w:p>
            <w:pPr>
              <w:ind w:left="620"/>
              <w:spacing w:after="0" w:line="147" w:lineRule="exact"/>
              <w:rPr>
                <w:sz w:val="20"/>
                <w:szCs w:val="20"/>
                <w:color w:val="auto"/>
              </w:rPr>
            </w:pPr>
            <w:r>
              <w:rPr>
                <w:rFonts w:ascii="Arial" w:cs="Arial" w:eastAsia="Arial" w:hAnsi="Arial"/>
                <w:sz w:val="14"/>
                <w:szCs w:val="14"/>
                <w:color w:val="auto"/>
              </w:rPr>
              <w:t>transactions</w:t>
            </w:r>
            <w:r>
              <w:rPr>
                <w:rFonts w:ascii="Arial" w:cs="Arial" w:eastAsia="Arial" w:hAnsi="Arial"/>
                <w:sz w:val="14"/>
                <w:szCs w:val="14"/>
                <w:color w:val="auto"/>
                <w:vertAlign w:val="superscript"/>
              </w:rPr>
              <w:t>(5)</w:t>
            </w:r>
          </w:p>
        </w:tc>
        <w:tc>
          <w:tcPr>
            <w:tcW w:w="980" w:type="dxa"/>
            <w:vAlign w:val="bottom"/>
          </w:tcPr>
          <w:p>
            <w:pPr>
              <w:jc w:val="right"/>
              <w:ind w:right="208"/>
              <w:spacing w:after="0" w:line="147" w:lineRule="exact"/>
              <w:rPr>
                <w:sz w:val="20"/>
                <w:szCs w:val="20"/>
                <w:color w:val="auto"/>
              </w:rPr>
            </w:pPr>
            <w:r>
              <w:rPr>
                <w:rFonts w:ascii="Arial" w:cs="Arial" w:eastAsia="Arial" w:hAnsi="Arial"/>
                <w:sz w:val="14"/>
                <w:szCs w:val="14"/>
                <w:color w:val="auto"/>
              </w:rPr>
              <w:t>62</w:t>
            </w: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0.03</w:t>
            </w: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88"/>
              <w:spacing w:after="0" w:line="147" w:lineRule="exact"/>
              <w:rPr>
                <w:sz w:val="20"/>
                <w:szCs w:val="20"/>
                <w:color w:val="auto"/>
              </w:rPr>
            </w:pPr>
            <w:r>
              <w:rPr>
                <w:rFonts w:ascii="Arial" w:cs="Arial" w:eastAsia="Arial" w:hAnsi="Arial"/>
                <w:sz w:val="14"/>
                <w:szCs w:val="14"/>
                <w:color w:val="auto"/>
              </w:rPr>
              <w:t>123</w:t>
            </w:r>
          </w:p>
        </w:tc>
        <w:tc>
          <w:tcPr>
            <w:tcW w:w="7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440"/>
              <w:spacing w:after="0"/>
              <w:rPr>
                <w:sz w:val="20"/>
                <w:szCs w:val="20"/>
                <w:color w:val="auto"/>
              </w:rPr>
            </w:pPr>
            <w:r>
              <w:rPr>
                <w:rFonts w:ascii="Arial" w:cs="Arial" w:eastAsia="Arial" w:hAnsi="Arial"/>
                <w:sz w:val="14"/>
                <w:szCs w:val="14"/>
                <w:color w:val="auto"/>
              </w:rPr>
              <w:t>Loss on investment</w:t>
            </w:r>
            <w:r>
              <w:rPr>
                <w:rFonts w:ascii="Arial" w:cs="Arial" w:eastAsia="Arial" w:hAnsi="Arial"/>
                <w:sz w:val="14"/>
                <w:szCs w:val="14"/>
                <w:color w:val="auto"/>
                <w:vertAlign w:val="superscript"/>
              </w:rPr>
              <w:t>(6)</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158</w:t>
            </w:r>
          </w:p>
        </w:tc>
        <w:tc>
          <w:tcPr>
            <w:tcW w:w="640" w:type="dxa"/>
            <w:vAlign w:val="bottom"/>
          </w:tcPr>
          <w:p>
            <w:pPr>
              <w:jc w:val="right"/>
              <w:spacing w:after="0"/>
              <w:rPr>
                <w:sz w:val="20"/>
                <w:szCs w:val="20"/>
                <w:color w:val="auto"/>
              </w:rPr>
            </w:pPr>
            <w:r>
              <w:rPr>
                <w:rFonts w:ascii="Arial" w:cs="Arial" w:eastAsia="Arial" w:hAnsi="Arial"/>
                <w:sz w:val="14"/>
                <w:szCs w:val="14"/>
                <w:color w:val="auto"/>
              </w:rPr>
              <w:t>0.06</w:t>
            </w:r>
          </w:p>
        </w:tc>
        <w:tc>
          <w:tcPr>
            <w:tcW w:w="1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6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158</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3900" w:type="dxa"/>
            <w:vAlign w:val="bottom"/>
            <w:vMerge w:val="restart"/>
          </w:tcPr>
          <w:p>
            <w:pPr>
              <w:spacing w:after="0"/>
              <w:rPr>
                <w:sz w:val="20"/>
                <w:szCs w:val="20"/>
                <w:color w:val="auto"/>
              </w:rPr>
            </w:pPr>
            <w:r>
              <w:rPr>
                <w:rFonts w:ascii="Arial" w:cs="Arial" w:eastAsia="Arial" w:hAnsi="Arial"/>
                <w:sz w:val="14"/>
                <w:szCs w:val="14"/>
                <w:color w:val="auto"/>
              </w:rPr>
              <w:t>Net income attributable to Comcast Corporation (excluding</w:t>
            </w:r>
          </w:p>
        </w:tc>
        <w:tc>
          <w:tcPr>
            <w:tcW w:w="9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900" w:type="dxa"/>
            <w:vAlign w:val="bottom"/>
            <w:vMerge w:val="continue"/>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color w:val="auto"/>
              </w:rPr>
              <w:t>$2,129</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$0.84</w:t>
            </w:r>
          </w:p>
        </w:tc>
        <w:tc>
          <w:tcPr>
            <w:tcW w:w="180" w:type="dxa"/>
            <w:vAlign w:val="bottom"/>
          </w:tcPr>
          <w:p>
            <w:pPr>
              <w:spacing w:after="0"/>
              <w:rPr>
                <w:sz w:val="12"/>
                <w:szCs w:val="12"/>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$2,028</w:t>
            </w:r>
          </w:p>
        </w:tc>
        <w:tc>
          <w:tcPr>
            <w:tcW w:w="6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$0.83</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color w:val="auto"/>
              </w:rPr>
              <w:t>$4,154</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$1.63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$4,095</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$1.67</w:t>
            </w:r>
          </w:p>
        </w:tc>
        <w:tc>
          <w:tcPr>
            <w:tcW w:w="0" w:type="dxa"/>
            <w:vAlign w:val="bottom"/>
          </w:tcPr>
          <w:p>
            <w:pPr>
              <w:spacing w:after="0"/>
              <w:rPr>
                <w:sz w:val="1"/>
                <w:szCs w:val="1"/>
                <w:color w:val="auto"/>
              </w:rPr>
            </w:pPr>
          </w:p>
        </w:tc>
      </w:tr>
      <w:tr>
        <w:trPr>
          <w:trHeight w:val="144"/>
        </w:trPr>
        <w:tc>
          <w:tcPr>
            <w:tcW w:w="3900" w:type="dxa"/>
            <w:vAlign w:val="bottom"/>
          </w:tcPr>
          <w:p>
            <w:pPr>
              <w:ind w:left="180"/>
              <w:spacing w:after="0" w:line="144" w:lineRule="exact"/>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(4.7%)</w:t>
            </w:r>
          </w:p>
        </w:tc>
        <w:tc>
          <w:tcPr>
            <w:tcW w:w="620" w:type="dxa"/>
            <w:vAlign w:val="bottom"/>
          </w:tcPr>
          <w:p>
            <w:pPr>
              <w:ind w:left="200"/>
              <w:spacing w:after="0" w:line="143" w:lineRule="exact"/>
              <w:rPr>
                <w:sz w:val="20"/>
                <w:szCs w:val="20"/>
                <w:color w:val="auto"/>
              </w:rPr>
            </w:pPr>
            <w:r>
              <w:rPr>
                <w:rFonts w:ascii="Arial" w:cs="Arial" w:eastAsia="Arial" w:hAnsi="Arial"/>
                <w:sz w:val="14"/>
                <w:szCs w:val="14"/>
                <w:i w:val="1"/>
                <w:iCs w:val="1"/>
                <w:color w:val="auto"/>
                <w:w w:val="96"/>
              </w:rPr>
              <w:t>(1.2%)</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100"/>
              <w:spacing w:after="0" w:line="143" w:lineRule="exact"/>
              <w:rPr>
                <w:sz w:val="20"/>
                <w:szCs w:val="20"/>
                <w:color w:val="auto"/>
              </w:rPr>
            </w:pPr>
            <w:r>
              <w:rPr>
                <w:rFonts w:ascii="Arial" w:cs="Arial" w:eastAsia="Arial" w:hAnsi="Arial"/>
                <w:sz w:val="14"/>
                <w:szCs w:val="14"/>
                <w:i w:val="1"/>
                <w:iCs w:val="1"/>
                <w:color w:val="auto"/>
              </w:rPr>
              <w:t>(1.4%)</w:t>
            </w:r>
          </w:p>
        </w:tc>
        <w:tc>
          <w:tcPr>
            <w:tcW w:w="700" w:type="dxa"/>
            <w:vAlign w:val="bottom"/>
          </w:tcPr>
          <w:p>
            <w:pPr>
              <w:jc w:val="right"/>
              <w:ind w:right="28"/>
              <w:spacing w:after="0" w:line="143" w:lineRule="exact"/>
              <w:rPr>
                <w:sz w:val="20"/>
                <w:szCs w:val="20"/>
                <w:color w:val="auto"/>
              </w:rPr>
            </w:pPr>
            <w:r>
              <w:rPr>
                <w:rFonts w:ascii="Arial" w:cs="Arial" w:eastAsia="Arial" w:hAnsi="Arial"/>
                <w:sz w:val="14"/>
                <w:szCs w:val="14"/>
                <w:i w:val="1"/>
                <w:iCs w:val="1"/>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Based on diluted weighted-average number of common shares for the respective periods as presented in Table 1.</w:t>
      </w:r>
    </w:p>
    <w:p>
      <w:pPr>
        <w:spacing w:after="0" w:line="93" w:lineRule="exact"/>
        <w:rPr>
          <w:rFonts w:ascii="Arial" w:cs="Arial" w:eastAsia="Arial" w:hAnsi="Arial"/>
          <w:sz w:val="13"/>
          <w:szCs w:val="13"/>
          <w:color w:val="auto"/>
        </w:rPr>
      </w:pPr>
    </w:p>
    <w:p>
      <w:pPr>
        <w:ind w:left="340" w:right="80" w:hanging="332"/>
        <w:spacing w:after="0" w:line="223" w:lineRule="auto"/>
        <w:tabs>
          <w:tab w:leader="none" w:pos="345" w:val="left"/>
        </w:tabs>
        <w:numPr>
          <w:ilvl w:val="0"/>
          <w:numId w:val="10"/>
        </w:numPr>
        <w:rPr>
          <w:rFonts w:ascii="Arial" w:cs="Arial" w:eastAsia="Arial" w:hAnsi="Arial"/>
          <w:sz w:val="13"/>
          <w:szCs w:val="13"/>
          <w:color w:val="auto"/>
        </w:rPr>
      </w:pPr>
      <w:r>
        <w:rPr>
          <w:rFonts w:ascii="Arial" w:cs="Arial" w:eastAsia="Arial" w:hAnsi="Arial"/>
          <w:sz w:val="13"/>
          <w:szCs w:val="13"/>
          <w:color w:val="auto"/>
        </w:rPr>
        <w:t>2nd quarter 2015 net income attributable to Comcast Corporation includes $171 million of other income, $107 million net of tax, resulting from the sale of an investment. 2016 year to date net income attributable to Comcast Corporation includes $108 million of other income, $67 million net of tax, resulting from a gain on the sale of our investment in The Weather Channel’s product and technology business. 2015 year to date net income attributable to Comcast Corporation includes $335 million of other income, $202 million net of tax and noncontrolling interests, resulting from sales of an investment and a business.</w:t>
      </w:r>
    </w:p>
    <w:p>
      <w:pPr>
        <w:sectPr>
          <w:pgSz w:w="11900" w:h="16838" w:orient="portrait"/>
          <w:cols w:equalWidth="0" w:num="1">
            <w:col w:w="11420"/>
          </w:cols>
          <w:pgMar w:left="240" w:top="127" w:right="239" w:bottom="0" w:gutter="0" w:footer="0" w:header="0"/>
          <w:type w:val="continuous"/>
        </w:sectPr>
      </w:pPr>
    </w:p>
    <w:bookmarkStart w:id="10" w:name="page11"/>
    <w:bookmarkEnd w:id="10"/>
    <w:p>
      <w:pPr>
        <w:spacing w:after="0" w:line="62" w:lineRule="exact"/>
        <w:rPr>
          <w:sz w:val="20"/>
          <w:szCs w:val="20"/>
          <w:color w:val="auto"/>
        </w:rPr>
      </w:pPr>
    </w:p>
    <w:p>
      <w:pPr>
        <w:ind w:left="340" w:right="60" w:hanging="332"/>
        <w:spacing w:after="0" w:line="230" w:lineRule="auto"/>
        <w:tabs>
          <w:tab w:leader="none" w:pos="345" w:val="left"/>
        </w:tabs>
        <w:numPr>
          <w:ilvl w:val="0"/>
          <w:numId w:val="11"/>
        </w:numPr>
        <w:rPr>
          <w:rFonts w:ascii="Arial" w:cs="Arial" w:eastAsia="Arial" w:hAnsi="Arial"/>
          <w:sz w:val="13"/>
          <w:szCs w:val="13"/>
          <w:color w:val="auto"/>
        </w:rPr>
      </w:pPr>
      <w:r>
        <w:rPr>
          <w:rFonts w:ascii="Arial" w:cs="Arial" w:eastAsia="Arial" w:hAnsi="Arial"/>
          <w:sz w:val="13"/>
          <w:szCs w:val="13"/>
          <w:color w:val="auto"/>
        </w:rPr>
        <w:t>2nd quarter 2015 net income attributable to Comcast Corporation includes $240 million of other income, $150 million net of tax, resulting from the settlement of a contingent consideration liability with General Electric Company related to the acquisition of NBCUniversal.</w:t>
      </w:r>
    </w:p>
    <w:p>
      <w:pPr>
        <w:spacing w:after="0" w:line="91" w:lineRule="exact"/>
        <w:rPr>
          <w:rFonts w:ascii="Arial" w:cs="Arial" w:eastAsia="Arial" w:hAnsi="Arial"/>
          <w:sz w:val="13"/>
          <w:szCs w:val="13"/>
          <w:color w:val="auto"/>
        </w:rPr>
      </w:pP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2nd quarter 2015 net income attributable to Comcast Corporation includes $47 million of interest expense, $29 million net of tax, resulting from the early redemption of debt.</w:t>
      </w:r>
    </w:p>
    <w:p>
      <w:pPr>
        <w:spacing w:after="0" w:line="93" w:lineRule="exact"/>
        <w:rPr>
          <w:rFonts w:ascii="Arial" w:cs="Arial" w:eastAsia="Arial" w:hAnsi="Arial"/>
          <w:sz w:val="13"/>
          <w:szCs w:val="13"/>
          <w:color w:val="auto"/>
        </w:rPr>
      </w:pPr>
    </w:p>
    <w:p>
      <w:pPr>
        <w:ind w:left="340" w:right="60" w:hanging="332"/>
        <w:spacing w:after="0" w:line="225" w:lineRule="auto"/>
        <w:tabs>
          <w:tab w:leader="none" w:pos="345" w:val="left"/>
        </w:tabs>
        <w:numPr>
          <w:ilvl w:val="0"/>
          <w:numId w:val="11"/>
        </w:numPr>
        <w:rPr>
          <w:rFonts w:ascii="Arial" w:cs="Arial" w:eastAsia="Arial" w:hAnsi="Arial"/>
          <w:sz w:val="13"/>
          <w:szCs w:val="13"/>
          <w:color w:val="auto"/>
        </w:rPr>
      </w:pPr>
      <w:r>
        <w:rPr>
          <w:rFonts w:ascii="Arial" w:cs="Arial" w:eastAsia="Arial" w:hAnsi="Arial"/>
          <w:sz w:val="13"/>
          <w:szCs w:val="13"/>
          <w:color w:val="auto"/>
        </w:rPr>
        <w:t>2nd quarter 2015 net income attributable to Comcast Corporation includes $99 million of expense ($79 million of operating costs and expenses and $20 million of depreciation and amortization expense), $62 million net of tax, related to the Time Warner Cable and Charter transactions. 2015 year to date net income attributable to Comcast Corporation includes $198 million of expense ($178 million of operating costs and expenses and $20 million of depreciation and amortization expense), $123 million net of tax, related to the Time Warner Cable and Charter transactions.</w:t>
      </w:r>
    </w:p>
    <w:p>
      <w:pPr>
        <w:spacing w:after="0" w:line="92" w:lineRule="exact"/>
        <w:rPr>
          <w:rFonts w:ascii="Arial" w:cs="Arial" w:eastAsia="Arial" w:hAnsi="Arial"/>
          <w:sz w:val="13"/>
          <w:szCs w:val="13"/>
          <w:color w:val="auto"/>
        </w:rPr>
      </w:pPr>
    </w:p>
    <w:p>
      <w:pPr>
        <w:ind w:left="340" w:right="500" w:hanging="332"/>
        <w:spacing w:after="0" w:line="230" w:lineRule="auto"/>
        <w:tabs>
          <w:tab w:leader="none" w:pos="345" w:val="left"/>
        </w:tabs>
        <w:numPr>
          <w:ilvl w:val="0"/>
          <w:numId w:val="11"/>
        </w:numPr>
        <w:rPr>
          <w:rFonts w:ascii="Arial" w:cs="Arial" w:eastAsia="Arial" w:hAnsi="Arial"/>
          <w:sz w:val="13"/>
          <w:szCs w:val="13"/>
          <w:color w:val="auto"/>
        </w:rPr>
      </w:pPr>
      <w:r>
        <w:rPr>
          <w:rFonts w:ascii="Arial" w:cs="Arial" w:eastAsia="Arial" w:hAnsi="Arial"/>
          <w:sz w:val="13"/>
          <w:szCs w:val="13"/>
          <w:color w:val="auto"/>
        </w:rPr>
        <w:t>2nd quarter 2015 net income attributable to Comcast Corporation includes $252 million of equity in net losses of investees, $158 million net of tax, resulting from our proportionate share of an impairment loss recorded at The Weather Channel.</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454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As Reported to Pro Forma</w:t>
      </w:r>
      <w:r>
        <w:rPr>
          <w:rFonts w:ascii="Arial" w:cs="Arial" w:eastAsia="Arial" w:hAnsi="Arial"/>
          <w:sz w:val="18"/>
          <w:szCs w:val="18"/>
          <w:b w:val="1"/>
          <w:bCs w:val="1"/>
          <w:color w:val="C9C9C9"/>
          <w:vertAlign w:val="superscript"/>
        </w:rPr>
        <w:t>(1)</w:t>
      </w:r>
      <w:r>
        <w:rPr>
          <w:rFonts w:ascii="Arial" w:cs="Arial" w:eastAsia="Arial" w:hAnsi="Arial"/>
          <w:sz w:val="18"/>
          <w:szCs w:val="18"/>
          <w:b w:val="1"/>
          <w:bCs w:val="1"/>
          <w:color w:val="C9C9C9"/>
        </w:rPr>
        <w:t xml:space="preserve"> Financial Information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Theme Parks</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NBCUniversal</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5"/>
        </w:trPr>
        <w:tc>
          <w:tcPr>
            <w:tcW w:w="316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 Forma</w:t>
            </w:r>
          </w:p>
        </w:tc>
        <w:tc>
          <w:tcPr>
            <w:tcW w:w="1400" w:type="dxa"/>
            <w:vAlign w:val="bottom"/>
            <w:tcBorders>
              <w:right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13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0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 Reported</w:t>
            </w:r>
          </w:p>
        </w:tc>
        <w:tc>
          <w:tcPr>
            <w:tcW w:w="1440" w:type="dxa"/>
            <w:vAlign w:val="bottom"/>
            <w:gridSpan w:val="2"/>
          </w:tcPr>
          <w:p>
            <w:pPr>
              <w:jc w:val="center"/>
              <w:ind w:right="100"/>
              <w:spacing w:after="0" w:line="176" w:lineRule="exact"/>
              <w:rPr>
                <w:sz w:val="20"/>
                <w:szCs w:val="20"/>
                <w:color w:val="auto"/>
              </w:rPr>
            </w:pPr>
            <w:r>
              <w:rPr>
                <w:rFonts w:ascii="Arial" w:cs="Arial" w:eastAsia="Arial" w:hAnsi="Arial"/>
                <w:sz w:val="14"/>
                <w:szCs w:val="14"/>
                <w:b w:val="1"/>
                <w:bCs w:val="1"/>
                <w:color w:val="auto"/>
                <w:w w:val="99"/>
              </w:rPr>
              <w:t>Adjustments</w:t>
            </w:r>
            <w:r>
              <w:rPr>
                <w:rFonts w:ascii="Arial" w:cs="Arial" w:eastAsia="Arial" w:hAnsi="Arial"/>
                <w:sz w:val="17"/>
                <w:szCs w:val="17"/>
                <w:b w:val="1"/>
                <w:bCs w:val="1"/>
                <w:color w:val="auto"/>
                <w:w w:val="99"/>
                <w:vertAlign w:val="superscript"/>
              </w:rPr>
              <w:t>(1)</w:t>
            </w:r>
          </w:p>
        </w:tc>
        <w:tc>
          <w:tcPr>
            <w:tcW w:w="14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Theme Parks</w:t>
            </w:r>
          </w:p>
        </w:tc>
        <w:tc>
          <w:tcPr>
            <w:tcW w:w="8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1420" w:type="dxa"/>
            <w:vAlign w:val="bottom"/>
            <w:gridSpan w:val="2"/>
          </w:tcPr>
          <w:p>
            <w:pPr>
              <w:jc w:val="right"/>
              <w:ind w:right="280"/>
              <w:spacing w:after="0" w:line="176" w:lineRule="exact"/>
              <w:rPr>
                <w:sz w:val="20"/>
                <w:szCs w:val="20"/>
                <w:color w:val="auto"/>
              </w:rPr>
            </w:pPr>
            <w:r>
              <w:rPr>
                <w:rFonts w:ascii="Arial" w:cs="Arial" w:eastAsia="Arial" w:hAnsi="Arial"/>
                <w:sz w:val="14"/>
                <w:szCs w:val="14"/>
                <w:b w:val="1"/>
                <w:bCs w:val="1"/>
                <w:color w:val="auto"/>
              </w:rPr>
              <w:t>Adjustments</w:t>
            </w:r>
            <w:r>
              <w:rPr>
                <w:rFonts w:ascii="Arial" w:cs="Arial" w:eastAsia="Arial" w:hAnsi="Arial"/>
                <w:sz w:val="17"/>
                <w:szCs w:val="17"/>
                <w:b w:val="1"/>
                <w:bCs w:val="1"/>
                <w:color w:val="auto"/>
                <w:vertAlign w:val="superscript"/>
              </w:rPr>
              <w:t>(1)</w:t>
            </w: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rPr>
              <w:t>NBCUniversal</w:t>
            </w:r>
          </w:p>
        </w:tc>
        <w:tc>
          <w:tcPr>
            <w:tcW w:w="0" w:type="dxa"/>
            <w:vAlign w:val="bottom"/>
          </w:tcPr>
          <w:p>
            <w:pPr>
              <w:spacing w:after="0"/>
              <w:rPr>
                <w:sz w:val="1"/>
                <w:szCs w:val="1"/>
                <w:color w:val="auto"/>
              </w:rPr>
            </w:pPr>
          </w:p>
        </w:tc>
      </w:tr>
      <w:tr>
        <w:trPr>
          <w:trHeight w:val="304"/>
        </w:trPr>
        <w:tc>
          <w:tcPr>
            <w:tcW w:w="31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June 30, 2015</w:t>
            </w: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4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Revenue</w:t>
            </w:r>
          </w:p>
        </w:tc>
        <w:tc>
          <w:tcPr>
            <w:tcW w:w="7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$1,028</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$7,230</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$7,484</w:t>
            </w:r>
          </w:p>
        </w:tc>
        <w:tc>
          <w:tcPr>
            <w:tcW w:w="0" w:type="dxa"/>
            <w:vAlign w:val="bottom"/>
          </w:tcPr>
          <w:p>
            <w:pPr>
              <w:spacing w:after="0"/>
              <w:rPr>
                <w:sz w:val="1"/>
                <w:szCs w:val="1"/>
                <w:color w:val="auto"/>
              </w:rPr>
            </w:pPr>
          </w:p>
        </w:tc>
      </w:tr>
      <w:tr>
        <w:trPr>
          <w:trHeight w:val="228"/>
        </w:trPr>
        <w:tc>
          <w:tcPr>
            <w:tcW w:w="3160" w:type="dxa"/>
            <w:vAlign w:val="bottom"/>
            <w:gridSpan w:val="4"/>
          </w:tcPr>
          <w:p>
            <w:pPr>
              <w:spacing w:after="0"/>
              <w:rPr>
                <w:sz w:val="20"/>
                <w:szCs w:val="20"/>
                <w:color w:val="auto"/>
              </w:rPr>
            </w:pPr>
            <w:r>
              <w:rPr>
                <w:rFonts w:ascii="Arial" w:cs="Arial" w:eastAsia="Arial" w:hAnsi="Arial"/>
                <w:sz w:val="14"/>
                <w:szCs w:val="14"/>
                <w:color w:val="auto"/>
              </w:rPr>
              <w:t xml:space="preserve">Operating costs and expenses </w:t>
            </w:r>
            <w:r>
              <w:rPr>
                <w:rFonts w:ascii="Arial" w:cs="Arial" w:eastAsia="Arial" w:hAnsi="Arial"/>
                <w:sz w:val="17"/>
                <w:szCs w:val="17"/>
                <w:color w:val="auto"/>
                <w:vertAlign w:val="superscript"/>
              </w:rPr>
              <w:t>(2)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5,680</w:t>
            </w:r>
          </w:p>
        </w:tc>
        <w:tc>
          <w:tcPr>
            <w:tcW w:w="0" w:type="dxa"/>
            <w:vAlign w:val="bottom"/>
          </w:tcPr>
          <w:p>
            <w:pPr>
              <w:spacing w:after="0"/>
              <w:rPr>
                <w:sz w:val="1"/>
                <w:szCs w:val="1"/>
                <w:color w:val="auto"/>
              </w:rPr>
            </w:pPr>
          </w:p>
        </w:tc>
      </w:tr>
      <w:tr>
        <w:trPr>
          <w:trHeight w:val="237"/>
        </w:trPr>
        <w:tc>
          <w:tcPr>
            <w:tcW w:w="3160" w:type="dxa"/>
            <w:vAlign w:val="bottom"/>
            <w:gridSpan w:val="4"/>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$1,804</w:t>
            </w:r>
          </w:p>
        </w:tc>
        <w:tc>
          <w:tcPr>
            <w:tcW w:w="0" w:type="dxa"/>
            <w:vAlign w:val="bottom"/>
          </w:tcPr>
          <w:p>
            <w:pPr>
              <w:spacing w:after="0"/>
              <w:rPr>
                <w:sz w:val="1"/>
                <w:szCs w:val="1"/>
                <w:color w:val="auto"/>
              </w:rPr>
            </w:pPr>
          </w:p>
        </w:tc>
      </w:tr>
      <w:tr>
        <w:trPr>
          <w:trHeight w:val="20"/>
        </w:trPr>
        <w:tc>
          <w:tcPr>
            <w:tcW w:w="3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June 30, 2016</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60" w:type="dxa"/>
            <w:vAlign w:val="bottom"/>
            <w:gridSpan w:val="4"/>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4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Revenue</w:t>
            </w:r>
          </w:p>
        </w:tc>
        <w:tc>
          <w:tcPr>
            <w:tcW w:w="7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$1,136</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$7,103</w:t>
            </w:r>
          </w:p>
        </w:tc>
        <w:tc>
          <w:tcPr>
            <w:tcW w:w="10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$7,103</w:t>
            </w:r>
          </w:p>
        </w:tc>
        <w:tc>
          <w:tcPr>
            <w:tcW w:w="0" w:type="dxa"/>
            <w:vAlign w:val="bottom"/>
          </w:tcPr>
          <w:p>
            <w:pPr>
              <w:spacing w:after="0"/>
              <w:rPr>
                <w:sz w:val="1"/>
                <w:szCs w:val="1"/>
                <w:color w:val="auto"/>
              </w:rPr>
            </w:pPr>
          </w:p>
        </w:tc>
      </w:tr>
      <w:tr>
        <w:trPr>
          <w:trHeight w:val="228"/>
        </w:trPr>
        <w:tc>
          <w:tcPr>
            <w:tcW w:w="3160" w:type="dxa"/>
            <w:vAlign w:val="bottom"/>
            <w:gridSpan w:val="4"/>
          </w:tcPr>
          <w:p>
            <w:pPr>
              <w:spacing w:after="0"/>
              <w:rPr>
                <w:sz w:val="20"/>
                <w:szCs w:val="20"/>
                <w:color w:val="auto"/>
              </w:rPr>
            </w:pPr>
            <w:r>
              <w:rPr>
                <w:rFonts w:ascii="Arial" w:cs="Arial" w:eastAsia="Arial" w:hAnsi="Arial"/>
                <w:sz w:val="14"/>
                <w:szCs w:val="14"/>
                <w:color w:val="auto"/>
              </w:rPr>
              <w:t>Operating costs and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5,414</w:t>
            </w:r>
          </w:p>
        </w:tc>
        <w:tc>
          <w:tcPr>
            <w:tcW w:w="0" w:type="dxa"/>
            <w:vAlign w:val="bottom"/>
          </w:tcPr>
          <w:p>
            <w:pPr>
              <w:spacing w:after="0"/>
              <w:rPr>
                <w:sz w:val="1"/>
                <w:szCs w:val="1"/>
                <w:color w:val="auto"/>
              </w:rPr>
            </w:pPr>
          </w:p>
        </w:tc>
      </w:tr>
      <w:tr>
        <w:trPr>
          <w:trHeight w:val="237"/>
        </w:trPr>
        <w:tc>
          <w:tcPr>
            <w:tcW w:w="3160" w:type="dxa"/>
            <w:vAlign w:val="bottom"/>
            <w:gridSpan w:val="4"/>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$1,689</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20"/>
        </w:trPr>
        <w:tc>
          <w:tcPr>
            <w:tcW w:w="3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60" w:type="dxa"/>
            <w:vAlign w:val="bottom"/>
            <w:gridSpan w:val="4"/>
            <w:vMerge w:val="continue"/>
          </w:tcPr>
          <w:p>
            <w:pPr>
              <w:spacing w:after="0"/>
              <w:rPr>
                <w:sz w:val="24"/>
                <w:szCs w:val="24"/>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47.0%</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24"/>
                <w:szCs w:val="24"/>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(1.8%)</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0"/>
        </w:trPr>
        <w:tc>
          <w:tcPr>
            <w:tcW w:w="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2220" w:type="dxa"/>
            <w:vAlign w:val="bottom"/>
            <w:gridSpan w:val="3"/>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60" w:type="dxa"/>
            <w:vAlign w:val="bottom"/>
            <w:gridSpan w:val="4"/>
          </w:tcPr>
          <w:p>
            <w:pPr>
              <w:spacing w:after="0"/>
              <w:rPr>
                <w:sz w:val="20"/>
                <w:szCs w:val="20"/>
                <w:color w:val="auto"/>
              </w:rPr>
            </w:pPr>
            <w:r>
              <w:rPr>
                <w:rFonts w:ascii="Arial" w:cs="Arial" w:eastAsia="Arial" w:hAnsi="Arial"/>
                <w:sz w:val="14"/>
                <w:szCs w:val="14"/>
                <w:color w:val="auto"/>
              </w:rPr>
              <w:t>Operating cash flow</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40.5%</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(0.2%)</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53"/>
        </w:trPr>
        <w:tc>
          <w:tcPr>
            <w:tcW w:w="9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Six Months Ended June 30, 2015</w:t>
            </w:r>
          </w:p>
        </w:tc>
        <w:tc>
          <w:tcPr>
            <w:tcW w:w="9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316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spacing w:after="0"/>
              <w:rPr>
                <w:sz w:val="20"/>
                <w:szCs w:val="20"/>
                <w:color w:val="auto"/>
              </w:rPr>
            </w:pPr>
            <w:r>
              <w:rPr>
                <w:rFonts w:ascii="Arial" w:cs="Arial" w:eastAsia="Arial" w:hAnsi="Arial"/>
                <w:sz w:val="14"/>
                <w:szCs w:val="14"/>
                <w:color w:val="auto"/>
              </w:rPr>
              <w:t>$1,424</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$1,963</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$13,834</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$14,372</w:t>
            </w:r>
          </w:p>
        </w:tc>
        <w:tc>
          <w:tcPr>
            <w:tcW w:w="0" w:type="dxa"/>
            <w:vAlign w:val="bottom"/>
          </w:tcPr>
          <w:p>
            <w:pPr>
              <w:spacing w:after="0"/>
              <w:rPr>
                <w:sz w:val="1"/>
                <w:szCs w:val="1"/>
                <w:color w:val="auto"/>
              </w:rPr>
            </w:pPr>
          </w:p>
        </w:tc>
      </w:tr>
      <w:tr>
        <w:trPr>
          <w:trHeight w:val="228"/>
        </w:trPr>
        <w:tc>
          <w:tcPr>
            <w:tcW w:w="3160" w:type="dxa"/>
            <w:vAlign w:val="bottom"/>
            <w:gridSpan w:val="4"/>
          </w:tcPr>
          <w:p>
            <w:pPr>
              <w:spacing w:after="0"/>
              <w:rPr>
                <w:sz w:val="20"/>
                <w:szCs w:val="20"/>
                <w:color w:val="auto"/>
              </w:rPr>
            </w:pPr>
            <w:r>
              <w:rPr>
                <w:rFonts w:ascii="Arial" w:cs="Arial" w:eastAsia="Arial" w:hAnsi="Arial"/>
                <w:sz w:val="14"/>
                <w:szCs w:val="14"/>
                <w:color w:val="auto"/>
              </w:rPr>
              <w:t xml:space="preserve">Operating costs and expenses </w:t>
            </w:r>
            <w:r>
              <w:rPr>
                <w:rFonts w:ascii="Arial" w:cs="Arial" w:eastAsia="Arial" w:hAnsi="Arial"/>
                <w:sz w:val="17"/>
                <w:szCs w:val="17"/>
                <w:color w:val="auto"/>
                <w:vertAlign w:val="superscript"/>
              </w:rPr>
              <w:t>(2)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10,974</w:t>
            </w:r>
          </w:p>
        </w:tc>
        <w:tc>
          <w:tcPr>
            <w:tcW w:w="0" w:type="dxa"/>
            <w:vAlign w:val="bottom"/>
          </w:tcPr>
          <w:p>
            <w:pPr>
              <w:spacing w:after="0"/>
              <w:rPr>
                <w:sz w:val="1"/>
                <w:szCs w:val="1"/>
                <w:color w:val="auto"/>
              </w:rPr>
            </w:pPr>
          </w:p>
        </w:tc>
      </w:tr>
      <w:tr>
        <w:trPr>
          <w:trHeight w:val="237"/>
        </w:trPr>
        <w:tc>
          <w:tcPr>
            <w:tcW w:w="3160" w:type="dxa"/>
            <w:vAlign w:val="bottom"/>
            <w:gridSpan w:val="4"/>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$3,167</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$3,398</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2016</w:t>
            </w:r>
          </w:p>
        </w:tc>
        <w:tc>
          <w:tcPr>
            <w:tcW w:w="920" w:type="dxa"/>
            <w:vAlign w:val="bottom"/>
            <w:gridSpan w:val="2"/>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240" w:type="dxa"/>
            <w:vAlign w:val="bottom"/>
            <w:tcBorders>
              <w:bottom w:val="single" w:sz="8" w:color="auto"/>
            </w:tcBorders>
            <w:gridSpan w:val="2"/>
            <w:vMerge w:val="continue"/>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16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spacing w:after="0"/>
              <w:rPr>
                <w:sz w:val="20"/>
                <w:szCs w:val="20"/>
                <w:color w:val="auto"/>
              </w:rPr>
            </w:pPr>
            <w:r>
              <w:rPr>
                <w:rFonts w:ascii="Arial" w:cs="Arial" w:eastAsia="Arial" w:hAnsi="Arial"/>
                <w:sz w:val="14"/>
                <w:szCs w:val="14"/>
                <w:color w:val="auto"/>
              </w:rPr>
              <w:t>$2,162</w:t>
            </w:r>
          </w:p>
        </w:tc>
        <w:tc>
          <w:tcPr>
            <w:tcW w:w="12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$2,162</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$13,964</w:t>
            </w:r>
          </w:p>
        </w:tc>
        <w:tc>
          <w:tcPr>
            <w:tcW w:w="10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$13,964</w:t>
            </w:r>
          </w:p>
        </w:tc>
        <w:tc>
          <w:tcPr>
            <w:tcW w:w="0" w:type="dxa"/>
            <w:vAlign w:val="bottom"/>
          </w:tcPr>
          <w:p>
            <w:pPr>
              <w:spacing w:after="0"/>
              <w:rPr>
                <w:sz w:val="1"/>
                <w:szCs w:val="1"/>
                <w:color w:val="auto"/>
              </w:rPr>
            </w:pPr>
          </w:p>
        </w:tc>
      </w:tr>
      <w:tr>
        <w:trPr>
          <w:trHeight w:val="228"/>
        </w:trPr>
        <w:tc>
          <w:tcPr>
            <w:tcW w:w="3160" w:type="dxa"/>
            <w:vAlign w:val="bottom"/>
            <w:gridSpan w:val="4"/>
          </w:tcPr>
          <w:p>
            <w:pPr>
              <w:spacing w:after="0"/>
              <w:rPr>
                <w:sz w:val="20"/>
                <w:szCs w:val="20"/>
                <w:color w:val="auto"/>
              </w:rPr>
            </w:pPr>
            <w:r>
              <w:rPr>
                <w:rFonts w:ascii="Arial" w:cs="Arial" w:eastAsia="Arial" w:hAnsi="Arial"/>
                <w:sz w:val="14"/>
                <w:szCs w:val="14"/>
                <w:color w:val="auto"/>
              </w:rPr>
              <w:t>Operating costs and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10,653</w:t>
            </w:r>
          </w:p>
        </w:tc>
        <w:tc>
          <w:tcPr>
            <w:tcW w:w="0" w:type="dxa"/>
            <w:vAlign w:val="bottom"/>
          </w:tcPr>
          <w:p>
            <w:pPr>
              <w:spacing w:after="0"/>
              <w:rPr>
                <w:sz w:val="1"/>
                <w:szCs w:val="1"/>
                <w:color w:val="auto"/>
              </w:rPr>
            </w:pPr>
          </w:p>
        </w:tc>
      </w:tr>
      <w:tr>
        <w:trPr>
          <w:trHeight w:val="237"/>
        </w:trPr>
        <w:tc>
          <w:tcPr>
            <w:tcW w:w="3160" w:type="dxa"/>
            <w:vAlign w:val="bottom"/>
            <w:gridSpan w:val="4"/>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$3,311</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$3,311</w:t>
            </w:r>
          </w:p>
        </w:tc>
        <w:tc>
          <w:tcPr>
            <w:tcW w:w="0" w:type="dxa"/>
            <w:vAlign w:val="bottom"/>
          </w:tcPr>
          <w:p>
            <w:pPr>
              <w:spacing w:after="0"/>
              <w:rPr>
                <w:sz w:val="1"/>
                <w:szCs w:val="1"/>
                <w:color w:val="auto"/>
              </w:rPr>
            </w:pPr>
          </w:p>
        </w:tc>
      </w:tr>
      <w:tr>
        <w:trPr>
          <w:trHeight w:val="20"/>
        </w:trPr>
        <w:tc>
          <w:tcPr>
            <w:tcW w:w="3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60" w:type="dxa"/>
            <w:vAlign w:val="bottom"/>
            <w:gridSpan w:val="4"/>
            <w:vMerge w:val="continue"/>
          </w:tcPr>
          <w:p>
            <w:pPr>
              <w:spacing w:after="0"/>
              <w:rPr>
                <w:sz w:val="24"/>
                <w:szCs w:val="24"/>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51.8%</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24"/>
                <w:szCs w:val="24"/>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0.9%</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0"/>
        </w:trPr>
        <w:tc>
          <w:tcPr>
            <w:tcW w:w="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2220" w:type="dxa"/>
            <w:vAlign w:val="bottom"/>
            <w:gridSpan w:val="3"/>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60" w:type="dxa"/>
            <w:vAlign w:val="bottom"/>
            <w:gridSpan w:val="4"/>
          </w:tcPr>
          <w:p>
            <w:pPr>
              <w:spacing w:after="0" w:line="157" w:lineRule="exact"/>
              <w:rPr>
                <w:sz w:val="20"/>
                <w:szCs w:val="20"/>
                <w:color w:val="auto"/>
              </w:rPr>
            </w:pPr>
            <w:r>
              <w:rPr>
                <w:rFonts w:ascii="Arial" w:cs="Arial" w:eastAsia="Arial" w:hAnsi="Arial"/>
                <w:sz w:val="14"/>
                <w:szCs w:val="14"/>
                <w:color w:val="auto"/>
              </w:rPr>
              <w:t>Operating cash flow</w:t>
            </w:r>
          </w:p>
        </w:tc>
        <w:tc>
          <w:tcPr>
            <w:tcW w:w="1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46.0%</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right w:val="single" w:sz="8" w:color="auto"/>
            </w:tcBorders>
            <w:gridSpan w:val="2"/>
          </w:tcPr>
          <w:p>
            <w:pPr>
              <w:jc w:val="right"/>
              <w:ind w:right="140"/>
              <w:spacing w:after="0" w:line="157"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3"/>
                <w:szCs w:val="13"/>
                <w:color w:val="auto"/>
              </w:rPr>
            </w:pPr>
          </w:p>
        </w:tc>
        <w:tc>
          <w:tcPr>
            <w:tcW w:w="12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4.5%</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line="157"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399" w:lineRule="exact"/>
        <w:rPr>
          <w:sz w:val="20"/>
          <w:szCs w:val="20"/>
          <w:color w:val="auto"/>
        </w:rPr>
      </w:pPr>
    </w:p>
    <w:p>
      <w:pPr>
        <w:ind w:right="220" w:firstLine="8"/>
        <w:spacing w:after="0" w:line="223" w:lineRule="auto"/>
        <w:tabs>
          <w:tab w:leader="none" w:pos="189"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 Forma information is presented as if the acquisition of the 51% interest of Universal Studios Japan occurred January 1, 2014. Pro forma data does not include adjustments for transaction-related costs, costs related to integration activities, or cost savings or synergies that have been or may be achieved by the combined businesses. The pro forma amounts are based on historical results of operations and are subject to change as valuations are finalized. Pro forma amounts are not necessarily indicative of what our results would have been had we operated Universal Studios Japan since January 1, 2014, nor of our future results.</w:t>
      </w:r>
    </w:p>
    <w:p>
      <w:pPr>
        <w:spacing w:after="0" w:line="65" w:lineRule="exact"/>
        <w:rPr>
          <w:rFonts w:ascii="Arial" w:cs="Arial" w:eastAsia="Arial" w:hAnsi="Arial"/>
          <w:sz w:val="13"/>
          <w:szCs w:val="13"/>
          <w:color w:val="auto"/>
        </w:rPr>
      </w:pPr>
    </w:p>
    <w:p>
      <w:pPr>
        <w:jc w:val="both"/>
        <w:ind w:right="120" w:firstLine="8"/>
        <w:spacing w:after="0" w:line="223" w:lineRule="auto"/>
        <w:tabs>
          <w:tab w:leader="none" w:pos="182"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reported results for Theme Parks and total NBCUniversal for 2015 have been adjusted for the change in NBCUniversal’s method of accounting for a contractual obligation that involves an interest held by a third party in the revenue of certain theme parks. As a result of the change, the amounts that are payable based on current period revenue are now presented in operating costs and expenses, rather than other income (expense), net in our consolidated statement of income. The change was effective beginning in the 4th quarter of 2015 and for segment reporting purposes we also adjusted prior periods to reflect management reporting presentation of such amounts on a consistent basis.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454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142" w:lineRule="exact"/>
        <w:rPr>
          <w:sz w:val="20"/>
          <w:szCs w:val="20"/>
          <w:color w:val="auto"/>
        </w:rPr>
      </w:pPr>
    </w:p>
    <w:p>
      <w:pPr>
        <w:ind w:right="1900"/>
        <w:spacing w:after="0" w:line="271" w:lineRule="auto"/>
        <w:rPr>
          <w:sz w:val="20"/>
          <w:szCs w:val="20"/>
          <w:color w:val="auto"/>
        </w:rPr>
      </w:pPr>
      <w:r>
        <w:rPr>
          <w:rFonts w:ascii="Arial" w:cs="Arial" w:eastAsia="Arial" w:hAnsi="Arial"/>
          <w:sz w:val="18"/>
          <w:szCs w:val="18"/>
          <w:b w:val="1"/>
          <w:bCs w:val="1"/>
          <w:color w:val="C9C9C9"/>
        </w:rPr>
        <w:t>Reconciliation of Consolidated Revenue Excluding 2015 Super Bowl and Operating Cash Flow Excluding Costs Related to Time Warner Cable and Charter Transactions (Unaudited)</w:t>
      </w:r>
    </w:p>
    <w:p>
      <w:pPr>
        <w:spacing w:after="0" w:line="17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r>
      <w:tr>
        <w:trPr>
          <w:trHeight w:val="190"/>
        </w:trPr>
        <w:tc>
          <w:tcPr>
            <w:tcW w:w="4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r>
      <w:tr>
        <w:trPr>
          <w:trHeight w:val="26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252"/>
        </w:trPr>
        <w:tc>
          <w:tcPr>
            <w:tcW w:w="460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$18,743</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$19,269</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$36,596</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$38,059</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28"/>
        </w:trPr>
        <w:tc>
          <w:tcPr>
            <w:tcW w:w="4600" w:type="dxa"/>
            <w:vAlign w:val="bottom"/>
          </w:tcPr>
          <w:p>
            <w:pPr>
              <w:spacing w:after="0"/>
              <w:rPr>
                <w:sz w:val="20"/>
                <w:szCs w:val="20"/>
                <w:color w:val="auto"/>
              </w:rPr>
            </w:pPr>
            <w:r>
              <w:rPr>
                <w:rFonts w:ascii="Arial" w:cs="Arial" w:eastAsia="Arial" w:hAnsi="Arial"/>
                <w:sz w:val="14"/>
                <w:szCs w:val="14"/>
                <w:color w:val="auto"/>
              </w:rPr>
              <w:t>2015 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color w:val="auto"/>
              </w:rPr>
              <w:t>Revenue excluding 2015 Super Bowl</w:t>
            </w:r>
          </w:p>
        </w:tc>
        <w:tc>
          <w:tcPr>
            <w:tcW w:w="880" w:type="dxa"/>
            <w:vAlign w:val="bottom"/>
          </w:tcPr>
          <w:p>
            <w:pPr>
              <w:jc w:val="right"/>
              <w:spacing w:after="0"/>
              <w:rPr>
                <w:sz w:val="20"/>
                <w:szCs w:val="20"/>
                <w:color w:val="auto"/>
              </w:rPr>
            </w:pPr>
            <w:r>
              <w:rPr>
                <w:rFonts w:ascii="Arial" w:cs="Arial" w:eastAsia="Arial" w:hAnsi="Arial"/>
                <w:sz w:val="14"/>
                <w:szCs w:val="14"/>
                <w:color w:val="auto"/>
              </w:rPr>
              <w:t>$18,743</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$19,269</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$36,220</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$38,059</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8"/>
        </w:trPr>
        <w:tc>
          <w:tcPr>
            <w:tcW w:w="4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900" w:orient="portrait"/>
          <w:cols w:equalWidth="0" w:num="1">
            <w:col w:w="11420"/>
          </w:cols>
          <w:pgMar w:left="240" w:top="134" w:right="239" w:bottom="0" w:gutter="0" w:footer="0" w:header="0"/>
        </w:sectPr>
      </w:pPr>
    </w:p>
    <w:bookmarkStart w:id="11" w:name="page12"/>
    <w:bookmarkEnd w:id="11"/>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04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Growth %</w:t>
            </w:r>
          </w:p>
        </w:tc>
        <w:tc>
          <w:tcPr>
            <w:tcW w:w="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92"/>
        </w:trPr>
        <w:tc>
          <w:tcPr>
            <w:tcW w:w="4600" w:type="dxa"/>
            <w:vAlign w:val="bottom"/>
          </w:tcPr>
          <w:p>
            <w:pPr>
              <w:spacing w:after="0"/>
              <w:rPr>
                <w:sz w:val="20"/>
                <w:szCs w:val="20"/>
                <w:color w:val="auto"/>
              </w:rPr>
            </w:pPr>
            <w:r>
              <w:rPr>
                <w:rFonts w:ascii="Arial" w:cs="Arial" w:eastAsia="Arial" w:hAnsi="Arial"/>
                <w:sz w:val="14"/>
                <w:szCs w:val="14"/>
                <w:color w:val="auto"/>
              </w:rPr>
              <w:t>Operating Income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$4,105</w:t>
            </w:r>
          </w:p>
        </w:tc>
        <w:tc>
          <w:tcPr>
            <w:tcW w:w="22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$4,066</w:t>
            </w: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$7,995</w:t>
            </w:r>
          </w:p>
        </w:tc>
        <w:tc>
          <w:tcPr>
            <w:tcW w:w="24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$8,155</w:t>
            </w:r>
          </w:p>
        </w:tc>
        <w:tc>
          <w:tcPr>
            <w:tcW w:w="2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jc w:val="right"/>
              <w:spacing w:after="0"/>
              <w:rPr>
                <w:sz w:val="20"/>
                <w:szCs w:val="20"/>
                <w:color w:val="auto"/>
              </w:rPr>
            </w:pPr>
            <w:r>
              <w:rPr>
                <w:rFonts w:ascii="Arial" w:cs="Arial" w:eastAsia="Arial" w:hAnsi="Arial"/>
                <w:sz w:val="14"/>
                <w:szCs w:val="14"/>
                <w:color w:val="auto"/>
              </w:rPr>
              <w:t>2,161</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2,389</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4,227</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4,667</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4600" w:type="dxa"/>
            <w:vAlign w:val="bottom"/>
            <w:vMerge w:val="restart"/>
          </w:tcPr>
          <w:p>
            <w:pPr>
              <w:spacing w:after="0"/>
              <w:rPr>
                <w:sz w:val="20"/>
                <w:szCs w:val="20"/>
                <w:color w:val="auto"/>
              </w:rPr>
            </w:pPr>
            <w:r>
              <w:rPr>
                <w:rFonts w:ascii="Arial" w:cs="Arial" w:eastAsia="Arial" w:hAnsi="Arial"/>
                <w:sz w:val="14"/>
                <w:szCs w:val="14"/>
                <w:color w:val="auto"/>
              </w:rPr>
              <w:t>Operating Cash Flow</w:t>
            </w:r>
          </w:p>
        </w:tc>
        <w:tc>
          <w:tcPr>
            <w:tcW w:w="9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auto"/>
              </w:rPr>
              <w:t>3.0%</w:t>
            </w:r>
          </w:p>
        </w:tc>
        <w:tc>
          <w:tcPr>
            <w:tcW w:w="1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4"/>
        </w:trPr>
        <w:tc>
          <w:tcPr>
            <w:tcW w:w="4600" w:type="dxa"/>
            <w:vAlign w:val="bottom"/>
            <w:vMerge w:val="continue"/>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$6,266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$6,455</w:t>
            </w:r>
          </w:p>
        </w:tc>
        <w:tc>
          <w:tcPr>
            <w:tcW w:w="1140" w:type="dxa"/>
            <w:vAlign w:val="bottom"/>
            <w:gridSpan w:val="2"/>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$12,222</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$12,822</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4"/>
                <w:szCs w:val="14"/>
                <w:color w:val="auto"/>
              </w:rPr>
              <w:t>Costs related to Time Warner Cable and Charter transactions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r>
              <w:rPr>
                <w:rFonts w:ascii="Arial" w:cs="Arial" w:eastAsia="Arial" w:hAnsi="Arial"/>
                <w:sz w:val="14"/>
                <w:szCs w:val="14"/>
                <w:color w:val="auto"/>
              </w:rPr>
              <w:t>Operating Cash Flow excluding costs related to Time Warner Cable</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$6,345</w:t>
            </w:r>
          </w:p>
        </w:tc>
        <w:tc>
          <w:tcPr>
            <w:tcW w:w="2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$6,455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$12,400</w:t>
            </w:r>
          </w:p>
        </w:tc>
        <w:tc>
          <w:tcPr>
            <w:tcW w:w="2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$12,822</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600" w:type="dxa"/>
            <w:vAlign w:val="bottom"/>
          </w:tcPr>
          <w:p>
            <w:pPr>
              <w:ind w:left="180"/>
              <w:spacing w:after="0" w:line="144" w:lineRule="exact"/>
              <w:rPr>
                <w:sz w:val="20"/>
                <w:szCs w:val="20"/>
                <w:color w:val="auto"/>
              </w:rPr>
            </w:pPr>
            <w:r>
              <w:rPr>
                <w:rFonts w:ascii="Arial" w:cs="Arial" w:eastAsia="Arial" w:hAnsi="Arial"/>
                <w:sz w:val="14"/>
                <w:szCs w:val="14"/>
                <w:color w:val="auto"/>
              </w:rPr>
              <w:t>and Charter transactions</w:t>
            </w: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14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1.7%</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18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Consolidated NBCUniversal Revenue Excluding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r>
      <w:tr>
        <w:trPr>
          <w:trHeight w:val="190"/>
        </w:trPr>
        <w:tc>
          <w:tcPr>
            <w:tcW w:w="4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r>
      <w:tr>
        <w:trPr>
          <w:trHeight w:val="26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292"/>
        </w:trPr>
        <w:tc>
          <w:tcPr>
            <w:tcW w:w="460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$7,230</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$7,103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$13,834</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$13,964</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69"/>
        </w:trPr>
        <w:tc>
          <w:tcPr>
            <w:tcW w:w="4600" w:type="dxa"/>
            <w:vAlign w:val="bottom"/>
          </w:tcPr>
          <w:p>
            <w:pPr>
              <w:spacing w:after="0"/>
              <w:rPr>
                <w:sz w:val="20"/>
                <w:szCs w:val="20"/>
                <w:color w:val="auto"/>
              </w:rPr>
            </w:pPr>
            <w:r>
              <w:rPr>
                <w:rFonts w:ascii="Arial" w:cs="Arial" w:eastAsia="Arial" w:hAnsi="Arial"/>
                <w:sz w:val="14"/>
                <w:szCs w:val="14"/>
                <w:color w:val="auto"/>
              </w:rPr>
              <w:t>2015 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color w:val="auto"/>
              </w:rPr>
              <w:t>Revenue excluding 2015 Super Bowl</w:t>
            </w:r>
          </w:p>
        </w:tc>
        <w:tc>
          <w:tcPr>
            <w:tcW w:w="880" w:type="dxa"/>
            <w:vAlign w:val="bottom"/>
          </w:tcPr>
          <w:p>
            <w:pPr>
              <w:jc w:val="right"/>
              <w:spacing w:after="0"/>
              <w:rPr>
                <w:sz w:val="20"/>
                <w:szCs w:val="20"/>
                <w:color w:val="auto"/>
              </w:rPr>
            </w:pPr>
            <w:r>
              <w:rPr>
                <w:rFonts w:ascii="Arial" w:cs="Arial" w:eastAsia="Arial" w:hAnsi="Arial"/>
                <w:sz w:val="14"/>
                <w:szCs w:val="14"/>
                <w:color w:val="auto"/>
              </w:rPr>
              <w:t>$7,230</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$7,103</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$13,458</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$13,964</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Consolidated NBCUniversal Pro Forma Revenue Excluding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r>
      <w:tr>
        <w:trPr>
          <w:trHeight w:val="190"/>
        </w:trPr>
        <w:tc>
          <w:tcPr>
            <w:tcW w:w="4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r>
      <w:tr>
        <w:trPr>
          <w:trHeight w:val="26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252"/>
        </w:trPr>
        <w:tc>
          <w:tcPr>
            <w:tcW w:w="4600" w:type="dxa"/>
            <w:vAlign w:val="bottom"/>
          </w:tcPr>
          <w:p>
            <w:pPr>
              <w:spacing w:after="0"/>
              <w:rPr>
                <w:sz w:val="20"/>
                <w:szCs w:val="20"/>
                <w:color w:val="auto"/>
              </w:rPr>
            </w:pPr>
            <w:r>
              <w:rPr>
                <w:rFonts w:ascii="Arial" w:cs="Arial" w:eastAsia="Arial" w:hAnsi="Arial"/>
                <w:sz w:val="14"/>
                <w:szCs w:val="14"/>
                <w:color w:val="auto"/>
              </w:rPr>
              <w:t>Pro Forma 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$7,484</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$7,103</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$14,372</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$13,964</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28"/>
        </w:trPr>
        <w:tc>
          <w:tcPr>
            <w:tcW w:w="4600" w:type="dxa"/>
            <w:vAlign w:val="bottom"/>
          </w:tcPr>
          <w:p>
            <w:pPr>
              <w:spacing w:after="0"/>
              <w:rPr>
                <w:sz w:val="20"/>
                <w:szCs w:val="20"/>
                <w:color w:val="auto"/>
              </w:rPr>
            </w:pPr>
            <w:r>
              <w:rPr>
                <w:rFonts w:ascii="Arial" w:cs="Arial" w:eastAsia="Arial" w:hAnsi="Arial"/>
                <w:sz w:val="14"/>
                <w:szCs w:val="14"/>
                <w:color w:val="auto"/>
              </w:rPr>
              <w:t>2015 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color w:val="auto"/>
              </w:rPr>
              <w:t>Pro Forma Revenue excluding 2015 Super Bowl</w:t>
            </w:r>
          </w:p>
        </w:tc>
        <w:tc>
          <w:tcPr>
            <w:tcW w:w="880" w:type="dxa"/>
            <w:vAlign w:val="bottom"/>
          </w:tcPr>
          <w:p>
            <w:pPr>
              <w:jc w:val="right"/>
              <w:spacing w:after="0"/>
              <w:rPr>
                <w:sz w:val="20"/>
                <w:szCs w:val="20"/>
                <w:color w:val="auto"/>
              </w:rPr>
            </w:pPr>
            <w:r>
              <w:rPr>
                <w:rFonts w:ascii="Arial" w:cs="Arial" w:eastAsia="Arial" w:hAnsi="Arial"/>
                <w:sz w:val="14"/>
                <w:szCs w:val="14"/>
                <w:color w:val="auto"/>
              </w:rPr>
              <w:t>$7,484</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$7,103</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$13,996</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$13,964</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Broadcast Television Revenue Excluding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r>
      <w:tr>
        <w:trPr>
          <w:trHeight w:val="190"/>
        </w:trPr>
        <w:tc>
          <w:tcPr>
            <w:tcW w:w="4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r>
      <w:tr>
        <w:trPr>
          <w:trHeight w:val="26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252"/>
        </w:trPr>
        <w:tc>
          <w:tcPr>
            <w:tcW w:w="460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$1,813</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$2,128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17.3%</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$4,061</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$4,212</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28"/>
        </w:trPr>
        <w:tc>
          <w:tcPr>
            <w:tcW w:w="4600" w:type="dxa"/>
            <w:vAlign w:val="bottom"/>
          </w:tcPr>
          <w:p>
            <w:pPr>
              <w:spacing w:after="0"/>
              <w:rPr>
                <w:sz w:val="20"/>
                <w:szCs w:val="20"/>
                <w:color w:val="auto"/>
              </w:rPr>
            </w:pPr>
            <w:r>
              <w:rPr>
                <w:rFonts w:ascii="Arial" w:cs="Arial" w:eastAsia="Arial" w:hAnsi="Arial"/>
                <w:sz w:val="14"/>
                <w:szCs w:val="14"/>
                <w:color w:val="auto"/>
              </w:rPr>
              <w:t>2015 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color w:val="auto"/>
              </w:rPr>
              <w:t>Revenue excluding 2015 Super Bowl</w:t>
            </w:r>
          </w:p>
        </w:tc>
        <w:tc>
          <w:tcPr>
            <w:tcW w:w="880" w:type="dxa"/>
            <w:vAlign w:val="bottom"/>
          </w:tcPr>
          <w:p>
            <w:pPr>
              <w:jc w:val="right"/>
              <w:spacing w:after="0"/>
              <w:rPr>
                <w:sz w:val="20"/>
                <w:szCs w:val="20"/>
                <w:color w:val="auto"/>
              </w:rPr>
            </w:pPr>
            <w:r>
              <w:rPr>
                <w:rFonts w:ascii="Arial" w:cs="Arial" w:eastAsia="Arial" w:hAnsi="Arial"/>
                <w:sz w:val="14"/>
                <w:szCs w:val="14"/>
                <w:color w:val="auto"/>
              </w:rPr>
              <w:t>$1,813</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$2,128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17.3%</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$3,685</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$4,212</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Operating Cash Flow is the primary basis used to measure the operational strength and performance of our businesses. Free Cash Flow is an additional performance measure used as an indicator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payments related to income tax and litigation contingencies of acquired companies). We believe that Free Cash Flow is also useful to investors as the basis for comparing our performance and coverage ratios with other companies in our industries, although our measure of Free Cash Flow may not be directly comparable to similar measures used by other companies.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Operating Cash Flow and Free Cash Flow in Table 4 and “adjusted” data in Tables 5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3"/>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2019-12-07T15:14:46Z</dcterms:created>
  <dcterms:modified xsi:type="dcterms:W3CDTF">2019-12-07T15:14:46Z</dcterms:modified>
</cp:coreProperties>
</file>