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227965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8-K</w:t>
      </w:r>
    </w:p>
    <w:p>
      <w:pPr>
        <w:spacing w:after="0" w:line="291" w:lineRule="exact"/>
        <w:rPr>
          <w:sz w:val="24"/>
          <w:szCs w:val="24"/>
          <w:color w:val="auto"/>
        </w:rPr>
      </w:pPr>
    </w:p>
    <w:p>
      <w:pPr>
        <w:ind w:left="3860"/>
        <w:spacing w:after="0"/>
        <w:rPr>
          <w:sz w:val="20"/>
          <w:szCs w:val="20"/>
          <w:color w:val="auto"/>
        </w:rPr>
      </w:pPr>
      <w:r>
        <w:rPr>
          <w:rFonts w:ascii="Arial" w:cs="Arial" w:eastAsia="Arial" w:hAnsi="Arial"/>
          <w:sz w:val="24"/>
          <w:szCs w:val="24"/>
          <w:b w:val="1"/>
          <w:bCs w:val="1"/>
          <w:color w:val="auto"/>
        </w:rPr>
        <w:t>CURRENT REPORT PURSUANT</w:t>
      </w:r>
    </w:p>
    <w:p>
      <w:pPr>
        <w:spacing w:after="0" w:line="36" w:lineRule="exact"/>
        <w:rPr>
          <w:sz w:val="24"/>
          <w:szCs w:val="24"/>
          <w:color w:val="auto"/>
        </w:rPr>
      </w:pPr>
    </w:p>
    <w:p>
      <w:pPr>
        <w:ind w:left="3820"/>
        <w:spacing w:after="0"/>
        <w:rPr>
          <w:sz w:val="20"/>
          <w:szCs w:val="20"/>
          <w:color w:val="auto"/>
        </w:rPr>
      </w:pPr>
      <w:r>
        <w:rPr>
          <w:rFonts w:ascii="Arial" w:cs="Arial" w:eastAsia="Arial" w:hAnsi="Arial"/>
          <w:sz w:val="24"/>
          <w:szCs w:val="24"/>
          <w:b w:val="1"/>
          <w:bCs w:val="1"/>
          <w:color w:val="auto"/>
        </w:rPr>
        <w:t>TO SECTION 13 OR 15(d) OF THE</w:t>
      </w:r>
    </w:p>
    <w:p>
      <w:pPr>
        <w:spacing w:after="0" w:line="8" w:lineRule="exact"/>
        <w:rPr>
          <w:sz w:val="24"/>
          <w:szCs w:val="24"/>
          <w:color w:val="auto"/>
        </w:rPr>
      </w:pPr>
    </w:p>
    <w:p>
      <w:pPr>
        <w:ind w:left="3480"/>
        <w:spacing w:after="0"/>
        <w:rPr>
          <w:sz w:val="20"/>
          <w:szCs w:val="20"/>
          <w:color w:val="auto"/>
        </w:rPr>
      </w:pPr>
      <w:r>
        <w:rPr>
          <w:rFonts w:ascii="Arial" w:cs="Arial" w:eastAsia="Arial" w:hAnsi="Arial"/>
          <w:sz w:val="24"/>
          <w:szCs w:val="24"/>
          <w:b w:val="1"/>
          <w:bCs w:val="1"/>
          <w:color w:val="auto"/>
        </w:rPr>
        <w:t>SECURITIES EXCHANGE ACT OF 1934</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10, 2003</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(formerly AT&amp;T Comcast Corporation)</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Pennsylvania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62"/>
        </w:trPr>
        <w:tc>
          <w:tcPr>
            <w:tcW w:w="4840" w:type="dxa"/>
            <w:vAlign w:val="bottom"/>
          </w:tcPr>
          <w:p>
            <w:pPr>
              <w:jc w:val="center"/>
              <w:ind w:right="162"/>
              <w:spacing w:after="0"/>
              <w:rPr>
                <w:sz w:val="20"/>
                <w:szCs w:val="20"/>
                <w:color w:val="auto"/>
              </w:rPr>
            </w:pPr>
            <w:r>
              <w:rPr>
                <w:rFonts w:ascii="Arial" w:cs="Arial" w:eastAsia="Arial" w:hAnsi="Arial"/>
                <w:sz w:val="22"/>
                <w:szCs w:val="22"/>
                <w:b w:val="1"/>
                <w:bCs w:val="1"/>
                <w:color w:val="auto"/>
                <w:w w:val="89"/>
              </w:rPr>
              <w:t>000-50093</w:t>
            </w:r>
          </w:p>
        </w:tc>
        <w:tc>
          <w:tcPr>
            <w:tcW w:w="17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320" w:type="dxa"/>
            <w:vAlign w:val="bottom"/>
          </w:tcPr>
          <w:p>
            <w:pPr>
              <w:jc w:val="center"/>
              <w:ind w:right="702"/>
              <w:spacing w:after="0"/>
              <w:rPr>
                <w:sz w:val="20"/>
                <w:szCs w:val="20"/>
                <w:color w:val="auto"/>
              </w:rPr>
            </w:pPr>
            <w:r>
              <w:rPr>
                <w:rFonts w:ascii="Arial" w:cs="Arial" w:eastAsia="Arial" w:hAnsi="Arial"/>
                <w:sz w:val="22"/>
                <w:szCs w:val="22"/>
                <w:b w:val="1"/>
                <w:bCs w:val="1"/>
                <w:color w:val="auto"/>
                <w:w w:val="88"/>
              </w:rPr>
              <w:t>27-0000798</w:t>
            </w:r>
          </w:p>
        </w:tc>
      </w:tr>
      <w:tr>
        <w:trPr>
          <w:trHeight w:val="222"/>
        </w:trPr>
        <w:tc>
          <w:tcPr>
            <w:tcW w:w="8100" w:type="dxa"/>
            <w:vAlign w:val="bottom"/>
            <w:gridSpan w:val="3"/>
          </w:tcPr>
          <w:p>
            <w:pPr>
              <w:jc w:val="center"/>
              <w:ind w:right="3520"/>
              <w:spacing w:after="0"/>
              <w:rPr>
                <w:sz w:val="20"/>
                <w:szCs w:val="20"/>
                <w:color w:val="auto"/>
              </w:rPr>
            </w:pPr>
            <w:r>
              <w:rPr>
                <w:rFonts w:ascii="Arial" w:cs="Arial" w:eastAsia="Arial" w:hAnsi="Arial"/>
                <w:sz w:val="18"/>
                <w:szCs w:val="18"/>
                <w:color w:val="auto"/>
                <w:w w:val="90"/>
              </w:rPr>
              <w:t>(Commission File Number)</w:t>
            </w:r>
          </w:p>
        </w:tc>
        <w:tc>
          <w:tcPr>
            <w:tcW w:w="3320" w:type="dxa"/>
            <w:vAlign w:val="bottom"/>
          </w:tcPr>
          <w:p>
            <w:pPr>
              <w:jc w:val="center"/>
              <w:ind w:right="682"/>
              <w:spacing w:after="0"/>
              <w:rPr>
                <w:sz w:val="20"/>
                <w:szCs w:val="20"/>
                <w:color w:val="auto"/>
              </w:rPr>
            </w:pPr>
            <w:r>
              <w:rPr>
                <w:rFonts w:ascii="Arial" w:cs="Arial" w:eastAsia="Arial" w:hAnsi="Arial"/>
                <w:sz w:val="18"/>
                <w:szCs w:val="18"/>
                <w:color w:val="auto"/>
                <w:w w:val="92"/>
              </w:rPr>
              <w:t>(IRS Employer Identification No.)</w:t>
            </w:r>
          </w:p>
        </w:tc>
      </w:tr>
      <w:tr>
        <w:trPr>
          <w:trHeight w:val="488"/>
        </w:trPr>
        <w:tc>
          <w:tcPr>
            <w:tcW w:w="8100" w:type="dxa"/>
            <w:vAlign w:val="bottom"/>
            <w:gridSpan w:val="3"/>
          </w:tcPr>
          <w:p>
            <w:pPr>
              <w:jc w:val="center"/>
              <w:ind w:right="3520"/>
              <w:spacing w:after="0"/>
              <w:rPr>
                <w:sz w:val="20"/>
                <w:szCs w:val="20"/>
                <w:color w:val="auto"/>
              </w:rPr>
            </w:pPr>
            <w:r>
              <w:rPr>
                <w:rFonts w:ascii="Arial" w:cs="Arial" w:eastAsia="Arial" w:hAnsi="Arial"/>
                <w:sz w:val="22"/>
                <w:szCs w:val="22"/>
                <w:b w:val="1"/>
                <w:bCs w:val="1"/>
                <w:color w:val="auto"/>
                <w:w w:val="91"/>
              </w:rPr>
              <w:t>1500 Market Street</w:t>
            </w:r>
          </w:p>
        </w:tc>
        <w:tc>
          <w:tcPr>
            <w:tcW w:w="3320" w:type="dxa"/>
            <w:vAlign w:val="bottom"/>
          </w:tcPr>
          <w:p>
            <w:pPr>
              <w:spacing w:after="0"/>
              <w:rPr>
                <w:sz w:val="24"/>
                <w:szCs w:val="24"/>
                <w:color w:val="auto"/>
              </w:rPr>
            </w:pPr>
          </w:p>
        </w:tc>
      </w:tr>
      <w:tr>
        <w:trPr>
          <w:trHeight w:val="262"/>
        </w:trPr>
        <w:tc>
          <w:tcPr>
            <w:tcW w:w="8100" w:type="dxa"/>
            <w:vAlign w:val="bottom"/>
            <w:gridSpan w:val="3"/>
          </w:tcPr>
          <w:p>
            <w:pPr>
              <w:jc w:val="center"/>
              <w:ind w:right="3520"/>
              <w:spacing w:after="0"/>
              <w:rPr>
                <w:sz w:val="20"/>
                <w:szCs w:val="20"/>
                <w:color w:val="auto"/>
              </w:rPr>
            </w:pPr>
            <w:r>
              <w:rPr>
                <w:rFonts w:ascii="Arial" w:cs="Arial" w:eastAsia="Arial" w:hAnsi="Arial"/>
                <w:sz w:val="22"/>
                <w:szCs w:val="22"/>
                <w:b w:val="1"/>
                <w:bCs w:val="1"/>
                <w:color w:val="auto"/>
                <w:w w:val="89"/>
              </w:rPr>
              <w:t>Philadelphia, PA</w:t>
            </w:r>
          </w:p>
        </w:tc>
        <w:tc>
          <w:tcPr>
            <w:tcW w:w="3320" w:type="dxa"/>
            <w:vAlign w:val="bottom"/>
          </w:tcPr>
          <w:p>
            <w:pPr>
              <w:jc w:val="center"/>
              <w:ind w:right="702"/>
              <w:spacing w:after="0"/>
              <w:rPr>
                <w:sz w:val="20"/>
                <w:szCs w:val="20"/>
                <w:color w:val="auto"/>
              </w:rPr>
            </w:pPr>
            <w:r>
              <w:rPr>
                <w:rFonts w:ascii="Arial" w:cs="Arial" w:eastAsia="Arial" w:hAnsi="Arial"/>
                <w:sz w:val="22"/>
                <w:szCs w:val="22"/>
                <w:b w:val="1"/>
                <w:bCs w:val="1"/>
                <w:color w:val="auto"/>
                <w:w w:val="88"/>
              </w:rPr>
              <w:t>19102-2148</w:t>
            </w:r>
          </w:p>
        </w:tc>
      </w:tr>
      <w:tr>
        <w:trPr>
          <w:trHeight w:val="222"/>
        </w:trPr>
        <w:tc>
          <w:tcPr>
            <w:tcW w:w="8100" w:type="dxa"/>
            <w:vAlign w:val="bottom"/>
            <w:gridSpan w:val="3"/>
          </w:tcPr>
          <w:p>
            <w:pPr>
              <w:jc w:val="center"/>
              <w:ind w:right="3520"/>
              <w:spacing w:after="0"/>
              <w:rPr>
                <w:sz w:val="20"/>
                <w:szCs w:val="20"/>
                <w:color w:val="auto"/>
              </w:rPr>
            </w:pPr>
            <w:r>
              <w:rPr>
                <w:rFonts w:ascii="Arial" w:cs="Arial" w:eastAsia="Arial" w:hAnsi="Arial"/>
                <w:sz w:val="18"/>
                <w:szCs w:val="18"/>
                <w:color w:val="auto"/>
                <w:w w:val="90"/>
              </w:rPr>
              <w:t>(Address of Principal Executive Offices)</w:t>
            </w:r>
          </w:p>
        </w:tc>
        <w:tc>
          <w:tcPr>
            <w:tcW w:w="3320" w:type="dxa"/>
            <w:vAlign w:val="bottom"/>
          </w:tcPr>
          <w:p>
            <w:pPr>
              <w:jc w:val="center"/>
              <w:ind w:right="682"/>
              <w:spacing w:after="0"/>
              <w:rPr>
                <w:sz w:val="20"/>
                <w:szCs w:val="20"/>
                <w:color w:val="auto"/>
              </w:rPr>
            </w:pPr>
            <w:r>
              <w:rPr>
                <w:rFonts w:ascii="Arial" w:cs="Arial" w:eastAsia="Arial" w:hAnsi="Arial"/>
                <w:sz w:val="18"/>
                <w:szCs w:val="18"/>
                <w:color w:val="auto"/>
                <w:w w:val="91"/>
              </w:rPr>
              <w:t>(Zip Code)</w:t>
            </w:r>
          </w:p>
        </w:tc>
      </w:tr>
      <w:tr>
        <w:trPr>
          <w:trHeight w:val="507"/>
        </w:trPr>
        <w:tc>
          <w:tcPr>
            <w:tcW w:w="6580" w:type="dxa"/>
            <w:vAlign w:val="bottom"/>
            <w:gridSpan w:val="2"/>
          </w:tcPr>
          <w:p>
            <w:pPr>
              <w:jc w:val="center"/>
              <w:ind w:left="4742"/>
              <w:spacing w:after="0"/>
              <w:rPr>
                <w:sz w:val="20"/>
                <w:szCs w:val="20"/>
                <w:color w:val="auto"/>
              </w:rPr>
            </w:pPr>
            <w:r>
              <w:rPr>
                <w:rFonts w:ascii="Arial" w:cs="Arial" w:eastAsia="Arial" w:hAnsi="Arial"/>
                <w:sz w:val="22"/>
                <w:szCs w:val="22"/>
                <w:b w:val="1"/>
                <w:bCs w:val="1"/>
                <w:color w:val="auto"/>
                <w:w w:val="89"/>
              </w:rPr>
              <w:t>(215) 665-1700</w:t>
            </w:r>
          </w:p>
        </w:tc>
        <w:tc>
          <w:tcPr>
            <w:tcW w:w="15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22"/>
        </w:trPr>
        <w:tc>
          <w:tcPr>
            <w:tcW w:w="8100" w:type="dxa"/>
            <w:vAlign w:val="bottom"/>
            <w:gridSpan w:val="3"/>
          </w:tcPr>
          <w:p>
            <w:pPr>
              <w:jc w:val="center"/>
              <w:ind w:left="3222"/>
              <w:spacing w:after="0"/>
              <w:rPr>
                <w:sz w:val="20"/>
                <w:szCs w:val="20"/>
                <w:color w:val="auto"/>
              </w:rPr>
            </w:pPr>
            <w:r>
              <w:rPr>
                <w:rFonts w:ascii="Arial" w:cs="Arial" w:eastAsia="Arial" w:hAnsi="Arial"/>
                <w:sz w:val="18"/>
                <w:szCs w:val="18"/>
                <w:color w:val="auto"/>
                <w:w w:val="88"/>
              </w:rPr>
              <w:t>(Registrant’s Telephone Number, Including Area Code)</w:t>
            </w:r>
          </w:p>
        </w:tc>
        <w:tc>
          <w:tcPr>
            <w:tcW w:w="3320" w:type="dxa"/>
            <w:vAlign w:val="bottom"/>
          </w:tcPr>
          <w:p>
            <w:pPr>
              <w:spacing w:after="0"/>
              <w:rPr>
                <w:sz w:val="19"/>
                <w:szCs w:val="19"/>
                <w:color w:val="auto"/>
              </w:rPr>
            </w:pPr>
          </w:p>
        </w:tc>
      </w:tr>
      <w:tr>
        <w:trPr>
          <w:trHeight w:val="702"/>
        </w:trPr>
        <w:tc>
          <w:tcPr>
            <w:tcW w:w="8100" w:type="dxa"/>
            <w:vAlign w:val="bottom"/>
            <w:gridSpan w:val="3"/>
          </w:tcPr>
          <w:p>
            <w:pPr>
              <w:jc w:val="center"/>
              <w:ind w:left="3242"/>
              <w:spacing w:after="0"/>
              <w:rPr>
                <w:sz w:val="20"/>
                <w:szCs w:val="20"/>
                <w:color w:val="auto"/>
              </w:rPr>
            </w:pPr>
            <w:r>
              <w:rPr>
                <w:rFonts w:ascii="Arial" w:cs="Arial" w:eastAsia="Arial" w:hAnsi="Arial"/>
                <w:sz w:val="18"/>
                <w:szCs w:val="18"/>
                <w:color w:val="auto"/>
                <w:w w:val="88"/>
              </w:rPr>
              <w:t>(Former Name or Former Address, if Changed Since Last Report)</w:t>
            </w:r>
          </w:p>
        </w:tc>
        <w:tc>
          <w:tcPr>
            <w:tcW w:w="3320" w:type="dxa"/>
            <w:vAlign w:val="bottom"/>
          </w:tcPr>
          <w:p>
            <w:pPr>
              <w:spacing w:after="0"/>
              <w:rPr>
                <w:sz w:val="24"/>
                <w:szCs w:val="24"/>
                <w:color w:val="auto"/>
              </w:rPr>
            </w:pPr>
          </w:p>
        </w:tc>
      </w:tr>
      <w:tr>
        <w:trPr>
          <w:trHeight w:val="353"/>
        </w:trPr>
        <w:tc>
          <w:tcPr>
            <w:tcW w:w="4840" w:type="dxa"/>
            <w:vAlign w:val="bottom"/>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01"/>
        </w:trPr>
        <w:tc>
          <w:tcPr>
            <w:tcW w:w="4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1"/>
        </w:trPr>
        <w:tc>
          <w:tcPr>
            <w:tcW w:w="484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5. Other Events and Required FD Disclosure.</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Closing of $1.5 billion note offering</w:t>
      </w:r>
    </w:p>
    <w:p>
      <w:pPr>
        <w:spacing w:after="0" w:line="206" w:lineRule="exact"/>
        <w:rPr>
          <w:sz w:val="24"/>
          <w:szCs w:val="24"/>
          <w:color w:val="auto"/>
        </w:rPr>
      </w:pPr>
    </w:p>
    <w:p>
      <w:pPr>
        <w:ind w:right="20" w:firstLine="432"/>
        <w:spacing w:after="0" w:line="236" w:lineRule="auto"/>
        <w:rPr>
          <w:sz w:val="20"/>
          <w:szCs w:val="20"/>
          <w:color w:val="auto"/>
        </w:rPr>
      </w:pPr>
      <w:r>
        <w:rPr>
          <w:rFonts w:ascii="Arial" w:cs="Arial" w:eastAsia="Arial" w:hAnsi="Arial"/>
          <w:sz w:val="22"/>
          <w:szCs w:val="22"/>
          <w:color w:val="auto"/>
        </w:rPr>
        <w:t>On January 10, 2003, Comcast Corporation closed the sale of $600 million aggregate principal amount of its 5.85% Notes due 2010 and $900 million aggregate principal amount of its 6.50% Notes due 2015. Net proceeds from the offering of $1,486.3 million will be used to repay a portion of the short-term indebtedness incurred in connection with the November 2002 merger of Comcast Holding Corporation and AT&amp;T Corp.’s broadband businesses. Forms of the Notes and the underwriting agreement are attached as exhibits to this Current Report on Form 8-K.</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Shareholder proposal deadline for</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2003 Annual Meeting</w:t>
      </w:r>
    </w:p>
    <w:p>
      <w:pPr>
        <w:spacing w:after="0" w:line="188" w:lineRule="exact"/>
        <w:rPr>
          <w:sz w:val="24"/>
          <w:szCs w:val="24"/>
          <w:color w:val="auto"/>
        </w:rPr>
      </w:pPr>
    </w:p>
    <w:p>
      <w:pPr>
        <w:ind w:left="440"/>
        <w:spacing w:after="0"/>
        <w:rPr>
          <w:sz w:val="20"/>
          <w:szCs w:val="20"/>
          <w:color w:val="auto"/>
        </w:rPr>
      </w:pPr>
      <w:r>
        <w:rPr>
          <w:rFonts w:ascii="Arial" w:cs="Arial" w:eastAsia="Arial" w:hAnsi="Arial"/>
          <w:sz w:val="19"/>
          <w:szCs w:val="19"/>
          <w:color w:val="auto"/>
        </w:rPr>
        <w:t>Comcast’s 2003 Annual Meeting of Shareholders is expected to be held on May 7, 2003, at a time and place to be announced.</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It is expected that the close of business on March 7, 2003 will be fixed as the record date for the meeting.</w:t>
      </w:r>
    </w:p>
    <w:p>
      <w:pPr>
        <w:spacing w:after="0" w:line="188" w:lineRule="exact"/>
        <w:rPr>
          <w:sz w:val="24"/>
          <w:szCs w:val="24"/>
          <w:color w:val="auto"/>
        </w:rPr>
      </w:pPr>
    </w:p>
    <w:p>
      <w:pPr>
        <w:jc w:val="both"/>
        <w:ind w:right="220" w:firstLine="432"/>
        <w:spacing w:after="0" w:line="328" w:lineRule="auto"/>
        <w:rPr>
          <w:sz w:val="20"/>
          <w:szCs w:val="20"/>
          <w:color w:val="auto"/>
        </w:rPr>
      </w:pPr>
      <w:r>
        <w:rPr>
          <w:rFonts w:ascii="Arial" w:cs="Arial" w:eastAsia="Arial" w:hAnsi="Arial"/>
          <w:sz w:val="19"/>
          <w:szCs w:val="19"/>
          <w:color w:val="auto"/>
        </w:rPr>
        <w:t>Shareholder proposals intended to be included in Comcast’s proxy statement and form of proxy for its 2003 Annual Meeting must be received by Comcast’s Secretary at its principal executive offices no later than the close of business on January 22, 2003.</w:t>
      </w:r>
    </w:p>
    <w:p>
      <w:pPr>
        <w:spacing w:after="0" w:line="105" w:lineRule="exact"/>
        <w:rPr>
          <w:sz w:val="24"/>
          <w:szCs w:val="24"/>
          <w:color w:val="auto"/>
        </w:rPr>
      </w:pPr>
    </w:p>
    <w:p>
      <w:pPr>
        <w:ind w:right="200" w:firstLine="432"/>
        <w:spacing w:after="0" w:line="238" w:lineRule="auto"/>
        <w:rPr>
          <w:sz w:val="20"/>
          <w:szCs w:val="20"/>
          <w:color w:val="auto"/>
        </w:rPr>
      </w:pPr>
      <w:r>
        <w:rPr>
          <w:rFonts w:ascii="Arial" w:cs="Arial" w:eastAsia="Arial" w:hAnsi="Arial"/>
          <w:sz w:val="22"/>
          <w:szCs w:val="22"/>
          <w:color w:val="auto"/>
        </w:rPr>
        <w:t>In accordance with Comcast’s By-Laws, shareholder proposals intended to be presented at Comcast’s 2003 Annual Meeting, but not submitted for inclusion in Comcast’s proxy statement and form of proxy, must be received by Comcast’s Secretary at its principal executive offices no later than the close of business on January 22, 2003, together with the other required information as set forth in Comcast’s By-Laws.</w:t>
      </w:r>
    </w:p>
    <w:p>
      <w:pPr>
        <w:sectPr>
          <w:pgSz w:w="11900" w:h="16838" w:orient="portrait"/>
          <w:cols w:equalWidth="0" w:num="1">
            <w:col w:w="11420"/>
          </w:cols>
          <w:pgMar w:left="240" w:top="827" w:right="239" w:bottom="0" w:gutter="0" w:footer="0" w:header="0"/>
        </w:sectPr>
      </w:pPr>
    </w:p>
    <w:bookmarkStart w:id="1" w:name="page2"/>
    <w:bookmarkEnd w:id="1"/>
    <w:p>
      <w:pPr>
        <w:jc w:val="both"/>
        <w:ind w:right="60" w:firstLine="432"/>
        <w:spacing w:after="0" w:line="241" w:lineRule="auto"/>
        <w:rPr>
          <w:sz w:val="20"/>
          <w:szCs w:val="20"/>
          <w:color w:val="auto"/>
        </w:rPr>
      </w:pPr>
      <w:r>
        <w:rPr>
          <w:rFonts w:ascii="Arial" w:cs="Arial" w:eastAsia="Arial" w:hAnsi="Arial"/>
          <w:sz w:val="22"/>
          <w:szCs w:val="22"/>
          <w:color w:val="auto"/>
        </w:rPr>
        <w:t>Shareholder proposals not notified to Comcast by the required date shall be considered untimely and, if presented at the 2003 Annual Meeting, the holders of proxies solicited by Comcast’s Board of Directors may exercise their discretionary voting authority with respect to such proposals.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7(c).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2"/>
          </w:tcPr>
          <w:p>
            <w:pPr>
              <w:spacing w:after="0"/>
              <w:rPr>
                <w:sz w:val="20"/>
                <w:szCs w:val="20"/>
                <w:color w:val="auto"/>
              </w:rPr>
            </w:pPr>
            <w:r>
              <w:rPr>
                <w:rFonts w:ascii="Arial" w:cs="Arial" w:eastAsia="Arial" w:hAnsi="Arial"/>
                <w:sz w:val="22"/>
                <w:szCs w:val="22"/>
                <w:b w:val="1"/>
                <w:bCs w:val="1"/>
                <w:color w:val="auto"/>
              </w:rPr>
              <w:t>Exhibit</w:t>
            </w:r>
          </w:p>
        </w:tc>
        <w:tc>
          <w:tcPr>
            <w:tcW w:w="1080" w:type="dxa"/>
            <w:vAlign w:val="bottom"/>
          </w:tcPr>
          <w:p>
            <w:pPr>
              <w:spacing w:after="0"/>
              <w:rPr>
                <w:sz w:val="21"/>
                <w:szCs w:val="21"/>
                <w:color w:val="auto"/>
              </w:rPr>
            </w:pPr>
          </w:p>
        </w:tc>
        <w:tc>
          <w:tcPr>
            <w:tcW w:w="9040" w:type="dxa"/>
            <w:vAlign w:val="bottom"/>
          </w:tcPr>
          <w:p>
            <w:pPr>
              <w:spacing w:after="0"/>
              <w:rPr>
                <w:sz w:val="21"/>
                <w:szCs w:val="21"/>
                <w:color w:val="auto"/>
              </w:rPr>
            </w:pPr>
          </w:p>
        </w:tc>
      </w:tr>
      <w:tr>
        <w:trPr>
          <w:trHeight w:val="230"/>
        </w:trPr>
        <w:tc>
          <w:tcPr>
            <w:tcW w:w="7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91"/>
              </w:rPr>
              <w:t>Number</w:t>
            </w:r>
          </w:p>
        </w:tc>
        <w:tc>
          <w:tcPr>
            <w:tcW w:w="520" w:type="dxa"/>
            <w:vAlign w:val="bottom"/>
          </w:tcPr>
          <w:p>
            <w:pPr>
              <w:spacing w:after="0"/>
              <w:rPr>
                <w:sz w:val="20"/>
                <w:szCs w:val="20"/>
                <w:color w:val="auto"/>
              </w:rPr>
            </w:pPr>
          </w:p>
        </w:tc>
        <w:tc>
          <w:tcPr>
            <w:tcW w:w="10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7"/>
              </w:rPr>
              <w:t>Description</w:t>
            </w:r>
          </w:p>
        </w:tc>
        <w:tc>
          <w:tcPr>
            <w:tcW w:w="9040" w:type="dxa"/>
            <w:vAlign w:val="bottom"/>
          </w:tcPr>
          <w:p>
            <w:pPr>
              <w:spacing w:after="0"/>
              <w:rPr>
                <w:sz w:val="20"/>
                <w:szCs w:val="20"/>
                <w:color w:val="auto"/>
              </w:rPr>
            </w:pPr>
          </w:p>
        </w:tc>
      </w:tr>
      <w:tr>
        <w:trPr>
          <w:trHeight w:val="485"/>
        </w:trPr>
        <w:tc>
          <w:tcPr>
            <w:tcW w:w="780" w:type="dxa"/>
            <w:vAlign w:val="bottom"/>
          </w:tcPr>
          <w:p>
            <w:pPr>
              <w:spacing w:after="0"/>
              <w:rPr>
                <w:sz w:val="20"/>
                <w:szCs w:val="20"/>
                <w:color w:val="auto"/>
              </w:rPr>
            </w:pPr>
            <w:r>
              <w:rPr>
                <w:rFonts w:ascii="Arial" w:cs="Arial" w:eastAsia="Arial" w:hAnsi="Arial"/>
                <w:sz w:val="22"/>
                <w:szCs w:val="22"/>
                <w:color w:val="auto"/>
              </w:rPr>
              <w:t>1.1</w:t>
            </w:r>
          </w:p>
        </w:tc>
        <w:tc>
          <w:tcPr>
            <w:tcW w:w="5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22"/>
                <w:szCs w:val="22"/>
                <w:color w:val="auto"/>
              </w:rPr>
              <w:t>Comcast Corporation Underwriting Agreement Standard Provisions (Debt Securities, Warrants,</w:t>
            </w:r>
          </w:p>
        </w:tc>
      </w:tr>
      <w:tr>
        <w:trPr>
          <w:trHeight w:val="275"/>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120" w:type="dxa"/>
            <w:vAlign w:val="bottom"/>
            <w:gridSpan w:val="2"/>
          </w:tcPr>
          <w:p>
            <w:pPr>
              <w:spacing w:after="0"/>
              <w:rPr>
                <w:sz w:val="20"/>
                <w:szCs w:val="20"/>
                <w:color w:val="auto"/>
              </w:rPr>
            </w:pPr>
            <w:r>
              <w:rPr>
                <w:rFonts w:ascii="Arial" w:cs="Arial" w:eastAsia="Arial" w:hAnsi="Arial"/>
                <w:sz w:val="22"/>
                <w:szCs w:val="22"/>
                <w:color w:val="auto"/>
              </w:rPr>
              <w:t>Purchase Contracts, Units And Guarantees) dated December 23, 2002.</w:t>
            </w:r>
          </w:p>
        </w:tc>
      </w:tr>
      <w:tr>
        <w:trPr>
          <w:trHeight w:val="455"/>
        </w:trPr>
        <w:tc>
          <w:tcPr>
            <w:tcW w:w="780" w:type="dxa"/>
            <w:vAlign w:val="bottom"/>
          </w:tcPr>
          <w:p>
            <w:pPr>
              <w:spacing w:after="0"/>
              <w:rPr>
                <w:sz w:val="20"/>
                <w:szCs w:val="20"/>
                <w:color w:val="auto"/>
              </w:rPr>
            </w:pPr>
            <w:r>
              <w:rPr>
                <w:rFonts w:ascii="Arial" w:cs="Arial" w:eastAsia="Arial" w:hAnsi="Arial"/>
                <w:sz w:val="22"/>
                <w:szCs w:val="22"/>
                <w:color w:val="auto"/>
              </w:rPr>
              <w:t>1.2</w:t>
            </w:r>
          </w:p>
        </w:tc>
        <w:tc>
          <w:tcPr>
            <w:tcW w:w="5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22"/>
                <w:szCs w:val="22"/>
                <w:color w:val="auto"/>
              </w:rPr>
              <w:t>Underwriting agreement dated January 7, 2003, in respect of $600,000,000 principal amount of</w:t>
            </w:r>
          </w:p>
        </w:tc>
      </w:tr>
      <w:tr>
        <w:trPr>
          <w:trHeight w:val="243"/>
        </w:trPr>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120" w:type="dxa"/>
            <w:vAlign w:val="bottom"/>
            <w:gridSpan w:val="2"/>
          </w:tcPr>
          <w:p>
            <w:pPr>
              <w:spacing w:after="0" w:line="243" w:lineRule="exact"/>
              <w:rPr>
                <w:sz w:val="20"/>
                <w:szCs w:val="20"/>
                <w:color w:val="auto"/>
              </w:rPr>
            </w:pPr>
            <w:r>
              <w:rPr>
                <w:rFonts w:ascii="Arial" w:cs="Arial" w:eastAsia="Arial" w:hAnsi="Arial"/>
                <w:sz w:val="22"/>
                <w:szCs w:val="22"/>
                <w:color w:val="auto"/>
              </w:rPr>
              <w:t>Comcast’s 5.85% Notes Due 2010 and $900,000,000 principal amount of Comcast’s 6.50% Notes Due</w:t>
            </w:r>
          </w:p>
        </w:tc>
      </w:tr>
      <w:tr>
        <w:trPr>
          <w:trHeight w:val="275"/>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2"/>
                <w:szCs w:val="22"/>
                <w:color w:val="auto"/>
              </w:rPr>
              <w:t>2015.</w:t>
            </w:r>
          </w:p>
        </w:tc>
        <w:tc>
          <w:tcPr>
            <w:tcW w:w="9040" w:type="dxa"/>
            <w:vAlign w:val="bottom"/>
          </w:tcPr>
          <w:p>
            <w:pPr>
              <w:spacing w:after="0"/>
              <w:rPr>
                <w:sz w:val="23"/>
                <w:szCs w:val="23"/>
                <w:color w:val="auto"/>
              </w:rPr>
            </w:pP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4.1</w:t>
            </w:r>
          </w:p>
        </w:tc>
        <w:tc>
          <w:tcPr>
            <w:tcW w:w="5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22"/>
                <w:szCs w:val="22"/>
                <w:color w:val="auto"/>
              </w:rPr>
              <w:t>Form of 5.85% Note Due 2010.</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4.2</w:t>
            </w:r>
          </w:p>
        </w:tc>
        <w:tc>
          <w:tcPr>
            <w:tcW w:w="5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22"/>
                <w:szCs w:val="22"/>
                <w:color w:val="auto"/>
              </w:rPr>
              <w:t>Form of 6.50% Note Due 2015.</w:t>
            </w:r>
          </w:p>
        </w:tc>
      </w:tr>
      <w:tr>
        <w:trPr>
          <w:trHeight w:val="348"/>
        </w:trPr>
        <w:tc>
          <w:tcPr>
            <w:tcW w:w="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80" w:firstLine="43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40" w:type="dxa"/>
            <w:vAlign w:val="bottom"/>
          </w:tcPr>
          <w:p>
            <w:pPr>
              <w:spacing w:after="0"/>
              <w:rPr>
                <w:sz w:val="23"/>
                <w:szCs w:val="23"/>
                <w:color w:val="auto"/>
              </w:rPr>
            </w:pPr>
          </w:p>
        </w:tc>
        <w:tc>
          <w:tcPr>
            <w:tcW w:w="7580" w:type="dxa"/>
            <w:vAlign w:val="bottom"/>
            <w:gridSpan w:val="3"/>
          </w:tcPr>
          <w:p>
            <w:pPr>
              <w:ind w:left="1820"/>
              <w:spacing w:after="0"/>
              <w:rPr>
                <w:sz w:val="20"/>
                <w:szCs w:val="20"/>
                <w:color w:val="auto"/>
              </w:rPr>
            </w:pPr>
            <w:r>
              <w:rPr>
                <w:rFonts w:ascii="Arial" w:cs="Arial" w:eastAsia="Arial" w:hAnsi="Arial"/>
                <w:sz w:val="22"/>
                <w:szCs w:val="22"/>
                <w:color w:val="auto"/>
              </w:rPr>
              <w:t>Comcast Corporation</w:t>
            </w:r>
          </w:p>
        </w:tc>
      </w:tr>
      <w:tr>
        <w:trPr>
          <w:trHeight w:val="679"/>
        </w:trPr>
        <w:tc>
          <w:tcPr>
            <w:tcW w:w="3840" w:type="dxa"/>
            <w:vAlign w:val="bottom"/>
          </w:tcPr>
          <w:p>
            <w:pPr>
              <w:spacing w:after="0"/>
              <w:rPr>
                <w:sz w:val="20"/>
                <w:szCs w:val="20"/>
                <w:color w:val="auto"/>
              </w:rPr>
            </w:pPr>
            <w:r>
              <w:rPr>
                <w:rFonts w:ascii="Arial" w:cs="Arial" w:eastAsia="Arial" w:hAnsi="Arial"/>
                <w:sz w:val="22"/>
                <w:szCs w:val="22"/>
                <w:color w:val="auto"/>
              </w:rPr>
              <w:t>Date: January 10, 2003</w:t>
            </w:r>
          </w:p>
        </w:tc>
        <w:tc>
          <w:tcPr>
            <w:tcW w:w="7580" w:type="dxa"/>
            <w:vAlign w:val="bottom"/>
            <w:gridSpan w:val="3"/>
          </w:tcPr>
          <w:p>
            <w:pPr>
              <w:ind w:left="1820"/>
              <w:spacing w:after="0"/>
              <w:rPr>
                <w:sz w:val="20"/>
                <w:szCs w:val="20"/>
                <w:color w:val="auto"/>
              </w:rPr>
            </w:pPr>
            <w:r>
              <w:rPr>
                <w:rFonts w:ascii="Arial" w:cs="Arial" w:eastAsia="Arial" w:hAnsi="Arial"/>
                <w:sz w:val="22"/>
                <w:szCs w:val="22"/>
                <w:color w:val="auto"/>
              </w:rPr>
              <w:t>By: Arthur R. Block</w:t>
            </w:r>
          </w:p>
        </w:tc>
      </w:tr>
      <w:tr>
        <w:trPr>
          <w:trHeight w:val="242"/>
        </w:trPr>
        <w:tc>
          <w:tcPr>
            <w:tcW w:w="38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460" w:type="dxa"/>
            <w:vAlign w:val="bottom"/>
            <w:tcBorders>
              <w:top w:val="single" w:sz="8" w:color="auto"/>
            </w:tcBorders>
          </w:tcPr>
          <w:p>
            <w:pPr>
              <w:ind w:left="20"/>
              <w:spacing w:after="0" w:line="242" w:lineRule="exact"/>
              <w:rPr>
                <w:sz w:val="20"/>
                <w:szCs w:val="20"/>
                <w:color w:val="auto"/>
              </w:rPr>
            </w:pPr>
            <w:r>
              <w:rPr>
                <w:rFonts w:ascii="Arial" w:cs="Arial" w:eastAsia="Arial" w:hAnsi="Arial"/>
                <w:sz w:val="22"/>
                <w:szCs w:val="22"/>
                <w:color w:val="auto"/>
              </w:rPr>
              <w:t>Name: Arthur R. Block</w:t>
            </w:r>
          </w:p>
        </w:tc>
        <w:tc>
          <w:tcPr>
            <w:tcW w:w="1940" w:type="dxa"/>
            <w:vAlign w:val="bottom"/>
          </w:tcPr>
          <w:p>
            <w:pPr>
              <w:spacing w:after="0"/>
              <w:rPr>
                <w:sz w:val="21"/>
                <w:szCs w:val="21"/>
                <w:color w:val="auto"/>
              </w:rPr>
            </w:pPr>
          </w:p>
        </w:tc>
      </w:tr>
      <w:tr>
        <w:trPr>
          <w:trHeight w:val="243"/>
        </w:trPr>
        <w:tc>
          <w:tcPr>
            <w:tcW w:w="38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400" w:type="dxa"/>
            <w:vAlign w:val="bottom"/>
            <w:gridSpan w:val="2"/>
          </w:tcPr>
          <w:p>
            <w:pPr>
              <w:spacing w:after="0" w:line="243" w:lineRule="exact"/>
              <w:rPr>
                <w:sz w:val="20"/>
                <w:szCs w:val="20"/>
                <w:color w:val="auto"/>
              </w:rPr>
            </w:pPr>
            <w:r>
              <w:rPr>
                <w:rFonts w:ascii="Arial" w:cs="Arial" w:eastAsia="Arial" w:hAnsi="Arial"/>
                <w:sz w:val="22"/>
                <w:szCs w:val="22"/>
                <w:color w:val="auto"/>
              </w:rPr>
              <w:t>Title:  Senior Vice President, General</w:t>
            </w:r>
          </w:p>
        </w:tc>
      </w:tr>
      <w:tr>
        <w:trPr>
          <w:trHeight w:val="275"/>
        </w:trPr>
        <w:tc>
          <w:tcPr>
            <w:tcW w:w="38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400" w:type="dxa"/>
            <w:vAlign w:val="bottom"/>
            <w:gridSpan w:val="2"/>
          </w:tcPr>
          <w:p>
            <w:pPr>
              <w:ind w:left="720"/>
              <w:spacing w:after="0"/>
              <w:rPr>
                <w:sz w:val="20"/>
                <w:szCs w:val="20"/>
                <w:color w:val="auto"/>
              </w:rPr>
            </w:pPr>
            <w:r>
              <w:rPr>
                <w:rFonts w:ascii="Arial" w:cs="Arial" w:eastAsia="Arial" w:hAnsi="Arial"/>
                <w:sz w:val="22"/>
                <w:szCs w:val="22"/>
                <w:color w:val="auto"/>
              </w:rPr>
              <w:t>Counsel and Secretary</w:t>
            </w:r>
          </w:p>
        </w:tc>
      </w:tr>
      <w:tr>
        <w:trPr>
          <w:trHeight w:val="348"/>
        </w:trPr>
        <w:tc>
          <w:tcPr>
            <w:tcW w:w="38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right"/>
        <w:ind w:right="1879"/>
        <w:spacing w:after="0"/>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STANDARD PROVISIONS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WARRANTS, PURCHASE CONTRACTS, UNITS AND GUARANTEES)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23, 2002</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From time to time, Comcast Corporation, a Pennsylvania corporation (the "Company"), may, alone or together with Comcast Cable Communications, Inc., Comcast Cable Communications Holdings, Inc., Comcast Cable Holdings, LLC and Comcast MO Group, Inc. (collectively, the "Cable Guarantors"),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216"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Company proposes to issue from time to time (a) its senior debt securities ("Senior Debt Securities"), (b) its subordinated debt securities ("Subordinated Debt Securities" and with the Senior Debt Securities, the "Debt Securities"), (c) warrants ("Warrants") and (d) purchase contracts ("Purchase Contracts") requiring the holders thereof to purchase or sell (i) securities of an entity unaffiliated with the Company, a basket of such securities, an index or indices of such securities or any combination of the above, (ii) currencies or composite currencies or (iii) commodities. Debt Securities, Purchase Contracts and Warrants or any combination thereof may be offered in the form of Units ("Units"). As used herein, the term "Debt Securities" includes prepaid Purchase Contracts. The Debt Securities are to be guaranteed (the "Cable Guarantees") on an unsecured basis by the Cable Guarantors. The Warrants, Purchase Contracts and Units may be guaranteed on an unsecured basis by the Cable Guarantors to the extent described in the Prospectus (as defined below) pursuant to a Guarantee Agreement to be dated as of a date specified in the Underwriting Agreement and executed and delivered by the Cable Guarantors and a trustee to be named in the relevant prospectus supplement, as trustee (the "Guarantee Trustee") for the benefit of the holders from time to time of the Offered Company Securities (the "Additional Guarantee").</w:t>
      </w:r>
    </w:p>
    <w:p>
      <w:pPr>
        <w:spacing w:after="0" w:line="395"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Company and the Cable Guarantors have filed with the Securities and Exchange Commission (the "Commission") a registration statement including a prospectus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Debt Securities, Warrants, Purchase Contracts, Units, Cable Guarantees and Additional Guarantees (collectively, the "Securities") and have filed with, or transmitted for filing to, or shall promptly after the date of the Underwriting Agreement file with or transmit for filing to, the Commission a prospectus supplement (the "Prospectus Supplement") pursuant to Rule 424 under the Securities Act of 1933, as amended (the "Securities Act"), specifically relating to the Securities offered pursuant to this Agreement (the "Offered Company Securities" and the "Offered Guarantees," if any, and, together, the "Offered Securities"). The term Registration Statement means the registration statement as amended to the date of the Underwriting Agreement including any additional registration statement filed by the Company pursuant to Rule 462(b). The term Basic Prospectus means the prospectus included in the Registration Statement. The term Prospectus means the Basic Prospectus together with the Prospectus Supplement. The term preliminary prospectus means a preliminary prospectus supplement specifically relating to the Offered Securities, together with the Basic Prospectus. As used herein, the terms "Basic Prospectus," "Prospectus" and "preliminary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Basic Prospectus by the Company with the Commission pursuant to the Securities Exchange Act of 1934, as amended (the "Exchange Act"). For purposes</w:t>
      </w:r>
    </w:p>
    <w:p>
      <w:pPr>
        <w:sectPr>
          <w:pgSz w:w="11900" w:h="16838" w:orient="portrait"/>
          <w:cols w:equalWidth="0" w:num="1">
            <w:col w:w="10219"/>
          </w:cols>
          <w:pgMar w:left="240" w:top="339" w:right="1440" w:bottom="0" w:gutter="0" w:footer="0" w:header="0"/>
        </w:sectPr>
      </w:pPr>
    </w:p>
    <w:bookmarkStart w:id="3" w:name="page4"/>
    <w:bookmarkEnd w:id="3"/>
    <w:p>
      <w:pPr>
        <w:ind w:right="1999"/>
        <w:spacing w:after="0" w:line="236" w:lineRule="auto"/>
        <w:rPr>
          <w:sz w:val="20"/>
          <w:szCs w:val="20"/>
          <w:color w:val="auto"/>
        </w:rPr>
      </w:pPr>
      <w:r>
        <w:rPr>
          <w:rFonts w:ascii="Courier New" w:cs="Courier New" w:eastAsia="Courier New" w:hAnsi="Courier New"/>
          <w:sz w:val="18"/>
          <w:szCs w:val="18"/>
          <w:color w:val="auto"/>
        </w:rPr>
        <w:t>of this Agreement, "Issuers" means the Company and includes the Cable Guarantors if Cable Guarantees or an Additional Guarantee are offered pursuant to this Agreement.</w:t>
      </w:r>
    </w:p>
    <w:p>
      <w:pPr>
        <w:spacing w:after="0" w:line="209" w:lineRule="exact"/>
        <w:rPr>
          <w:sz w:val="20"/>
          <w:szCs w:val="20"/>
          <w:color w:val="auto"/>
        </w:rPr>
      </w:pPr>
    </w:p>
    <w:p>
      <w:pPr>
        <w:ind w:right="2319" w:firstLine="535"/>
        <w:spacing w:after="0" w:line="236" w:lineRule="auto"/>
        <w:tabs>
          <w:tab w:leader="none" w:pos="84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Issuers, jointly and severally, represent and warrant to each of the Underwriters as of the date of the Underwriting Agreement that:</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document filed or to be filed pursuant to the Exchange Act and incorporated by reference in the Prospectus complied or will comply when so filed in all material respects with the Exchange Act and the rules and regulations of the Commission thereunder.</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w:t>
      </w:r>
    </w:p>
    <w:p>
      <w:pPr>
        <w:sectPr>
          <w:pgSz w:w="11900" w:h="16838" w:orient="portrait"/>
          <w:cols w:equalWidth="0" w:num="1">
            <w:col w:w="10219"/>
          </w:cols>
          <w:pgMar w:left="240" w:top="142"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misleading, except that the foregoing representations and warranties do not apply to (a) that part of the Registration Statement which shall constitute the Statement of Eligibility of the Trustee on Form T-1 (the "Form T-1") and (b) statements or omissions in the Registration Statement or the Prospectus or any amendment or supplement thereto based upon information furnished to the Issuers in writing by any Underwriter through the Manager expressly for use therein.</w:t>
      </w:r>
    </w:p>
    <w:p>
      <w:pPr>
        <w:spacing w:after="0" w:line="211" w:lineRule="exact"/>
        <w:rPr>
          <w:sz w:val="20"/>
          <w:szCs w:val="20"/>
          <w:color w:val="auto"/>
        </w:rPr>
      </w:pPr>
    </w:p>
    <w:p>
      <w:pPr>
        <w:ind w:right="1879" w:firstLine="521"/>
        <w:spacing w:after="0" w:line="238"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by the Company of, and the performance by the Company of its obligations under, this Agreement, the Senior Debt Indenture, the Subordinated Debt Indenture, the Offered Securities, any Warrants, any Purchase Contracts and any Units will not contravene any provision of applicable law or the certificate of incorporation or by-laws of the Company or any agreement or other instrument binding upon the 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the Company of its obligations under this Agreement, the Senior Debt Indenture, the Subordinated Debt Indenture, the Offered Securities, any Warrants, except such as may be required by the securities or blue sky laws of the various states in connection with the offer and sale of the Offered Securities; provided, however,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210" w:lineRule="exact"/>
        <w:rPr>
          <w:rFonts w:ascii="Courier New" w:cs="Courier New" w:eastAsia="Courier New" w:hAnsi="Courier New"/>
          <w:sz w:val="18"/>
          <w:szCs w:val="18"/>
          <w:color w:val="auto"/>
        </w:rPr>
      </w:pPr>
    </w:p>
    <w:p>
      <w:pPr>
        <w:ind w:right="2419" w:firstLine="521"/>
        <w:spacing w:after="0" w:line="237"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(i) in violation of its Certificate of Incorporation or By-Laws (or similar organizational documents) or (ii) in default in the performance or observance of any obligation, covenant or condition contained in any contract, except to the extent such default would not have a material adverse effect.</w:t>
      </w:r>
    </w:p>
    <w:p>
      <w:pPr>
        <w:spacing w:after="0" w:line="209" w:lineRule="exact"/>
        <w:rPr>
          <w:rFonts w:ascii="Courier New" w:cs="Courier New" w:eastAsia="Courier New" w:hAnsi="Courier New"/>
          <w:sz w:val="18"/>
          <w:szCs w:val="18"/>
          <w:color w:val="auto"/>
        </w:rPr>
      </w:pPr>
    </w:p>
    <w:p>
      <w:pPr>
        <w:ind w:right="2519" w:firstLine="521"/>
        <w:spacing w:after="0" w:line="279" w:lineRule="auto"/>
        <w:tabs>
          <w:tab w:leader="none" w:pos="105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not occurred any material adverse change, or any development involving a prospective material adverse change, in the condition, financial or otherwise, or in the earnings, business or</w:t>
      </w:r>
    </w:p>
    <w:p>
      <w:pPr>
        <w:sectPr>
          <w:pgSz w:w="11900" w:h="16838" w:orient="portrait"/>
          <w:cols w:equalWidth="0" w:num="1">
            <w:col w:w="9679"/>
          </w:cols>
          <w:pgMar w:left="780" w:top="919" w:right="1440" w:bottom="1440" w:gutter="0" w:footer="0" w:header="0"/>
        </w:sectPr>
      </w:pPr>
    </w:p>
    <w:bookmarkStart w:id="5" w:name="page6"/>
    <w:bookmarkEnd w:id="5"/>
    <w:p>
      <w:pPr>
        <w:ind w:left="3485"/>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5" w:right="2319"/>
        <w:spacing w:after="0" w:line="279" w:lineRule="auto"/>
        <w:rPr>
          <w:sz w:val="20"/>
          <w:szCs w:val="20"/>
          <w:color w:val="auto"/>
        </w:rPr>
      </w:pPr>
      <w:r>
        <w:rPr>
          <w:rFonts w:ascii="Courier New" w:cs="Courier New" w:eastAsia="Courier New" w:hAnsi="Courier New"/>
          <w:sz w:val="16"/>
          <w:szCs w:val="16"/>
          <w:color w:val="auto"/>
        </w:rPr>
        <w:t>operations of the Company and its subsidiaries, taken as a whole, from that set forth in the Prospectus (exclusive of any amendments or supplements thereto effected subsequent to the date of the Agreement).</w:t>
      </w:r>
    </w:p>
    <w:p>
      <w:pPr>
        <w:spacing w:after="0" w:line="178" w:lineRule="exact"/>
        <w:rPr>
          <w:sz w:val="20"/>
          <w:szCs w:val="20"/>
          <w:color w:val="auto"/>
        </w:rPr>
      </w:pPr>
    </w:p>
    <w:p>
      <w:pPr>
        <w:ind w:left="5" w:right="1879" w:firstLine="521"/>
        <w:spacing w:after="0" w:line="271" w:lineRule="auto"/>
        <w:tabs>
          <w:tab w:leader="none" w:pos="116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Prospectus and are not so described or any statutes, regulations, contracts or other documents that are required to be described in the Registration Statement or the Prospectus or to be filed or incorporated by reference as exhibits to the Registration Statement that are not described, filed or incorporated as required.</w:t>
      </w:r>
    </w:p>
    <w:p>
      <w:pPr>
        <w:spacing w:after="0" w:line="183" w:lineRule="exact"/>
        <w:rPr>
          <w:rFonts w:ascii="Courier New" w:cs="Courier New" w:eastAsia="Courier New" w:hAnsi="Courier New"/>
          <w:sz w:val="16"/>
          <w:szCs w:val="16"/>
          <w:color w:val="auto"/>
        </w:rPr>
      </w:pPr>
    </w:p>
    <w:p>
      <w:pPr>
        <w:ind w:left="5" w:right="1879" w:firstLine="521"/>
        <w:spacing w:after="0" w:line="271" w:lineRule="auto"/>
        <w:tabs>
          <w:tab w:leader="none" w:pos="126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Prospectus, except to the extent that the failure to obtain or file would not have a material adverse effect on the Company and its consolidated subsidiaries, taken as a whole.</w:t>
      </w:r>
    </w:p>
    <w:p>
      <w:pPr>
        <w:spacing w:after="0" w:line="183" w:lineRule="exact"/>
        <w:rPr>
          <w:rFonts w:ascii="Courier New" w:cs="Courier New" w:eastAsia="Courier New" w:hAnsi="Courier New"/>
          <w:sz w:val="16"/>
          <w:szCs w:val="16"/>
          <w:color w:val="auto"/>
        </w:rPr>
      </w:pPr>
    </w:p>
    <w:p>
      <w:pPr>
        <w:ind w:left="-535" w:right="1879" w:firstLine="535"/>
        <w:spacing w:after="0" w:line="237" w:lineRule="auto"/>
        <w:tabs>
          <w:tab w:leader="none" w:pos="30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Offering. The Issuers are advised by the Manager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Prospectus.</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30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 for the respective accounts of the several Underwriters of the Offered Securities registered in such names and in such denominations as the Manager shall request in writing not less than one full business day prior to the date of delivery, with any transfer taxes payable in connection with the transfer of the Offered Securities to the Underwriters duly paid.</w:t>
      </w:r>
    </w:p>
    <w:p>
      <w:pPr>
        <w:sectPr>
          <w:pgSz w:w="11900" w:h="16838" w:orient="portrait"/>
          <w:cols w:equalWidth="0" w:num="1">
            <w:col w:w="9684"/>
          </w:cols>
          <w:pgMar w:left="775" w:top="919" w:right="1440" w:bottom="1440" w:gutter="0" w:footer="0" w:header="0"/>
        </w:sectPr>
      </w:pPr>
    </w:p>
    <w:bookmarkStart w:id="6" w:name="page7"/>
    <w:bookmarkEnd w:id="6"/>
    <w:p>
      <w:pPr>
        <w:ind w:left="3485"/>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535" w:right="2419" w:firstLine="535"/>
        <w:spacing w:after="0" w:line="235" w:lineRule="auto"/>
        <w:tabs>
          <w:tab w:leader="none" w:pos="30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Closing. The several obligations of the Underwriters hereunder are subject to the following conditions:</w:t>
      </w:r>
    </w:p>
    <w:p>
      <w:pPr>
        <w:spacing w:after="0" w:line="208"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execution and delivery of the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Rule 436(g)(2) under the Securities Act.</w:t>
      </w:r>
    </w:p>
    <w:p>
      <w:pPr>
        <w:spacing w:after="0" w:line="212" w:lineRule="exact"/>
        <w:rPr>
          <w:rFonts w:ascii="Courier New" w:cs="Courier New" w:eastAsia="Courier New" w:hAnsi="Courier New"/>
          <w:sz w:val="18"/>
          <w:szCs w:val="18"/>
          <w:color w:val="auto"/>
        </w:rPr>
      </w:pPr>
    </w:p>
    <w:p>
      <w:pPr>
        <w:ind w:left="5" w:right="1879" w:firstLine="521"/>
        <w:spacing w:after="0" w:line="269" w:lineRule="auto"/>
        <w:tabs>
          <w:tab w:leader="none" w:pos="95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Prospectus (exclusive of any amendments or supplements thereto effected subsequent to the execution and delivery of the Underwriting Agreement), that, in the judgment of the Manager, is material and adverse and that makes it, in the judgment of the Manager, impracticable to market the Offered Securities on the terms and in the manner contemplated in the Prospectus; and the Manager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threatened.</w:t>
      </w:r>
    </w:p>
    <w:p>
      <w:pPr>
        <w:spacing w:after="0" w:line="395" w:lineRule="exact"/>
        <w:rPr>
          <w:rFonts w:ascii="Courier New" w:cs="Courier New" w:eastAsia="Courier New" w:hAnsi="Courier New"/>
          <w:sz w:val="16"/>
          <w:szCs w:val="16"/>
          <w:color w:val="auto"/>
        </w:rPr>
      </w:pPr>
    </w:p>
    <w:p>
      <w:pPr>
        <w:ind w:left="5" w:right="1879" w:firstLine="521"/>
        <w:spacing w:after="0" w:line="237" w:lineRule="auto"/>
        <w:tabs>
          <w:tab w:leader="none" w:pos="95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Arthur R. Block, Esquire, Senior Vice President, General Counsel and Secretary of the Company (or another lawyer of the Company reasonably satisfactory to the Underwriters), dated the Closing Date, to the effect (as applicable) that:</w:t>
      </w:r>
    </w:p>
    <w:p>
      <w:pPr>
        <w:spacing w:after="0" w:line="208" w:lineRule="exact"/>
        <w:rPr>
          <w:rFonts w:ascii="Courier New" w:cs="Courier New" w:eastAsia="Courier New" w:hAnsi="Courier New"/>
          <w:sz w:val="18"/>
          <w:szCs w:val="18"/>
          <w:color w:val="auto"/>
        </w:rPr>
      </w:pPr>
    </w:p>
    <w:p>
      <w:pPr>
        <w:ind w:left="525" w:right="1879" w:firstLine="528"/>
        <w:spacing w:after="0" w:line="272" w:lineRule="auto"/>
        <w:tabs>
          <w:tab w:leader="none" w:pos="1473"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ectPr>
          <w:pgSz w:w="11900" w:h="16838" w:orient="portrait"/>
          <w:cols w:equalWidth="0" w:num="1">
            <w:col w:w="9684"/>
          </w:cols>
          <w:pgMar w:left="775" w:top="919" w:right="1440" w:bottom="1440" w:gutter="0" w:footer="0" w:header="0"/>
        </w:sectPr>
      </w:pPr>
    </w:p>
    <w:bookmarkStart w:id="7" w:name="page8"/>
    <w:bookmarkEnd w:id="7"/>
    <w:p>
      <w:pPr>
        <w:ind w:left="28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left="-140" w:right="1879" w:firstLine="528"/>
        <w:spacing w:after="0" w:line="270" w:lineRule="auto"/>
        <w:tabs>
          <w:tab w:leader="none" w:pos="91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issued shares of capital stock of each Cable Guarantor have been duly and validly authorized and issued, are fully paid and non-assessable, and (except for directors' qualify shares and except as otherwise set forth in the Prospectus) are owned directly and indirectly by the Company, free and clear of all liens, encumbrances, equities or claims (such counsel being entitled to rely in respect of the opinion in this clause upon opinions of local counsel and in respect of matters of fact upon certificates of officers of the Company or its subsidiaries, provided that such counsel shall state that he believes that both you and he are justified in relying upon such opinions and certificates);</w:t>
      </w:r>
    </w:p>
    <w:p>
      <w:pPr>
        <w:spacing w:after="0" w:line="391" w:lineRule="exact"/>
        <w:rPr>
          <w:rFonts w:ascii="Courier New" w:cs="Courier New" w:eastAsia="Courier New" w:hAnsi="Courier New"/>
          <w:sz w:val="16"/>
          <w:szCs w:val="16"/>
          <w:color w:val="auto"/>
        </w:rPr>
      </w:pPr>
    </w:p>
    <w:p>
      <w:pPr>
        <w:ind w:left="-140" w:right="1999" w:firstLine="528"/>
        <w:spacing w:after="0" w:line="237" w:lineRule="auto"/>
        <w:tabs>
          <w:tab w:leader="none" w:pos="101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an authorized capitalization as set forth in the Prospectus, and all of the issued shares of capital stock of the Company have been duly and validly authorized and issued and are fully paid and non-assessable;</w:t>
      </w:r>
    </w:p>
    <w:p>
      <w:pPr>
        <w:spacing w:after="0" w:line="207" w:lineRule="exact"/>
        <w:rPr>
          <w:rFonts w:ascii="Courier New" w:cs="Courier New" w:eastAsia="Courier New" w:hAnsi="Courier New"/>
          <w:sz w:val="18"/>
          <w:szCs w:val="18"/>
          <w:color w:val="auto"/>
        </w:rPr>
      </w:pPr>
    </w:p>
    <w:p>
      <w:pPr>
        <w:ind w:left="-140" w:right="1999" w:firstLine="528"/>
        <w:spacing w:after="0" w:line="271" w:lineRule="auto"/>
        <w:tabs>
          <w:tab w:leader="none" w:pos="91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Senior Indenture dated as of January 7, 2003 (the "Senior Indenture") among the Company, the Cable Guarantors and The Bank of New York, as trustee, and the Subordinated Indenture to be dated as of a date indicated in a relevant prospectus supplement (the "Subordinated Indenture") among the Company and the Cable Guarantors and The Bank of New York, as trustee has been duly authorized, executed and delivered by the Company;</w:t>
      </w:r>
    </w:p>
    <w:p>
      <w:pPr>
        <w:spacing w:after="0" w:line="187" w:lineRule="exact"/>
        <w:rPr>
          <w:rFonts w:ascii="Courier New" w:cs="Courier New" w:eastAsia="Courier New" w:hAnsi="Courier New"/>
          <w:sz w:val="16"/>
          <w:szCs w:val="16"/>
          <w:color w:val="auto"/>
        </w:rPr>
      </w:pPr>
    </w:p>
    <w:p>
      <w:pPr>
        <w:ind w:left="-140" w:right="2319" w:firstLine="528"/>
        <w:spacing w:after="0" w:line="235" w:lineRule="auto"/>
        <w:tabs>
          <w:tab w:leader="none" w:pos="80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 Agreement, if any, has been duly authorized, executed and delivered by the Company;</w:t>
      </w:r>
    </w:p>
    <w:p>
      <w:pPr>
        <w:spacing w:after="0" w:line="208" w:lineRule="exact"/>
        <w:rPr>
          <w:rFonts w:ascii="Courier New" w:cs="Courier New" w:eastAsia="Courier New" w:hAnsi="Courier New"/>
          <w:sz w:val="18"/>
          <w:szCs w:val="18"/>
          <w:color w:val="auto"/>
        </w:rPr>
      </w:pPr>
    </w:p>
    <w:p>
      <w:pPr>
        <w:ind w:left="-140" w:right="2519" w:firstLine="528"/>
        <w:spacing w:after="0" w:line="235" w:lineRule="auto"/>
        <w:tabs>
          <w:tab w:leader="none" w:pos="91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Unit Agreement, if any, has been duly authorized, executed and delivered by the Company;</w:t>
      </w:r>
    </w:p>
    <w:p>
      <w:pPr>
        <w:spacing w:after="0" w:line="208" w:lineRule="exact"/>
        <w:rPr>
          <w:rFonts w:ascii="Courier New" w:cs="Courier New" w:eastAsia="Courier New" w:hAnsi="Courier New"/>
          <w:sz w:val="18"/>
          <w:szCs w:val="18"/>
          <w:color w:val="auto"/>
        </w:rPr>
      </w:pPr>
    </w:p>
    <w:p>
      <w:pPr>
        <w:ind w:left="-140" w:right="2099" w:firstLine="528"/>
        <w:spacing w:after="0" w:line="235" w:lineRule="auto"/>
        <w:tabs>
          <w:tab w:leader="none" w:pos="101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Offered Company Securities have been duly authorized by the Company;</w:t>
      </w:r>
    </w:p>
    <w:p>
      <w:pPr>
        <w:spacing w:after="0" w:line="208" w:lineRule="exact"/>
        <w:rPr>
          <w:rFonts w:ascii="Courier New" w:cs="Courier New" w:eastAsia="Courier New" w:hAnsi="Courier New"/>
          <w:sz w:val="18"/>
          <w:szCs w:val="18"/>
          <w:color w:val="auto"/>
        </w:rPr>
      </w:pPr>
    </w:p>
    <w:p>
      <w:pPr>
        <w:ind w:left="-140" w:right="2319" w:firstLine="528"/>
        <w:spacing w:after="0" w:line="235" w:lineRule="auto"/>
        <w:tabs>
          <w:tab w:leader="none" w:pos="11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left="-140" w:right="1879" w:firstLine="528"/>
        <w:spacing w:after="0" w:line="237" w:lineRule="auto"/>
        <w:tabs>
          <w:tab w:leader="none" w:pos="91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rights to indemnity and contribution under this Agreement may be limited under applicable law, the execution and delivery by each Issuer of, and the performance by each Issuer of its obligations under, this Agreement, the Senior Indenture, the Subordinated Indenture, the Offered Securities, the Warrant Agreement,</w:t>
      </w:r>
    </w:p>
    <w:p>
      <w:pPr>
        <w:sectPr>
          <w:pgSz w:w="11900" w:h="16838" w:orient="portrait"/>
          <w:cols w:equalWidth="0" w:num="1">
            <w:col w:w="9019"/>
          </w:cols>
          <w:pgMar w:left="1440" w:top="919" w:right="1440" w:bottom="1440" w:gutter="0" w:footer="0" w:header="0"/>
        </w:sectPr>
      </w:pPr>
    </w:p>
    <w:bookmarkStart w:id="8" w:name="page9"/>
    <w:bookmarkEnd w:id="8"/>
    <w:p>
      <w:pPr>
        <w:ind w:left="296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Unit Agreement and the Additional Guarantee, if any, will not contravene any provision of applicable law of the 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the articles of incorporation or by-laws (or similar organizational document) of any Issuer or, to the best knowledge of such counsel, any material agreement or other material instrument binding upon such Issuer, and, except for the orders of the Commission making the Registration Statement effective and the Senior Indenture and the Subordinated Indenture qualified under the Trust Indenture Act of 1939, as amended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Pennsylvania, or, to the best knowledge of such counsel, of any other state or jurisdiction of the United States or of any foreign jurisdiction is required for the performance by any Issuer of its obligations under this Agreement, the Senior Indenture, the Subordinated Indenture, the Offered Securities, the Warrant Agreement, the Unit Agreement and the Additional Guarantee, if any;</w:t>
      </w:r>
    </w:p>
    <w:p>
      <w:pPr>
        <w:spacing w:after="0" w:line="200" w:lineRule="exact"/>
        <w:rPr>
          <w:sz w:val="20"/>
          <w:szCs w:val="20"/>
          <w:color w:val="auto"/>
        </w:rPr>
      </w:pPr>
    </w:p>
    <w:p>
      <w:pPr>
        <w:spacing w:after="0" w:line="393" w:lineRule="exact"/>
        <w:rPr>
          <w:sz w:val="20"/>
          <w:szCs w:val="20"/>
          <w:color w:val="auto"/>
        </w:rPr>
      </w:pPr>
    </w:p>
    <w:p>
      <w:pPr>
        <w:ind w:right="1879" w:firstLine="528"/>
        <w:spacing w:after="0" w:line="238"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such qualification as may be set forth in the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Prospectus, which restrictions would have a material adverse effect on the business or financial condition of the Company and its subsidiaries, as a whole;</w:t>
      </w:r>
    </w:p>
    <w:p>
      <w:pPr>
        <w:sectPr>
          <w:pgSz w:w="11900" w:h="16838" w:orient="portrait"/>
          <w:cols w:equalWidth="0" w:num="1">
            <w:col w:w="9159"/>
          </w:cols>
          <w:pgMar w:left="1300" w:top="919" w:right="1440" w:bottom="1440" w:gutter="0" w:footer="0" w:header="0"/>
        </w:sectPr>
      </w:pPr>
    </w:p>
    <w:bookmarkStart w:id="9" w:name="page10"/>
    <w:bookmarkEnd w:id="9"/>
    <w:p>
      <w:pPr>
        <w:ind w:left="40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left="1060" w:right="2099" w:firstLine="528"/>
        <w:spacing w:after="0" w:line="271" w:lineRule="auto"/>
        <w:tabs>
          <w:tab w:leader="none" w:pos="211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(A) in Item 3 of the Company's most recent Annual Report on Form 10-K incorporated by reference in the Prospectus, (B) in Part II, Item 1 under the caption "Legal Proceedings" of the Company's most recent Quarterly Report on Form 10-Q incorporated by reference in the Prospectus and (C) in the Registration Statement in Item 15, insofar as such statements constitute a summary of the legal matters, documents or proceedings referred to therein, fairly present the information called for with respect to such legal matters, documents and proceedings;</w:t>
      </w:r>
    </w:p>
    <w:p>
      <w:pPr>
        <w:spacing w:after="0" w:line="183" w:lineRule="exact"/>
        <w:rPr>
          <w:rFonts w:ascii="Courier New" w:cs="Courier New" w:eastAsia="Courier New" w:hAnsi="Courier New"/>
          <w:sz w:val="16"/>
          <w:szCs w:val="16"/>
          <w:color w:val="auto"/>
        </w:rPr>
      </w:pPr>
    </w:p>
    <w:p>
      <w:pPr>
        <w:ind w:left="1060" w:right="1879" w:firstLine="528"/>
        <w:spacing w:after="0" w:line="237" w:lineRule="auto"/>
        <w:tabs>
          <w:tab w:leader="none" w:pos="22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Prospectus and is not so described or of any contract or other document which is required to be described in the Registration Statement or the Prospectus or to be filed as an exhibit to the Registration Statement which is not described or filed as required;</w:t>
      </w:r>
    </w:p>
    <w:p>
      <w:pPr>
        <w:spacing w:after="0" w:line="213" w:lineRule="exact"/>
        <w:rPr>
          <w:rFonts w:ascii="Courier New" w:cs="Courier New" w:eastAsia="Courier New" w:hAnsi="Courier New"/>
          <w:sz w:val="18"/>
          <w:szCs w:val="18"/>
          <w:color w:val="auto"/>
        </w:rPr>
      </w:pPr>
    </w:p>
    <w:p>
      <w:pPr>
        <w:ind w:left="1060" w:right="1999" w:firstLine="528"/>
        <w:spacing w:after="0" w:line="275" w:lineRule="auto"/>
        <w:tabs>
          <w:tab w:leader="none" w:pos="232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into which the Offered Company Securities are convertible, initially reserved for issuance upon conversion of the Offered Company Securities (the "Underlying Securities") have been duly authorized and reserved for issuance; and</w:t>
      </w:r>
    </w:p>
    <w:p>
      <w:pPr>
        <w:spacing w:after="0" w:line="182" w:lineRule="exact"/>
        <w:rPr>
          <w:rFonts w:ascii="Courier New" w:cs="Courier New" w:eastAsia="Courier New" w:hAnsi="Courier New"/>
          <w:sz w:val="16"/>
          <w:szCs w:val="16"/>
          <w:color w:val="auto"/>
        </w:rPr>
      </w:pPr>
    </w:p>
    <w:p>
      <w:pPr>
        <w:ind w:left="1060" w:right="1879" w:firstLine="528"/>
        <w:spacing w:after="0" w:line="237" w:lineRule="auto"/>
        <w:tabs>
          <w:tab w:leader="none" w:pos="22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Underlying Securities are issued upon conversion of the Offered Company Securities in accordance with the terms of the Offered Company Securities, such Underlying Securities will be validly issued, fully paid and non-assessable and will not be subject to any preemptive or other right to subscribe for or purchase such Underlying Securities.</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and the Form T-1, as to which such counsel is not called upon to express any belief), on the date on which it became effective or the date of filing of the most recent subsequent Annual Report on Form 10-K, contained an untrue statement of a material fact or omitted to state a material fact required to be stated therein or necessary to make the statements therein not misleading; (2) that the Prospectus, as amended or supplemented, if applicable (except for the financial statements and other financial or statistical data included or</w:t>
      </w:r>
    </w:p>
    <w:p>
      <w:pPr>
        <w:sectPr>
          <w:pgSz w:w="11900" w:h="16838" w:orient="portrait"/>
          <w:cols w:equalWidth="0" w:num="1">
            <w:col w:w="10219"/>
          </w:cols>
          <w:pgMar w:left="240" w:top="919" w:right="1440" w:bottom="1440" w:gutter="0" w:footer="0" w:header="0"/>
        </w:sectPr>
      </w:pPr>
    </w:p>
    <w:bookmarkStart w:id="10" w:name="page11"/>
    <w:bookmarkEnd w:id="10"/>
    <w:p>
      <w:pPr>
        <w:ind w:left="40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 or (3)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38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With respect to the preceding paragraph, such counsel may state that his opinion and belief is based upon his participation in the preparation of the Registration Statement, Prospectus (as amended or supplemented) and the documents incorporated therein by reference and review and discussion of the contents thereof, but is without independent check or verification except as specified.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210" w:lineRule="exact"/>
        <w:rPr>
          <w:sz w:val="20"/>
          <w:szCs w:val="20"/>
          <w:color w:val="auto"/>
        </w:rPr>
      </w:pPr>
    </w:p>
    <w:p>
      <w:pPr>
        <w:ind w:left="540" w:right="1879" w:firstLine="521"/>
        <w:spacing w:after="0" w:line="236"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Davis Polk &amp; Wardwell, special counsel for the Company, dated the Closing Date, to the effect that:</w:t>
      </w:r>
    </w:p>
    <w:p>
      <w:pPr>
        <w:spacing w:after="0" w:line="208"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Cable Guarantor is a corporation or limited liability company duly incorporated or duly organized, validly existing and in good standing under the laws of the jurisdiction of its incorporation or formation;</w:t>
      </w:r>
    </w:p>
    <w:p>
      <w:pPr>
        <w:spacing w:after="0" w:line="207" w:lineRule="exact"/>
        <w:rPr>
          <w:rFonts w:ascii="Courier New" w:cs="Courier New" w:eastAsia="Courier New" w:hAnsi="Courier New"/>
          <w:sz w:val="18"/>
          <w:szCs w:val="18"/>
          <w:color w:val="auto"/>
        </w:rPr>
      </w:pPr>
    </w:p>
    <w:p>
      <w:pPr>
        <w:ind w:left="1060" w:right="1879" w:firstLine="528"/>
        <w:spacing w:after="0" w:line="237" w:lineRule="auto"/>
        <w:tabs>
          <w:tab w:leader="none" w:pos="2113"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Senior Indenture and the Subordinated Indenture has been duly authorized, executed and delivered by each Cable Guarantor and assuming each of the Senior Indenture and the Subordinated Indenture has been duly authorized, executed and delivered by the Company and duly executed and delivered by the respective trustee thereto, each of the Senior Indenture and the Subordinated Indenture is a valid and binding agreement of each Issuer, enforceable against each Issuer in accordance with its terms (subject, as to enforcement of remedies, to applicable bankruptcy, reorganization,</w:t>
      </w:r>
    </w:p>
    <w:p>
      <w:pPr>
        <w:sectPr>
          <w:pgSz w:w="11900" w:h="16838" w:orient="portrait"/>
          <w:cols w:equalWidth="0" w:num="1">
            <w:col w:w="10219"/>
          </w:cols>
          <w:pgMar w:left="240" w:top="919" w:right="1440" w:bottom="1440" w:gutter="0" w:footer="0" w:header="0"/>
        </w:sectPr>
      </w:pPr>
    </w:p>
    <w:bookmarkStart w:id="11" w:name="page12"/>
    <w:bookmarkEnd w:id="11"/>
    <w:p>
      <w:pPr>
        <w:ind w:left="284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insolvency, fraudulent transfer, moratorium or other similar laws affecting creditors' rights generally from time to time in effect and to general equity principles);</w:t>
      </w:r>
    </w:p>
    <w:p>
      <w:pPr>
        <w:spacing w:after="0" w:line="209" w:lineRule="exact"/>
        <w:rPr>
          <w:sz w:val="20"/>
          <w:szCs w:val="20"/>
          <w:color w:val="auto"/>
        </w:rPr>
      </w:pPr>
    </w:p>
    <w:p>
      <w:pPr>
        <w:ind w:right="1879" w:firstLine="528"/>
        <w:spacing w:after="0" w:line="237"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Warrant Agreement, if any, has been duly authorized, executed and delivered by the Company and duly executed and delivered by the Warrant Agent, the Warrant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212" w:lineRule="exact"/>
        <w:rPr>
          <w:rFonts w:ascii="Courier New" w:cs="Courier New" w:eastAsia="Courier New" w:hAnsi="Courier New"/>
          <w:sz w:val="18"/>
          <w:szCs w:val="18"/>
          <w:color w:val="auto"/>
        </w:rPr>
      </w:pPr>
    </w:p>
    <w:p>
      <w:pPr>
        <w:ind w:right="1999" w:firstLine="528"/>
        <w:spacing w:after="0" w:line="237"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Unit Agreement, if any, has been duly authorized, executed and delivered by the Company and duly executed and delivered by the Agent, the Unit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212" w:lineRule="exact"/>
        <w:rPr>
          <w:rFonts w:ascii="Courier New" w:cs="Courier New" w:eastAsia="Courier New" w:hAnsi="Courier New"/>
          <w:sz w:val="18"/>
          <w:szCs w:val="18"/>
          <w:color w:val="auto"/>
        </w:rPr>
      </w:pPr>
    </w:p>
    <w:p>
      <w:pPr>
        <w:ind w:right="1879" w:firstLine="528"/>
        <w:spacing w:after="0" w:line="237" w:lineRule="auto"/>
        <w:tabs>
          <w:tab w:leader="none" w:pos="9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Additional Guarantee, if any, has been duly authorized, executed and delivered by each Cable Guarantor and is a valid and binding agreement of each Cable Guarantor, enforceable in accordance with its terms (subject, as to enforcement of remedies, to applicable bankruptcy, reorganization, insolvency, fraudulent transfer, moratorium or other similar laws affecting creditors' rights generally from time to time in effect and to general equity principles);</w:t>
      </w:r>
    </w:p>
    <w:p>
      <w:pPr>
        <w:spacing w:after="0" w:line="212" w:lineRule="exact"/>
        <w:rPr>
          <w:rFonts w:ascii="Courier New" w:cs="Courier New" w:eastAsia="Courier New" w:hAnsi="Courier New"/>
          <w:sz w:val="18"/>
          <w:szCs w:val="18"/>
          <w:color w:val="auto"/>
        </w:rPr>
      </w:pPr>
    </w:p>
    <w:p>
      <w:pPr>
        <w:ind w:right="1999" w:firstLine="528"/>
        <w:spacing w:after="0" w:line="270" w:lineRule="auto"/>
        <w:tabs>
          <w:tab w:leader="none" w:pos="105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Cable Guarantees have been duly authorized, and, assuming the Offered Company Securities have been authorized by the Company, when the Offered Company Securities have been duly executed and authenticated in accordance with the provisions of the relevant Senior Indenture or Subordinated Indenture, the Offered Securities and the Debt Securities will be valid and binding obligations of the Issuers, enforceable against them in accordance with their terms (subject, as to enforcement or remedies, to applicable bankruptcy, reorganization, insolvency, fraudulent transfer, moratorium or other similar laws affecting creditors' rights generally from time to time in effect and to general equity principles), and will be entitled to</w:t>
      </w:r>
    </w:p>
    <w:p>
      <w:pPr>
        <w:sectPr>
          <w:pgSz w:w="11900" w:h="16838" w:orient="portrait"/>
          <w:cols w:equalWidth="0" w:num="1">
            <w:col w:w="9159"/>
          </w:cols>
          <w:pgMar w:left="1300" w:top="919" w:right="1440" w:bottom="1440" w:gutter="0" w:footer="0" w:header="0"/>
        </w:sectPr>
      </w:pPr>
    </w:p>
    <w:bookmarkStart w:id="12" w:name="page13"/>
    <w:bookmarkEnd w:id="12"/>
    <w:p>
      <w:pPr>
        <w:ind w:left="284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benefits of the relevant Senior Indenture or Subordinated Indenture.</w:t>
      </w:r>
    </w:p>
    <w:p>
      <w:pPr>
        <w:spacing w:after="0" w:line="208" w:lineRule="exact"/>
        <w:rPr>
          <w:sz w:val="20"/>
          <w:szCs w:val="20"/>
          <w:color w:val="auto"/>
        </w:rPr>
      </w:pPr>
    </w:p>
    <w:p>
      <w:pPr>
        <w:ind w:right="2419" w:firstLine="528"/>
        <w:spacing w:after="0" w:line="235" w:lineRule="auto"/>
        <w:tabs>
          <w:tab w:leader="none" w:pos="11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each Cable Guarantor party hereto;</w:t>
      </w:r>
    </w:p>
    <w:p>
      <w:pPr>
        <w:spacing w:after="0" w:line="208" w:lineRule="exact"/>
        <w:rPr>
          <w:rFonts w:ascii="Courier New" w:cs="Courier New" w:eastAsia="Courier New" w:hAnsi="Courier New"/>
          <w:sz w:val="18"/>
          <w:szCs w:val="18"/>
          <w:color w:val="auto"/>
        </w:rPr>
      </w:pPr>
    </w:p>
    <w:p>
      <w:pPr>
        <w:ind w:right="2419" w:firstLine="528"/>
        <w:spacing w:after="0" w:line="290" w:lineRule="auto"/>
        <w:tabs>
          <w:tab w:leader="none" w:pos="12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Senior Indenture and the Subordinated Indenture has been duly qualified under the Trust Indenture Act;</w:t>
      </w:r>
    </w:p>
    <w:p>
      <w:pPr>
        <w:spacing w:after="0" w:line="169" w:lineRule="exact"/>
        <w:rPr>
          <w:rFonts w:ascii="Courier New" w:cs="Courier New" w:eastAsia="Courier New" w:hAnsi="Courier New"/>
          <w:sz w:val="16"/>
          <w:szCs w:val="16"/>
          <w:color w:val="auto"/>
        </w:rPr>
      </w:pPr>
    </w:p>
    <w:p>
      <w:pPr>
        <w:ind w:right="1879" w:firstLine="528"/>
        <w:spacing w:after="0" w:line="269" w:lineRule="auto"/>
        <w:tabs>
          <w:tab w:leader="none" w:pos="105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rights to indemnity and contribution under this Agreement may be limited under applicable law, the execution and delivery by each Issuer of, and the performance by each Issuer of its obligations under, this Agreement, the Senior Indenture, the Subordinated Indenture, the Offered Securities, the Warrant Agreement, the Unit Agreement and the Additional Guarantee, if any, will not contravene any provision of applicable law of the United States (except with respect to laws relating specifically to the cable communications industry, as to which such counsel is not called upon to express any opinion), or New York, or the articles of incorporation or bylaws or equivalent organizational documents of any Cable Guarantor and, except for the orders of the Commission making the Registration Statement effective and the Senior Indenture and the Subordinated Indenture qualified under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by any Issuer of its obligations under this Agreement, the Senior Indenture, the Subordinated Indenture, the Offered Securities, the Warrant Agreement, the Unit Agreement and the Additional Guarantee, if any, and</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879" w:firstLine="528"/>
        <w:spacing w:after="0" w:line="237"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in the Prospectus Supplement under "Description of [the Offered Securities]", "Certain U.S. Tax Considerations" and "Underwriting" and in the Basic Prospectus under "Description of [the Offered Securities]", and "Plan of Distribution", insofar as such statements constitute a summary of the legal matters or</w:t>
      </w:r>
    </w:p>
    <w:p>
      <w:pPr>
        <w:sectPr>
          <w:pgSz w:w="11900" w:h="16838" w:orient="portrait"/>
          <w:cols w:equalWidth="0" w:num="1">
            <w:col w:w="9159"/>
          </w:cols>
          <w:pgMar w:left="1300" w:top="919" w:right="1440" w:bottom="1440" w:gutter="0" w:footer="0" w:header="0"/>
        </w:sectPr>
      </w:pPr>
    </w:p>
    <w:bookmarkStart w:id="13" w:name="page14"/>
    <w:bookmarkEnd w:id="13"/>
    <w:p>
      <w:pPr>
        <w:ind w:left="390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left="1060" w:right="1999"/>
        <w:spacing w:after="0" w:line="235" w:lineRule="auto"/>
        <w:rPr>
          <w:sz w:val="20"/>
          <w:szCs w:val="20"/>
          <w:color w:val="auto"/>
        </w:rPr>
      </w:pPr>
      <w:r>
        <w:rPr>
          <w:rFonts w:ascii="Courier New" w:cs="Courier New" w:eastAsia="Courier New" w:hAnsi="Courier New"/>
          <w:sz w:val="18"/>
          <w:szCs w:val="18"/>
          <w:color w:val="auto"/>
        </w:rPr>
        <w:t>documents referred to therein, fairly present the information called for with respect to such legal matters and documents.</w:t>
      </w:r>
    </w:p>
    <w:p>
      <w:pPr>
        <w:spacing w:after="0" w:line="208"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 Registration Statement and Prospectus (except for financial statements and other financial or statistical data included or incorporated by reference therein and the Form T- 1, as to which such counsel is not called upon to express any belief) did not comply as to form in all material respects with the Securities Act and the rules and regulations of the Commission thereunder; (2) that the Registration Statement or any amendment thereto (except for the financial statements and other financial or statistical data included or incorporated by reference therein or omitted therefrom and the Form T-1, as to which such counsel is not called upon to express any belief) at the date of the Underwriting Agreement contained an untrue statement of a material fact or omitted to state a material fact required to be stated therein or necessary to make the statements therein not misleading; or (3)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w:t>
      </w:r>
    </w:p>
    <w:p>
      <w:pPr>
        <w:spacing w:after="0" w:line="200" w:lineRule="exact"/>
        <w:rPr>
          <w:sz w:val="20"/>
          <w:szCs w:val="20"/>
          <w:color w:val="auto"/>
        </w:rPr>
      </w:pPr>
    </w:p>
    <w:p>
      <w:pPr>
        <w:spacing w:after="0" w:line="39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With respect to the preceding paragraph, Davis Polk &amp; Wardwell may state that their opinion and belief is based upon their participation in the preparation of the Registration Statement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211" w:lineRule="exact"/>
        <w:rPr>
          <w:sz w:val="20"/>
          <w:szCs w:val="20"/>
          <w:color w:val="auto"/>
        </w:rPr>
      </w:pPr>
    </w:p>
    <w:p>
      <w:pPr>
        <w:ind w:left="540" w:right="1879" w:firstLine="521"/>
        <w:spacing w:after="0" w:line="236"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internal regulatory counsel for the Company, dated the Closing Date, to the effect that:</w:t>
      </w:r>
    </w:p>
    <w:p>
      <w:pPr>
        <w:spacing w:after="0" w:line="208" w:lineRule="exact"/>
        <w:rPr>
          <w:rFonts w:ascii="Courier New" w:cs="Courier New" w:eastAsia="Courier New" w:hAnsi="Courier New"/>
          <w:sz w:val="18"/>
          <w:szCs w:val="18"/>
          <w:color w:val="auto"/>
        </w:rPr>
      </w:pPr>
    </w:p>
    <w:p>
      <w:pPr>
        <w:jc w:val="both"/>
        <w:ind w:left="1060" w:right="2199" w:firstLine="528"/>
        <w:spacing w:after="0" w:line="236" w:lineRule="auto"/>
        <w:tabs>
          <w:tab w:leader="none" w:pos="2008"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approval of the Federal Communications Commission (the "FCC") is required in connection with the issuance and sale of the Offered Securities,</w:t>
      </w:r>
    </w:p>
    <w:p>
      <w:pPr>
        <w:spacing w:after="0" w:line="208" w:lineRule="exact"/>
        <w:rPr>
          <w:rFonts w:ascii="Courier New" w:cs="Courier New" w:eastAsia="Courier New" w:hAnsi="Courier New"/>
          <w:sz w:val="18"/>
          <w:szCs w:val="18"/>
          <w:color w:val="auto"/>
        </w:rPr>
      </w:pPr>
    </w:p>
    <w:p>
      <w:pPr>
        <w:ind w:left="1060" w:right="1999" w:firstLine="528"/>
        <w:spacing w:after="0" w:line="275" w:lineRule="auto"/>
        <w:tabs>
          <w:tab w:leader="none" w:pos="211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the Senior Indenture, the Subordinated Indenture, the Warrant Agreement, the Unit Agreement and the Additional Guarantee, if any, by each Issuer, the fulfillment of the terms set forth herein and therein by each</w:t>
      </w:r>
    </w:p>
    <w:p>
      <w:pPr>
        <w:sectPr>
          <w:pgSz w:w="11900" w:h="16838" w:orient="portrait"/>
          <w:cols w:equalWidth="0" w:num="1">
            <w:col w:w="10219"/>
          </w:cols>
          <w:pgMar w:left="240" w:top="919" w:right="1440" w:bottom="1440" w:gutter="0" w:footer="0" w:header="0"/>
        </w:sectPr>
      </w:pPr>
    </w:p>
    <w:bookmarkStart w:id="14" w:name="page15"/>
    <w:bookmarkEnd w:id="14"/>
    <w:p>
      <w:pPr>
        <w:ind w:left="296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Issuer and the consummation of the transactions contemplated hereby and thereby by each Issuer do not violate any statute, regulation or other law of the United States relating specifically to the cable communications industry (except as otherwise explicitly set forth in the Prospectus)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189" w:lineRule="exact"/>
        <w:rPr>
          <w:sz w:val="20"/>
          <w:szCs w:val="20"/>
          <w:color w:val="auto"/>
        </w:rPr>
      </w:pPr>
    </w:p>
    <w:p>
      <w:pPr>
        <w:ind w:right="1879" w:firstLine="528"/>
        <w:spacing w:after="0" w:line="237" w:lineRule="auto"/>
        <w:tabs>
          <w:tab w:leader="none" w:pos="115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in the Company's most recent Annual Report on Form 10-K incorporated by reference in the Registration Statement and Prospectus [identify sections describing cable regulatory matters] as updated by the Company's most recent Quarterly Reports on Form 10-Q incorporated in the Registration Statement and Prospectus and as updated by the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214" w:lineRule="exact"/>
        <w:rPr>
          <w:rFonts w:ascii="Courier New" w:cs="Courier New" w:eastAsia="Courier New" w:hAnsi="Courier New"/>
          <w:sz w:val="18"/>
          <w:szCs w:val="18"/>
          <w:color w:val="auto"/>
        </w:rPr>
      </w:pPr>
    </w:p>
    <w:p>
      <w:pPr>
        <w:ind w:right="1879" w:firstLine="528"/>
        <w:spacing w:after="0" w:line="237" w:lineRule="auto"/>
        <w:tabs>
          <w:tab w:leader="none" w:pos="1053"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Prospectus pursuant to Regulation S-K promulgated under the Securities Act, which is not described as required.</w:t>
      </w:r>
    </w:p>
    <w:p>
      <w:pPr>
        <w:spacing w:after="0" w:line="212" w:lineRule="exact"/>
        <w:rPr>
          <w:rFonts w:ascii="Courier New" w:cs="Courier New" w:eastAsia="Courier New" w:hAnsi="Courier New"/>
          <w:sz w:val="18"/>
          <w:szCs w:val="18"/>
          <w:color w:val="auto"/>
        </w:rPr>
      </w:pPr>
    </w:p>
    <w:p>
      <w:pPr>
        <w:ind w:left="-520" w:right="1879" w:firstLine="521"/>
        <w:spacing w:after="0" w:line="237" w:lineRule="auto"/>
        <w:tabs>
          <w:tab w:leader="none" w:pos="42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Cahill Gordon &amp; Reindel, counsel for the Underwriters, dated the Closing Date, covering the matters requested by and in form and substance reasonably satisfactory to the Manager.</w:t>
      </w:r>
    </w:p>
    <w:p>
      <w:pPr>
        <w:spacing w:after="0" w:line="207" w:lineRule="exact"/>
        <w:rPr>
          <w:rFonts w:ascii="Courier New" w:cs="Courier New" w:eastAsia="Courier New" w:hAnsi="Courier New"/>
          <w:sz w:val="18"/>
          <w:szCs w:val="18"/>
          <w:color w:val="auto"/>
        </w:rPr>
      </w:pPr>
    </w:p>
    <w:p>
      <w:pPr>
        <w:ind w:left="-520" w:right="1879" w:firstLine="521"/>
        <w:spacing w:after="0" w:line="237" w:lineRule="auto"/>
        <w:tabs>
          <w:tab w:leader="none" w:pos="42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 letter dated the Closing Date, in each case in form and substance satisfactory to the Manager, from Deloitte &amp; Touche LLP, independent public accountants, containing statements and information of the type ordinarily included in accountants' "comfort letters" to underwriters with respect to the financial statements and</w:t>
      </w:r>
    </w:p>
    <w:p>
      <w:pPr>
        <w:sectPr>
          <w:pgSz w:w="11900" w:h="16838" w:orient="portrait"/>
          <w:cols w:equalWidth="0" w:num="1">
            <w:col w:w="9159"/>
          </w:cols>
          <w:pgMar w:left="1300" w:top="919" w:right="1440" w:bottom="1440" w:gutter="0" w:footer="0" w:header="0"/>
        </w:sectPr>
      </w:pPr>
    </w:p>
    <w:bookmarkStart w:id="15" w:name="page16"/>
    <w:bookmarkEnd w:id="15"/>
    <w:p>
      <w:pPr>
        <w:ind w:left="3365"/>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left="5" w:right="1879"/>
        <w:spacing w:after="0" w:line="237" w:lineRule="auto"/>
        <w:rPr>
          <w:sz w:val="20"/>
          <w:szCs w:val="20"/>
          <w:color w:val="auto"/>
        </w:rPr>
      </w:pPr>
      <w:r>
        <w:rPr>
          <w:rFonts w:ascii="Courier New" w:cs="Courier New" w:eastAsia="Courier New" w:hAnsi="Courier New"/>
          <w:sz w:val="18"/>
          <w:szCs w:val="18"/>
          <w:color w:val="auto"/>
        </w:rPr>
        <w:t>certain financial information reviewed by them contained in or incorporated by reference in the Registration Statement and the Prospectus and each other firm of independent accountants, if any, who audited or reviewed financial statements contained in or incorporated by reference in the Registration Statement and the Prospectus, containing statements and information of the type ordinarily included in accountants' "comfort letters" to underwriters with respect to such financial statements and financial information.</w:t>
      </w:r>
    </w:p>
    <w:p>
      <w:pPr>
        <w:spacing w:after="0" w:line="212" w:lineRule="exact"/>
        <w:rPr>
          <w:sz w:val="20"/>
          <w:szCs w:val="20"/>
          <w:color w:val="auto"/>
        </w:rPr>
      </w:pPr>
    </w:p>
    <w:p>
      <w:pPr>
        <w:ind w:left="5" w:right="1879" w:firstLine="521"/>
        <w:spacing w:after="0" w:line="270" w:lineRule="auto"/>
        <w:tabs>
          <w:tab w:leader="none" w:pos="953"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shall have received on the Closing Date, a letter dated such date, in each case in form and substance satisfactory to the Manager, from PricewaterhouseCoopers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and the Prospectus and each other firm of independent accountants, if any, who audited or reviewed financial statements contained in or incorporated by reference in the Registration Statement and the Prospectus, containing statements and information of the type ordinarily included in accountants' "comfort letters" to underwriters with respect to such financial statements and financial information.</w:t>
      </w:r>
    </w:p>
    <w:p>
      <w:pPr>
        <w:spacing w:after="0" w:line="389" w:lineRule="exact"/>
        <w:rPr>
          <w:rFonts w:ascii="Courier New" w:cs="Courier New" w:eastAsia="Courier New" w:hAnsi="Courier New"/>
          <w:sz w:val="16"/>
          <w:szCs w:val="16"/>
          <w:color w:val="auto"/>
        </w:rPr>
      </w:pPr>
    </w:p>
    <w:p>
      <w:pPr>
        <w:jc w:val="both"/>
        <w:ind w:left="5" w:right="1999" w:firstLine="521"/>
        <w:spacing w:after="0" w:line="237" w:lineRule="auto"/>
        <w:tabs>
          <w:tab w:leader="none" w:pos="9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date hereof or on the Closing Date, as applicable, such additional documents as the Manager shall have reasonably requested to confirm compliance with the conditions to Closing listed herein.</w:t>
      </w:r>
    </w:p>
    <w:p>
      <w:pPr>
        <w:spacing w:after="0" w:line="207" w:lineRule="exact"/>
        <w:rPr>
          <w:rFonts w:ascii="Courier New" w:cs="Courier New" w:eastAsia="Courier New" w:hAnsi="Courier New"/>
          <w:sz w:val="18"/>
          <w:szCs w:val="18"/>
          <w:color w:val="auto"/>
        </w:rPr>
      </w:pPr>
    </w:p>
    <w:p>
      <w:pPr>
        <w:ind w:left="-535" w:right="1879" w:firstLine="535"/>
        <w:spacing w:after="0" w:line="235" w:lineRule="auto"/>
        <w:tabs>
          <w:tab w:leader="none" w:pos="30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 In further consideration of the agreements of the Underwriters herein contained, the Issuers covenant as follows:</w:t>
      </w:r>
    </w:p>
    <w:p>
      <w:pPr>
        <w:spacing w:after="0" w:line="208" w:lineRule="exact"/>
        <w:rPr>
          <w:rFonts w:ascii="Courier New" w:cs="Courier New" w:eastAsia="Courier New" w:hAnsi="Courier New"/>
          <w:sz w:val="18"/>
          <w:szCs w:val="18"/>
          <w:color w:val="auto"/>
        </w:rPr>
      </w:pPr>
    </w:p>
    <w:p>
      <w:pPr>
        <w:ind w:left="5" w:right="2199" w:firstLine="521"/>
        <w:spacing w:after="0" w:line="237" w:lineRule="auto"/>
        <w:tabs>
          <w:tab w:leader="none" w:pos="9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furnish to the Manager,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(c) below, as many copies of the Prospectus, any documents incorporated therein by reference and any supplements and amendments thereto as the Manager may reasonably request.</w:t>
      </w:r>
    </w:p>
    <w:p>
      <w:pPr>
        <w:spacing w:after="0" w:line="212" w:lineRule="exact"/>
        <w:rPr>
          <w:rFonts w:ascii="Courier New" w:cs="Courier New" w:eastAsia="Courier New" w:hAnsi="Courier New"/>
          <w:sz w:val="18"/>
          <w:szCs w:val="18"/>
          <w:color w:val="auto"/>
        </w:rPr>
      </w:pPr>
    </w:p>
    <w:p>
      <w:pPr>
        <w:ind w:left="5" w:right="2199" w:firstLine="521"/>
        <w:spacing w:after="0" w:line="236" w:lineRule="auto"/>
        <w:tabs>
          <w:tab w:leader="none" w:pos="9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amending or supplementing the Registration Statement or the Prospectus, to furnish the Manager a copy of each such proposed amendment or supplement.</w:t>
      </w:r>
    </w:p>
    <w:p>
      <w:pPr>
        <w:sectPr>
          <w:pgSz w:w="11900" w:h="16838" w:orient="portrait"/>
          <w:cols w:equalWidth="0" w:num="1">
            <w:col w:w="9684"/>
          </w:cols>
          <w:pgMar w:left="775" w:top="919" w:right="1440" w:bottom="1440" w:gutter="0" w:footer="0" w:header="0"/>
        </w:sectPr>
      </w:pPr>
    </w:p>
    <w:bookmarkStart w:id="16" w:name="page17"/>
    <w:bookmarkEnd w:id="16"/>
    <w:p>
      <w:pPr>
        <w:ind w:left="3365"/>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5" w:right="1879" w:firstLine="521"/>
        <w:spacing w:after="0" w:line="238" w:lineRule="auto"/>
        <w:tabs>
          <w:tab w:leader="none" w:pos="95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such period after the first date of the public offering of the Offered Securities during which in the opinion of counsel to the Manager the Prospectus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 will furnish to the Company) to which Offered Securities may have been sold by the Manager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207" w:lineRule="exact"/>
        <w:rPr>
          <w:rFonts w:ascii="Courier New" w:cs="Courier New" w:eastAsia="Courier New" w:hAnsi="Courier New"/>
          <w:sz w:val="18"/>
          <w:szCs w:val="18"/>
          <w:color w:val="auto"/>
        </w:rPr>
      </w:pPr>
    </w:p>
    <w:p>
      <w:pPr>
        <w:ind w:left="5" w:right="1999" w:firstLine="521"/>
        <w:spacing w:after="0" w:line="236" w:lineRule="auto"/>
        <w:tabs>
          <w:tab w:leader="none" w:pos="95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endeavor to qualify the Offered Securities for offer and sale under the securities or Blue Sky laws of such U.S. jurisdictions as the Manager shall reasonably request.</w:t>
      </w:r>
    </w:p>
    <w:p>
      <w:pPr>
        <w:spacing w:after="0" w:line="208"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212" w:lineRule="exact"/>
        <w:rPr>
          <w:rFonts w:ascii="Courier New" w:cs="Courier New" w:eastAsia="Courier New" w:hAnsi="Courier New"/>
          <w:sz w:val="18"/>
          <w:szCs w:val="18"/>
          <w:color w:val="auto"/>
        </w:rPr>
      </w:pPr>
    </w:p>
    <w:p>
      <w:pPr>
        <w:ind w:left="-535" w:right="1879" w:firstLine="535"/>
        <w:spacing w:after="0" w:line="238" w:lineRule="auto"/>
        <w:tabs>
          <w:tab w:leader="none" w:pos="30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and Contribution. The Issuers, jointly and severally, agree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or the Prospectus (as amended or supplemented) or any preliminary prospectus,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 expressly for use therein; provided, however, that the foregoing indemnity agreement with respect to any preliminary prospectus shall not inure to the benefit of any Underwriter from whom the person asserting any such losses, claims, damages or liabilities purchased Offered Securities, or any person controlling any such Underwriter, if a copy of the Prospectus (as then amended or supplemented) was not sent or given by or on behalf of such Underwriter to such person, if required by law so to have been delivered, at or prior to the</w:t>
      </w:r>
    </w:p>
    <w:p>
      <w:pPr>
        <w:sectPr>
          <w:pgSz w:w="11900" w:h="16838" w:orient="portrait"/>
          <w:cols w:equalWidth="0" w:num="1">
            <w:col w:w="9684"/>
          </w:cols>
          <w:pgMar w:left="775" w:top="919" w:right="1440" w:bottom="1440" w:gutter="0" w:footer="0" w:header="0"/>
        </w:sectPr>
      </w:pPr>
    </w:p>
    <w:bookmarkStart w:id="17" w:name="page18"/>
    <w:bookmarkEnd w:id="17"/>
    <w:p>
      <w:pPr>
        <w:ind w:left="390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written confirmation of the sale of the Offered Securities to such person, and if the Prospectus (as so amended or supplemented but without reference to documents incorporated by reference therein) would have cured the defect giving rise to such loss, claim, damage or liability.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Underwriter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 expressly for use in the Registration Statement, the Prospectus, any amendment or supplement thereto, or any preliminary prospectus.</w:t>
      </w:r>
    </w:p>
    <w:p>
      <w:pPr>
        <w:spacing w:after="0" w:line="214"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w:t>
      </w:r>
    </w:p>
    <w:p>
      <w:pPr>
        <w:sectPr>
          <w:pgSz w:w="11900" w:h="16838" w:orient="portrait"/>
          <w:cols w:equalWidth="0" w:num="1">
            <w:col w:w="10219"/>
          </w:cols>
          <w:pgMar w:left="240" w:top="919" w:right="1440" w:bottom="1440" w:gutter="0" w:footer="0" w:header="0"/>
        </w:sectPr>
      </w:pPr>
    </w:p>
    <w:bookmarkStart w:id="18" w:name="page19"/>
    <w:bookmarkEnd w:id="18"/>
    <w:p>
      <w:pPr>
        <w:ind w:left="390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If the indemnification provided for in the second or third paragraph of this Section 6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212"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Issuers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6, the Underwriters shall not be required to contribute any amount in excess of the amount by which the total price at which the Offered Securities underwritten by it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w:t>
      </w:r>
    </w:p>
    <w:p>
      <w:pPr>
        <w:sectPr>
          <w:pgSz w:w="11900" w:h="16838" w:orient="portrait"/>
          <w:cols w:equalWidth="0" w:num="1">
            <w:col w:w="10219"/>
          </w:cols>
          <w:pgMar w:left="240" w:top="919" w:right="1440" w:bottom="1440" w:gutter="0" w:footer="0" w:header="0"/>
        </w:sectPr>
      </w:pPr>
    </w:p>
    <w:bookmarkStart w:id="19" w:name="page20"/>
    <w:bookmarkEnd w:id="19"/>
    <w:p>
      <w:pPr>
        <w:ind w:left="390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Section 11(f) of the Securities Act) shall be entitled to contribution from any person who was not guilty of such fraudulent misrepresentation.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indemnity and contribution agreement contained in this Section 6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212" w:lineRule="exact"/>
        <w:rPr>
          <w:sz w:val="20"/>
          <w:szCs w:val="20"/>
          <w:color w:val="auto"/>
        </w:rPr>
      </w:pPr>
    </w:p>
    <w:p>
      <w:pPr>
        <w:ind w:right="1879" w:firstLine="535"/>
        <w:spacing w:after="0" w:line="269" w:lineRule="auto"/>
        <w:tabs>
          <w:tab w:leader="none" w:pos="84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be subject to termination in the absolute discretion of the Manager by notice given by the Manager to the Issuers, if (a) after the execution and delivery of the Underwriting Agreement and prior to the Closing Date (i) 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 is material and adverse and (b) in the case of any of the events specified in clauses (a)(i) through (iv), such event, singly or together with any other such event, makes it, in the judgment of the Manager, impracticable to market the Offered Securities on the terms and in the manner contemplated in the Prospectus.</w:t>
      </w:r>
    </w:p>
    <w:p>
      <w:pPr>
        <w:spacing w:after="0" w:line="39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Issuers will pay and bear all costs and expenses incident to the performance of its obligations under this Agreement, including (a) the preparation, printing and filing of the Registration Statement (including financial statements and exhibits), as originally filed and as amended, the preliminary prospectuses and the Prospectus and any amendments or supplements thereto, and the cost of furnishing copies thereto to the Underwriters, (b) the preparation, printing and distribution of this Agreement, the Senior Indenture, the Subordinated Indenture, the Warrant Agreement, the Unit Agreement and the Additional Guarantee, if any, and Blue Sky Memorandum, (c) the delivery of the Offered Securities to the Underwriters, (d) the reasonable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National Association of Securities Dealers, Inc. in connection with the review, if any, of the offering of the Securities, (g) any fees charged by rating agencies for rating the Offered Securities and (h) the fees and expenses of the Trustee, including the fees and disbursements of counsel for the Trustee, in connection</w:t>
      </w:r>
    </w:p>
    <w:p>
      <w:pPr>
        <w:sectPr>
          <w:pgSz w:w="11900" w:h="16838" w:orient="portrait"/>
          <w:cols w:equalWidth="0" w:num="1">
            <w:col w:w="10219"/>
          </w:cols>
          <w:pgMar w:left="240" w:top="919" w:right="1440" w:bottom="1440" w:gutter="0" w:footer="0" w:header="0"/>
        </w:sectPr>
      </w:pPr>
    </w:p>
    <w:bookmarkStart w:id="20" w:name="page21"/>
    <w:bookmarkEnd w:id="20"/>
    <w:p>
      <w:pPr>
        <w:ind w:left="390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with the Senior Indenture, the Subordinated Indenture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214" w:lineRule="exact"/>
        <w:rPr>
          <w:sz w:val="20"/>
          <w:szCs w:val="20"/>
          <w:color w:val="auto"/>
        </w:rPr>
      </w:pPr>
    </w:p>
    <w:p>
      <w:pPr>
        <w:ind w:right="1879" w:firstLine="535"/>
        <w:spacing w:after="0" w:line="269" w:lineRule="auto"/>
        <w:tabs>
          <w:tab w:leader="none" w:pos="84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Defaulting Underwriters. If on the Closing Date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8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 and the Issuers for the purchase of such Offered Securities are not made within 36 hours after such default, this Agreement shall terminate without liability on the part of any non-defaulting Underwriter or the Issuers. In any such case either the Manager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ectPr>
          <w:pgSz w:w="11900" w:h="16838" w:orient="portrait"/>
          <w:cols w:equalWidth="0" w:num="1">
            <w:col w:w="10219"/>
          </w:cols>
          <w:pgMar w:left="240" w:top="919" w:right="1440" w:bottom="1440" w:gutter="0" w:footer="0" w:header="0"/>
        </w:sectPr>
      </w:pPr>
    </w:p>
    <w:bookmarkStart w:id="21" w:name="page22"/>
    <w:bookmarkEnd w:id="21"/>
    <w:p>
      <w:pPr>
        <w:ind w:left="3365"/>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left="-535" w:right="1879" w:firstLine="535"/>
        <w:spacing w:after="0" w:line="236" w:lineRule="auto"/>
        <w:tabs>
          <w:tab w:leader="none" w:pos="30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The Underwriting Agreement may be signed in any number of counterparts, each of which shall be an original, with the same effect as if the signatures thereto and hereto were upon the same instrument.</w:t>
      </w:r>
    </w:p>
    <w:p>
      <w:pPr>
        <w:spacing w:after="0" w:line="208" w:lineRule="exact"/>
        <w:rPr>
          <w:rFonts w:ascii="Courier New" w:cs="Courier New" w:eastAsia="Courier New" w:hAnsi="Courier New"/>
          <w:sz w:val="18"/>
          <w:szCs w:val="18"/>
          <w:color w:val="auto"/>
        </w:rPr>
      </w:pPr>
    </w:p>
    <w:p>
      <w:pPr>
        <w:ind w:left="-535" w:right="2099" w:firstLine="535"/>
        <w:spacing w:after="0" w:line="235" w:lineRule="auto"/>
        <w:tabs>
          <w:tab w:leader="none" w:pos="41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Agreement shall be governed by and construed in accordance with the internal laws of the State of New York.</w:t>
      </w:r>
    </w:p>
    <w:p>
      <w:pPr>
        <w:spacing w:after="0" w:line="208" w:lineRule="exact"/>
        <w:rPr>
          <w:rFonts w:ascii="Courier New" w:cs="Courier New" w:eastAsia="Courier New" w:hAnsi="Courier New"/>
          <w:sz w:val="18"/>
          <w:szCs w:val="18"/>
          <w:color w:val="auto"/>
        </w:rPr>
      </w:pPr>
    </w:p>
    <w:p>
      <w:pPr>
        <w:ind w:left="-535" w:right="2199" w:firstLine="535"/>
        <w:spacing w:after="0" w:line="236" w:lineRule="auto"/>
        <w:tabs>
          <w:tab w:leader="none" w:pos="41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of the sections of this Agreement have been inserted for convenience of reference only and shall not be deemed a part of this Agreement.</w:t>
      </w:r>
    </w:p>
    <w:p>
      <w:pPr>
        <w:sectPr>
          <w:pgSz w:w="11900" w:h="16838" w:orient="portrait"/>
          <w:cols w:equalWidth="0" w:num="1">
            <w:col w:w="9684"/>
          </w:cols>
          <w:pgMar w:left="775" w:top="919" w:right="1440" w:bottom="1440" w:gutter="0" w:footer="0" w:header="0"/>
        </w:sectPr>
      </w:pPr>
    </w:p>
    <w:bookmarkStart w:id="22" w:name="page23"/>
    <w:bookmarkEnd w:id="22"/>
    <w:p>
      <w:pPr>
        <w:jc w:val="right"/>
        <w:ind w:right="1879"/>
        <w:spacing w:after="0"/>
        <w:rPr>
          <w:sz w:val="20"/>
          <w:szCs w:val="20"/>
          <w:color w:val="auto"/>
        </w:rPr>
      </w:pPr>
      <w:r>
        <w:rPr>
          <w:rFonts w:ascii="Courier New" w:cs="Courier New" w:eastAsia="Courier New" w:hAnsi="Courier New"/>
          <w:sz w:val="18"/>
          <w:szCs w:val="18"/>
          <w:color w:val="auto"/>
        </w:rPr>
        <w:t>EXHIBIT 1.2</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January 7,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(collectively, the "Manager") are acting on behalf of the underwriters (including ourselves) named below (such underwriters being herein called the "Underwriters"), and we understand that Comcast Corporation, a Pennsylvania corporation (the "Company"), proposes to issue and sell $600,000,000 aggregate principal amount of 5.85% Notes Due 2010 (the "2010 Notes") and $900,000,000 aggregate principal amount of 6.50% Notes Due 2015 (the "2015 Notes" and together with the 2010 Notes, the "Offered Securities"). The Offered Securities are to be issued pursuant to the provisions of the Indenture dated as of January 7, 2003 (the "Indenture") by and among the Company, the Cable Guarantors (as defined below) and The Bank of New York, as Trustee (the "Trustee"), and guaranteed on an unsecured and unsubordinated basis by Comcast Cable Communications, Inc., Comcast Cable Communications Holdings, Inc., Comcast Cable Holdings, LLC and Comcast MO Group, Inc. (the "Cable Guarantors").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the terms and conditions set forth or incorporated by reference herein, the Company hereby agrees to sell and the Underwriters agree to purchase, severally and not jointly, the aggregate principal amount of the 2010 Notes set forth below opposite their names at a purchase price of 99.237% and the aggregate principal amount of the 2015 Notes set forth below opposite their names at a purchase price of 99.035%, plus, in each case, accrued interest, if any, from January 10, 2003 to the date of payment and delivery (the "Purchase Price").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ind w:left="3700"/>
              <w:spacing w:after="0"/>
              <w:rPr>
                <w:sz w:val="20"/>
                <w:szCs w:val="20"/>
                <w:color w:val="auto"/>
              </w:rPr>
            </w:pPr>
            <w:r>
              <w:rPr>
                <w:rFonts w:ascii="Courier New" w:cs="Courier New" w:eastAsia="Courier New" w:hAnsi="Courier New"/>
                <w:sz w:val="18"/>
                <w:szCs w:val="18"/>
                <w:color w:val="auto"/>
              </w:rPr>
              <w:t>2010 Notes</w:t>
            </w:r>
          </w:p>
        </w:tc>
        <w:tc>
          <w:tcPr>
            <w:tcW w:w="2100" w:type="dxa"/>
            <w:vAlign w:val="bottom"/>
          </w:tcPr>
          <w:p>
            <w:pPr>
              <w:spacing w:after="0"/>
              <w:rPr>
                <w:sz w:val="17"/>
                <w:szCs w:val="17"/>
                <w:color w:val="auto"/>
              </w:rPr>
            </w:pPr>
          </w:p>
        </w:tc>
      </w:tr>
      <w:tr>
        <w:trPr>
          <w:trHeight w:val="203"/>
        </w:trPr>
        <w:tc>
          <w:tcPr>
            <w:tcW w:w="560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Underwriter</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Aggregate Principal</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 of Offered</w:t>
            </w:r>
          </w:p>
        </w:tc>
      </w:tr>
      <w:tr>
        <w:trPr>
          <w:trHeight w:val="203"/>
        </w:trPr>
        <w:tc>
          <w:tcPr>
            <w:tcW w:w="560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203"/>
        </w:trPr>
        <w:tc>
          <w:tcPr>
            <w:tcW w:w="5600" w:type="dxa"/>
            <w:vAlign w:val="bottom"/>
          </w:tcPr>
          <w:p>
            <w:pPr>
              <w:spacing w:after="0"/>
              <w:rPr>
                <w:sz w:val="17"/>
                <w:szCs w:val="17"/>
                <w:color w:val="auto"/>
              </w:rPr>
            </w:pPr>
          </w:p>
        </w:tc>
        <w:tc>
          <w:tcPr>
            <w:tcW w:w="2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 Be Purchased</w:t>
            </w:r>
          </w:p>
        </w:tc>
      </w:tr>
      <w:tr>
        <w:trPr>
          <w:trHeight w:val="203"/>
        </w:trPr>
        <w:tc>
          <w:tcPr>
            <w:tcW w:w="5600" w:type="dxa"/>
            <w:vAlign w:val="bottom"/>
          </w:tcPr>
          <w:p>
            <w:pPr>
              <w:spacing w:after="0"/>
              <w:rPr>
                <w:sz w:val="17"/>
                <w:szCs w:val="17"/>
                <w:color w:val="auto"/>
              </w:rPr>
            </w:pP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J.P. Morgan Securities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$124,000,000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 Fenner &amp; Smith</w:t>
            </w:r>
          </w:p>
        </w:tc>
        <w:tc>
          <w:tcPr>
            <w:tcW w:w="210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Incorporated....................................</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124,000,000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ind w:left="4020"/>
              <w:spacing w:after="0"/>
              <w:rPr>
                <w:sz w:val="20"/>
                <w:szCs w:val="20"/>
                <w:color w:val="auto"/>
              </w:rPr>
            </w:pPr>
            <w:r>
              <w:rPr>
                <w:rFonts w:ascii="Courier New" w:cs="Courier New" w:eastAsia="Courier New" w:hAnsi="Courier New"/>
                <w:sz w:val="18"/>
                <w:szCs w:val="18"/>
                <w:color w:val="auto"/>
              </w:rPr>
              <w:t>-2-</w:t>
            </w:r>
          </w:p>
        </w:tc>
        <w:tc>
          <w:tcPr>
            <w:tcW w:w="2100" w:type="dxa"/>
            <w:vAlign w:val="bottom"/>
          </w:tcPr>
          <w:p>
            <w:pPr>
              <w:spacing w:after="0"/>
              <w:rPr>
                <w:sz w:val="17"/>
                <w:szCs w:val="17"/>
                <w:color w:val="auto"/>
              </w:rPr>
            </w:pP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w w:val="99"/>
              </w:rPr>
              <w:t>Morgan Stanley &amp; Co. Incorporated...................</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124,000,000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Banc of America Securities LLC......................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Salomon Smith Barney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ABN AMRO Incorporated...............................</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Banc One Capital Markets,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BNY Capital Markets,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Barclays Capital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BNP Paribas Securities Corp.........................</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Deutsche Bank Securities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Dresdner Kleinwort Wasserstein Securities LLC.......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Fleet Securities,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Goldman, Sachs &amp; Co.................................</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Royal Bank of Scotland plc......................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Scotia Capital (USA)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12,000,000</w:t>
            </w:r>
          </w:p>
        </w:tc>
      </w:tr>
      <w:tr>
        <w:trPr>
          <w:trHeight w:val="405"/>
        </w:trPr>
        <w:tc>
          <w:tcPr>
            <w:tcW w:w="5600" w:type="dxa"/>
            <w:vAlign w:val="bottom"/>
          </w:tcPr>
          <w:p>
            <w:pPr>
              <w:ind w:left="420"/>
              <w:spacing w:after="0"/>
              <w:rPr>
                <w:sz w:val="20"/>
                <w:szCs w:val="20"/>
                <w:color w:val="auto"/>
              </w:rPr>
            </w:pPr>
            <w:r>
              <w:rPr>
                <w:rFonts w:ascii="Courier New" w:cs="Courier New" w:eastAsia="Courier New" w:hAnsi="Courier New"/>
                <w:sz w:val="18"/>
                <w:szCs w:val="18"/>
                <w:color w:val="auto"/>
                <w:w w:val="99"/>
              </w:rPr>
              <w:t>Total...........................................</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$600,000,000</w:t>
            </w:r>
          </w:p>
        </w:tc>
      </w:tr>
      <w:tr>
        <w:trPr>
          <w:trHeight w:val="203"/>
        </w:trPr>
        <w:tc>
          <w:tcPr>
            <w:tcW w:w="560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600" w:type="dxa"/>
            <w:vAlign w:val="bottom"/>
          </w:tcPr>
          <w:p>
            <w:pPr>
              <w:ind w:left="3700"/>
              <w:spacing w:after="0"/>
              <w:rPr>
                <w:sz w:val="20"/>
                <w:szCs w:val="20"/>
                <w:color w:val="auto"/>
              </w:rPr>
            </w:pPr>
            <w:r>
              <w:rPr>
                <w:rFonts w:ascii="Courier New" w:cs="Courier New" w:eastAsia="Courier New" w:hAnsi="Courier New"/>
                <w:sz w:val="18"/>
                <w:szCs w:val="18"/>
                <w:color w:val="auto"/>
              </w:rPr>
              <w:t>2015 Notes</w:t>
            </w:r>
          </w:p>
        </w:tc>
        <w:tc>
          <w:tcPr>
            <w:tcW w:w="2100" w:type="dxa"/>
            <w:vAlign w:val="bottom"/>
          </w:tcPr>
          <w:p>
            <w:pPr>
              <w:spacing w:after="0"/>
              <w:rPr>
                <w:sz w:val="24"/>
                <w:szCs w:val="24"/>
                <w:color w:val="auto"/>
              </w:rPr>
            </w:pPr>
          </w:p>
        </w:tc>
      </w:tr>
      <w:tr>
        <w:trPr>
          <w:trHeight w:val="203"/>
        </w:trPr>
        <w:tc>
          <w:tcPr>
            <w:tcW w:w="560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Underwriter</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Aggregate Principal</w:t>
            </w:r>
          </w:p>
        </w:tc>
      </w:tr>
    </w:tbl>
    <w:p>
      <w:pPr>
        <w:sectPr>
          <w:pgSz w:w="11900" w:h="16838" w:orient="portrait"/>
          <w:cols w:equalWidth="0" w:num="1">
            <w:col w:w="10219"/>
          </w:cols>
          <w:pgMar w:left="240" w:top="339" w:right="1440"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Amount of Offered</w:t>
            </w:r>
          </w:p>
        </w:tc>
      </w:tr>
      <w:tr>
        <w:trPr>
          <w:trHeight w:val="203"/>
        </w:trPr>
        <w:tc>
          <w:tcPr>
            <w:tcW w:w="560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203"/>
        </w:trPr>
        <w:tc>
          <w:tcPr>
            <w:tcW w:w="5600" w:type="dxa"/>
            <w:vAlign w:val="bottom"/>
          </w:tcPr>
          <w:p>
            <w:pPr>
              <w:spacing w:after="0"/>
              <w:rPr>
                <w:sz w:val="17"/>
                <w:szCs w:val="17"/>
                <w:color w:val="auto"/>
              </w:rPr>
            </w:pPr>
          </w:p>
        </w:tc>
        <w:tc>
          <w:tcPr>
            <w:tcW w:w="2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 Be Purchased</w:t>
            </w:r>
          </w:p>
        </w:tc>
      </w:tr>
      <w:tr>
        <w:trPr>
          <w:trHeight w:val="203"/>
        </w:trPr>
        <w:tc>
          <w:tcPr>
            <w:tcW w:w="5600" w:type="dxa"/>
            <w:vAlign w:val="bottom"/>
          </w:tcPr>
          <w:p>
            <w:pPr>
              <w:spacing w:after="0"/>
              <w:rPr>
                <w:sz w:val="17"/>
                <w:szCs w:val="17"/>
                <w:color w:val="auto"/>
              </w:rPr>
            </w:pP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J.P. Morgan Securities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 Fenner &amp; Smith</w:t>
            </w:r>
          </w:p>
        </w:tc>
        <w:tc>
          <w:tcPr>
            <w:tcW w:w="210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Incorporated....................................</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Morgan Stanley &amp; Co. Incorporated...................</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Banc of America Securities LLC......................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Salomon Smith Barney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ABN AMRO Incorporated...............................</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Banc One Capital Markets,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BNY Capital Markets,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Barclays Capital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BNP Paribas Securities Corp.........................</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Deutsche Bank Securities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Dresdner Kleinwort Wasserstein Securities LLC.......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Fleet Securities,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Goldman, Sachs &amp; Co.................................</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Royal Bank of Scotland plc......................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Scotia Capital (USA) Inc............................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18,000,000</w:t>
            </w:r>
          </w:p>
        </w:tc>
      </w:tr>
      <w:tr>
        <w:trPr>
          <w:trHeight w:val="203"/>
        </w:trPr>
        <w:tc>
          <w:tcPr>
            <w:tcW w:w="560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ind w:left="420"/>
              <w:spacing w:after="0"/>
              <w:rPr>
                <w:sz w:val="20"/>
                <w:szCs w:val="20"/>
                <w:color w:val="auto"/>
              </w:rPr>
            </w:pPr>
            <w:r>
              <w:rPr>
                <w:rFonts w:ascii="Courier New" w:cs="Courier New" w:eastAsia="Courier New" w:hAnsi="Courier New"/>
                <w:sz w:val="18"/>
                <w:szCs w:val="18"/>
                <w:color w:val="auto"/>
                <w:w w:val="99"/>
              </w:rPr>
              <w:t>Total...........................................</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$900,000,000</w:t>
            </w:r>
          </w:p>
        </w:tc>
      </w:tr>
      <w:tr>
        <w:trPr>
          <w:trHeight w:val="203"/>
        </w:trPr>
        <w:tc>
          <w:tcPr>
            <w:tcW w:w="560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1440" w:gutter="0" w:footer="0" w:header="0"/>
        </w:sectPr>
      </w:pPr>
    </w:p>
    <w:bookmarkStart w:id="24" w:name="page25"/>
    <w:bookmarkEnd w:id="24"/>
    <w:p>
      <w:pPr>
        <w:ind w:left="40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Underwriters will pay for the Offered Securities upon delivery thereof at the offices of Davis Polk &amp; Wardwell, 1600 El Camino Real, Menlo Park, California at 10:00 a.m. (New York time) on January 10, 2003, or at such other time, not later than 5:00 p.m. (New York time) on January 17, 2003, as shall be designated in writing by the Underwriters and the Company. The time and date of such payment and delivery are hereinafter referred to as the Closing Date.</w:t>
      </w:r>
    </w:p>
    <w:p>
      <w:pPr>
        <w:spacing w:after="0" w:line="186"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Offered Securities shall have the terms set forth in the Prospectus dated December 23, 2002 and the Prospectus Supplement dated January 7, 2003, including the following: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Offered Securities:</w:t>
      </w:r>
    </w:p>
    <w:p>
      <w:pPr>
        <w:spacing w:after="0" w:line="201" w:lineRule="exact"/>
        <w:rPr>
          <w:sz w:val="20"/>
          <w:szCs w:val="20"/>
          <w:color w:val="auto"/>
        </w:rPr>
      </w:pPr>
    </w:p>
    <w:p>
      <w:pPr>
        <w:jc w:val="right"/>
        <w:ind w:right="4419"/>
        <w:spacing w:after="0"/>
        <w:tabs>
          <w:tab w:leader="none" w:pos="5580" w:val="left"/>
        </w:tabs>
        <w:rPr>
          <w:sz w:val="20"/>
          <w:szCs w:val="20"/>
          <w:color w:val="auto"/>
        </w:rPr>
      </w:pPr>
      <w:r>
        <w:rPr>
          <w:rFonts w:ascii="Courier New" w:cs="Courier New" w:eastAsia="Courier New" w:hAnsi="Courier New"/>
          <w:sz w:val="18"/>
          <w:szCs w:val="18"/>
          <w:color w:val="auto"/>
        </w:rPr>
        <w:t>Maturity Date:</w:t>
      </w:r>
      <w:r>
        <w:rPr>
          <w:sz w:val="20"/>
          <w:szCs w:val="20"/>
          <w:color w:val="auto"/>
        </w:rPr>
        <w:tab/>
      </w:r>
      <w:r>
        <w:rPr>
          <w:rFonts w:ascii="Courier New" w:cs="Courier New" w:eastAsia="Courier New" w:hAnsi="Courier New"/>
          <w:sz w:val="16"/>
          <w:szCs w:val="16"/>
          <w:color w:val="auto"/>
        </w:rPr>
        <w:t>2010 Notes - January 15, 2010</w:t>
      </w:r>
    </w:p>
    <w:p>
      <w:pPr>
        <w:jc w:val="right"/>
        <w:ind w:right="4419"/>
        <w:spacing w:after="0" w:line="238" w:lineRule="auto"/>
        <w:rPr>
          <w:sz w:val="20"/>
          <w:szCs w:val="20"/>
          <w:color w:val="auto"/>
        </w:rPr>
      </w:pPr>
      <w:r>
        <w:rPr>
          <w:rFonts w:ascii="Courier New" w:cs="Courier New" w:eastAsia="Courier New" w:hAnsi="Courier New"/>
          <w:sz w:val="18"/>
          <w:szCs w:val="18"/>
          <w:color w:val="auto"/>
        </w:rPr>
        <w:t>2015 Notes - January 15, 2015</w:t>
      </w:r>
    </w:p>
    <w:p>
      <w:pPr>
        <w:spacing w:after="0" w:line="202" w:lineRule="exact"/>
        <w:rPr>
          <w:sz w:val="20"/>
          <w:szCs w:val="20"/>
          <w:color w:val="auto"/>
        </w:rPr>
      </w:pPr>
    </w:p>
    <w:p>
      <w:pPr>
        <w:jc w:val="right"/>
        <w:ind w:right="5579"/>
        <w:spacing w:after="0"/>
        <w:tabs>
          <w:tab w:leader="none" w:pos="5580" w:val="left"/>
        </w:tabs>
        <w:rPr>
          <w:sz w:val="20"/>
          <w:szCs w:val="20"/>
          <w:color w:val="auto"/>
        </w:rPr>
      </w:pPr>
      <w:r>
        <w:rPr>
          <w:rFonts w:ascii="Courier New" w:cs="Courier New" w:eastAsia="Courier New" w:hAnsi="Courier New"/>
          <w:sz w:val="18"/>
          <w:szCs w:val="18"/>
          <w:color w:val="auto"/>
        </w:rPr>
        <w:t>Interest Rate:</w:t>
      </w:r>
      <w:r>
        <w:rPr>
          <w:sz w:val="20"/>
          <w:szCs w:val="20"/>
          <w:color w:val="auto"/>
        </w:rPr>
        <w:tab/>
      </w:r>
      <w:r>
        <w:rPr>
          <w:rFonts w:ascii="Courier New" w:cs="Courier New" w:eastAsia="Courier New" w:hAnsi="Courier New"/>
          <w:sz w:val="16"/>
          <w:szCs w:val="16"/>
          <w:color w:val="auto"/>
        </w:rPr>
        <w:t>2010 Notes - 5.85%</w:t>
      </w:r>
    </w:p>
    <w:p>
      <w:pPr>
        <w:jc w:val="right"/>
        <w:ind w:right="5579"/>
        <w:spacing w:after="0" w:line="238" w:lineRule="auto"/>
        <w:rPr>
          <w:sz w:val="20"/>
          <w:szCs w:val="20"/>
          <w:color w:val="auto"/>
        </w:rPr>
      </w:pPr>
      <w:r>
        <w:rPr>
          <w:rFonts w:ascii="Courier New" w:cs="Courier New" w:eastAsia="Courier New" w:hAnsi="Courier New"/>
          <w:sz w:val="18"/>
          <w:szCs w:val="18"/>
          <w:color w:val="auto"/>
        </w:rPr>
        <w:t>2015 Notes - 6.50%</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Redemption Provisions: The Company may at its option redeem the Offered Securities in whole or in part, at any time or from time to time prior to their maturity, on at least 30 days, but not more than 90 days, prior notice mailed to the registered address of each holder of the applicable series of Offered Securities, at a redemption price equal to the greater of (i) 100% of the principal amount of such Offered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in each case, the Treasury Rate plus 30 basis points for the notes due 2010 (the "2010 Make-Whole Amount") and 40 basis points for the notes due 2015 (the "2015 Make-Whole Amount" and together with the 2010 Make-Whole Amount, the "Make-Whole Amount"), plus in each case accrued interest thereon to the date of redemption; and as further described in the Prospectus Supplement dated January 7, 2003.</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Interest Payment Dates: January 15 and July 15, commencing July 15, 2003. (Interest accrues from January 10, 2003)</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Form and Denomination: Global; $1,000 denominations and multiples thereof.</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Ranking: Senior unsecured.</w:t>
      </w:r>
    </w:p>
    <w:p>
      <w:pPr>
        <w:sectPr>
          <w:pgSz w:w="11900" w:h="16838" w:orient="portrait"/>
          <w:cols w:equalWidth="0" w:num="1">
            <w:col w:w="10219"/>
          </w:cols>
          <w:pgMar w:left="240" w:top="919" w:right="1440" w:bottom="1440" w:gutter="0" w:footer="0" w:header="0"/>
        </w:sectPr>
      </w:pPr>
    </w:p>
    <w:bookmarkStart w:id="25" w:name="page26"/>
    <w:bookmarkEnd w:id="25"/>
    <w:p>
      <w:pPr>
        <w:ind w:left="40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Terms: As set forth in the Prospectus Supplement.</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Capitalized terms used above and not defined herein shall have the meanings set forth in the Prospectus and Prospectus Supplement referred to above.</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Except as set forth below, all provisions contained in the document entitled Comcast Corporation Underwriting Agreement Standard Provisions (Debt Securities, Warrants, Purchase Contracts, Units and Guarantees) dated December 23, 2002,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ectPr>
          <w:pgSz w:w="11900" w:h="16838" w:orient="portrait"/>
          <w:cols w:equalWidth="0" w:num="1">
            <w:col w:w="10219"/>
          </w:cols>
          <w:pgMar w:left="240" w:top="919" w:right="1440" w:bottom="1440" w:gutter="0" w:footer="0" w:header="0"/>
        </w:sectPr>
      </w:pPr>
    </w:p>
    <w:bookmarkStart w:id="26" w:name="page27"/>
    <w:bookmarkEnd w:id="26"/>
    <w:p>
      <w:pPr>
        <w:ind w:left="40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Please confirm your agreement by having an authorized officer sign a copy of this Agreement in the space set forth below.</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J.P. MORGAN SECURITIES INC.</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MERRILL LYNCH, PIERCE, FENNER &amp; SMITH</w:t>
      </w:r>
    </w:p>
    <w:p>
      <w:pPr>
        <w:ind w:left="464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On behalf of themselves and the other</w:t>
      </w:r>
    </w:p>
    <w:p>
      <w:pPr>
        <w:ind w:left="4440"/>
        <w:spacing w:after="0" w:line="238" w:lineRule="auto"/>
        <w:rPr>
          <w:sz w:val="20"/>
          <w:szCs w:val="20"/>
          <w:color w:val="auto"/>
        </w:rPr>
      </w:pPr>
      <w:r>
        <w:rPr>
          <w:rFonts w:ascii="Courier New" w:cs="Courier New" w:eastAsia="Courier New" w:hAnsi="Courier New"/>
          <w:sz w:val="18"/>
          <w:szCs w:val="18"/>
          <w:color w:val="auto"/>
        </w:rPr>
        <w:t>Underwriters named herein</w:t>
      </w:r>
    </w:p>
    <w:p>
      <w:pPr>
        <w:sectPr>
          <w:pgSz w:w="11900" w:h="16838" w:orient="portrait"/>
          <w:cols w:equalWidth="0" w:num="1">
            <w:col w:w="10219"/>
          </w:cols>
          <w:pgMar w:left="240" w:top="919" w:right="1440" w:bottom="1440" w:gutter="0" w:footer="0" w:header="0"/>
        </w:sectPr>
      </w:pPr>
    </w:p>
    <w:bookmarkStart w:id="27" w:name="page28"/>
    <w:bookmarkEnd w:id="27"/>
    <w:p>
      <w:pPr>
        <w:ind w:left="40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CABLE COMMUNICATIONS,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CABLE COMMUNICATIONS HOLDINGS, INC.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CABLE HOLDINGS,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MO GROUP,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919" w:right="1440" w:bottom="1440" w:gutter="0" w:footer="0" w:header="0"/>
        </w:sectPr>
      </w:pPr>
    </w:p>
    <w:bookmarkStart w:id="28" w:name="page29"/>
    <w:bookmarkEnd w:id="28"/>
    <w:p>
      <w:pPr>
        <w:ind w:left="7180"/>
        <w:spacing w:after="0"/>
        <w:rPr>
          <w:sz w:val="20"/>
          <w:szCs w:val="20"/>
          <w:color w:val="auto"/>
        </w:rPr>
      </w:pPr>
      <w:r>
        <w:rPr>
          <w:rFonts w:ascii="Courier New" w:cs="Courier New" w:eastAsia="Courier New" w:hAnsi="Courier New"/>
          <w:sz w:val="16"/>
          <w:szCs w:val="16"/>
          <w:color w:val="auto"/>
        </w:rPr>
        <w:t>EXHIBIT 4.1</w:t>
      </w:r>
    </w:p>
    <w:p>
      <w:pPr>
        <w:spacing w:after="0" w:line="200" w:lineRule="exact"/>
        <w:rPr>
          <w:sz w:val="20"/>
          <w:szCs w:val="20"/>
          <w:color w:val="auto"/>
        </w:rPr>
      </w:pPr>
    </w:p>
    <w:p>
      <w:pPr>
        <w:spacing w:after="0" w:line="22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 UNLESS THIS SECURITY IS PRESENTED BY AN AUTHORIZED REPRESENTATIVE OF THE DEPOSITORY TRUST COMPANY, A NEW YORK CORPORATION ("DTC"), TO THE COMPANY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160"/>
        <w:spacing w:after="0" w:line="238" w:lineRule="auto"/>
        <w:rPr>
          <w:sz w:val="20"/>
          <w:szCs w:val="20"/>
          <w:color w:val="auto"/>
        </w:rPr>
      </w:pPr>
      <w:r>
        <w:rPr>
          <w:rFonts w:ascii="Courier New" w:cs="Courier New" w:eastAsia="Courier New" w:hAnsi="Courier New"/>
          <w:sz w:val="18"/>
          <w:szCs w:val="18"/>
          <w:color w:val="auto"/>
        </w:rPr>
        <w:t>5.85% Note Due 2010</w:t>
      </w:r>
    </w:p>
    <w:p>
      <w:pPr>
        <w:sectPr>
          <w:pgSz w:w="11900" w:h="16838" w:orient="portrait"/>
          <w:cols w:equalWidth="0" w:num="1">
            <w:col w:w="10219"/>
          </w:cols>
          <w:pgMar w:left="240" w:top="344"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jc w:val="right"/>
        <w:ind w:right="1879"/>
        <w:spacing w:after="0"/>
        <w:rPr>
          <w:sz w:val="20"/>
          <w:szCs w:val="20"/>
          <w:color w:val="auto"/>
        </w:rPr>
      </w:pPr>
      <w:r>
        <w:rPr>
          <w:rFonts w:ascii="Courier New" w:cs="Courier New" w:eastAsia="Courier New" w:hAnsi="Courier New"/>
          <w:sz w:val="16"/>
          <w:szCs w:val="16"/>
          <w:color w:val="auto"/>
        </w:rPr>
        <w:t>CUSIP No.: 20030NAA9</w:t>
      </w:r>
    </w:p>
    <w:p>
      <w:pPr>
        <w:spacing w:after="0" w:line="1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ectPr>
          <w:pgSz w:w="11900" w:h="16838" w:orient="portrait"/>
          <w:cols w:equalWidth="0" w:num="2">
            <w:col w:w="5500" w:space="720"/>
            <w:col w:w="3999"/>
          </w:cols>
          <w:pgMar w:left="240" w:top="344" w:right="1440" w:bottom="1440" w:gutter="0" w:footer="0" w:header="0"/>
          <w:type w:val="continuous"/>
        </w:sectPr>
      </w:pP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COMCAST CORPORATION, a Pennsylvania corporation (the "Issuer", which term includes any successor corporation), for value received promises to pay to CEDE &amp; CO. or registered assigns, the principal sum of [ ] on January 15, 2010.</w:t>
      </w:r>
    </w:p>
    <w:p>
      <w:pPr>
        <w:spacing w:after="0" w:line="17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Interest Payment Dates: January 15 and July 15 (each, an "Interest Payment Date"), commencing on July 15, 2003.</w:t>
      </w:r>
    </w:p>
    <w:p>
      <w:pPr>
        <w:spacing w:after="0" w:line="208" w:lineRule="exact"/>
        <w:rPr>
          <w:sz w:val="20"/>
          <w:szCs w:val="20"/>
          <w:color w:val="auto"/>
        </w:rPr>
      </w:pPr>
    </w:p>
    <w:p>
      <w:pPr>
        <w:jc w:val="both"/>
        <w:ind w:right="2319" w:firstLine="527"/>
        <w:spacing w:after="0" w:line="235" w:lineRule="auto"/>
        <w:rPr>
          <w:sz w:val="20"/>
          <w:szCs w:val="20"/>
          <w:color w:val="auto"/>
        </w:rPr>
      </w:pPr>
      <w:r>
        <w:rPr>
          <w:rFonts w:ascii="Courier New" w:cs="Courier New" w:eastAsia="Courier New" w:hAnsi="Courier New"/>
          <w:sz w:val="18"/>
          <w:szCs w:val="18"/>
          <w:color w:val="auto"/>
        </w:rPr>
        <w:t>Interest Record Dates: January 1 and July 1 (each, an "Interest Record Date").</w:t>
      </w:r>
    </w:p>
    <w:p>
      <w:pPr>
        <w:spacing w:after="0" w:line="208"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Reference is made to the further provisions of this Security contained herein, which will for all purposes have the same effect as if set forth at this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IN WITNESS WHEREOF, the Issuer has caused this Security to be signed manually or by facsimile by its duly authorized officer under its corporate seal.</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5880" w:val="left"/>
        </w:tabs>
        <w:rPr>
          <w:sz w:val="20"/>
          <w:szCs w:val="20"/>
          <w:color w:val="auto"/>
        </w:rPr>
      </w:pPr>
      <w:r>
        <w:rPr>
          <w:rFonts w:ascii="Courier New" w:cs="Courier New" w:eastAsia="Courier New" w:hAnsi="Courier New"/>
          <w:sz w:val="18"/>
          <w:szCs w:val="18"/>
          <w:color w:val="auto"/>
        </w:rPr>
        <w:t>Name:</w:t>
        <w:tab/>
        <w:t>William E. Dordelman</w:t>
      </w:r>
    </w:p>
    <w:p>
      <w:pPr>
        <w:ind w:left="5160"/>
        <w:spacing w:after="0" w:line="238" w:lineRule="auto"/>
        <w:rPr>
          <w:sz w:val="20"/>
          <w:szCs w:val="20"/>
          <w:color w:val="auto"/>
        </w:rPr>
      </w:pPr>
      <w:r>
        <w:rPr>
          <w:rFonts w:ascii="Courier New" w:cs="Courier New" w:eastAsia="Courier New" w:hAnsi="Courier New"/>
          <w:sz w:val="18"/>
          <w:szCs w:val="18"/>
          <w:color w:val="auto"/>
        </w:rPr>
        <w:t>Title: Vice President Finance</w:t>
      </w:r>
    </w:p>
    <w:p>
      <w:pPr>
        <w:ind w:left="5900"/>
        <w:spacing w:after="0"/>
        <w:rPr>
          <w:sz w:val="20"/>
          <w:szCs w:val="20"/>
          <w:color w:val="auto"/>
        </w:rPr>
      </w:pPr>
      <w:r>
        <w:rPr>
          <w:rFonts w:ascii="Courier New" w:cs="Courier New" w:eastAsia="Courier New" w:hAnsi="Courier New"/>
          <w:sz w:val="18"/>
          <w:szCs w:val="18"/>
          <w:color w:val="auto"/>
        </w:rPr>
        <w:t>and Assistant Treasurer</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[Seal of 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32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1060"/>
        <w:spacing w:after="0" w:line="238" w:lineRule="auto"/>
        <w:rPr>
          <w:sz w:val="20"/>
          <w:szCs w:val="20"/>
          <w:color w:val="auto"/>
        </w:rPr>
      </w:pPr>
      <w:r>
        <w:rPr>
          <w:rFonts w:ascii="Courier New" w:cs="Courier New" w:eastAsia="Courier New" w:hAnsi="Courier New"/>
          <w:sz w:val="18"/>
          <w:szCs w:val="18"/>
          <w:color w:val="auto"/>
        </w:rPr>
        <w:t>General Counsel and</w:t>
      </w:r>
    </w:p>
    <w:p>
      <w:pPr>
        <w:ind w:left="106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344" w:right="1440" w:bottom="1440" w:gutter="0" w:footer="0" w:header="0"/>
          <w:type w:val="continuous"/>
        </w:sectPr>
      </w:pPr>
    </w:p>
    <w:bookmarkStart w:id="29" w:name="page30"/>
    <w:bookmarkEnd w:id="29"/>
    <w:p>
      <w:pPr>
        <w:ind w:right="2739" w:firstLine="527"/>
        <w:spacing w:after="0" w:line="235" w:lineRule="auto"/>
        <w:rPr>
          <w:sz w:val="20"/>
          <w:szCs w:val="20"/>
          <w:color w:val="auto"/>
        </w:rPr>
      </w:pPr>
      <w:r>
        <w:rPr>
          <w:rFonts w:ascii="Courier New" w:cs="Courier New" w:eastAsia="Courier New" w:hAnsi="Courier New"/>
          <w:sz w:val="18"/>
          <w:szCs w:val="18"/>
          <w:color w:val="auto"/>
        </w:rPr>
        <w:t>This is one of the series designated herein and referred to in the withinmentioned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10, 2003</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THE BANK OF NEW YORK,</w:t>
      </w:r>
    </w:p>
    <w:p>
      <w:pPr>
        <w:ind w:left="506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Authorized Signatory</w:t>
      </w:r>
    </w:p>
    <w:p>
      <w:pPr>
        <w:sectPr>
          <w:pgSz w:w="11900" w:h="16838" w:orient="portrait"/>
          <w:cols w:equalWidth="0" w:num="1">
            <w:col w:w="10219"/>
          </w:cols>
          <w:pgMar w:left="240" w:top="925" w:right="1440" w:bottom="1440" w:gutter="0" w:footer="0" w:header="0"/>
        </w:sectPr>
      </w:pPr>
    </w:p>
    <w:bookmarkStart w:id="30" w:name="page31"/>
    <w:bookmarkEnd w:id="30"/>
    <w:p>
      <w:pPr>
        <w:jc w:val="center"/>
        <w:ind w:right="1879"/>
        <w:spacing w:after="0"/>
        <w:rPr>
          <w:sz w:val="20"/>
          <w:szCs w:val="20"/>
          <w:color w:val="auto"/>
        </w:rPr>
      </w:pPr>
      <w:r>
        <w:rPr>
          <w:rFonts w:ascii="Courier New" w:cs="Courier New" w:eastAsia="Courier New" w:hAnsi="Courier New"/>
          <w:sz w:val="18"/>
          <w:szCs w:val="18"/>
          <w:color w:val="auto"/>
        </w:rPr>
        <w:t>(REVERSE OF SECURITY)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5.85% Note Due 2010</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CORPORATION, a Pennsylvania corporation (the "Issuer"), promises to pay interest on the principal amount of this Security at the rate per annum shown above. Cash interest on the Securities will accrue from the most recent date to which interest has been paid or, if no interest has been paid, from January 10, 2003. The Issuer will pay interest semi-annually in arrears on each Interest Payment Date, commencing July 15, 2003. Interest will be computed on the basis of a 360-day year of twelve 30-day months.</w:t>
      </w: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Method of Payment.</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("U.S. Legal Tender").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ectPr>
          <w:pgSz w:w="11900" w:h="16838" w:orient="portrait"/>
          <w:cols w:equalWidth="0" w:num="1">
            <w:col w:w="10219"/>
          </w:cols>
          <w:pgMar w:left="240" w:top="919" w:right="1440" w:bottom="1440" w:gutter="0" w:footer="0" w:header="0"/>
        </w:sectPr>
      </w:pPr>
    </w:p>
    <w:bookmarkStart w:id="31" w:name="page32"/>
    <w:bookmarkEnd w:id="31"/>
    <w:p>
      <w:pPr>
        <w:ind w:left="540"/>
        <w:spacing w:after="0"/>
        <w:rPr>
          <w:sz w:val="20"/>
          <w:szCs w:val="20"/>
          <w:color w:val="auto"/>
        </w:rPr>
      </w:pPr>
      <w:r>
        <w:rPr>
          <w:rFonts w:ascii="Courier New" w:cs="Courier New" w:eastAsia="Courier New" w:hAnsi="Courier New"/>
          <w:sz w:val="18"/>
          <w:szCs w:val="18"/>
          <w:color w:val="auto"/>
        </w:rPr>
        <w:t>3. Paying Agent.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Initially, The Bank of New York (the "Trustee") will act as Paying Agent.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Issuer may change any Paying Agent without notice to the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 Indenture.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Issuer issued the Securities under an Indenture, dated as of January 7, 2003 (the "Indenture"), among the Issuer, the Cable Guarantors party thereto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"TIA"),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 Cable Guarantees.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 Denominations; Transfer; Exchange.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Securities are in registered form, without coupons, in denominations of $1,000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of any security selected for redemption in whole or in part.</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 Persons Deemed Owners.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registered Holder of a Security shall be treated as the owner of it for all purposes.</w:t>
      </w:r>
    </w:p>
    <w:p>
      <w:pPr>
        <w:sectPr>
          <w:pgSz w:w="11900" w:h="16838" w:orient="portrait"/>
          <w:cols w:equalWidth="0" w:num="1">
            <w:col w:w="10219"/>
          </w:cols>
          <w:pgMar w:left="240" w:top="919" w:right="1440" w:bottom="1440" w:gutter="0" w:footer="0" w:header="0"/>
        </w:sectPr>
      </w:pPr>
    </w:p>
    <w:bookmarkStart w:id="32" w:name="page33"/>
    <w:bookmarkEnd w:id="32"/>
    <w:p>
      <w:pPr>
        <w:ind w:left="540"/>
        <w:spacing w:after="0"/>
        <w:rPr>
          <w:sz w:val="20"/>
          <w:szCs w:val="20"/>
          <w:color w:val="auto"/>
        </w:rPr>
      </w:pPr>
      <w:r>
        <w:rPr>
          <w:rFonts w:ascii="Courier New" w:cs="Courier New" w:eastAsia="Courier New" w:hAnsi="Courier New"/>
          <w:sz w:val="18"/>
          <w:szCs w:val="18"/>
          <w:color w:val="auto"/>
        </w:rPr>
        <w:t>8. Unclaimed Funds.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 Legal Defeasance and Covenant Defeasance.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 Amendment; Supplement; Waiver.</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adversely affect the rights of any Holder of a Security.</w:t>
      </w:r>
    </w:p>
    <w:p>
      <w:pPr>
        <w:spacing w:after="0" w:line="3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 Restrictive Covenants.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Indenture contains certain covenants that, among other things, limit the ability of the Issuer and the Cable Guarantors to incur liens securing indebtedness, or to enter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 Redemption.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Issuer will have the right at its option to redeem any of the Securities in whole or in part, at any time or from time to time prior to their maturity, on at least 30 days, but not more than 60 days, prior notice mailed to the registered</w:t>
      </w:r>
    </w:p>
    <w:p>
      <w:pPr>
        <w:sectPr>
          <w:pgSz w:w="11900" w:h="16838" w:orient="portrait"/>
          <w:cols w:equalWidth="0" w:num="1">
            <w:col w:w="10219"/>
          </w:cols>
          <w:pgMar w:left="240" w:top="919" w:right="1440" w:bottom="1440" w:gutter="0" w:footer="0" w:header="0"/>
        </w:sectPr>
      </w:pPr>
    </w:p>
    <w:bookmarkStart w:id="33" w:name="page34"/>
    <w:bookmarkEnd w:id="33"/>
    <w:p>
      <w:pPr>
        <w:ind w:right="1879"/>
        <w:spacing w:after="0" w:line="237" w:lineRule="auto"/>
        <w:rPr>
          <w:sz w:val="20"/>
          <w:szCs w:val="20"/>
          <w:color w:val="auto"/>
        </w:rPr>
      </w:pPr>
      <w:r>
        <w:rPr>
          <w:rFonts w:ascii="Courier New" w:cs="Courier New" w:eastAsia="Courier New" w:hAnsi="Courier New"/>
          <w:sz w:val="18"/>
          <w:szCs w:val="18"/>
          <w:color w:val="auto"/>
        </w:rPr>
        <w:t>address of each holder of the applicable series of Securities,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in each case, the Treasury Rate plus 30 basis points plus accrued interest thereon to the date of redemption.</w:t>
      </w:r>
    </w:p>
    <w:p>
      <w:pPr>
        <w:spacing w:after="0" w:line="21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5"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"Comparable Treasury Issue"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notes.</w:t>
      </w:r>
    </w:p>
    <w:p>
      <w:pPr>
        <w:spacing w:after="0" w:line="186"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"Independent Investment Banker" means one of the Reference Treasury Dealers appointed by the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"Comparable Treasury Price" means, with respect to any redemption date,</w:t>
      </w:r>
    </w:p>
    <w:p>
      <w:pPr>
        <w:spacing w:after="0" w:line="4" w:lineRule="exact"/>
        <w:rPr>
          <w:sz w:val="20"/>
          <w:szCs w:val="20"/>
          <w:color w:val="auto"/>
        </w:rPr>
      </w:pPr>
    </w:p>
    <w:p>
      <w:pPr>
        <w:ind w:right="187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"Reference Treasury Dealer" means each of J.P. Morgan Securities Inc., Merrill Lynch, Pierce, Fenner &amp; Smith Incorporated and Morgan Stanley &amp; Co. Incorporated or their affiliates which are primary United States government securities dealers, and their respective successors; provided, however, that if any of the foregoing shall cease to be a primary United States government securities dealer in The City of New York (a "Primary Treasury Dealer"), the Issuer will substitute therefor another Primary Treasury Dealer.</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 On and after the redemption date, interest will cease to accrue on the Securities or any portion of the Securities called for redemption (unless the Company defaults in the payment of the redemption price and accrued interest).</w:t>
      </w:r>
    </w:p>
    <w:p>
      <w:pPr>
        <w:sectPr>
          <w:pgSz w:w="11900" w:h="16838" w:orient="portrait"/>
          <w:cols w:equalWidth="0" w:num="1">
            <w:col w:w="10219"/>
          </w:cols>
          <w:pgMar w:left="240" w:top="925" w:right="1440" w:bottom="1440" w:gutter="0" w:footer="0" w:header="0"/>
        </w:sectPr>
      </w:pPr>
    </w:p>
    <w:bookmarkStart w:id="34" w:name="page35"/>
    <w:bookmarkEnd w:id="34"/>
    <w:p>
      <w:pPr>
        <w:ind w:right="1879" w:firstLine="527"/>
        <w:spacing w:after="0" w:line="237" w:lineRule="auto"/>
        <w:rPr>
          <w:sz w:val="20"/>
          <w:szCs w:val="20"/>
          <w:color w:val="auto"/>
        </w:rPr>
      </w:pPr>
      <w:r>
        <w:rPr>
          <w:rFonts w:ascii="Courier New" w:cs="Courier New" w:eastAsia="Courier New" w:hAnsi="Courier New"/>
          <w:sz w:val="18"/>
          <w:szCs w:val="18"/>
          <w:color w:val="auto"/>
        </w:rPr>
        <w:t>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of any series are to be redeemed, the Securities to be redeemed shall be selected by the Trustee by such method as the Trustee shall deem fair and appropriate.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 Defaults and Remedies.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 Trustee Dealings with Issuer.</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Trustee under the Indenture, in its individual or any other capacity, may become the owner or pledgee of Securities and may otherwise deal with the Issuer as if it were not the Trustee.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 No Recourse Against Others.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w:t>
      </w:r>
    </w:p>
    <w:p>
      <w:pPr>
        <w:sectPr>
          <w:pgSz w:w="11900" w:h="16838" w:orient="portrait"/>
          <w:cols w:equalWidth="0" w:num="1">
            <w:col w:w="10219"/>
          </w:cols>
          <w:pgMar w:left="240" w:top="925" w:right="1440" w:bottom="1440" w:gutter="0" w:footer="0" w:header="0"/>
        </w:sectPr>
      </w:pPr>
    </w:p>
    <w:bookmarkStart w:id="35" w:name="page36"/>
    <w:bookmarkEnd w:id="35"/>
    <w:p>
      <w:pPr>
        <w:ind w:right="1999"/>
        <w:spacing w:after="0" w:line="235" w:lineRule="auto"/>
        <w:rPr>
          <w:sz w:val="20"/>
          <w:szCs w:val="20"/>
          <w:color w:val="auto"/>
        </w:rPr>
      </w:pPr>
      <w:r>
        <w:rPr>
          <w:rFonts w:ascii="Courier New" w:cs="Courier New" w:eastAsia="Courier New" w:hAnsi="Courier New"/>
          <w:sz w:val="18"/>
          <w:szCs w:val="18"/>
          <w:color w:val="auto"/>
        </w:rPr>
        <w:t>waives and releases all such liability. The waiver and release are part of the consideration for the issuance of the Securities.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16. Authentication.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This Security shall not be valid until the Trustee manually signs the certificate of authentication on this Security.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17. Abbreviations and Defined Terms.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18. CUSIP Numbers.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19. Governing Law.</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laws of the State of New York shall govern the Indenture and this Security thereof.</w:t>
      </w:r>
    </w:p>
    <w:p>
      <w:pPr>
        <w:sectPr>
          <w:pgSz w:w="11900" w:h="16838" w:orient="portrait"/>
          <w:cols w:equalWidth="0" w:num="1">
            <w:col w:w="10219"/>
          </w:cols>
          <w:pgMar w:left="240" w:top="925" w:right="1440" w:bottom="1440" w:gutter="0" w:footer="0" w:header="0"/>
        </w:sectPr>
      </w:pPr>
    </w:p>
    <w:bookmarkStart w:id="36" w:name="page37"/>
    <w:bookmarkEnd w:id="36"/>
    <w:p>
      <w:pPr>
        <w:ind w:left="3380"/>
        <w:spacing w:after="0"/>
        <w:rPr>
          <w:sz w:val="20"/>
          <w:szCs w:val="20"/>
          <w:color w:val="auto"/>
        </w:rPr>
      </w:pPr>
      <w:r>
        <w:rPr>
          <w:rFonts w:ascii="Courier New" w:cs="Courier New" w:eastAsia="Courier New" w:hAnsi="Courier New"/>
          <w:sz w:val="18"/>
          <w:szCs w:val="18"/>
          <w:color w:val="auto"/>
        </w:rPr>
        <w:t>ASSIGNMENT FORM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or we assign and transfer this Security to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(Print or type name, address and zip code of assignee or transferee)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(Insert Social Security or other identifying number of assignee or transferee)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irrevocably appoint_________________________________________ agent to</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transfer this Security on the books of the Issuer. The agent may substitute another to act for him.</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_______________________</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Signed:_____________________________</w:t>
      </w:r>
    </w:p>
    <w:p>
      <w:pPr>
        <w:ind w:left="740"/>
        <w:spacing w:after="0" w:line="238" w:lineRule="auto"/>
        <w:rPr>
          <w:sz w:val="20"/>
          <w:szCs w:val="20"/>
          <w:color w:val="auto"/>
        </w:rPr>
      </w:pPr>
      <w:r>
        <w:rPr>
          <w:rFonts w:ascii="Courier New" w:cs="Courier New" w:eastAsia="Courier New" w:hAnsi="Courier New"/>
          <w:sz w:val="18"/>
          <w:szCs w:val="18"/>
          <w:color w:val="auto"/>
        </w:rPr>
        <w:t>(Signed exactly as name appears</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on the other side of this Security)</w:t>
      </w:r>
    </w:p>
    <w:p>
      <w:pPr>
        <w:spacing w:after="0" w:line="200" w:lineRule="exact"/>
        <w:rPr>
          <w:sz w:val="20"/>
          <w:szCs w:val="20"/>
          <w:color w:val="auto"/>
        </w:rPr>
      </w:pPr>
    </w:p>
    <w:p>
      <w:pPr>
        <w:sectPr>
          <w:pgSz w:w="11900" w:h="16838" w:orient="portrait"/>
          <w:cols w:equalWidth="0" w:num="2">
            <w:col w:w="3160" w:space="640"/>
            <w:col w:w="6419"/>
          </w:cols>
          <w:pgMar w:left="240" w:top="919"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6"/>
          <w:szCs w:val="16"/>
          <w:color w:val="auto"/>
        </w:rPr>
        <w:t>_________________________________________ Participant in a recognized Signature Guarantee Medallion Program (or other signature guarantor program reasonably acceptable to the Trustee)</w:t>
      </w:r>
    </w:p>
    <w:p>
      <w:pPr>
        <w:sectPr>
          <w:pgSz w:w="11900" w:h="16838" w:orient="portrait"/>
          <w:cols w:equalWidth="0" w:num="2">
            <w:col w:w="3080" w:space="720"/>
            <w:col w:w="6419"/>
          </w:cols>
          <w:pgMar w:left="240" w:top="919" w:right="1440" w:bottom="1440" w:gutter="0" w:footer="0" w:header="0"/>
          <w:type w:val="continuous"/>
        </w:sectPr>
      </w:pPr>
    </w:p>
    <w:bookmarkStart w:id="37" w:name="page38"/>
    <w:bookmarkEnd w:id="37"/>
    <w:p>
      <w:pPr>
        <w:jc w:val="right"/>
        <w:ind w:right="1879"/>
        <w:spacing w:after="0"/>
        <w:rPr>
          <w:sz w:val="20"/>
          <w:szCs w:val="20"/>
          <w:color w:val="auto"/>
        </w:rPr>
      </w:pPr>
      <w:r>
        <w:rPr>
          <w:rFonts w:ascii="Courier New" w:cs="Courier New" w:eastAsia="Courier New" w:hAnsi="Courier New"/>
          <w:sz w:val="18"/>
          <w:szCs w:val="18"/>
          <w:color w:val="auto"/>
        </w:rPr>
        <w:t>EXHIBIT 4.2</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 UNLESS THIS SECURITY IS PRESENTED BY AN AUTHORIZED REPRESENTATIVE OF THE DEPOSITORY TRUST COMPANY, A NEW YORK CORPORATION ("DTC"), TO THE COMPANY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160"/>
        <w:spacing w:after="0" w:line="238" w:lineRule="auto"/>
        <w:rPr>
          <w:sz w:val="20"/>
          <w:szCs w:val="20"/>
          <w:color w:val="auto"/>
        </w:rPr>
      </w:pPr>
      <w:r>
        <w:rPr>
          <w:rFonts w:ascii="Courier New" w:cs="Courier New" w:eastAsia="Courier New" w:hAnsi="Courier New"/>
          <w:sz w:val="18"/>
          <w:szCs w:val="18"/>
          <w:color w:val="auto"/>
        </w:rPr>
        <w:t>6.50% Note Due 2015</w:t>
      </w:r>
    </w:p>
    <w:p>
      <w:pPr>
        <w:sectPr>
          <w:pgSz w:w="11900" w:h="16838" w:orient="portrait"/>
          <w:cols w:equalWidth="0" w:num="1">
            <w:col w:w="10219"/>
          </w:cols>
          <w:pgMar w:left="240" w:top="339" w:right="1440" w:bottom="97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6"/>
          <w:szCs w:val="16"/>
          <w:color w:val="auto"/>
        </w:rPr>
        <w:t>CUSIP No.: 20030NAB7</w:t>
      </w:r>
    </w:p>
    <w:p>
      <w:pPr>
        <w:spacing w:after="0" w:line="16" w:lineRule="exact"/>
        <w:rPr>
          <w:sz w:val="20"/>
          <w:szCs w:val="20"/>
          <w:color w:val="auto"/>
        </w:rPr>
      </w:pPr>
    </w:p>
    <w:p>
      <w:pPr>
        <w:jc w:val="right"/>
        <w:ind w:right="1999"/>
        <w:spacing w:after="0"/>
        <w:tabs>
          <w:tab w:leader="none" w:pos="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400" w:space="720"/>
            <w:col w:w="4099"/>
          </w:cols>
          <w:pgMar w:left="240" w:top="339" w:right="1440" w:bottom="970" w:gutter="0" w:footer="0" w:header="0"/>
          <w:type w:val="continuous"/>
        </w:sectPr>
      </w:pPr>
    </w:p>
    <w:p>
      <w:pPr>
        <w:spacing w:after="0" w:line="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COMCAST CORPORATION, a Pennsylvania corporation (the "Issuer", which term includes any successor corporation), for value received promises to pay to CEDE &amp; CO. or registered assigns, the principal sum of [ ] on January 15, 2015.</w:t>
      </w:r>
    </w:p>
    <w:p>
      <w:pPr>
        <w:spacing w:after="0" w:line="17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Interest Payment Dates: January 15 and July 15 (each, an "Interest Payment Date"), commencing on July 15, 2003.</w:t>
      </w:r>
    </w:p>
    <w:p>
      <w:pPr>
        <w:spacing w:after="0" w:line="208" w:lineRule="exact"/>
        <w:rPr>
          <w:sz w:val="20"/>
          <w:szCs w:val="20"/>
          <w:color w:val="auto"/>
        </w:rPr>
      </w:pPr>
    </w:p>
    <w:p>
      <w:pPr>
        <w:jc w:val="both"/>
        <w:ind w:right="2319" w:firstLine="527"/>
        <w:spacing w:after="0" w:line="235" w:lineRule="auto"/>
        <w:rPr>
          <w:sz w:val="20"/>
          <w:szCs w:val="20"/>
          <w:color w:val="auto"/>
        </w:rPr>
      </w:pPr>
      <w:r>
        <w:rPr>
          <w:rFonts w:ascii="Courier New" w:cs="Courier New" w:eastAsia="Courier New" w:hAnsi="Courier New"/>
          <w:sz w:val="18"/>
          <w:szCs w:val="18"/>
          <w:color w:val="auto"/>
        </w:rPr>
        <w:t>Interest Record Dates: January 1 and July 1 (each, an "Interest Record Date").</w:t>
      </w:r>
    </w:p>
    <w:p>
      <w:pPr>
        <w:spacing w:after="0" w:line="208"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Reference is made to the further provisions of this Security contained herein, which will for all purposes have the same effect as if set forth at this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IN WITNESS WHEREOF, the Issuer has caused this Security to be signed manually or by facsimile by its duly authorized officer under its corporate seal.</w:t>
      </w:r>
    </w:p>
    <w:p>
      <w:pPr>
        <w:spacing w:after="0" w:line="203"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E. Dordelman</w:t>
      </w:r>
    </w:p>
    <w:p>
      <w:pPr>
        <w:ind w:left="4540"/>
        <w:spacing w:after="0" w:line="237" w:lineRule="auto"/>
        <w:rPr>
          <w:sz w:val="20"/>
          <w:szCs w:val="20"/>
          <w:color w:val="auto"/>
        </w:rPr>
      </w:pPr>
      <w:r>
        <w:rPr>
          <w:rFonts w:ascii="Courier New" w:cs="Courier New" w:eastAsia="Courier New" w:hAnsi="Courier New"/>
          <w:sz w:val="18"/>
          <w:szCs w:val="18"/>
          <w:color w:val="auto"/>
        </w:rPr>
        <w:t>Title: Vice President Finance and</w:t>
      </w:r>
    </w:p>
    <w:p>
      <w:pPr>
        <w:ind w:left="5280"/>
        <w:spacing w:after="0" w:line="238" w:lineRule="auto"/>
        <w:rPr>
          <w:sz w:val="20"/>
          <w:szCs w:val="20"/>
          <w:color w:val="auto"/>
        </w:rPr>
      </w:pPr>
      <w:r>
        <w:rPr>
          <w:rFonts w:ascii="Courier New" w:cs="Courier New" w:eastAsia="Courier New" w:hAnsi="Courier New"/>
          <w:sz w:val="18"/>
          <w:szCs w:val="18"/>
          <w:color w:val="auto"/>
        </w:rPr>
        <w:t>Assistant Treasurer</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[Seal of Comcast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32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1060"/>
        <w:spacing w:after="0" w:line="238" w:lineRule="auto"/>
        <w:rPr>
          <w:sz w:val="20"/>
          <w:szCs w:val="20"/>
          <w:color w:val="auto"/>
        </w:rPr>
      </w:pPr>
      <w:r>
        <w:rPr>
          <w:rFonts w:ascii="Courier New" w:cs="Courier New" w:eastAsia="Courier New" w:hAnsi="Courier New"/>
          <w:sz w:val="18"/>
          <w:szCs w:val="18"/>
          <w:color w:val="auto"/>
        </w:rPr>
        <w:t>General Counsel and</w:t>
      </w:r>
    </w:p>
    <w:p>
      <w:pPr>
        <w:ind w:left="10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970" w:gutter="0" w:footer="0" w:header="0"/>
          <w:type w:val="continuous"/>
        </w:sectPr>
      </w:pPr>
    </w:p>
    <w:bookmarkStart w:id="38" w:name="page39"/>
    <w:bookmarkEnd w:id="38"/>
    <w:p>
      <w:pPr>
        <w:ind w:right="2739" w:firstLine="527"/>
        <w:spacing w:after="0" w:line="235" w:lineRule="auto"/>
        <w:rPr>
          <w:sz w:val="20"/>
          <w:szCs w:val="20"/>
          <w:color w:val="auto"/>
        </w:rPr>
      </w:pPr>
      <w:r>
        <w:rPr>
          <w:rFonts w:ascii="Courier New" w:cs="Courier New" w:eastAsia="Courier New" w:hAnsi="Courier New"/>
          <w:sz w:val="18"/>
          <w:szCs w:val="18"/>
          <w:color w:val="auto"/>
        </w:rPr>
        <w:t>This is one of the series designated herein and referred to in the within-mentioned Indenture.</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10, 2003</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BANK OF NEW YORK,</w:t>
      </w:r>
    </w:p>
    <w:p>
      <w:pPr>
        <w:ind w:left="444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9" w:name="page40"/>
    <w:bookmarkEnd w:id="39"/>
    <w:p>
      <w:pPr>
        <w:jc w:val="center"/>
        <w:ind w:right="1879"/>
        <w:spacing w:after="0"/>
        <w:rPr>
          <w:sz w:val="20"/>
          <w:szCs w:val="20"/>
          <w:color w:val="auto"/>
        </w:rPr>
      </w:pPr>
      <w:r>
        <w:rPr>
          <w:rFonts w:ascii="Courier New" w:cs="Courier New" w:eastAsia="Courier New" w:hAnsi="Courier New"/>
          <w:sz w:val="18"/>
          <w:szCs w:val="18"/>
          <w:color w:val="auto"/>
        </w:rPr>
        <w:t>(REVERSE OF SECURITY)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6.50% Note Due 2015</w:t>
      </w:r>
    </w:p>
    <w:p>
      <w:pPr>
        <w:spacing w:after="0" w:line="200" w:lineRule="exact"/>
        <w:rPr>
          <w:sz w:val="20"/>
          <w:szCs w:val="20"/>
          <w:color w:val="auto"/>
        </w:rPr>
      </w:pPr>
    </w:p>
    <w:p>
      <w:pPr>
        <w:spacing w:after="0" w:line="204"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CORPORATION, a Pennsylvania corporation (the "Issuer"), promises to pay interest on the principal amount of this Security at the rate per annum shown above. Cash interest on the Securities will accrue from the most recent date to which interest has been paid or, if no interest has been paid, from January 10, 2003. The Issuer will pay interest semi-annually in arrears on each Interest Payment Date, commencing July 15, 2003. Interest will be computed on the basis of a 360-day year of twelve 30-day months.</w:t>
      </w: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3" w:lineRule="exact"/>
        <w:rPr>
          <w:sz w:val="20"/>
          <w:szCs w:val="20"/>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("U.S. Legal Tender").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40" w:name="page41"/>
    <w:bookmarkEnd w:id="40"/>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Agent.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Initially, The Bank of New York (the "Trustee") will act as Paying Agent.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Issuer may change any Paying Agent without notice to the Holders.</w:t>
      </w:r>
    </w:p>
    <w:p>
      <w:pPr>
        <w:spacing w:after="0" w:line="201" w:lineRule="exact"/>
        <w:rPr>
          <w:sz w:val="20"/>
          <w:szCs w:val="20"/>
          <w:color w:val="auto"/>
        </w:r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Issuer issued the Securities under an Indenture, dated as of January 7, 2003 (the "Indenture"), among the Issuer, the Cable Guarantors party thereto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"TIA"),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02" w:lineRule="exact"/>
        <w:rPr>
          <w:sz w:val="20"/>
          <w:szCs w:val="20"/>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 Guarantees.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80" w:lineRule="exact"/>
        <w:rPr>
          <w:sz w:val="20"/>
          <w:szCs w:val="20"/>
          <w:color w:val="auto"/>
        </w:rPr>
      </w:pPr>
    </w:p>
    <w:p>
      <w:pPr>
        <w:ind w:left="1060" w:hanging="525"/>
        <w:spacing w:after="0"/>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Denominations; Transfer; Exchange.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Securities are in registered form, without coupons, in denominations of $1,000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of any security selected for redemption in whole or in part.</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41" w:name="page42"/>
    <w:bookmarkEnd w:id="41"/>
    <w:p>
      <w:pPr>
        <w:ind w:left="1060" w:hanging="525"/>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Deemed Owners.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registered Holder of a Security shall be treated as the owner of it for all purposes.</w:t>
      </w:r>
    </w:p>
    <w:p>
      <w:pPr>
        <w:spacing w:after="0" w:line="203" w:lineRule="exact"/>
        <w:rPr>
          <w:sz w:val="20"/>
          <w:szCs w:val="20"/>
          <w:color w:val="auto"/>
        </w:rPr>
      </w:pPr>
    </w:p>
    <w:p>
      <w:pPr>
        <w:ind w:left="1060" w:hanging="525"/>
        <w:spacing w:after="0"/>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Unclaimed Funds.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02" w:lineRule="exact"/>
        <w:rPr>
          <w:sz w:val="20"/>
          <w:szCs w:val="20"/>
          <w:color w:val="auto"/>
        </w:rPr>
      </w:pPr>
    </w:p>
    <w:p>
      <w:pPr>
        <w:ind w:left="1060" w:hanging="525"/>
        <w:spacing w:after="0"/>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Defeasance and Covenant Defeasance.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04" w:lineRule="exact"/>
        <w:rPr>
          <w:sz w:val="20"/>
          <w:szCs w:val="20"/>
          <w:color w:val="auto"/>
        </w:rPr>
      </w:pPr>
    </w:p>
    <w:p>
      <w:pPr>
        <w:ind w:left="1060" w:hanging="525"/>
        <w:spacing w:after="0"/>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Supplement; Waiver.</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adversely affect the rights of any Holder of a Security.</w:t>
      </w:r>
    </w:p>
    <w:p>
      <w:pPr>
        <w:spacing w:after="0" w:line="384" w:lineRule="exact"/>
        <w:rPr>
          <w:sz w:val="20"/>
          <w:szCs w:val="20"/>
          <w:color w:val="auto"/>
        </w:rPr>
      </w:pPr>
    </w:p>
    <w:p>
      <w:pPr>
        <w:ind w:left="1060" w:hanging="525"/>
        <w:spacing w:after="0"/>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Restrictive Covenants.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Indenture contains certain covenants that, among other things, limit the ability of the Issuer and the Cable Guarantors to incur liens securing indebtedness, or to enter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42" w:name="page43"/>
    <w:bookmarkEnd w:id="42"/>
    <w:p>
      <w:pPr>
        <w:ind w:left="1060" w:hanging="525"/>
        <w:spacing w:after="0"/>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applicable series of Securities,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in each case, the Treasury Rate plus 40 basis points plus accrued interest thereon to the date of redemption.</w:t>
      </w:r>
    </w:p>
    <w:p>
      <w:pPr>
        <w:spacing w:after="0" w:line="21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5"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"Comparable Treasury Issue"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notes.</w:t>
      </w:r>
    </w:p>
    <w:p>
      <w:pPr>
        <w:spacing w:after="0" w:line="186"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"Independent Investment Banker" means one of the Reference Treasury Dealers appointed by the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"Comparable Treasury Price" means, with respect to any redemption date,</w:t>
      </w:r>
    </w:p>
    <w:p>
      <w:pPr>
        <w:spacing w:after="0" w:line="4" w:lineRule="exact"/>
        <w:rPr>
          <w:sz w:val="20"/>
          <w:szCs w:val="20"/>
          <w:color w:val="auto"/>
        </w:rPr>
      </w:pPr>
    </w:p>
    <w:p>
      <w:pPr>
        <w:ind w:right="1879" w:firstLine="8"/>
        <w:spacing w:after="0" w:line="237"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"Reference Treasury Dealer" means each of J.P. Morgan Securities Inc., Merrill Lynch, Pierce, Fenner &amp; Smith Incorporated and Morgan Stanley &amp; Co. Incorporated or their affiliates which are primary United States government securities dealers, and their respective successors; provided, however, that if any of the foregoing shall cease to be a primary United States government securities dealer in The City of New York (a "Primary Treasury Dealer"), the Issuer will substitute therefor another Primary Treasury Dealer.</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43" w:name="page44"/>
    <w:bookmarkEnd w:id="43"/>
    <w:p>
      <w:pPr>
        <w:ind w:right="2099" w:firstLine="527"/>
        <w:spacing w:after="0" w:line="237" w:lineRule="auto"/>
        <w:rPr>
          <w:sz w:val="20"/>
          <w:szCs w:val="20"/>
          <w:color w:val="auto"/>
        </w:rPr>
      </w:pPr>
      <w:r>
        <w:rPr>
          <w:rFonts w:ascii="Courier New" w:cs="Courier New" w:eastAsia="Courier New" w:hAnsi="Courier New"/>
          <w:sz w:val="18"/>
          <w:szCs w:val="18"/>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and after the redemption date, interest will cease to accrue on the Securities or any portion of the Securities called for redemption (unless the Company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of any series are to be redeemed, the Securities to be redeemed shall be selected by the Trustee by such method as the Trustee shall deem fair and appropriate.</w:t>
      </w:r>
    </w:p>
    <w:p>
      <w:pPr>
        <w:spacing w:after="0" w:line="209" w:lineRule="exact"/>
        <w:rPr>
          <w:sz w:val="20"/>
          <w:szCs w:val="20"/>
          <w:color w:val="auto"/>
        </w:rPr>
      </w:pPr>
    </w:p>
    <w:p>
      <w:pPr>
        <w:ind w:left="1060" w:hanging="525"/>
        <w:spacing w:after="0"/>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and Remedies.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90" w:lineRule="exact"/>
        <w:rPr>
          <w:sz w:val="20"/>
          <w:szCs w:val="20"/>
          <w:color w:val="auto"/>
        </w:rPr>
      </w:pPr>
    </w:p>
    <w:p>
      <w:pPr>
        <w:ind w:left="1060" w:hanging="525"/>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Dealings with Issuer.</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Trustee under the Indenture, in its individual or any other capacity, may become the owner or pledgee of Securities and may otherwise deal with the Issuer as if it were not the Trustee.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44" w:name="page45"/>
    <w:bookmarkEnd w:id="44"/>
    <w:p>
      <w:pPr>
        <w:ind w:left="1060" w:hanging="525"/>
        <w:spacing w:after="0"/>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Recourse Against Others.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05" w:lineRule="exact"/>
        <w:rPr>
          <w:sz w:val="20"/>
          <w:szCs w:val="20"/>
          <w:color w:val="auto"/>
        </w:rPr>
      </w:pPr>
    </w:p>
    <w:p>
      <w:pPr>
        <w:ind w:left="1060" w:hanging="525"/>
        <w:spacing w:after="0"/>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Authentication.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This Security shall not be valid until the Trustee manually signs the certificate of authentication on this Security. 17. Abbreviations and Defined Terms.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03" w:lineRule="exact"/>
        <w:rPr>
          <w:sz w:val="20"/>
          <w:szCs w:val="20"/>
          <w:color w:val="auto"/>
        </w:rPr>
      </w:pPr>
    </w:p>
    <w:p>
      <w:pPr>
        <w:ind w:left="1060" w:hanging="525"/>
        <w:spacing w:after="0"/>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04" w:lineRule="exact"/>
        <w:rPr>
          <w:sz w:val="20"/>
          <w:szCs w:val="20"/>
          <w:color w:val="auto"/>
        </w:rPr>
      </w:pPr>
    </w:p>
    <w:p>
      <w:pPr>
        <w:ind w:left="1060" w:hanging="525"/>
        <w:spacing w:after="0"/>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laws of the State of New York shall govern the Indenture and this Security thereof.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45" w:name="page46"/>
    <w:bookmarkEnd w:id="45"/>
    <w:p>
      <w:pPr>
        <w:ind w:left="3380"/>
        <w:spacing w:after="0"/>
        <w:rPr>
          <w:sz w:val="20"/>
          <w:szCs w:val="20"/>
          <w:color w:val="auto"/>
        </w:rPr>
      </w:pPr>
      <w:r>
        <w:rPr>
          <w:rFonts w:ascii="Courier New" w:cs="Courier New" w:eastAsia="Courier New" w:hAnsi="Courier New"/>
          <w:sz w:val="18"/>
          <w:szCs w:val="18"/>
          <w:color w:val="auto"/>
        </w:rPr>
        <w:t>ASSIGNMENT FORM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or we assign and transfer this Security to</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(Print or type name, address and zip code of assignee or transferee)</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(Insert Social Security or other identifying number of assignee or transferee)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irrevocably appoint_____________________________________________ agent to</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transfer this Security on the books of the Issuer. The agent may substitute another to act for him.</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_________________________</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__________________________________</w:t>
      </w:r>
    </w:p>
    <w:p>
      <w:pPr>
        <w:ind w:left="840"/>
        <w:spacing w:after="0" w:line="238" w:lineRule="auto"/>
        <w:rPr>
          <w:sz w:val="20"/>
          <w:szCs w:val="20"/>
          <w:color w:val="auto"/>
        </w:rPr>
      </w:pPr>
      <w:r>
        <w:rPr>
          <w:rFonts w:ascii="Courier New" w:cs="Courier New" w:eastAsia="Courier New" w:hAnsi="Courier New"/>
          <w:sz w:val="18"/>
          <w:szCs w:val="18"/>
          <w:color w:val="auto"/>
        </w:rPr>
        <w:t>(Signed exactly as name appears</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on the other side of this Security)</w:t>
      </w:r>
    </w:p>
    <w:p>
      <w:pPr>
        <w:spacing w:after="0" w:line="200" w:lineRule="exact"/>
        <w:rPr>
          <w:sz w:val="20"/>
          <w:szCs w:val="20"/>
          <w:color w:val="auto"/>
        </w:rPr>
      </w:pPr>
    </w:p>
    <w:p>
      <w:pPr>
        <w:sectPr>
          <w:pgSz w:w="11900" w:h="16838" w:orient="portrait"/>
          <w:cols w:equalWidth="0" w:num="2">
            <w:col w:w="3380" w:space="520"/>
            <w:col w:w="6319"/>
          </w:cols>
          <w:pgMar w:left="240" w:top="919"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ind w:right="1879"/>
        <w:spacing w:after="0" w:line="275" w:lineRule="auto"/>
        <w:rPr>
          <w:sz w:val="20"/>
          <w:szCs w:val="20"/>
          <w:color w:val="auto"/>
        </w:rPr>
      </w:pPr>
      <w:r>
        <w:rPr>
          <w:rFonts w:ascii="Courier New" w:cs="Courier New" w:eastAsia="Courier New" w:hAnsi="Courier New"/>
          <w:sz w:val="16"/>
          <w:szCs w:val="16"/>
          <w:color w:val="auto"/>
        </w:rPr>
        <w:t>_______________________________________________ Participant in a recognized Signature Guarantee Medallion Program (or other signature guarantor program reasonably acceptable to the Trustee)</w:t>
      </w:r>
    </w:p>
    <w:p>
      <w:pPr>
        <w:spacing w:after="0" w:line="200" w:lineRule="exact"/>
        <w:rPr>
          <w:sz w:val="20"/>
          <w:szCs w:val="20"/>
          <w:color w:val="auto"/>
        </w:rPr>
      </w:pPr>
    </w:p>
    <w:p>
      <w:pPr>
        <w:sectPr>
          <w:pgSz w:w="11900" w:h="16838" w:orient="portrait"/>
          <w:cols w:equalWidth="0" w:num="2">
            <w:col w:w="2660" w:space="720"/>
            <w:col w:w="6839"/>
          </w:cols>
          <w:pgMar w:left="240" w:top="919" w:right="1440" w:bottom="1440" w:gutter="0" w:footer="0" w:header="0"/>
          <w:type w:val="continuous"/>
        </w:sect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lvl w:ilvl="1">
      <w:lvlJc w:val="left"/>
      <w:lvlText w:val="(%2)"/>
      <w:numFmt w:val="lowerRoman"/>
      <w:start w:val="1"/>
    </w:lvl>
  </w:abstractNum>
  <w:abstractNum w:abstractNumId="1">
    <w:nsid w:val="721DA317"/>
    <w:multiLevelType w:val="hybridMultilevel"/>
    <w:lvl w:ilvl="0">
      <w:lvlJc w:val="left"/>
      <w:lvlText w:val="(%1)"/>
      <w:numFmt w:val="lowerRoman"/>
      <w:start w:val="4"/>
    </w:lvl>
  </w:abstractNum>
  <w:abstractNum w:abstractNumId="2">
    <w:nsid w:val="2443A858"/>
    <w:multiLevelType w:val="hybridMultilevel"/>
    <w:lvl w:ilvl="0">
      <w:lvlJc w:val="left"/>
      <w:lvlText w:val="%1"/>
      <w:numFmt w:val="decimal"/>
      <w:start w:val="1"/>
    </w:lvl>
    <w:lvl w:ilvl="1">
      <w:lvlJc w:val="left"/>
      <w:lvlText w:val="(%2)"/>
      <w:numFmt w:val="lowerRoman"/>
      <w:start w:val="7"/>
    </w:lvl>
  </w:abstractNum>
  <w:abstractNum w:abstractNumId="3">
    <w:nsid w:val="2D1D5AE9"/>
    <w:multiLevelType w:val="hybridMultilevel"/>
    <w:lvl w:ilvl="0">
      <w:lvlJc w:val="left"/>
      <w:lvlText w:val="%1."/>
      <w:numFmt w:val="decimal"/>
      <w:start w:val="2"/>
    </w:lvl>
    <w:lvl w:ilvl="1">
      <w:lvlJc w:val="left"/>
      <w:lvlText w:val="%2"/>
      <w:numFmt w:val="lowerRoman"/>
      <w:start w:val="1"/>
    </w:lvl>
  </w:abstractNum>
  <w:abstractNum w:abstractNumId="4">
    <w:nsid w:val="6763845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
    <w:nsid w:val="75A2A8D4"/>
    <w:multiLevelType w:val="hybridMultilevel"/>
    <w:lvl w:ilvl="0">
      <w:lvlJc w:val="left"/>
      <w:lvlText w:val="(%1)"/>
      <w:numFmt w:val="lowerRoman"/>
      <w:start w:val="2"/>
    </w:lvl>
  </w:abstractNum>
  <w:abstractNum w:abstractNumId="6">
    <w:nsid w:val="8EDBDAB"/>
    <w:multiLevelType w:val="hybridMultilevel"/>
    <w:lvl w:ilvl="0">
      <w:lvlJc w:val="left"/>
      <w:lvlText w:val="(%1)"/>
      <w:numFmt w:val="lowerRoman"/>
      <w:start w:val="10"/>
    </w:lvl>
  </w:abstractNum>
  <w:abstractNum w:abstractNumId="7">
    <w:nsid w:val="79838CB2"/>
    <w:multiLevelType w:val="hybridMultilevel"/>
    <w:lvl w:ilvl="0">
      <w:lvlJc w:val="left"/>
      <w:lvlText w:val="(%1)"/>
      <w:numFmt w:val="lowerRoman"/>
      <w:start w:val="11"/>
    </w:lvl>
  </w:abstractNum>
  <w:abstractNum w:abstractNumId="8">
    <w:nsid w:val="4353D0CD"/>
    <w:multiLevelType w:val="hybridMultilevel"/>
    <w:lvl w:ilvl="0">
      <w:lvlJc w:val="left"/>
      <w:lvlText w:val="(%1)"/>
      <w:numFmt w:val="lowerLetter"/>
      <w:start w:val="4"/>
    </w:lvl>
    <w:lvl w:ilvl="1">
      <w:lvlJc w:val="left"/>
      <w:lvlText w:val="(%2)"/>
      <w:numFmt w:val="lowerRoman"/>
      <w:start w:val="1"/>
    </w:lvl>
  </w:abstractNum>
  <w:abstractNum w:abstractNumId="9">
    <w:nsid w:val="B03E0C6"/>
    <w:multiLevelType w:val="hybridMultilevel"/>
    <w:lvl w:ilvl="0">
      <w:lvlJc w:val="left"/>
      <w:lvlText w:val="(%1)"/>
      <w:numFmt w:val="lowerRoman"/>
      <w:start w:val="3"/>
    </w:lvl>
  </w:abstractNum>
  <w:abstractNum w:abstractNumId="10">
    <w:nsid w:val="189A769B"/>
    <w:multiLevelType w:val="hybridMultilevel"/>
    <w:lvl w:ilvl="0">
      <w:lvlJc w:val="left"/>
      <w:lvlText w:val="(%1)"/>
      <w:numFmt w:val="lowerRoman"/>
      <w:start w:val="7"/>
    </w:lvl>
  </w:abstractNum>
  <w:abstractNum w:abstractNumId="11">
    <w:nsid w:val="54E49EB4"/>
    <w:multiLevelType w:val="hybridMultilevel"/>
    <w:lvl w:ilvl="0">
      <w:lvlJc w:val="left"/>
      <w:lvlText w:val="(%1)"/>
      <w:numFmt w:val="lowerLetter"/>
      <w:start w:val="5"/>
    </w:lvl>
    <w:lvl w:ilvl="1">
      <w:lvlJc w:val="left"/>
      <w:lvlText w:val="(%2)"/>
      <w:numFmt w:val="lowerRoman"/>
      <w:start w:val="1"/>
    </w:lvl>
  </w:abstractNum>
  <w:abstractNum w:abstractNumId="12">
    <w:nsid w:val="71F32454"/>
    <w:multiLevelType w:val="hybridMultilevel"/>
    <w:lvl w:ilvl="0">
      <w:lvlJc w:val="left"/>
      <w:lvlText w:val="%1"/>
      <w:numFmt w:val="lowerLetter"/>
      <w:start w:val="1"/>
    </w:lvl>
    <w:lvl w:ilvl="1">
      <w:lvlJc w:val="left"/>
      <w:lvlText w:val="(%2)"/>
      <w:numFmt w:val="lowerRoman"/>
      <w:start w:val="3"/>
    </w:lvl>
  </w:abstractNum>
  <w:abstractNum w:abstractNumId="13">
    <w:nsid w:val="2CA88611"/>
    <w:multiLevelType w:val="hybridMultilevel"/>
    <w:lvl w:ilvl="0">
      <w:lvlJc w:val="left"/>
      <w:lvlText w:val="(%1)"/>
      <w:numFmt w:val="lowerLetter"/>
      <w:start w:val="6"/>
    </w:lvl>
    <w:lvl w:ilvl="1">
      <w:lvlJc w:val="left"/>
      <w:lvlText w:val="%2"/>
      <w:numFmt w:val="lowerRoman"/>
      <w:start w:val="1"/>
    </w:lvl>
  </w:abstractNum>
  <w:abstractNum w:abstractNumId="14">
    <w:nsid w:val="836C40E"/>
    <w:multiLevelType w:val="hybridMultilevel"/>
    <w:lvl w:ilvl="0">
      <w:lvlJc w:val="left"/>
      <w:lvlText w:val="%1"/>
      <w:numFmt w:val="decimal"/>
      <w:start w:val="1"/>
    </w:lvl>
    <w:lvl w:ilvl="1">
      <w:lvlJc w:val="left"/>
      <w:lvlText w:val="(%2)"/>
      <w:numFmt w:val="lowerLetter"/>
      <w:start w:val="8"/>
    </w:lvl>
  </w:abstractNum>
  <w:abstractNum w:abstractNumId="15">
    <w:nsid w:val="2901D82"/>
    <w:multiLevelType w:val="hybridMultilevel"/>
    <w:lvl w:ilvl="0">
      <w:lvlJc w:val="left"/>
      <w:lvlText w:val="%1."/>
      <w:numFmt w:val="decimal"/>
      <w:start w:val="5"/>
    </w:lvl>
    <w:lvl w:ilvl="1">
      <w:lvlJc w:val="left"/>
      <w:lvlText w:val="(%2)"/>
      <w:numFmt w:val="lowerLetter"/>
      <w:start w:val="1"/>
    </w:lvl>
  </w:abstractNum>
  <w:abstractNum w:abstractNumId="16">
    <w:nsid w:val="3A95F874"/>
    <w:multiLevelType w:val="hybridMultilevel"/>
    <w:lvl w:ilvl="0">
      <w:lvlJc w:val="left"/>
      <w:lvlText w:val="%1"/>
      <w:numFmt w:val="decimal"/>
      <w:start w:val="1"/>
    </w:lvl>
    <w:lvl w:ilvl="1">
      <w:lvlJc w:val="left"/>
      <w:lvlText w:val="(%2)"/>
      <w:numFmt w:val="lowerLetter"/>
      <w:start w:val="3"/>
    </w:lvl>
  </w:abstractNum>
  <w:abstractNum w:abstractNumId="17">
    <w:nsid w:val="8138641"/>
    <w:multiLevelType w:val="hybridMultilevel"/>
    <w:lvl w:ilvl="0">
      <w:lvlJc w:val="left"/>
      <w:lvlText w:val="%1."/>
      <w:numFmt w:val="decimal"/>
      <w:start w:val="6"/>
    </w:lvl>
    <w:lvl w:ilvl="1">
      <w:lvlJc w:val="left"/>
      <w:lvlText w:val="%2"/>
      <w:numFmt w:val="lowerLetter"/>
      <w:start w:val="1"/>
    </w:lvl>
  </w:abstractNum>
  <w:abstractNum w:abstractNumId="18">
    <w:nsid w:val="1E7FF521"/>
    <w:multiLevelType w:val="hybridMultilevel"/>
    <w:lvl w:ilvl="0">
      <w:lvlJc w:val="left"/>
      <w:lvlText w:val="%1."/>
      <w:numFmt w:val="decimal"/>
      <w:start w:val="7"/>
    </w:lvl>
  </w:abstractNum>
  <w:abstractNum w:abstractNumId="19">
    <w:nsid w:val="7C3DBD3D"/>
    <w:multiLevelType w:val="hybridMultilevel"/>
    <w:lvl w:ilvl="0">
      <w:lvlJc w:val="left"/>
      <w:lvlText w:val="%1."/>
      <w:numFmt w:val="decimal"/>
      <w:start w:val="8"/>
    </w:lvl>
  </w:abstractNum>
  <w:abstractNum w:abstractNumId="20">
    <w:nsid w:val="737B8DDC"/>
    <w:multiLevelType w:val="hybridMultilevel"/>
    <w:lvl w:ilvl="0">
      <w:lvlJc w:val="left"/>
      <w:lvlText w:val="%1."/>
      <w:numFmt w:val="decimal"/>
      <w:start w:val="9"/>
    </w:lvl>
  </w:abstractNum>
  <w:abstractNum w:abstractNumId="21">
    <w:nsid w:val="6CEAF087"/>
    <w:multiLevelType w:val="hybridMultilevel"/>
    <w:lvl w:ilvl="0">
      <w:lvlJc w:val="left"/>
      <w:lvlText w:val="(%1)"/>
      <w:numFmt w:val="lowerRoman"/>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2"/>
    </w:lvl>
  </w:abstractNum>
  <w:abstractNum w:abstractNumId="24">
    <w:nsid w:val="3006C83E"/>
    <w:multiLevelType w:val="hybridMultilevel"/>
    <w:lvl w:ilvl="0">
      <w:lvlJc w:val="left"/>
      <w:lvlText w:val="%1."/>
      <w:numFmt w:val="decimal"/>
      <w:start w:val="3"/>
    </w:lvl>
  </w:abstractNum>
  <w:abstractNum w:abstractNumId="25">
    <w:nsid w:val="614FD4A1"/>
    <w:multiLevelType w:val="hybridMultilevel"/>
    <w:lvl w:ilvl="0">
      <w:lvlJc w:val="left"/>
      <w:lvlText w:val="%1."/>
      <w:numFmt w:val="decimal"/>
      <w:start w:val="4"/>
    </w:lvl>
  </w:abstractNum>
  <w:abstractNum w:abstractNumId="26">
    <w:nsid w:val="419AC241"/>
    <w:multiLevelType w:val="hybridMultilevel"/>
    <w:lvl w:ilvl="0">
      <w:lvlJc w:val="left"/>
      <w:lvlText w:val="%1."/>
      <w:numFmt w:val="decimal"/>
      <w:start w:val="5"/>
    </w:lvl>
  </w:abstractNum>
  <w:abstractNum w:abstractNumId="27">
    <w:nsid w:val="5577F8E1"/>
    <w:multiLevelType w:val="hybridMultilevel"/>
    <w:lvl w:ilvl="0">
      <w:lvlJc w:val="left"/>
      <w:lvlText w:val="%1."/>
      <w:numFmt w:val="decimal"/>
      <w:start w:val="6"/>
    </w:lvl>
  </w:abstractNum>
  <w:abstractNum w:abstractNumId="28">
    <w:nsid w:val="440BADFC"/>
    <w:multiLevelType w:val="hybridMultilevel"/>
    <w:lvl w:ilvl="0">
      <w:lvlJc w:val="left"/>
      <w:lvlText w:val="%1."/>
      <w:numFmt w:val="decimal"/>
      <w:start w:val="7"/>
    </w:lvl>
  </w:abstractNum>
  <w:abstractNum w:abstractNumId="29">
    <w:nsid w:val="5072367"/>
    <w:multiLevelType w:val="hybridMultilevel"/>
    <w:lvl w:ilvl="0">
      <w:lvlJc w:val="left"/>
      <w:lvlText w:val="%1."/>
      <w:numFmt w:val="decimal"/>
      <w:start w:val="8"/>
    </w:lvl>
  </w:abstractNum>
  <w:abstractNum w:abstractNumId="30">
    <w:nsid w:val="3804823E"/>
    <w:multiLevelType w:val="hybridMultilevel"/>
    <w:lvl w:ilvl="0">
      <w:lvlJc w:val="left"/>
      <w:lvlText w:val="%1."/>
      <w:numFmt w:val="decimal"/>
      <w:start w:val="9"/>
    </w:lvl>
  </w:abstractNum>
  <w:abstractNum w:abstractNumId="31">
    <w:nsid w:val="77465F01"/>
    <w:multiLevelType w:val="hybridMultilevel"/>
    <w:lvl w:ilvl="0">
      <w:lvlJc w:val="left"/>
      <w:lvlText w:val="%1."/>
      <w:numFmt w:val="decimal"/>
      <w:start w:val="10"/>
    </w:lvl>
  </w:abstractNum>
  <w:abstractNum w:abstractNumId="32">
    <w:nsid w:val="7724C67E"/>
    <w:multiLevelType w:val="hybridMultilevel"/>
    <w:lvl w:ilvl="0">
      <w:lvlJc w:val="left"/>
      <w:lvlText w:val="%1."/>
      <w:numFmt w:val="decimal"/>
      <w:start w:val="11"/>
    </w:lvl>
  </w:abstractNum>
  <w:abstractNum w:abstractNumId="33">
    <w:nsid w:val="5C482A97"/>
    <w:multiLevelType w:val="hybridMultilevel"/>
    <w:lvl w:ilvl="0">
      <w:lvlJc w:val="left"/>
      <w:lvlText w:val="%1."/>
      <w:numFmt w:val="decimal"/>
      <w:start w:val="12"/>
    </w:lvl>
  </w:abstractNum>
  <w:abstractNum w:abstractNumId="34">
    <w:nsid w:val="2463B9EA"/>
    <w:multiLevelType w:val="hybridMultilevel"/>
    <w:lvl w:ilvl="0">
      <w:lvlJc w:val="left"/>
      <w:lvlText w:val="(%1)"/>
      <w:numFmt w:val="lowerRoman"/>
      <w:start w:val="1"/>
    </w:lvl>
  </w:abstractNum>
  <w:abstractNum w:abstractNumId="35">
    <w:nsid w:val="5E884ADC"/>
    <w:multiLevelType w:val="hybridMultilevel"/>
    <w:lvl w:ilvl="0">
      <w:lvlJc w:val="left"/>
      <w:lvlText w:val="%1."/>
      <w:numFmt w:val="decimal"/>
      <w:start w:val="13"/>
    </w:lvl>
  </w:abstractNum>
  <w:abstractNum w:abstractNumId="36">
    <w:nsid w:val="51EAD36B"/>
    <w:multiLevelType w:val="hybridMultilevel"/>
    <w:lvl w:ilvl="0">
      <w:lvlJc w:val="left"/>
      <w:lvlText w:val="%1."/>
      <w:numFmt w:val="decimal"/>
      <w:start w:val="14"/>
    </w:lvl>
  </w:abstractNum>
  <w:abstractNum w:abstractNumId="37">
    <w:nsid w:val="2D517796"/>
    <w:multiLevelType w:val="hybridMultilevel"/>
    <w:lvl w:ilvl="0">
      <w:lvlJc w:val="left"/>
      <w:lvlText w:val="%1."/>
      <w:numFmt w:val="decimal"/>
      <w:start w:val="15"/>
    </w:lvl>
  </w:abstractNum>
  <w:abstractNum w:abstractNumId="38">
    <w:nsid w:val="580BD78F"/>
    <w:multiLevelType w:val="hybridMultilevel"/>
    <w:lvl w:ilvl="0">
      <w:lvlJc w:val="left"/>
      <w:lvlText w:val="%1."/>
      <w:numFmt w:val="decimal"/>
      <w:start w:val="16"/>
    </w:lvl>
  </w:abstractNum>
  <w:abstractNum w:abstractNumId="39">
    <w:nsid w:val="153EA438"/>
    <w:multiLevelType w:val="hybridMultilevel"/>
    <w:lvl w:ilvl="0">
      <w:lvlJc w:val="left"/>
      <w:lvlText w:val="%1."/>
      <w:numFmt w:val="decimal"/>
      <w:start w:val="18"/>
    </w:lvl>
  </w:abstractNum>
  <w:abstractNum w:abstractNumId="40">
    <w:nsid w:val="3855585C"/>
    <w:multiLevelType w:val="hybridMultilevel"/>
    <w:lvl w:ilvl="0">
      <w:lvlJc w:val="left"/>
      <w:lvlText w:val="%1."/>
      <w:numFmt w:val="decimal"/>
      <w:start w:val="19"/>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2019-12-15T05:16:55Z</dcterms:created>
  <dcterms:modified xsi:type="dcterms:W3CDTF">2019-12-15T05:16:55Z</dcterms:modified>
</cp:coreProperties>
</file>