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2440"/>
        <w:spacing w:after="0" w:line="238" w:lineRule="auto"/>
        <w:rPr>
          <w:sz w:val="20"/>
          <w:szCs w:val="20"/>
          <w:color w:val="auto"/>
        </w:rPr>
      </w:pPr>
      <w:r>
        <w:rPr>
          <w:rFonts w:ascii="Courier New" w:cs="Courier New" w:eastAsia="Courier New" w:hAnsi="Courier New"/>
          <w:sz w:val="18"/>
          <w:szCs w:val="18"/>
          <w:color w:val="auto"/>
        </w:rPr>
        <w:t>Pursuant To Section 13 Or 15(d) of</w:t>
      </w: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3"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Date of report (Date of earliest event reported): October 19, 2004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Comcast Corporation</w:t>
      </w:r>
    </w:p>
    <w:p>
      <w:pPr>
        <w:ind w:left="2960"/>
        <w:spacing w:after="0" w:line="238" w:lineRule="auto"/>
        <w:rPr>
          <w:sz w:val="20"/>
          <w:szCs w:val="20"/>
          <w:color w:val="auto"/>
        </w:rPr>
      </w:pPr>
      <w:r>
        <w:rPr>
          <w:rFonts w:ascii="Courier New" w:cs="Courier New" w:eastAsia="Courier New" w:hAnsi="Courier New"/>
          <w:sz w:val="18"/>
          <w:szCs w:val="18"/>
          <w:color w:val="auto"/>
        </w:rPr>
        <w:t>(Exact Name of Registrant</w:t>
      </w:r>
    </w:p>
    <w:p>
      <w:pPr>
        <w:ind w:left="2960"/>
        <w:spacing w:after="0"/>
        <w:rPr>
          <w:sz w:val="20"/>
          <w:szCs w:val="20"/>
          <w:color w:val="auto"/>
        </w:rPr>
      </w:pPr>
      <w:r>
        <w:rPr>
          <w:rFonts w:ascii="Courier New" w:cs="Courier New" w:eastAsia="Courier New" w:hAnsi="Courier New"/>
          <w:sz w:val="18"/>
          <w:szCs w:val="18"/>
          <w:color w:val="auto"/>
        </w:rPr>
        <w:t>as Specified in Charter)</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Pennsylvania</w:t>
      </w:r>
    </w:p>
    <w:p>
      <w:pPr>
        <w:jc w:val="center"/>
        <w:ind w:right="1759"/>
        <w:spacing w:after="0" w:line="238" w:lineRule="auto"/>
        <w:rPr>
          <w:sz w:val="20"/>
          <w:szCs w:val="20"/>
          <w:color w:val="auto"/>
        </w:rPr>
      </w:pPr>
      <w:r>
        <w:rPr>
          <w:rFonts w:ascii="Courier New" w:cs="Courier New" w:eastAsia="Courier New" w:hAnsi="Courier New"/>
          <w:sz w:val="18"/>
          <w:szCs w:val="18"/>
          <w:color w:val="auto"/>
        </w:rPr>
        <w:t>(State or Other Jurisdiction of Incorporation)</w:t>
      </w:r>
    </w:p>
    <w:p>
      <w:pPr>
        <w:sectPr>
          <w:pgSz w:w="11900" w:h="16838" w:orient="portrait"/>
          <w:cols w:equalWidth="0" w:num="1">
            <w:col w:w="10219"/>
          </w:cols>
          <w:pgMar w:left="240" w:top="250" w:right="1440" w:bottom="0" w:gutter="0" w:footer="0" w:header="0"/>
        </w:sectPr>
      </w:pP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000-50093</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27-0000798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3600" w:space="720"/>
            <w:col w:w="5899"/>
          </w:cols>
          <w:pgMar w:left="240" w:top="250" w:right="1440" w:bottom="0" w:gutter="0" w:footer="0" w:header="0"/>
          <w:type w:val="continuous"/>
        </w:sectPr>
      </w:pPr>
    </w:p>
    <w:p>
      <w:pPr>
        <w:spacing w:after="0" w:line="18"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8"/>
          <w:szCs w:val="18"/>
          <w:color w:val="auto"/>
        </w:rPr>
        <w:t>1500 Market Street</w:t>
      </w:r>
    </w:p>
    <w:p>
      <w:pPr>
        <w:jc w:val="center"/>
        <w:ind w:right="420"/>
        <w:spacing w:after="0" w:line="238" w:lineRule="auto"/>
        <w:rPr>
          <w:sz w:val="20"/>
          <w:szCs w:val="20"/>
          <w:color w:val="auto"/>
        </w:rPr>
      </w:pPr>
      <w:r>
        <w:rPr>
          <w:rFonts w:ascii="Courier New" w:cs="Courier New" w:eastAsia="Courier New" w:hAnsi="Courier New"/>
          <w:sz w:val="18"/>
          <w:szCs w:val="18"/>
          <w:color w:val="auto"/>
        </w:rPr>
        <w:t>Philadelphia, PA</w:t>
      </w:r>
    </w:p>
    <w:p>
      <w:pPr>
        <w:spacing w:after="0" w:line="5"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19102-2148</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080" w:space="720"/>
            <w:col w:w="4419"/>
          </w:cols>
          <w:pgMar w:left="240" w:top="250" w:right="1440" w:bottom="0" w:gutter="0" w:footer="0" w:header="0"/>
          <w:type w:val="continuous"/>
        </w:sectPr>
      </w:pPr>
    </w:p>
    <w:p>
      <w:pPr>
        <w:spacing w:after="0" w:line="22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09" w:lineRule="exact"/>
        <w:rPr>
          <w:sz w:val="24"/>
          <w:szCs w:val="24"/>
          <w:color w:val="auto"/>
        </w:rPr>
      </w:pPr>
    </w:p>
    <w:p>
      <w:pPr>
        <w:ind w:left="1060" w:right="1999" w:hanging="525"/>
        <w:spacing w:after="0" w:line="235" w:lineRule="auto"/>
        <w:tabs>
          <w:tab w:leader="none" w:pos="74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Written communications pursuant to Rule 425 under the Securities Act (17 CFR 230.425)</w:t>
      </w:r>
    </w:p>
    <w:p>
      <w:pPr>
        <w:spacing w:after="0" w:line="208" w:lineRule="exact"/>
        <w:rPr>
          <w:sz w:val="24"/>
          <w:szCs w:val="24"/>
          <w:color w:val="auto"/>
        </w:rPr>
      </w:pPr>
    </w:p>
    <w:p>
      <w:pPr>
        <w:ind w:left="1060" w:right="1879" w:hanging="525"/>
        <w:spacing w:after="0" w:line="235" w:lineRule="auto"/>
        <w:tabs>
          <w:tab w:leader="none" w:pos="74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14a-12(b) under the Exchange Act (17 CFR 240.14a-12(b))</w:t>
      </w:r>
    </w:p>
    <w:p>
      <w:pPr>
        <w:spacing w:after="0" w:line="208" w:lineRule="exact"/>
        <w:rPr>
          <w:sz w:val="24"/>
          <w:szCs w:val="24"/>
          <w:color w:val="auto"/>
        </w:rPr>
      </w:pPr>
    </w:p>
    <w:p>
      <w:pPr>
        <w:ind w:left="1060" w:right="2099" w:hanging="525"/>
        <w:spacing w:after="0" w:line="235" w:lineRule="auto"/>
        <w:tabs>
          <w:tab w:leader="none" w:pos="7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14d-2(b) under the Exchange Act (17 CFR 240.14d-2(b))</w:t>
      </w:r>
    </w:p>
    <w:p>
      <w:pPr>
        <w:spacing w:after="0" w:line="208" w:lineRule="exact"/>
        <w:rPr>
          <w:sz w:val="24"/>
          <w:szCs w:val="24"/>
          <w:color w:val="auto"/>
        </w:rPr>
      </w:pPr>
    </w:p>
    <w:p>
      <w:pPr>
        <w:ind w:left="1060" w:right="2099" w:hanging="525"/>
        <w:spacing w:after="0" w:line="235" w:lineRule="auto"/>
        <w:tabs>
          <w:tab w:leader="none" w:pos="74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540" w:right="2619"/>
        <w:spacing w:after="0" w:line="235" w:lineRule="auto"/>
        <w:rPr>
          <w:sz w:val="20"/>
          <w:szCs w:val="20"/>
          <w:color w:val="auto"/>
        </w:rPr>
      </w:pPr>
      <w:r>
        <w:rPr>
          <w:rFonts w:ascii="Courier New" w:cs="Courier New" w:eastAsia="Courier New" w:hAnsi="Courier New"/>
          <w:sz w:val="18"/>
          <w:szCs w:val="18"/>
          <w:color w:val="auto"/>
        </w:rPr>
        <w:t>Item 5.02 Departure of Directors or Principal Officers; Election of Directors; Appointment of Principal Officers</w:t>
      </w:r>
    </w:p>
    <w:p>
      <w:pPr>
        <w:spacing w:after="0" w:line="208"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October 19, 2004, the Board of Directors of Comcast Corporation elected Joseph J. Collins to the Board. Mr. Collins has not yet been named to any committee of the Board. There are no arrangements or understandings between Mr. Collins and any other persons pursuant to which Mr. Collins was selected as a director. Mr. Collins has not entered into any transaction with Comcast Corporation that is required to be disclosed under Item 404(a) of Regulation S-K. A copy of the press release announcing the election of Mr. Collins to the Board of Directors is attached hereto as Exhibit 99.1 and is incorporated herein by reference.</w:t>
      </w:r>
    </w:p>
    <w:p>
      <w:pPr>
        <w:spacing w:after="0" w:line="20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Item 9.01 (c) Exhibits.</w:t>
      </w:r>
    </w:p>
    <w:p>
      <w:pPr>
        <w:spacing w:after="0" w:line="200" w:lineRule="exact"/>
        <w:rPr>
          <w:sz w:val="24"/>
          <w:szCs w:val="24"/>
          <w:color w:val="auto"/>
        </w:rPr>
      </w:pPr>
    </w:p>
    <w:p>
      <w:pPr>
        <w:spacing w:after="0" w:line="204"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Exhibit</w:t>
            </w:r>
          </w:p>
        </w:tc>
        <w:tc>
          <w:tcPr>
            <w:tcW w:w="4420" w:type="dxa"/>
            <w:vAlign w:val="bottom"/>
          </w:tcPr>
          <w:p>
            <w:pPr>
              <w:spacing w:after="0"/>
              <w:rPr>
                <w:sz w:val="17"/>
                <w:szCs w:val="17"/>
                <w:color w:val="auto"/>
              </w:rPr>
            </w:pPr>
          </w:p>
        </w:tc>
      </w:tr>
      <w:tr>
        <w:trPr>
          <w:trHeight w:val="203"/>
        </w:trPr>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Number</w:t>
            </w:r>
          </w:p>
        </w:tc>
        <w:tc>
          <w:tcPr>
            <w:tcW w:w="44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Description</w:t>
            </w:r>
          </w:p>
        </w:tc>
      </w:tr>
      <w:tr>
        <w:trPr>
          <w:trHeight w:val="203"/>
        </w:trPr>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44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26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99.1</w:t>
            </w:r>
          </w:p>
        </w:tc>
        <w:tc>
          <w:tcPr>
            <w:tcW w:w="44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Press release dated October 19, 2004.</w:t>
            </w:r>
          </w:p>
        </w:tc>
      </w:tr>
    </w:tbl>
    <w:p>
      <w:pPr>
        <w:sectPr>
          <w:pgSz w:w="11900" w:h="16838" w:orient="portrait"/>
          <w:cols w:equalWidth="0" w:num="1">
            <w:col w:w="10219"/>
          </w:cols>
          <w:pgMar w:left="240" w:top="250" w:right="1440" w:bottom="0" w:gutter="0" w:footer="0" w:header="0"/>
          <w:type w:val="continuous"/>
        </w:sectPr>
      </w:pPr>
    </w:p>
    <w:bookmarkStart w:id="1" w:name="page2"/>
    <w:bookmarkEnd w:id="1"/>
    <w:p>
      <w:pPr>
        <w:spacing w:after="0" w:line="203" w:lineRule="exact"/>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19, 2004</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Arthur R. Block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Arthur R. Block</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Senior Vice President,</w:t>
      </w:r>
    </w:p>
    <w:p>
      <w:pPr>
        <w:ind w:left="860"/>
        <w:spacing w:after="0"/>
        <w:rPr>
          <w:sz w:val="20"/>
          <w:szCs w:val="20"/>
          <w:color w:val="auto"/>
        </w:rPr>
      </w:pPr>
      <w:r>
        <w:rPr>
          <w:rFonts w:ascii="Courier New" w:cs="Courier New" w:eastAsia="Courier New" w:hAnsi="Courier New"/>
          <w:sz w:val="18"/>
          <w:szCs w:val="18"/>
          <w:color w:val="auto"/>
        </w:rPr>
        <w:t>General Counsel &amp;</w:t>
      </w:r>
    </w:p>
    <w:p>
      <w:pPr>
        <w:ind w:left="860"/>
        <w:spacing w:after="0" w:line="237" w:lineRule="auto"/>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3">
            <w:col w:w="3180" w:space="720"/>
            <w:col w:w="320" w:space="520"/>
            <w:col w:w="5479"/>
          </w:cols>
          <w:pgMar w:left="240" w:top="1122" w:right="1440" w:bottom="1440" w:gutter="0" w:footer="0" w:header="0"/>
          <w:type w:val="continuous"/>
        </w:sectPr>
      </w:pPr>
    </w:p>
    <w:bookmarkStart w:id="3" w:name="page4"/>
    <w:bookmarkEnd w:id="3"/>
    <w:p>
      <w:pPr>
        <w:ind w:left="6120"/>
        <w:spacing w:after="0"/>
        <w:rPr>
          <w:sz w:val="20"/>
          <w:szCs w:val="20"/>
          <w:color w:val="auto"/>
        </w:rPr>
      </w:pPr>
      <w:r>
        <w:rPr>
          <w:rFonts w:ascii="Courier New" w:cs="Courier New" w:eastAsia="Courier New" w:hAnsi="Courier New"/>
          <w:sz w:val="18"/>
          <w:szCs w:val="18"/>
          <w:color w:val="auto"/>
        </w:rPr>
        <w:t>PRESS RELEASE</w:t>
      </w:r>
    </w:p>
    <w:p>
      <w:pPr>
        <w:ind w:left="6120"/>
        <w:spacing w:after="0" w:line="238" w:lineRule="auto"/>
        <w:rPr>
          <w:sz w:val="20"/>
          <w:szCs w:val="20"/>
          <w:color w:val="auto"/>
        </w:rPr>
      </w:pPr>
      <w:r>
        <w:rPr>
          <w:rFonts w:ascii="Courier New" w:cs="Courier New" w:eastAsia="Courier New" w:hAnsi="Courier New"/>
          <w:sz w:val="18"/>
          <w:szCs w:val="18"/>
          <w:color w:val="auto"/>
        </w:rPr>
        <w:t>Comcast</w:t>
      </w:r>
    </w:p>
    <w:p>
      <w:pPr>
        <w:spacing w:after="0"/>
        <w:tabs>
          <w:tab w:leader="none" w:pos="6100" w:val="left"/>
        </w:tabs>
        <w:rPr>
          <w:sz w:val="20"/>
          <w:szCs w:val="20"/>
          <w:color w:val="auto"/>
        </w:rPr>
      </w:pPr>
      <w:r>
        <w:rPr>
          <w:rFonts w:ascii="Courier New" w:cs="Courier New" w:eastAsia="Courier New" w:hAnsi="Courier New"/>
          <w:sz w:val="18"/>
          <w:szCs w:val="18"/>
          <w:color w:val="auto"/>
        </w:rPr>
        <w:t>[Comcast LOGO]</w:t>
      </w:r>
      <w:r>
        <w:rPr>
          <w:sz w:val="20"/>
          <w:szCs w:val="20"/>
          <w:color w:val="auto"/>
        </w:rPr>
        <w:tab/>
      </w:r>
      <w:r>
        <w:rPr>
          <w:rFonts w:ascii="Courier New" w:cs="Courier New" w:eastAsia="Courier New" w:hAnsi="Courier New"/>
          <w:sz w:val="16"/>
          <w:szCs w:val="16"/>
          <w:color w:val="auto"/>
        </w:rPr>
        <w:t>1500 Market Street</w:t>
      </w:r>
    </w:p>
    <w:p>
      <w:pPr>
        <w:spacing w:after="0" w:line="3"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Philadelphia, PA 19102</w:t>
      </w:r>
    </w:p>
    <w:p>
      <w:pPr>
        <w:spacing w:after="0" w:line="1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www.comcast.com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Courier New" w:cs="Courier New" w:eastAsia="Courier New" w:hAnsi="Courier New"/>
                <w:sz w:val="18"/>
                <w:szCs w:val="18"/>
                <w:color w:val="auto"/>
              </w:rPr>
              <w:t>Press Contacts</w:t>
            </w:r>
          </w:p>
        </w:tc>
        <w:tc>
          <w:tcPr>
            <w:tcW w:w="3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D'Arcy Rudnay</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981-8582</w:t>
            </w:r>
          </w:p>
        </w:tc>
      </w:t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Tim Fitzpatrick</w:t>
            </w:r>
          </w:p>
        </w:tc>
        <w:tc>
          <w:tcPr>
            <w:tcW w:w="3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981-8515</w:t>
            </w:r>
          </w:p>
        </w:tc>
      </w:tr>
    </w:tbl>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JOSEPH J. COLLINS ELECTED DIRECTOR OF COMCAST</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PHILADELPHIA (October 19, 2004) - Comcast Corporation (Nasdaq: CMCSA, CMCSK) announced today that Joseph J. Collins has been elected an independent director of Comcast Corporation by its board of directors.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Brian L. Roberts, Chairman and CEO of Comcast said, "I'm pleased that Joe has accepted a position on our board. He has vast experience and a very distinguished record of service in our industry, including his tenure as Chairman of the NCTA. Joe brings a thorough and broad understanding of the cable business and will be a tremendous addition to our Company."</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Collins currently serves as the Chairman of Aegis, LLC. He retired from Time Warner where he served as the Chairman and CEO of AOL Time Warner Interactive Video, a position he assumed in 2001. From 1989 to 2001, he served as the Chairman and CEO of Time Warner Cable.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Mr. Collins began his cable industry career with American Television and Communications Corporation (ATC) in 1972 as Marketing Director for the company's properties in Orlando. He assumed a series of executive positions with the company, and was named President in 1982. He was named President of Home Box Office, Inc., in 1984. In 1988, Mr. Collins was named Chairman and CEO of ATC, which merged with Time Warner Cable in 1992.</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Mr. Collins earned his A.B. from Brown University in 1966 and earned his M.B.A. from the Harvard Graduate School of Business Administration in 1972. He is a recipient of the National Cable and Telecommunications Association's Distinguished Vanguard Award for Leadership in recognition of his contributions to the cable industry. He also received the President's Award and Grand TAM Award for excellence in cable marketing from the Cable and Telecommunications Association for Marketing.</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Comcast</w:t>
      </w:r>
    </w:p>
    <w:p>
      <w:pPr>
        <w:spacing w:after="0" w:line="4"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Comcast Corporation (www.comcast.com) is principally involved in the development, management and operation of broadband cable networks, and in the provision of programming content. The Company is the largest provider of cable and broadband services in the United States, serving more than 21 million cable television customers and more than 6 million high-speed Internet customers. The Company's content businesses include majority ownership of Comcast Spectacor, Comcast SportsNet, E! Entertainment Television, Style Network, G4techTV, The Golf Channel, International Channel and Outdoor Life Network. Comcast Class A common stock and Class A Special common stock trade on The Nasdaq Stock Market under the symbols CMCSA and CMCSK, respectively.</w:t>
      </w:r>
    </w:p>
    <w:p>
      <w:pPr>
        <w:spacing w:after="0" w:line="1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2019-12-15T05:15:52Z</dcterms:created>
  <dcterms:modified xsi:type="dcterms:W3CDTF">2019-12-15T05:15:52Z</dcterms:modified>
</cp:coreProperties>
</file>