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As Filed with the Securities and Exchange Commission on February 3, 2022</w:t>
      </w:r>
    </w:p>
    <w:p>
      <w:pPr>
        <w:spacing w:after="0" w:line="77" w:lineRule="exact"/>
        <w:rPr>
          <w:sz w:val="24"/>
          <w:szCs w:val="24"/>
          <w:color w:val="auto"/>
        </w:rPr>
      </w:pPr>
    </w:p>
    <w:p>
      <w:pPr>
        <w:ind w:left="884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REGISTRATION STATEMENT</w:t>
      </w:r>
    </w:p>
    <w:p>
      <w:pPr>
        <w:jc w:val="center"/>
        <w:ind w:right="-5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COMCAST CORPORATION</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960"/>
          </w:cols>
          <w:pgMar w:left="440" w:top="229" w:right="4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260"/>
        <w:spacing w:after="0"/>
        <w:rPr>
          <w:sz w:val="20"/>
          <w:szCs w:val="20"/>
          <w:color w:val="auto"/>
        </w:rPr>
      </w:pPr>
      <w:r>
        <w:rPr>
          <w:rFonts w:ascii="Arial" w:cs="Arial" w:eastAsia="Arial" w:hAnsi="Arial"/>
          <w:sz w:val="15"/>
          <w:szCs w:val="15"/>
          <w:b w:val="1"/>
          <w:bCs w:val="1"/>
          <w:color w:val="auto"/>
        </w:rPr>
        <w:t>Pennsylvania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27-0000798</w:t>
      </w:r>
    </w:p>
    <w:p>
      <w:pPr>
        <w:spacing w:after="0" w:line="31" w:lineRule="exact"/>
        <w:rPr>
          <w:sz w:val="24"/>
          <w:szCs w:val="24"/>
          <w:color w:val="auto"/>
        </w:rPr>
      </w:pPr>
    </w:p>
    <w:p>
      <w:pPr>
        <w:sectPr>
          <w:pgSz w:w="11900" w:h="16838" w:orient="portrait"/>
          <w:cols w:equalWidth="0" w:num="2">
            <w:col w:w="7180" w:space="720"/>
            <w:col w:w="3060"/>
          </w:cols>
          <w:pgMar w:left="440" w:top="229" w:right="499" w:bottom="1440" w:gutter="0" w:footer="0" w:header="0"/>
          <w:type w:val="continuous"/>
        </w:sectPr>
      </w:pPr>
    </w:p>
    <w:p>
      <w:pPr>
        <w:spacing w:after="0" w:line="12"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(State or other jurisdiction of</w:t>
      </w:r>
    </w:p>
    <w:p>
      <w:pPr>
        <w:ind w:left="18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060" w:space="720"/>
            <w:col w:w="3180"/>
          </w:cols>
          <w:pgMar w:left="440" w:top="229" w:right="499" w:bottom="1440" w:gutter="0" w:footer="0" w:header="0"/>
          <w:type w:val="continuous"/>
        </w:sectPr>
      </w:pP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One Comcast Center</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Philadelphia, PA 19103-2838</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(Address of Principal Executive Offices) (Zip Code)</w:t>
      </w:r>
    </w:p>
    <w:p>
      <w:pPr>
        <w:sectPr>
          <w:pgSz w:w="11900" w:h="16838" w:orient="portrait"/>
          <w:cols w:equalWidth="0" w:num="1">
            <w:col w:w="10960"/>
          </w:cols>
          <w:pgMar w:left="440" w:top="229" w:right="499" w:bottom="1440" w:gutter="0" w:footer="0" w:header="0"/>
          <w:type w:val="continuous"/>
        </w:sectPr>
      </w:pP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COMCAST SELECT DEFERRED COMPENSATION PLAN</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Thomas J. Reid, Esq.</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Chief Legal Officer and Secretary</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Comcast Corporation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One Comcast Center</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Philadelphia, PA 19103-2838</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(215) 286-1700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0" w:lineRule="exact"/>
        <w:rPr>
          <w:sz w:val="24"/>
          <w:szCs w:val="24"/>
          <w:color w:val="auto"/>
        </w:rPr>
      </w:pP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5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40" w:type="dxa"/>
            <w:vAlign w:val="bottom"/>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1740"/>
              <w:spacing w:after="0"/>
              <w:rPr>
                <w:sz w:val="20"/>
                <w:szCs w:val="20"/>
                <w:color w:val="auto"/>
              </w:rPr>
            </w:pPr>
            <w:r>
              <w:rPr>
                <w:rFonts w:ascii="Arial" w:cs="Arial" w:eastAsia="Arial" w:hAnsi="Arial"/>
                <w:sz w:val="18"/>
                <w:szCs w:val="18"/>
                <w:color w:val="auto"/>
              </w:rPr>
              <w:t>Accelerated filer</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580" w:type="dxa"/>
            <w:vAlign w:val="bottom"/>
          </w:tcPr>
          <w:p>
            <w:pPr>
              <w:spacing w:after="0"/>
              <w:rPr>
                <w:sz w:val="20"/>
                <w:szCs w:val="20"/>
                <w:color w:val="auto"/>
              </w:rPr>
            </w:pPr>
            <w:r>
              <w:rPr>
                <w:rFonts w:ascii="Arial" w:cs="Arial" w:eastAsia="Arial" w:hAnsi="Arial"/>
                <w:sz w:val="18"/>
                <w:szCs w:val="18"/>
                <w:color w:val="auto"/>
              </w:rPr>
              <w:t>Non-accelerated filer</w:t>
            </w:r>
          </w:p>
        </w:tc>
        <w:tc>
          <w:tcPr>
            <w:tcW w:w="2840" w:type="dxa"/>
            <w:vAlign w:val="bottom"/>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1740"/>
              <w:spacing w:after="0"/>
              <w:rPr>
                <w:sz w:val="20"/>
                <w:szCs w:val="20"/>
                <w:color w:val="auto"/>
              </w:rPr>
            </w:pPr>
            <w:r>
              <w:rPr>
                <w:rFonts w:ascii="Arial" w:cs="Arial" w:eastAsia="Arial" w:hAnsi="Arial"/>
                <w:sz w:val="18"/>
                <w:szCs w:val="18"/>
                <w:color w:val="auto"/>
              </w:rPr>
              <w:t>Smaller reporting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5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540" w:type="dxa"/>
            <w:vAlign w:val="bottom"/>
          </w:tcPr>
          <w:p>
            <w:pPr>
              <w:ind w:left="1740"/>
              <w:spacing w:after="0"/>
              <w:rPr>
                <w:sz w:val="20"/>
                <w:szCs w:val="20"/>
                <w:color w:val="auto"/>
              </w:rPr>
            </w:pPr>
            <w:r>
              <w:rPr>
                <w:rFonts w:ascii="Arial" w:cs="Arial" w:eastAsia="Arial" w:hAnsi="Arial"/>
                <w:sz w:val="18"/>
                <w:szCs w:val="18"/>
                <w:color w:val="auto"/>
              </w:rPr>
              <w:t>Emerging growth company</w:t>
            </w:r>
          </w:p>
        </w:tc>
        <w:tc>
          <w:tcPr>
            <w:tcW w:w="10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0960"/>
          </w:cols>
          <w:pgMar w:left="440" w:top="229" w:right="499" w:bottom="1440" w:gutter="0" w:footer="0" w:header="0"/>
          <w:type w:val="continuous"/>
        </w:sectPr>
      </w:pPr>
    </w:p>
    <w:bookmarkStart w:id="1" w:name="page2"/>
    <w:bookmarkEnd w:id="1"/>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389255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431800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1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documents containing the information specified in Part I of Form S-8 will be sent or given to participants in the Comcast Select Deferred Compensation Plan, as amended and restated (the “Deferred Compensation Plan”) as specified by Rule 428(b)(1) promulgated by the Securities and Exchange Commission (the “Commission”) under the Securities Act of 1933, as amended (the “Securities Act”). In accordance with Rule 428 and the introductory note to Part I of Form S-8, such documents are not being filed with the Commission, but constitute, along with the documents incorporated by reference into this registration statement (“Registration Statement”) pursuant to Item 3 of Part II hereof, a prospectus that meets the requirements of Section 10(a) of the Securities Act.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3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documents filed with the Commission by Comcast Corporation (the “Registrant”) are hereby incorporated by reference into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(other than portions of the documents that are “furnished” rather than filed with the Commission):</w:t>
      </w:r>
    </w:p>
    <w:p>
      <w:pPr>
        <w:spacing w:after="0" w:line="116" w:lineRule="exact"/>
        <w:rPr>
          <w:sz w:val="20"/>
          <w:szCs w:val="20"/>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Registrant’s Annual Report on </w:t>
      </w:r>
      <w:hyperlink r:id="rId17">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2021, filed on February 2, 2022; and</w:t>
      </w:r>
    </w:p>
    <w:p>
      <w:pPr>
        <w:spacing w:after="0" w:line="130" w:lineRule="exact"/>
        <w:rPr>
          <w:rFonts w:ascii="Arial" w:cs="Arial" w:eastAsia="Arial" w:hAnsi="Arial"/>
          <w:sz w:val="18"/>
          <w:szCs w:val="18"/>
          <w:color w:val="auto"/>
        </w:rPr>
      </w:pPr>
    </w:p>
    <w:p>
      <w:pPr>
        <w:ind w:left="960" w:right="28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description of the Registrant’s registered securities included in </w:t>
      </w:r>
      <w:hyperlink r:id="rId18">
        <w:r>
          <w:rPr>
            <w:rFonts w:ascii="Arial" w:cs="Arial" w:eastAsia="Arial" w:hAnsi="Arial"/>
            <w:sz w:val="18"/>
            <w:szCs w:val="18"/>
            <w:u w:val="single" w:color="auto"/>
            <w:color w:val="0000EE"/>
          </w:rPr>
          <w:t>Exhibit 4.15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Registrant’s Annual Report on Form 10-K for the year ended December 31, 2021.</w:t>
      </w:r>
    </w:p>
    <w:p>
      <w:pPr>
        <w:spacing w:after="0" w:line="170" w:lineRule="exact"/>
        <w:rPr>
          <w:rFonts w:ascii="Arial" w:cs="Arial" w:eastAsia="Arial" w:hAnsi="Arial"/>
          <w:sz w:val="18"/>
          <w:szCs w:val="18"/>
          <w:color w:val="auto"/>
        </w:rPr>
      </w:pPr>
    </w:p>
    <w:p>
      <w:pPr>
        <w:ind w:right="140"/>
        <w:spacing w:after="0" w:line="272" w:lineRule="auto"/>
        <w:rPr>
          <w:sz w:val="20"/>
          <w:szCs w:val="20"/>
          <w:color w:val="auto"/>
        </w:rPr>
      </w:pPr>
      <w:r>
        <w:rPr>
          <w:rFonts w:ascii="Arial" w:cs="Arial" w:eastAsia="Arial" w:hAnsi="Arial"/>
          <w:sz w:val="17"/>
          <w:szCs w:val="17"/>
          <w:color w:val="auto"/>
        </w:rPr>
        <w:t>All documents filed by the Registrant with the Commission pursuant to Sections 13(a), 13(c), 14 and 15(d) (other than the documents, or portions thereof, that are “furnished” rather than filed with the Commission) of the Exchange Act, after the date hereof and prior to the filing of a post-effective amendment which indicates that all securities offered pursuant to this Registration Statement have been sold or which deregisters all securities then remaining unsold, shall be deemed to be incorporated by reference herein and to be a part hereof from the date of filing of such documents. Any statements contained in a previously filed document incorporated by reference into this Registration Statement is deemed to be modified or superseded for purposes of this Registration Statement to the extent that a statement contained in this Registration Statement, or in a subsequently filed document also incorporated by reference herein, modifies or supersedes that statement.</w:t>
      </w:r>
    </w:p>
    <w:p>
      <w:pPr>
        <w:spacing w:after="0" w:line="322" w:lineRule="exact"/>
        <w:rPr>
          <w:rFonts w:ascii="Arial" w:cs="Arial" w:eastAsia="Arial" w:hAnsi="Arial"/>
          <w:sz w:val="18"/>
          <w:szCs w:val="18"/>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Description of Securities.</w:t>
      </w:r>
    </w:p>
    <w:p>
      <w:pPr>
        <w:spacing w:after="0" w:line="121" w:lineRule="exact"/>
        <w:rPr>
          <w:rFonts w:ascii="Arial" w:cs="Arial" w:eastAsia="Arial" w:hAnsi="Arial"/>
          <w:sz w:val="18"/>
          <w:szCs w:val="18"/>
          <w:color w:val="auto"/>
        </w:rPr>
      </w:pPr>
    </w:p>
    <w:p>
      <w:pPr>
        <w:spacing w:after="0" w:line="259" w:lineRule="auto"/>
        <w:rPr>
          <w:sz w:val="20"/>
          <w:szCs w:val="20"/>
          <w:color w:val="auto"/>
        </w:rPr>
      </w:pPr>
      <w:r>
        <w:rPr>
          <w:rFonts w:ascii="Arial" w:cs="Arial" w:eastAsia="Arial" w:hAnsi="Arial"/>
          <w:sz w:val="18"/>
          <w:szCs w:val="18"/>
          <w:color w:val="auto"/>
        </w:rPr>
        <w:t>The following description of the deferred compensation obligations (the “Deferred Compensation Obligations”) of the Registrant under the Deferred Compensation Plan is qualified by reference to the Deferred Compensation Plan, which is included as an exhibit to this Registration Statement. Capitalized terms used in this Item 4 and not otherwise defined in this Registration Statement shall have the respective meanings attributed to such terms in the Deferred Compensation Plan.</w:t>
      </w:r>
    </w:p>
    <w:p>
      <w:pPr>
        <w:spacing w:after="0" w:line="187" w:lineRule="exact"/>
        <w:rPr>
          <w:rFonts w:ascii="Arial" w:cs="Arial" w:eastAsia="Arial" w:hAnsi="Arial"/>
          <w:sz w:val="18"/>
          <w:szCs w:val="18"/>
          <w:color w:val="auto"/>
        </w:rPr>
      </w:pPr>
    </w:p>
    <w:p>
      <w:pPr>
        <w:ind w:right="80"/>
        <w:spacing w:after="0" w:line="275" w:lineRule="auto"/>
        <w:rPr>
          <w:sz w:val="20"/>
          <w:szCs w:val="20"/>
          <w:color w:val="auto"/>
        </w:rPr>
      </w:pPr>
      <w:r>
        <w:rPr>
          <w:rFonts w:ascii="Arial" w:cs="Arial" w:eastAsia="Arial" w:hAnsi="Arial"/>
          <w:sz w:val="17"/>
          <w:szCs w:val="17"/>
          <w:color w:val="auto"/>
        </w:rPr>
        <w:t>The Deferred Compensation Obligations incurred by the Registrant under the Deferred Compensation Plan will be unsecured general obligations of the Registrant, and will rank equally with other unsecured and unsubordinated indebtedness of the Registrant. Because the Registrant has subsidiaries, the right of the Registrant, and hence the right of creditors of the Registrant (including Participants in the Deferred Compensation Plan), to participate in a distribution of the assets of a subsidiary upon its liquidation or reorganization or otherwise, necessarily is subject to the prior claims of creditors of such subsidiary, except to the extent that claims of the Registrant itself as a creditor may be recognized.</w:t>
      </w:r>
    </w:p>
    <w:p>
      <w:pPr>
        <w:spacing w:after="0" w:line="176" w:lineRule="exact"/>
        <w:rPr>
          <w:rFonts w:ascii="Arial" w:cs="Arial" w:eastAsia="Arial" w:hAnsi="Arial"/>
          <w:sz w:val="18"/>
          <w:szCs w:val="18"/>
          <w:color w:val="auto"/>
        </w:rPr>
      </w:pPr>
    </w:p>
    <w:p>
      <w:pPr>
        <w:ind w:right="120"/>
        <w:spacing w:after="0" w:line="263" w:lineRule="auto"/>
        <w:rPr>
          <w:sz w:val="20"/>
          <w:szCs w:val="20"/>
          <w:color w:val="auto"/>
        </w:rPr>
      </w:pPr>
      <w:r>
        <w:rPr>
          <w:rFonts w:ascii="Arial" w:cs="Arial" w:eastAsia="Arial" w:hAnsi="Arial"/>
          <w:sz w:val="18"/>
          <w:szCs w:val="18"/>
          <w:color w:val="auto"/>
        </w:rPr>
        <w:t>Under the Deferred Compensation Plan, the Registrant will provide Eligible Employees of each of the Registrant’s subsidiaries which is a participating company in the Deferred Compensation Plan with the opportunity to elect to defer compensation to be received from the Participating Company, as applicable.</w:t>
      </w:r>
    </w:p>
    <w:p>
      <w:pPr>
        <w:spacing w:after="0" w:line="184" w:lineRule="exact"/>
        <w:rPr>
          <w:rFonts w:ascii="Arial" w:cs="Arial" w:eastAsia="Arial" w:hAnsi="Arial"/>
          <w:sz w:val="18"/>
          <w:szCs w:val="18"/>
          <w:color w:val="auto"/>
        </w:rPr>
      </w:pPr>
    </w:p>
    <w:p>
      <w:pPr>
        <w:spacing w:after="0" w:line="257" w:lineRule="auto"/>
        <w:rPr>
          <w:sz w:val="20"/>
          <w:szCs w:val="20"/>
          <w:color w:val="auto"/>
        </w:rPr>
      </w:pPr>
      <w:r>
        <w:rPr>
          <w:rFonts w:ascii="Arial" w:cs="Arial" w:eastAsia="Arial" w:hAnsi="Arial"/>
          <w:sz w:val="18"/>
          <w:szCs w:val="18"/>
          <w:color w:val="auto"/>
        </w:rPr>
        <w:t>All amounts credited to Participant’s Accounts will be credited with income, gains and losses as if they were invested in investment funds that are made available for Participant direction under the Deferred Compensation Plan. Under the Deferred Compensation Plan, each investment fund is a hypothetical investment fund pursuant to which income, gains and losses are credited to a Participant’s Account as if such Account, to the extent deemed invested in such investment fund, were invested in hypothetical shares of the mutual fund or other investment vehicle to which the investment fund is assigned or related.</w:t>
      </w:r>
    </w:p>
    <w:p>
      <w:pPr>
        <w:sectPr>
          <w:pgSz w:w="11900" w:h="16838" w:orient="portrait"/>
          <w:cols w:equalWidth="0" w:num="1">
            <w:col w:w="11000"/>
          </w:cols>
          <w:pgMar w:left="440" w:top="270" w:right="459" w:bottom="1440" w:gutter="0" w:footer="0" w:header="0"/>
        </w:sectPr>
      </w:pPr>
    </w:p>
    <w:bookmarkStart w:id="3" w:name="page4"/>
    <w:bookmarkEnd w:id="3"/>
    <w:p>
      <w:pPr>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Account balances accumulated under the NBCUniversal Deferred Compensation Plan and the Universal Orlando Post-2004 Universal City Development Partners, Ltd. Variable Deferred Compensation Plan for Executives (the “Legacy Plans”) and income, gains, and losses credited with respect to such amounts are distributable in accordance with the rules of the Legacy Plans as in effect before January 1, 2021, the date on which the Legacy Plans were combined to form the Deferred Compensation Plan. For employee contributions and Company contributions beginning on and after January 1, 2021, each Participant is permitted to specify by election the method of distribution of any amount credited to the Participant’s Account from the distribution alternatives that are available under the Deferred Compensation Plan. A Participant may elect to receive distributions beginning on a specific date in the form of annual installments for up to five years or ten years, or in the form of a single lump sum. A Participant may elect to receive all or a portion of the amount deferred for a specific year, and any amount credited to the Company Contribution Account for that year (adjusted for any gains or losses) after the lapse of a minimum of two years and a maximum of 10 years from the deferral year. A Participant may change the time and form of payment for amounts subject to a deferral election, provided that the Participant must make the election to change the time and/or form at least 12 months before the first payment is otherwise due and postpone payment for at least 5 years from the previously scheduled payment date.</w:t>
      </w:r>
    </w:p>
    <w:p>
      <w:pPr>
        <w:spacing w:after="0" w:line="17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event of the Participant’s separation from service, death, or disability, the following plan requirements may supersede the Participant’s distribution election. In general, if the Participant terminates employment, the Participant will receive distributions in accordance with the Participant’s distribution election. If the Participant’s termination of employment occurs prior to the specified payment year and the Participant has previously elected installments, the distribution will instead be paid as a lump sum. Upon a Participant’s termination of employment because of death or disability, the Participant (or the Participant’s beneficiaries, if applicable) will receive the Participant’s remaining account balance as a lump sum in January of following calendar year.</w:t>
      </w:r>
    </w:p>
    <w:p>
      <w:pPr>
        <w:spacing w:after="0" w:line="19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Notwithstanding the terms of an election, if, upon the written application of a Participant, the Compensation Committee of the Board of Directors of Comcast Corporation, or its delegate (the “Compensation Committee”), determines that such Participant has a financial emergency of such a substantial nature and beyond the individual’s control that payment of amounts previously deferred under the Deferred Compensation Plan is warranted, the Compensation Committee, in its sole discretion, may authorize the immediate distribution to the Participant of all or a portion of the Participant’s Account.</w:t>
      </w:r>
    </w:p>
    <w:p>
      <w:pPr>
        <w:spacing w:after="0" w:line="18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Whether or not the Registrant is a Participant’s direct employer, all compensation deferred under the Deferred Compensation Plan will continue for all purposes to be a part of the general funds of the Registrant and, if the Registrant is insolvent and unable to pay the compensation deferred in accordance with the terms of the Deferred Compensation Plan, the Registrant, and the Participant’s Account will at all times represent the general obligation of the Registrant. Each Participant will be a general creditor of the Registrant with respect to all of the Deferred Compensation Obligations to the Participant under the Deferred Compensation Plan, and will not have a secured or preferred position with respect to the Participant’s Account. Nothing contained in the Deferred Compensation Plan shall be deemed to create an escrow, trust, custodial account or fiduciary relationship of any kind or to eliminate any priority or preferred position of a Participant in a bankruptcy matter with respect to claims for wages. Under the terms of the Deferred Compensation Plan, the right of a Participant in or to an Account, benefit or payment under the Deferred Compensation Plan shall not be subject in any manner to attachment or other legal process for the debts of such Participant; and no such Account, benefit or payment shall be subject to anticipation, alienation, sale, transfer, attachment, execution, garnishment, assignment or encumbrance.</w:t>
      </w:r>
    </w:p>
    <w:p>
      <w:pPr>
        <w:spacing w:after="0" w:line="168"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The Compensation Committee may amend or modify the Deferred Compensation Plan at any time without the consent of the Participants. The Compensation Committee also reserves the right at any time, or from time to time, to terminate the Deferred Compensation Plan.</w:t>
      </w:r>
    </w:p>
    <w:p>
      <w:pPr>
        <w:sectPr>
          <w:pgSz w:w="11900" w:h="16838" w:orient="portrait"/>
          <w:cols w:equalWidth="0" w:num="1">
            <w:col w:w="11000"/>
          </w:cols>
          <w:pgMar w:left="440" w:top="274" w:right="459" w:bottom="1440" w:gutter="0" w:footer="0" w:header="0"/>
        </w:sectPr>
      </w:pPr>
    </w:p>
    <w:bookmarkStart w:id="4" w:name="page5"/>
    <w:bookmarkEnd w:id="4"/>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Sections 1741 through 1750 of Subchapter D, Chapter 17, of the Pennsylvania Business Corporation Law of 1988, as amended (“PBCL”), contain provisions for mandatory and discretionary indemnification of a corporation’s directors, officers and other personnel, and related matters.</w:t>
      </w:r>
    </w:p>
    <w:p>
      <w:pPr>
        <w:spacing w:after="0" w:line="12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or corporate actions), to which any such officer or director is a party or is threatened to be made a party by reason of such officer or director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 or her conduct was unlawful.</w:t>
      </w:r>
    </w:p>
    <w:p>
      <w:pPr>
        <w:spacing w:after="0" w:line="19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Section 1742 of the PBCL permits indemnification in derivative and corporate actions if the director or officer acted in good faith and in a manner reasonably believed to be in, or not opposed to, the best interests of the corporation, except in respect of any claim, issue or matter as to which the officer or director has been adjudged to be liable to the corporation unless and only to the extent that the proper court determines upon application that, despite the adjudication of liability but in view of all the circumstances of the case, the officer or director is fairly and reasonably entitled to indemnity for the expenses that the court deems proper.</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Under Section 1743 of the PBCL, indemnification is mandatory to the extent that the officer or director has been successful on the merits or otherwise in defense of any action or proceeding referred to in Section 1741 or 1742 of the PBCL.</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Section 1744 of the PBCL provides that, unless ordered by a court, any indemnification under Section 1741 or 1742 of the PBCL shall be made by the corporation only as authorized in the specific case upon a determination that the officer or director met the applicable standard of conduct, and such determination must be made (i) by the board of directors by a majority vote of a quorum of directors not parties to the action or proceeding, (ii) if a quorum is not obtainable, or if obtainable and a majority vote of a quorum of disinterested directors so directs, by independent legal counsel in a written opinion, or (iii) by the shareholders.</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Section 1745 of the PBCL provides that expenses (including attorneys’ fees) incurred by a director or officer in defending any action or proceeding referred to in Subchapter D of Chapter 17 of the PBCL may be paid by the corporation in advance of the final disposition of such action or proceeding upon receipt of an undertaking by or on behalf of such person to repay such amount if it shall ultimately be determined that he or she is not entitled to be indemnified by the corporation. Except as otherwise provided in the corporation’s by-laws, advancement of expenses must be authorized by the board of directors.</w:t>
      </w:r>
    </w:p>
    <w:p>
      <w:pPr>
        <w:spacing w:after="0" w:line="188"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Section 1746 of the PBCL provides generally that the indemnification and advancement of expenses provided by Subchapter D of Chapter 17 of the PBCL shall not be deemed exclusive of any other rights to which an officer or director seeking indemnification or advancement of expenses may be entitled under any by-law, agreement, vote of shareholders or disinterested directors or otherwise, both as to action in the officer or director’s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w:t>
      </w:r>
    </w:p>
    <w:p>
      <w:pPr>
        <w:spacing w:after="0" w:line="161"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Section 1747 of the PBCL grants a corporation the power to purchase and maintain insurance on behalf of any director or officer against any liability asserted against the officer or director or incurred by the officer or director in his or her capacity as officer or director, whether or not the corporation would have the power to indemnify the officer or director against that liability under Subchapter D of Chapter 17 of the PBCL.</w:t>
      </w:r>
    </w:p>
    <w:p>
      <w:pPr>
        <w:sectPr>
          <w:pgSz w:w="11900" w:h="16838" w:orient="portrait"/>
          <w:cols w:equalWidth="0" w:num="1">
            <w:col w:w="11020"/>
          </w:cols>
          <w:pgMar w:left="440" w:top="270" w:right="439" w:bottom="1440" w:gutter="0" w:footer="0" w:header="0"/>
        </w:sectPr>
      </w:pPr>
    </w:p>
    <w:bookmarkStart w:id="5" w:name="page6"/>
    <w:bookmarkEnd w:id="5"/>
    <w:p>
      <w:pPr>
        <w:ind w:right="1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Sections 1748 and 1749 of the PBCL extend the indemnification and advancement of expenses provisions contained in Subchapter D of Chapter 17 of the PBCL to successor corporations in fundamental changes and to officers and directors serving as fiduciaries of employee benefit plans.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Section 1750 of the PBCL provides that the indemnification and advancement of expenses provided by, or granted pursuant to, Subchapter D of Chapter 17 of the PBCL shall, unless otherwise provided when authorized or ratified, continue as to a person who has ceased to be a director or officer and shall inure to the benefit of the heirs and personal representatives of such person.</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Article Eleventh of the Registrant’s charter provides that no person who is or was a director of the Registrant will be personally liable, as such, for monetary damages (other than under criminal statutes and under laws imposing such liability on directors for the payment of taxes) unless such person’s conduct constitutes self-dealing, willful misconduct or recklessness. Article Twelfth of the Registrant’s charter extends such protection to any person who is or was an officer of the Registrant.</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Article 7 of the Registrant’s by-laws provides that each officer and director of the Registrant will be indemnified and held harmless by the Registrant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the Registrant), whether civil, criminal, administrative or investigative, including any appeal therefrom (a “Proceeding”). No indemnification will be made, however, in any case where the act or failure to act giving rise to the claim for indemnification is determined by a court to have constituted willful misconduct or recklessness, or in connection with a Proceeding (or part of a Proceeding) initiated by an officer or director (except in connection with a Proceeding to enforce a right to indemnification or advancement of expenses), unless the Proceeding (or part of the Proceeding) was authorized by the Board of Directors. The right to indemnification includes the right to have the expenses incurred by such director or officer in participating in any Proceeding paid by the Registrant in advance of the final disposition of the Proceeding automatically and without any action or approval required by the Board of Directors, provided that, if Pennsylvania law requires, the payment of expenses incurred by such director or officer in advance of the final disposition of a Proceeding shall only be made upon delivery to the Registrant of an undertaking, by or on behalf of the director or officer, to repay all advanced amounts without interest if it is ultimately determined that the director or officer is not entitled to be so indemnified.</w:t>
      </w:r>
    </w:p>
    <w:p>
      <w:pPr>
        <w:spacing w:after="0" w:line="17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Article 7 of the Registrant’s by-laws also provides that the Registrant may purchase and maintain insurance, at its expense, for the benefit of any person on behalf of whom insurance is permitted to be purchased by Pennsylvania law against any expense, liability or loss, whether or not the Registrant would have the power to indemnify such person under Pennsylvania or any other law. The Registrant may also purchase and maintain insurance to insure its indemnification obligations.</w:t>
      </w:r>
    </w:p>
    <w:p>
      <w:pPr>
        <w:spacing w:after="0" w:line="18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In addition, the Registrant has entered into indemnification agreements with all of its directors, to indemnify the directors to the fullest extent permitted by applicable law. The Registrant also maintains directors and officers insurance to insure such persons against certain liabilities.</w:t>
      </w:r>
    </w:p>
    <w:p>
      <w:pPr>
        <w:spacing w:after="0" w:line="14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foregoing statements are subject to the detailed provisions of the PBCL and to the applicable provisions of the Registrant’s charter, by-laws and indemnification agreements.</w:t>
      </w:r>
    </w:p>
    <w:p>
      <w:pPr>
        <w:spacing w:after="0" w:line="31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960"/>
          </w:cols>
          <w:pgMar w:left="440" w:top="274" w:right="499" w:bottom="1440" w:gutter="0" w:footer="0" w:header="0"/>
        </w:sectPr>
      </w:pPr>
    </w:p>
    <w:bookmarkStart w:id="6" w:name="page7"/>
    <w:bookmarkEnd w:id="6"/>
    <w:tbl>
      <w:tblPr>
        <w:tblLayout w:type="fixed"/>
        <w:tblInd w:w="4"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4640" w:type="dxa"/>
            <w:vAlign w:val="bottom"/>
            <w:gridSpan w:val="8"/>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247"/>
        </w:trPr>
        <w:tc>
          <w:tcPr>
            <w:tcW w:w="8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25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70"/>
        </w:trPr>
        <w:tc>
          <w:tcPr>
            <w:tcW w:w="8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4640" w:type="dxa"/>
            <w:vAlign w:val="bottom"/>
            <w:gridSpan w:val="8"/>
          </w:tcPr>
          <w:p>
            <w:pPr>
              <w:spacing w:after="0"/>
              <w:rPr>
                <w:sz w:val="20"/>
                <w:szCs w:val="20"/>
                <w:color w:val="auto"/>
              </w:rPr>
            </w:pPr>
            <w:r>
              <w:rPr>
                <w:rFonts w:ascii="Arial" w:cs="Arial" w:eastAsia="Arial" w:hAnsi="Arial"/>
                <w:sz w:val="14"/>
                <w:szCs w:val="14"/>
                <w:b w:val="1"/>
                <w:bCs w:val="1"/>
                <w:color w:val="auto"/>
              </w:rPr>
              <w:t>Description</w:t>
            </w:r>
          </w:p>
        </w:tc>
      </w:tr>
      <w:tr>
        <w:trPr>
          <w:trHeight w:val="190"/>
        </w:trPr>
        <w:tc>
          <w:tcPr>
            <w:tcW w:w="820" w:type="dxa"/>
            <w:vAlign w:val="bottom"/>
          </w:tcPr>
          <w:p>
            <w:pPr>
              <w:spacing w:after="0" w:line="190" w:lineRule="exact"/>
              <w:rPr>
                <w:sz w:val="20"/>
                <w:szCs w:val="20"/>
                <w:color w:val="auto"/>
              </w:rPr>
            </w:pPr>
            <w:r>
              <w:rPr>
                <w:rFonts w:ascii="Arial" w:cs="Arial" w:eastAsia="Arial" w:hAnsi="Arial"/>
                <w:sz w:val="18"/>
                <w:szCs w:val="18"/>
                <w:color w:val="auto"/>
              </w:rPr>
              <w:t>5.1</w:t>
            </w:r>
          </w:p>
        </w:tc>
        <w:tc>
          <w:tcPr>
            <w:tcW w:w="4640" w:type="dxa"/>
            <w:vAlign w:val="bottom"/>
            <w:gridSpan w:val="8"/>
          </w:tcPr>
          <w:p>
            <w:pPr>
              <w:spacing w:after="0" w:line="190" w:lineRule="exact"/>
              <w:rPr>
                <w:rFonts w:ascii="Arial" w:cs="Arial" w:eastAsia="Arial" w:hAnsi="Arial"/>
                <w:sz w:val="18"/>
                <w:szCs w:val="18"/>
                <w:color w:val="0000EE"/>
              </w:rPr>
            </w:pPr>
            <w:hyperlink w:anchor="page11">
              <w:r>
                <w:rPr>
                  <w:rFonts w:ascii="Arial" w:cs="Arial" w:eastAsia="Arial" w:hAnsi="Arial"/>
                  <w:sz w:val="18"/>
                  <w:szCs w:val="18"/>
                  <w:color w:val="0000EE"/>
                </w:rPr>
                <w:t>Opinion of Blank Rome LLP (regarding validity)</w:t>
              </w:r>
            </w:hyperlink>
          </w:p>
        </w:tc>
      </w:tr>
      <w:tr>
        <w:trPr>
          <w:trHeight w:val="304"/>
        </w:trPr>
        <w:tc>
          <w:tcPr>
            <w:tcW w:w="820" w:type="dxa"/>
            <w:vAlign w:val="bottom"/>
          </w:tcPr>
          <w:p>
            <w:pPr>
              <w:spacing w:after="0"/>
              <w:rPr>
                <w:sz w:val="20"/>
                <w:szCs w:val="20"/>
                <w:color w:val="auto"/>
              </w:rPr>
            </w:pPr>
            <w:r>
              <w:rPr>
                <w:rFonts w:ascii="Arial" w:cs="Arial" w:eastAsia="Arial" w:hAnsi="Arial"/>
                <w:sz w:val="18"/>
                <w:szCs w:val="18"/>
                <w:color w:val="auto"/>
              </w:rPr>
              <w:t>5.2</w:t>
            </w:r>
          </w:p>
        </w:tc>
        <w:tc>
          <w:tcPr>
            <w:tcW w:w="3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3"/>
              </w:rPr>
            </w:pPr>
            <w:hyperlink w:anchor="page13">
              <w:r>
                <w:rPr>
                  <w:rFonts w:ascii="Arial" w:cs="Arial" w:eastAsia="Arial" w:hAnsi="Arial"/>
                  <w:sz w:val="18"/>
                  <w:szCs w:val="18"/>
                  <w:color w:val="0000EE"/>
                  <w:w w:val="93"/>
                </w:rPr>
                <w:t>Opinion of Blank Rome LLP (regarding ERISA)</w:t>
              </w:r>
            </w:hyperlink>
          </w:p>
        </w:tc>
        <w:tc>
          <w:tcPr>
            <w:tcW w:w="20" w:type="dxa"/>
            <w:vAlign w:val="bottom"/>
            <w:tcBorders>
              <w:top w:val="single" w:sz="8" w:color="0000EE"/>
            </w:tcBorders>
          </w:tcPr>
          <w:p>
            <w:pPr>
              <w:spacing w:after="0"/>
              <w:rPr>
                <w:sz w:val="24"/>
                <w:szCs w:val="24"/>
                <w:color w:val="auto"/>
              </w:rPr>
            </w:pPr>
          </w:p>
        </w:tc>
        <w:tc>
          <w:tcPr>
            <w:tcW w:w="1100" w:type="dxa"/>
            <w:vAlign w:val="bottom"/>
            <w:gridSpan w:val="5"/>
          </w:tcPr>
          <w:p>
            <w:pPr>
              <w:spacing w:after="0"/>
              <w:rPr>
                <w:sz w:val="24"/>
                <w:szCs w:val="24"/>
                <w:color w:val="auto"/>
              </w:rPr>
            </w:pPr>
          </w:p>
        </w:tc>
      </w:tr>
      <w:tr>
        <w:trPr>
          <w:trHeight w:val="304"/>
        </w:trPr>
        <w:tc>
          <w:tcPr>
            <w:tcW w:w="820" w:type="dxa"/>
            <w:vAlign w:val="bottom"/>
          </w:tcPr>
          <w:p>
            <w:pPr>
              <w:spacing w:after="0"/>
              <w:rPr>
                <w:sz w:val="20"/>
                <w:szCs w:val="20"/>
                <w:color w:val="auto"/>
              </w:rPr>
            </w:pPr>
            <w:r>
              <w:rPr>
                <w:rFonts w:ascii="Arial" w:cs="Arial" w:eastAsia="Arial" w:hAnsi="Arial"/>
                <w:sz w:val="18"/>
                <w:szCs w:val="18"/>
                <w:color w:val="auto"/>
              </w:rPr>
              <w:t>23.1</w:t>
            </w:r>
          </w:p>
        </w:tc>
        <w:tc>
          <w:tcPr>
            <w:tcW w:w="2540" w:type="dxa"/>
            <w:vAlign w:val="bottom"/>
            <w:tcBorders>
              <w:bottom w:val="single" w:sz="8" w:color="0000EE"/>
            </w:tcBorders>
          </w:tcPr>
          <w:p>
            <w:pPr>
              <w:spacing w:after="0"/>
              <w:rPr>
                <w:rFonts w:ascii="Arial" w:cs="Arial" w:eastAsia="Arial" w:hAnsi="Arial"/>
                <w:sz w:val="18"/>
                <w:szCs w:val="18"/>
                <w:color w:val="0000EE"/>
                <w:w w:val="92"/>
              </w:rPr>
            </w:pPr>
            <w:hyperlink w:anchor="page15">
              <w:r>
                <w:rPr>
                  <w:rFonts w:ascii="Arial" w:cs="Arial" w:eastAsia="Arial" w:hAnsi="Arial"/>
                  <w:sz w:val="18"/>
                  <w:szCs w:val="18"/>
                  <w:color w:val="0000EE"/>
                  <w:w w:val="92"/>
                </w:rPr>
                <w:t>Consent of Deloitte &amp; Touche LLP</w:t>
              </w:r>
            </w:hyperlink>
          </w:p>
        </w:tc>
        <w:tc>
          <w:tcPr>
            <w:tcW w:w="2100" w:type="dxa"/>
            <w:vAlign w:val="bottom"/>
            <w:gridSpan w:val="7"/>
          </w:tcPr>
          <w:p>
            <w:pPr>
              <w:spacing w:after="0"/>
              <w:rPr>
                <w:sz w:val="24"/>
                <w:szCs w:val="24"/>
                <w:color w:val="auto"/>
              </w:rPr>
            </w:pPr>
          </w:p>
        </w:tc>
      </w:tr>
      <w:tr>
        <w:trPr>
          <w:trHeight w:val="304"/>
        </w:trPr>
        <w:tc>
          <w:tcPr>
            <w:tcW w:w="820" w:type="dxa"/>
            <w:vAlign w:val="bottom"/>
          </w:tcPr>
          <w:p>
            <w:pPr>
              <w:spacing w:after="0"/>
              <w:rPr>
                <w:sz w:val="20"/>
                <w:szCs w:val="20"/>
                <w:color w:val="auto"/>
              </w:rPr>
            </w:pPr>
            <w:r>
              <w:rPr>
                <w:rFonts w:ascii="Arial" w:cs="Arial" w:eastAsia="Arial" w:hAnsi="Arial"/>
                <w:sz w:val="18"/>
                <w:szCs w:val="18"/>
                <w:color w:val="auto"/>
              </w:rPr>
              <w:t>23.2</w:t>
            </w:r>
          </w:p>
        </w:tc>
        <w:tc>
          <w:tcPr>
            <w:tcW w:w="4640" w:type="dxa"/>
            <w:vAlign w:val="bottom"/>
            <w:gridSpan w:val="8"/>
          </w:tcPr>
          <w:p>
            <w:pPr>
              <w:spacing w:after="0"/>
              <w:rPr>
                <w:rFonts w:ascii="Arial" w:cs="Arial" w:eastAsia="Arial" w:hAnsi="Arial"/>
                <w:sz w:val="18"/>
                <w:szCs w:val="18"/>
                <w:color w:val="auto"/>
                <w:w w:val="91"/>
              </w:rPr>
            </w:pPr>
            <w:r>
              <w:rPr>
                <w:rFonts w:ascii="Arial" w:cs="Arial" w:eastAsia="Arial" w:hAnsi="Arial"/>
                <w:sz w:val="18"/>
                <w:szCs w:val="18"/>
                <w:color w:val="auto"/>
                <w:w w:val="91"/>
              </w:rPr>
              <w:t xml:space="preserve">Consent of Blank Rome LLP (contained in Exhibits </w:t>
            </w:r>
            <w:hyperlink w:anchor="page11">
              <w:r>
                <w:rPr>
                  <w:rFonts w:ascii="Arial" w:cs="Arial" w:eastAsia="Arial" w:hAnsi="Arial"/>
                  <w:sz w:val="18"/>
                  <w:szCs w:val="18"/>
                  <w:color w:val="0000EE"/>
                  <w:w w:val="91"/>
                </w:rPr>
                <w:t>5.1</w:t>
              </w:r>
              <w:r>
                <w:rPr>
                  <w:rFonts w:ascii="Arial" w:cs="Arial" w:eastAsia="Arial" w:hAnsi="Arial"/>
                  <w:sz w:val="18"/>
                  <w:szCs w:val="18"/>
                  <w:color w:val="auto"/>
                  <w:w w:val="91"/>
                </w:rPr>
                <w:t xml:space="preserve"> </w:t>
              </w:r>
            </w:hyperlink>
            <w:r>
              <w:rPr>
                <w:rFonts w:ascii="Arial" w:cs="Arial" w:eastAsia="Arial" w:hAnsi="Arial"/>
                <w:sz w:val="18"/>
                <w:szCs w:val="18"/>
                <w:color w:val="auto"/>
                <w:w w:val="91"/>
              </w:rPr>
              <w:t xml:space="preserve">and </w:t>
            </w:r>
            <w:hyperlink w:anchor="page13">
              <w:r>
                <w:rPr>
                  <w:rFonts w:ascii="Arial" w:cs="Arial" w:eastAsia="Arial" w:hAnsi="Arial"/>
                  <w:sz w:val="18"/>
                  <w:szCs w:val="18"/>
                  <w:color w:val="0000EE"/>
                  <w:w w:val="91"/>
                </w:rPr>
                <w:t>5.2</w:t>
              </w:r>
            </w:hyperlink>
            <w:r>
              <w:rPr>
                <w:rFonts w:ascii="Arial" w:cs="Arial" w:eastAsia="Arial" w:hAnsi="Arial"/>
                <w:sz w:val="18"/>
                <w:szCs w:val="18"/>
                <w:color w:val="auto"/>
                <w:w w:val="91"/>
              </w:rPr>
              <w:t>)</w:t>
            </w:r>
          </w:p>
        </w:tc>
      </w:tr>
      <w:tr>
        <w:trPr>
          <w:trHeight w:val="20"/>
        </w:trPr>
        <w:tc>
          <w:tcPr>
            <w:tcW w:w="8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824" w:hanging="824"/>
        <w:spacing w:after="0"/>
        <w:tabs>
          <w:tab w:leader="none" w:pos="824" w:val="left"/>
        </w:tabs>
        <w:numPr>
          <w:ilvl w:val="0"/>
          <w:numId w:val="2"/>
        </w:numPr>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Power of Attorney (contained in the signature pages hereto)</w:t>
        </w:r>
      </w:hyperlink>
    </w:p>
    <w:p>
      <w:pPr>
        <w:spacing w:after="0" w:line="117" w:lineRule="exact"/>
        <w:rPr>
          <w:sz w:val="20"/>
          <w:szCs w:val="20"/>
          <w:color w:val="auto"/>
        </w:rPr>
      </w:pPr>
    </w:p>
    <w:p>
      <w:pPr>
        <w:ind w:left="824" w:right="320" w:hanging="824"/>
        <w:spacing w:after="0" w:line="277" w:lineRule="auto"/>
        <w:tabs>
          <w:tab w:leader="none" w:pos="824" w:val="left"/>
        </w:tabs>
        <w:numPr>
          <w:ilvl w:val="0"/>
          <w:numId w:val="3"/>
        </w:numPr>
        <w:rPr>
          <w:rFonts w:ascii="Arial" w:cs="Arial" w:eastAsia="Arial" w:hAnsi="Arial"/>
          <w:sz w:val="18"/>
          <w:szCs w:val="18"/>
          <w:u w:val="single" w:color="auto"/>
          <w:color w:val="0000EE"/>
        </w:rPr>
      </w:pPr>
      <w:hyperlink r:id="rId23">
        <w:r>
          <w:rPr>
            <w:rFonts w:ascii="Arial" w:cs="Arial" w:eastAsia="Arial" w:hAnsi="Arial"/>
            <w:sz w:val="18"/>
            <w:szCs w:val="18"/>
            <w:u w:val="single" w:color="auto"/>
            <w:color w:val="0000EE"/>
          </w:rPr>
          <w:t>Comcast Select Deferred Compensation Plan, as amended and restated, effective October 12, 2021 (incorporated by reference to Exhibit</w:t>
        </w:r>
      </w:hyperlink>
      <w:r>
        <w:rPr>
          <w:rFonts w:ascii="Arial" w:cs="Arial" w:eastAsia="Arial" w:hAnsi="Arial"/>
          <w:sz w:val="18"/>
          <w:szCs w:val="18"/>
          <w:u w:val="single" w:color="auto"/>
          <w:color w:val="0000EE"/>
        </w:rPr>
        <w:t xml:space="preserve"> </w:t>
      </w:r>
      <w:hyperlink r:id="rId23">
        <w:r>
          <w:rPr>
            <w:rFonts w:ascii="Arial" w:cs="Arial" w:eastAsia="Arial" w:hAnsi="Arial"/>
            <w:sz w:val="18"/>
            <w:szCs w:val="18"/>
            <w:u w:val="single" w:color="auto"/>
            <w:color w:val="0000EE"/>
          </w:rPr>
          <w:t>10.3 to the Registrant’s Annual Report on Form 10-K for the fiscal year ended December 31, 2021).</w:t>
        </w:r>
      </w:hyperlink>
    </w:p>
    <w:p>
      <w:pPr>
        <w:spacing w:after="0" w:line="62" w:lineRule="exact"/>
        <w:rPr>
          <w:rFonts w:ascii="Arial" w:cs="Arial" w:eastAsia="Arial" w:hAnsi="Arial"/>
          <w:sz w:val="18"/>
          <w:szCs w:val="18"/>
          <w:color w:val="auto"/>
        </w:rPr>
      </w:pPr>
    </w:p>
    <w:p>
      <w:pPr>
        <w:ind w:left="824" w:hanging="824"/>
        <w:spacing w:after="0"/>
        <w:tabs>
          <w:tab w:leader="none" w:pos="824" w:val="left"/>
        </w:tabs>
        <w:numPr>
          <w:ilvl w:val="0"/>
          <w:numId w:val="4"/>
        </w:numPr>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Filing Fee Table</w:t>
        </w:r>
      </w:hyperlink>
    </w:p>
    <w:p>
      <w:pPr>
        <w:spacing w:after="0" w:line="370" w:lineRule="exact"/>
        <w:rPr>
          <w:rFonts w:ascii="Arial" w:cs="Arial" w:eastAsia="Arial" w:hAnsi="Arial"/>
          <w:sz w:val="18"/>
          <w:szCs w:val="18"/>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21" w:lineRule="exact"/>
        <w:rPr>
          <w:rFonts w:ascii="Arial" w:cs="Arial" w:eastAsia="Arial" w:hAnsi="Arial"/>
          <w:sz w:val="18"/>
          <w:szCs w:val="18"/>
          <w:color w:val="auto"/>
        </w:rPr>
      </w:pPr>
    </w:p>
    <w:p>
      <w:pPr>
        <w:ind w:left="4"/>
        <w:spacing w:after="0"/>
        <w:rPr>
          <w:sz w:val="20"/>
          <w:szCs w:val="20"/>
          <w:color w:val="auto"/>
        </w:rPr>
      </w:pPr>
      <w:r>
        <w:rPr>
          <w:rFonts w:ascii="Arial" w:cs="Arial" w:eastAsia="Arial" w:hAnsi="Arial"/>
          <w:sz w:val="18"/>
          <w:szCs w:val="18"/>
          <w:color w:val="auto"/>
        </w:rPr>
        <w:t>(a) The undersigned Registrant hereby undertakes:</w:t>
      </w:r>
    </w:p>
    <w:p>
      <w:pPr>
        <w:spacing w:after="0" w:line="117" w:lineRule="exact"/>
        <w:rPr>
          <w:rFonts w:ascii="Arial" w:cs="Arial" w:eastAsia="Arial" w:hAnsi="Arial"/>
          <w:sz w:val="18"/>
          <w:szCs w:val="18"/>
          <w:color w:val="auto"/>
        </w:rPr>
      </w:pPr>
    </w:p>
    <w:p>
      <w:pPr>
        <w:ind w:left="264" w:hanging="264"/>
        <w:spacing w:after="0"/>
        <w:tabs>
          <w:tab w:leader="none" w:pos="264"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w:t>
      </w:r>
    </w:p>
    <w:p>
      <w:pPr>
        <w:spacing w:after="0" w:line="117" w:lineRule="exact"/>
        <w:rPr>
          <w:rFonts w:ascii="Arial" w:cs="Arial" w:eastAsia="Arial" w:hAnsi="Arial"/>
          <w:sz w:val="18"/>
          <w:szCs w:val="18"/>
          <w:color w:val="auto"/>
        </w:rPr>
      </w:pPr>
    </w:p>
    <w:p>
      <w:pPr>
        <w:ind w:left="4" w:right="80" w:hanging="4"/>
        <w:spacing w:after="0" w:line="293" w:lineRule="auto"/>
        <w:tabs>
          <w:tab w:leader="none" w:pos="269"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56" w:lineRule="exact"/>
        <w:rPr>
          <w:rFonts w:ascii="Arial" w:cs="Arial" w:eastAsia="Arial" w:hAnsi="Arial"/>
          <w:sz w:val="16"/>
          <w:szCs w:val="16"/>
          <w:color w:val="auto"/>
        </w:rPr>
      </w:pPr>
    </w:p>
    <w:p>
      <w:pPr>
        <w:ind w:left="4" w:right="240" w:hanging="4"/>
        <w:spacing w:after="0" w:line="277" w:lineRule="auto"/>
        <w:tabs>
          <w:tab w:leader="none" w:pos="319"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rFonts w:ascii="Arial" w:cs="Arial" w:eastAsia="Arial" w:hAnsi="Arial"/>
          <w:sz w:val="18"/>
          <w:szCs w:val="18"/>
          <w:color w:val="auto"/>
        </w:rPr>
      </w:pPr>
    </w:p>
    <w:p>
      <w:pPr>
        <w:ind w:left="4" w:right="40"/>
        <w:spacing w:after="0" w:line="286" w:lineRule="auto"/>
        <w:rPr>
          <w:sz w:val="20"/>
          <w:szCs w:val="20"/>
          <w:color w:val="auto"/>
        </w:rPr>
      </w:pPr>
      <w:r>
        <w:rPr>
          <w:rFonts w:ascii="Arial" w:cs="Arial" w:eastAsia="Arial" w:hAnsi="Arial"/>
          <w:sz w:val="17"/>
          <w:szCs w:val="17"/>
          <w:color w:val="auto"/>
        </w:rPr>
        <w:t>Provided, however, that paragraphs (a)(1)(i) and (a)(1)(ii) do not apply if the registration statement is on Form S-8, and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57" w:lineRule="exact"/>
        <w:rPr>
          <w:rFonts w:ascii="Arial" w:cs="Arial" w:eastAsia="Arial" w:hAnsi="Arial"/>
          <w:sz w:val="18"/>
          <w:szCs w:val="18"/>
          <w:color w:val="auto"/>
        </w:rPr>
      </w:pPr>
    </w:p>
    <w:p>
      <w:pPr>
        <w:ind w:left="4" w:right="140" w:hanging="4"/>
        <w:spacing w:after="0" w:line="263" w:lineRule="auto"/>
        <w:tabs>
          <w:tab w:leader="none" w:pos="25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5" w:lineRule="exact"/>
        <w:rPr>
          <w:rFonts w:ascii="Arial" w:cs="Arial" w:eastAsia="Arial" w:hAnsi="Arial"/>
          <w:sz w:val="18"/>
          <w:szCs w:val="18"/>
          <w:color w:val="auto"/>
        </w:rPr>
      </w:pPr>
    </w:p>
    <w:p>
      <w:pPr>
        <w:ind w:left="4" w:hanging="4"/>
        <w:spacing w:after="0" w:line="277" w:lineRule="auto"/>
        <w:tabs>
          <w:tab w:leader="none" w:pos="259"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4" w:right="80" w:hanging="4"/>
        <w:spacing w:after="0" w:line="257" w:lineRule="auto"/>
        <w:tabs>
          <w:tab w:leader="none" w:pos="25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1004"/>
          </w:cols>
          <w:pgMar w:left="436" w:top="270" w:right="459" w:bottom="1440" w:gutter="0" w:footer="0" w:header="0"/>
        </w:sectPr>
      </w:pPr>
    </w:p>
    <w:bookmarkStart w:id="7" w:name="page8"/>
    <w:bookmarkEnd w:id="7"/>
    <w:p>
      <w:pPr>
        <w:ind w:left="4" w:hanging="4"/>
        <w:spacing w:after="0" w:line="271" w:lineRule="auto"/>
        <w:tabs>
          <w:tab w:leader="none" w:pos="249" w:val="left"/>
        </w:tabs>
        <w:numPr>
          <w:ilvl w:val="0"/>
          <w:numId w:val="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944"/>
          </w:cols>
          <w:pgMar w:left="436" w:top="274" w:right="51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12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Philadelphia, Commonwealth of Pennsylvania, on February 3, 2022.</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Thomas J. Reid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Thomas J. Reid</w:t>
      </w:r>
    </w:p>
    <w:p>
      <w:pPr>
        <w:spacing w:after="0" w:line="23" w:lineRule="exact"/>
        <w:rPr>
          <w:sz w:val="20"/>
          <w:szCs w:val="20"/>
          <w:color w:val="auto"/>
        </w:rPr>
      </w:pPr>
    </w:p>
    <w:p>
      <w:pPr>
        <w:ind w:left="6960"/>
        <w:spacing w:after="0"/>
        <w:tabs>
          <w:tab w:leader="none" w:pos="7520" w:val="left"/>
        </w:tabs>
        <w:rPr>
          <w:sz w:val="20"/>
          <w:szCs w:val="20"/>
          <w:color w:val="auto"/>
        </w:rPr>
      </w:pPr>
      <w:r>
        <w:rPr>
          <w:rFonts w:ascii="Arial" w:cs="Arial" w:eastAsia="Arial" w:hAnsi="Arial"/>
          <w:sz w:val="18"/>
          <w:szCs w:val="18"/>
          <w:color w:val="auto"/>
        </w:rPr>
        <w:t>Title:</w:t>
        <w:tab/>
        <w:t>Chief Legal Officer and Secretary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KNOW ALL MEN BY THESE PRESENTS, that each person whose signature appears below hereby constitutes and appoints Michael J. Cavanagh, Daniel C. Murdock and Thomas J. Reid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either of them, or their substitute or substitutes, may lawfully do or cause to be done by virtue hereof.</w:t>
      </w:r>
    </w:p>
    <w:p>
      <w:pPr>
        <w:spacing w:after="0" w:line="19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4140" w:type="dxa"/>
            <w:vAlign w:val="bottom"/>
          </w:tcPr>
          <w:p>
            <w:pPr>
              <w:jc w:val="center"/>
              <w:ind w:right="292"/>
              <w:spacing w:after="0"/>
              <w:rPr>
                <w:sz w:val="20"/>
                <w:szCs w:val="20"/>
                <w:color w:val="auto"/>
              </w:rPr>
            </w:pPr>
            <w:r>
              <w:rPr>
                <w:rFonts w:ascii="Arial" w:cs="Arial" w:eastAsia="Arial" w:hAnsi="Arial"/>
                <w:sz w:val="14"/>
                <w:szCs w:val="14"/>
                <w:b w:val="1"/>
                <w:bCs w:val="1"/>
                <w:color w:val="auto"/>
                <w:w w:val="97"/>
              </w:rPr>
              <w:t>Title</w:t>
            </w:r>
          </w:p>
        </w:tc>
        <w:tc>
          <w:tcPr>
            <w:tcW w:w="1920" w:type="dxa"/>
            <w:vAlign w:val="bottom"/>
          </w:tcPr>
          <w:p>
            <w:pPr>
              <w:jc w:val="center"/>
              <w:ind w:left="612"/>
              <w:spacing w:after="0"/>
              <w:rPr>
                <w:sz w:val="20"/>
                <w:szCs w:val="20"/>
                <w:color w:val="auto"/>
              </w:rPr>
            </w:pPr>
            <w:r>
              <w:rPr>
                <w:rFonts w:ascii="Arial" w:cs="Arial" w:eastAsia="Arial" w:hAnsi="Arial"/>
                <w:sz w:val="14"/>
                <w:szCs w:val="14"/>
                <w:b w:val="1"/>
                <w:bCs w:val="1"/>
                <w:color w:val="auto"/>
                <w:w w:val="98"/>
              </w:rPr>
              <w:t>Date</w:t>
            </w:r>
          </w:p>
        </w:tc>
      </w:tr>
      <w:tr>
        <w:trPr>
          <w:trHeight w:val="309"/>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Brian L. Roberts</w:t>
            </w:r>
          </w:p>
        </w:tc>
        <w:tc>
          <w:tcPr>
            <w:tcW w:w="4140" w:type="dxa"/>
            <w:vAlign w:val="bottom"/>
          </w:tcPr>
          <w:p>
            <w:pPr>
              <w:jc w:val="center"/>
              <w:ind w:right="292"/>
              <w:spacing w:after="0"/>
              <w:rPr>
                <w:sz w:val="20"/>
                <w:szCs w:val="20"/>
                <w:color w:val="auto"/>
              </w:rPr>
            </w:pPr>
            <w:r>
              <w:rPr>
                <w:rFonts w:ascii="Arial" w:cs="Arial" w:eastAsia="Arial" w:hAnsi="Arial"/>
                <w:sz w:val="18"/>
                <w:szCs w:val="18"/>
                <w:color w:val="auto"/>
                <w:w w:val="92"/>
              </w:rPr>
              <w:t>Chairman and CEO; Director</w:t>
            </w:r>
          </w:p>
        </w:tc>
        <w:tc>
          <w:tcPr>
            <w:tcW w:w="1920" w:type="dxa"/>
            <w:vAlign w:val="bottom"/>
          </w:tcPr>
          <w:p>
            <w:pPr>
              <w:jc w:val="center"/>
              <w:ind w:left="612"/>
              <w:spacing w:after="0"/>
              <w:rPr>
                <w:sz w:val="20"/>
                <w:szCs w:val="20"/>
                <w:color w:val="auto"/>
              </w:rPr>
            </w:pPr>
            <w:r>
              <w:rPr>
                <w:rFonts w:ascii="Arial" w:cs="Arial" w:eastAsia="Arial" w:hAnsi="Arial"/>
                <w:sz w:val="18"/>
                <w:szCs w:val="18"/>
                <w:color w:val="auto"/>
                <w:w w:val="88"/>
              </w:rPr>
              <w:t>February 3, 2022</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2"/>
              </w:rPr>
              <w:t>Brian L. Roberts</w:t>
            </w:r>
          </w:p>
        </w:tc>
        <w:tc>
          <w:tcPr>
            <w:tcW w:w="4140" w:type="dxa"/>
            <w:vAlign w:val="bottom"/>
          </w:tcPr>
          <w:p>
            <w:pPr>
              <w:jc w:val="center"/>
              <w:ind w:right="292"/>
              <w:spacing w:after="0"/>
              <w:rPr>
                <w:sz w:val="20"/>
                <w:szCs w:val="20"/>
                <w:color w:val="auto"/>
              </w:rPr>
            </w:pPr>
            <w:r>
              <w:rPr>
                <w:rFonts w:ascii="Arial" w:cs="Arial" w:eastAsia="Arial" w:hAnsi="Arial"/>
                <w:sz w:val="18"/>
                <w:szCs w:val="18"/>
                <w:color w:val="auto"/>
                <w:w w:val="93"/>
              </w:rPr>
              <w:t>(Principal Executive Officer)</w:t>
            </w:r>
          </w:p>
        </w:tc>
        <w:tc>
          <w:tcPr>
            <w:tcW w:w="192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Michael J. Cavanagh</w:t>
            </w:r>
          </w:p>
        </w:tc>
        <w:tc>
          <w:tcPr>
            <w:tcW w:w="4140" w:type="dxa"/>
            <w:vAlign w:val="bottom"/>
          </w:tcPr>
          <w:p>
            <w:pPr>
              <w:jc w:val="center"/>
              <w:ind w:right="292"/>
              <w:spacing w:after="0"/>
              <w:rPr>
                <w:sz w:val="20"/>
                <w:szCs w:val="20"/>
                <w:color w:val="auto"/>
              </w:rPr>
            </w:pPr>
            <w:r>
              <w:rPr>
                <w:rFonts w:ascii="Arial" w:cs="Arial" w:eastAsia="Arial" w:hAnsi="Arial"/>
                <w:sz w:val="18"/>
                <w:szCs w:val="18"/>
                <w:color w:val="auto"/>
                <w:w w:val="94"/>
              </w:rPr>
              <w:t>Chief Financial Officer</w:t>
            </w:r>
          </w:p>
        </w:tc>
        <w:tc>
          <w:tcPr>
            <w:tcW w:w="1920" w:type="dxa"/>
            <w:vAlign w:val="bottom"/>
          </w:tcPr>
          <w:p>
            <w:pPr>
              <w:jc w:val="center"/>
              <w:ind w:left="612"/>
              <w:spacing w:after="0"/>
              <w:rPr>
                <w:sz w:val="20"/>
                <w:szCs w:val="20"/>
                <w:color w:val="auto"/>
              </w:rPr>
            </w:pPr>
            <w:r>
              <w:rPr>
                <w:rFonts w:ascii="Arial" w:cs="Arial" w:eastAsia="Arial" w:hAnsi="Arial"/>
                <w:sz w:val="18"/>
                <w:szCs w:val="18"/>
                <w:color w:val="auto"/>
                <w:w w:val="88"/>
              </w:rPr>
              <w:t>February 3, 2022</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0"/>
              </w:rPr>
              <w:t>Michael J. Cavanagh</w:t>
            </w:r>
          </w:p>
        </w:tc>
        <w:tc>
          <w:tcPr>
            <w:tcW w:w="4140" w:type="dxa"/>
            <w:vAlign w:val="bottom"/>
          </w:tcPr>
          <w:p>
            <w:pPr>
              <w:jc w:val="center"/>
              <w:ind w:right="292"/>
              <w:spacing w:after="0"/>
              <w:rPr>
                <w:sz w:val="20"/>
                <w:szCs w:val="20"/>
                <w:color w:val="auto"/>
              </w:rPr>
            </w:pPr>
            <w:r>
              <w:rPr>
                <w:rFonts w:ascii="Arial" w:cs="Arial" w:eastAsia="Arial" w:hAnsi="Arial"/>
                <w:sz w:val="18"/>
                <w:szCs w:val="18"/>
                <w:color w:val="auto"/>
                <w:w w:val="94"/>
              </w:rPr>
              <w:t>(Principal Financial Officer)</w:t>
            </w:r>
          </w:p>
        </w:tc>
        <w:tc>
          <w:tcPr>
            <w:tcW w:w="192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Daniel C. Murdock</w:t>
            </w:r>
          </w:p>
        </w:tc>
        <w:tc>
          <w:tcPr>
            <w:tcW w:w="4140" w:type="dxa"/>
            <w:vAlign w:val="bottom"/>
          </w:tcPr>
          <w:p>
            <w:pPr>
              <w:jc w:val="center"/>
              <w:ind w:right="292"/>
              <w:spacing w:after="0"/>
              <w:rPr>
                <w:sz w:val="20"/>
                <w:szCs w:val="20"/>
                <w:color w:val="auto"/>
              </w:rPr>
            </w:pPr>
            <w:r>
              <w:rPr>
                <w:rFonts w:ascii="Arial" w:cs="Arial" w:eastAsia="Arial" w:hAnsi="Arial"/>
                <w:sz w:val="18"/>
                <w:szCs w:val="18"/>
                <w:color w:val="auto"/>
                <w:w w:val="91"/>
              </w:rPr>
              <w:t>Executive Vice President, Chief Accounting</w:t>
            </w:r>
          </w:p>
        </w:tc>
        <w:tc>
          <w:tcPr>
            <w:tcW w:w="1920" w:type="dxa"/>
            <w:vAlign w:val="bottom"/>
          </w:tcPr>
          <w:p>
            <w:pPr>
              <w:jc w:val="center"/>
              <w:ind w:left="612"/>
              <w:spacing w:after="0"/>
              <w:rPr>
                <w:sz w:val="20"/>
                <w:szCs w:val="20"/>
                <w:color w:val="auto"/>
              </w:rPr>
            </w:pPr>
            <w:r>
              <w:rPr>
                <w:rFonts w:ascii="Arial" w:cs="Arial" w:eastAsia="Arial" w:hAnsi="Arial"/>
                <w:sz w:val="18"/>
                <w:szCs w:val="18"/>
                <w:color w:val="auto"/>
                <w:w w:val="88"/>
              </w:rPr>
              <w:t>February 3, 2022</w:t>
            </w:r>
          </w:p>
        </w:tc>
      </w:tr>
      <w:tr>
        <w:trPr>
          <w:trHeight w:val="209"/>
        </w:trPr>
        <w:tc>
          <w:tcPr>
            <w:tcW w:w="3860" w:type="dxa"/>
            <w:vAlign w:val="bottom"/>
          </w:tcPr>
          <w:p>
            <w:pPr>
              <w:jc w:val="center"/>
              <w:spacing w:after="0"/>
              <w:rPr>
                <w:sz w:val="20"/>
                <w:szCs w:val="20"/>
                <w:color w:val="auto"/>
              </w:rPr>
            </w:pPr>
            <w:r>
              <w:rPr>
                <w:rFonts w:ascii="Arial" w:cs="Arial" w:eastAsia="Arial" w:hAnsi="Arial"/>
                <w:sz w:val="18"/>
                <w:szCs w:val="18"/>
                <w:color w:val="auto"/>
                <w:w w:val="94"/>
              </w:rPr>
              <w:t>Daniel C. Murdock</w:t>
            </w:r>
          </w:p>
        </w:tc>
        <w:tc>
          <w:tcPr>
            <w:tcW w:w="4140" w:type="dxa"/>
            <w:vAlign w:val="bottom"/>
          </w:tcPr>
          <w:p>
            <w:pPr>
              <w:jc w:val="center"/>
              <w:ind w:right="292"/>
              <w:spacing w:after="0"/>
              <w:rPr>
                <w:sz w:val="20"/>
                <w:szCs w:val="20"/>
                <w:color w:val="auto"/>
              </w:rPr>
            </w:pPr>
            <w:r>
              <w:rPr>
                <w:rFonts w:ascii="Arial" w:cs="Arial" w:eastAsia="Arial" w:hAnsi="Arial"/>
                <w:sz w:val="18"/>
                <w:szCs w:val="18"/>
                <w:color w:val="auto"/>
                <w:w w:val="93"/>
              </w:rPr>
              <w:t>Officer and Controller</w:t>
            </w:r>
          </w:p>
        </w:tc>
        <w:tc>
          <w:tcPr>
            <w:tcW w:w="1920" w:type="dxa"/>
            <w:vAlign w:val="bottom"/>
          </w:tcPr>
          <w:p>
            <w:pPr>
              <w:spacing w:after="0"/>
              <w:rPr>
                <w:sz w:val="18"/>
                <w:szCs w:val="18"/>
                <w:color w:val="auto"/>
              </w:rPr>
            </w:pPr>
          </w:p>
        </w:tc>
      </w:tr>
      <w:tr>
        <w:trPr>
          <w:trHeight w:val="230"/>
        </w:trPr>
        <w:tc>
          <w:tcPr>
            <w:tcW w:w="3860" w:type="dxa"/>
            <w:vAlign w:val="bottom"/>
          </w:tcPr>
          <w:p>
            <w:pPr>
              <w:spacing w:after="0"/>
              <w:rPr>
                <w:sz w:val="20"/>
                <w:szCs w:val="20"/>
                <w:color w:val="auto"/>
              </w:rPr>
            </w:pPr>
          </w:p>
        </w:tc>
        <w:tc>
          <w:tcPr>
            <w:tcW w:w="4140" w:type="dxa"/>
            <w:vAlign w:val="bottom"/>
          </w:tcPr>
          <w:p>
            <w:pPr>
              <w:jc w:val="center"/>
              <w:ind w:right="292"/>
              <w:spacing w:after="0"/>
              <w:rPr>
                <w:sz w:val="20"/>
                <w:szCs w:val="20"/>
                <w:color w:val="auto"/>
              </w:rPr>
            </w:pPr>
            <w:r>
              <w:rPr>
                <w:rFonts w:ascii="Arial" w:cs="Arial" w:eastAsia="Arial" w:hAnsi="Arial"/>
                <w:sz w:val="18"/>
                <w:szCs w:val="18"/>
                <w:color w:val="auto"/>
                <w:w w:val="94"/>
              </w:rPr>
              <w:t>(Principal Accounting Officer)</w:t>
            </w:r>
          </w:p>
        </w:tc>
        <w:tc>
          <w:tcPr>
            <w:tcW w:w="1920" w:type="dxa"/>
            <w:vAlign w:val="bottom"/>
          </w:tcPr>
          <w:p>
            <w:pPr>
              <w:spacing w:after="0"/>
              <w:rPr>
                <w:sz w:val="20"/>
                <w:szCs w:val="20"/>
                <w:color w:val="auto"/>
              </w:rPr>
            </w:pPr>
          </w:p>
        </w:tc>
      </w:tr>
      <w:tr>
        <w:trPr>
          <w:trHeight w:val="445"/>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Kenneth J. Bacon</w:t>
            </w:r>
          </w:p>
        </w:tc>
        <w:tc>
          <w:tcPr>
            <w:tcW w:w="4140" w:type="dxa"/>
            <w:vAlign w:val="bottom"/>
          </w:tcPr>
          <w:p>
            <w:pPr>
              <w:jc w:val="center"/>
              <w:ind w:right="292"/>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jc w:val="center"/>
              <w:ind w:left="612"/>
              <w:spacing w:after="0"/>
              <w:rPr>
                <w:sz w:val="20"/>
                <w:szCs w:val="20"/>
                <w:color w:val="auto"/>
              </w:rPr>
            </w:pPr>
            <w:r>
              <w:rPr>
                <w:rFonts w:ascii="Arial" w:cs="Arial" w:eastAsia="Arial" w:hAnsi="Arial"/>
                <w:sz w:val="18"/>
                <w:szCs w:val="18"/>
                <w:color w:val="auto"/>
                <w:w w:val="88"/>
              </w:rPr>
              <w:t>February 3, 2022</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0"/>
              </w:rPr>
              <w:t>Kenneth J. Bacon</w:t>
            </w:r>
          </w:p>
        </w:tc>
        <w:tc>
          <w:tcPr>
            <w:tcW w:w="41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Madeline S. Bell</w:t>
            </w:r>
          </w:p>
        </w:tc>
        <w:tc>
          <w:tcPr>
            <w:tcW w:w="4140" w:type="dxa"/>
            <w:vAlign w:val="bottom"/>
          </w:tcPr>
          <w:p>
            <w:pPr>
              <w:jc w:val="center"/>
              <w:ind w:right="292"/>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jc w:val="center"/>
              <w:ind w:left="612"/>
              <w:spacing w:after="0"/>
              <w:rPr>
                <w:sz w:val="20"/>
                <w:szCs w:val="20"/>
                <w:color w:val="auto"/>
              </w:rPr>
            </w:pPr>
            <w:r>
              <w:rPr>
                <w:rFonts w:ascii="Arial" w:cs="Arial" w:eastAsia="Arial" w:hAnsi="Arial"/>
                <w:sz w:val="18"/>
                <w:szCs w:val="18"/>
                <w:color w:val="auto"/>
                <w:w w:val="88"/>
              </w:rPr>
              <w:t>February 3, 2022</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3"/>
              </w:rPr>
              <w:t>Madeline S. Bell</w:t>
            </w:r>
          </w:p>
        </w:tc>
        <w:tc>
          <w:tcPr>
            <w:tcW w:w="41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Naomi M. Bergman</w:t>
            </w:r>
          </w:p>
        </w:tc>
        <w:tc>
          <w:tcPr>
            <w:tcW w:w="4140" w:type="dxa"/>
            <w:vAlign w:val="bottom"/>
          </w:tcPr>
          <w:p>
            <w:pPr>
              <w:jc w:val="center"/>
              <w:ind w:right="292"/>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jc w:val="center"/>
              <w:ind w:left="612"/>
              <w:spacing w:after="0"/>
              <w:rPr>
                <w:sz w:val="20"/>
                <w:szCs w:val="20"/>
                <w:color w:val="auto"/>
              </w:rPr>
            </w:pPr>
            <w:r>
              <w:rPr>
                <w:rFonts w:ascii="Arial" w:cs="Arial" w:eastAsia="Arial" w:hAnsi="Arial"/>
                <w:sz w:val="18"/>
                <w:szCs w:val="18"/>
                <w:color w:val="auto"/>
                <w:w w:val="88"/>
              </w:rPr>
              <w:t>February 3, 2022</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2"/>
              </w:rPr>
              <w:t>Naomi M. Bergman</w:t>
            </w:r>
          </w:p>
        </w:tc>
        <w:tc>
          <w:tcPr>
            <w:tcW w:w="41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Edward D. Breen</w:t>
            </w:r>
          </w:p>
        </w:tc>
        <w:tc>
          <w:tcPr>
            <w:tcW w:w="4140" w:type="dxa"/>
            <w:vAlign w:val="bottom"/>
          </w:tcPr>
          <w:p>
            <w:pPr>
              <w:jc w:val="center"/>
              <w:ind w:right="292"/>
              <w:spacing w:after="0"/>
              <w:rPr>
                <w:sz w:val="20"/>
                <w:szCs w:val="20"/>
                <w:color w:val="auto"/>
              </w:rPr>
            </w:pPr>
            <w:r>
              <w:rPr>
                <w:rFonts w:ascii="Arial" w:cs="Arial" w:eastAsia="Arial" w:hAnsi="Arial"/>
                <w:sz w:val="18"/>
                <w:szCs w:val="18"/>
                <w:color w:val="auto"/>
                <w:w w:val="95"/>
              </w:rPr>
              <w:t>Director</w:t>
            </w:r>
          </w:p>
        </w:tc>
        <w:tc>
          <w:tcPr>
            <w:tcW w:w="1920" w:type="dxa"/>
            <w:vAlign w:val="bottom"/>
          </w:tcPr>
          <w:p>
            <w:pPr>
              <w:jc w:val="center"/>
              <w:ind w:left="612"/>
              <w:spacing w:after="0"/>
              <w:rPr>
                <w:sz w:val="20"/>
                <w:szCs w:val="20"/>
                <w:color w:val="auto"/>
              </w:rPr>
            </w:pPr>
            <w:r>
              <w:rPr>
                <w:rFonts w:ascii="Arial" w:cs="Arial" w:eastAsia="Arial" w:hAnsi="Arial"/>
                <w:sz w:val="18"/>
                <w:szCs w:val="18"/>
                <w:color w:val="auto"/>
                <w:w w:val="88"/>
              </w:rPr>
              <w:t>February 3, 2022</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1"/>
              </w:rPr>
              <w:t>Edward D. Breen</w:t>
            </w:r>
          </w:p>
        </w:tc>
        <w:tc>
          <w:tcPr>
            <w:tcW w:w="4140" w:type="dxa"/>
            <w:vAlign w:val="bottom"/>
          </w:tcPr>
          <w:p>
            <w:pPr>
              <w:spacing w:after="0"/>
              <w:rPr>
                <w:sz w:val="19"/>
                <w:szCs w:val="19"/>
                <w:color w:val="auto"/>
              </w:rPr>
            </w:pPr>
          </w:p>
        </w:tc>
        <w:tc>
          <w:tcPr>
            <w:tcW w:w="1920" w:type="dxa"/>
            <w:vAlign w:val="bottom"/>
          </w:tcPr>
          <w:p>
            <w:pPr>
              <w:spacing w:after="0"/>
              <w:rPr>
                <w:sz w:val="19"/>
                <w:szCs w:val="19"/>
                <w:color w:val="auto"/>
              </w:rPr>
            </w:pPr>
          </w:p>
        </w:tc>
      </w:tr>
    </w:tbl>
    <w:p>
      <w:pPr>
        <w:sectPr>
          <w:pgSz w:w="11900" w:h="16838" w:orient="portrait"/>
          <w:cols w:equalWidth="0" w:num="1">
            <w:col w:w="10980"/>
          </w:cols>
          <w:pgMar w:left="440" w:top="270" w:right="47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Gerald L. Hassell</w:t>
            </w:r>
          </w:p>
        </w:tc>
        <w:tc>
          <w:tcPr>
            <w:tcW w:w="3500" w:type="dxa"/>
            <w:vAlign w:val="bottom"/>
          </w:tcPr>
          <w:p>
            <w:pPr>
              <w:ind w:left="1580"/>
              <w:spacing w:after="0"/>
              <w:rPr>
                <w:sz w:val="20"/>
                <w:szCs w:val="20"/>
                <w:color w:val="auto"/>
              </w:rPr>
            </w:pPr>
            <w:r>
              <w:rPr>
                <w:rFonts w:ascii="Arial" w:cs="Arial" w:eastAsia="Arial" w:hAnsi="Arial"/>
                <w:sz w:val="18"/>
                <w:szCs w:val="18"/>
                <w:color w:val="auto"/>
              </w:rPr>
              <w:t>Director</w:t>
            </w:r>
          </w:p>
        </w:tc>
        <w:tc>
          <w:tcPr>
            <w:tcW w:w="2560" w:type="dxa"/>
            <w:vAlign w:val="bottom"/>
          </w:tcPr>
          <w:p>
            <w:pPr>
              <w:ind w:left="1340"/>
              <w:spacing w:after="0"/>
              <w:rPr>
                <w:sz w:val="20"/>
                <w:szCs w:val="20"/>
                <w:color w:val="auto"/>
              </w:rPr>
            </w:pPr>
            <w:r>
              <w:rPr>
                <w:rFonts w:ascii="Arial" w:cs="Arial" w:eastAsia="Arial" w:hAnsi="Arial"/>
                <w:sz w:val="18"/>
                <w:szCs w:val="18"/>
                <w:color w:val="auto"/>
                <w:w w:val="87"/>
              </w:rPr>
              <w:t>February 3, 2022</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1"/>
              </w:rPr>
              <w:t>Gerald L. Hassell</w:t>
            </w:r>
          </w:p>
        </w:tc>
        <w:tc>
          <w:tcPr>
            <w:tcW w:w="350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Jeffrey A. Honickman</w:t>
            </w:r>
          </w:p>
        </w:tc>
        <w:tc>
          <w:tcPr>
            <w:tcW w:w="3500" w:type="dxa"/>
            <w:vAlign w:val="bottom"/>
          </w:tcPr>
          <w:p>
            <w:pPr>
              <w:ind w:left="1580"/>
              <w:spacing w:after="0"/>
              <w:rPr>
                <w:sz w:val="20"/>
                <w:szCs w:val="20"/>
                <w:color w:val="auto"/>
              </w:rPr>
            </w:pPr>
            <w:r>
              <w:rPr>
                <w:rFonts w:ascii="Arial" w:cs="Arial" w:eastAsia="Arial" w:hAnsi="Arial"/>
                <w:sz w:val="18"/>
                <w:szCs w:val="18"/>
                <w:color w:val="auto"/>
              </w:rPr>
              <w:t>Director</w:t>
            </w:r>
          </w:p>
        </w:tc>
        <w:tc>
          <w:tcPr>
            <w:tcW w:w="2560" w:type="dxa"/>
            <w:vAlign w:val="bottom"/>
          </w:tcPr>
          <w:p>
            <w:pPr>
              <w:ind w:left="1340"/>
              <w:spacing w:after="0"/>
              <w:rPr>
                <w:sz w:val="20"/>
                <w:szCs w:val="20"/>
                <w:color w:val="auto"/>
              </w:rPr>
            </w:pPr>
            <w:r>
              <w:rPr>
                <w:rFonts w:ascii="Arial" w:cs="Arial" w:eastAsia="Arial" w:hAnsi="Arial"/>
                <w:sz w:val="18"/>
                <w:szCs w:val="18"/>
                <w:color w:val="auto"/>
                <w:w w:val="87"/>
              </w:rPr>
              <w:t>February 3, 2022</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3"/>
              </w:rPr>
              <w:t>Jeffrey A. Honickman</w:t>
            </w:r>
          </w:p>
        </w:tc>
        <w:tc>
          <w:tcPr>
            <w:tcW w:w="350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Maritza G. Montiel</w:t>
            </w:r>
          </w:p>
        </w:tc>
        <w:tc>
          <w:tcPr>
            <w:tcW w:w="3500" w:type="dxa"/>
            <w:vAlign w:val="bottom"/>
          </w:tcPr>
          <w:p>
            <w:pPr>
              <w:ind w:left="1580"/>
              <w:spacing w:after="0"/>
              <w:rPr>
                <w:sz w:val="20"/>
                <w:szCs w:val="20"/>
                <w:color w:val="auto"/>
              </w:rPr>
            </w:pPr>
            <w:r>
              <w:rPr>
                <w:rFonts w:ascii="Arial" w:cs="Arial" w:eastAsia="Arial" w:hAnsi="Arial"/>
                <w:sz w:val="18"/>
                <w:szCs w:val="18"/>
                <w:color w:val="auto"/>
              </w:rPr>
              <w:t>Director</w:t>
            </w:r>
          </w:p>
        </w:tc>
        <w:tc>
          <w:tcPr>
            <w:tcW w:w="2560" w:type="dxa"/>
            <w:vAlign w:val="bottom"/>
          </w:tcPr>
          <w:p>
            <w:pPr>
              <w:ind w:left="1340"/>
              <w:spacing w:after="0"/>
              <w:rPr>
                <w:sz w:val="20"/>
                <w:szCs w:val="20"/>
                <w:color w:val="auto"/>
              </w:rPr>
            </w:pPr>
            <w:r>
              <w:rPr>
                <w:rFonts w:ascii="Arial" w:cs="Arial" w:eastAsia="Arial" w:hAnsi="Arial"/>
                <w:sz w:val="18"/>
                <w:szCs w:val="18"/>
                <w:color w:val="auto"/>
                <w:w w:val="87"/>
              </w:rPr>
              <w:t>February 3, 2022</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5"/>
              </w:rPr>
              <w:t>Maritza G. Montiel</w:t>
            </w:r>
          </w:p>
        </w:tc>
        <w:tc>
          <w:tcPr>
            <w:tcW w:w="350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Asuka Nakahara</w:t>
            </w:r>
          </w:p>
        </w:tc>
        <w:tc>
          <w:tcPr>
            <w:tcW w:w="3500" w:type="dxa"/>
            <w:vAlign w:val="bottom"/>
          </w:tcPr>
          <w:p>
            <w:pPr>
              <w:ind w:left="1580"/>
              <w:spacing w:after="0"/>
              <w:rPr>
                <w:sz w:val="20"/>
                <w:szCs w:val="20"/>
                <w:color w:val="auto"/>
              </w:rPr>
            </w:pPr>
            <w:r>
              <w:rPr>
                <w:rFonts w:ascii="Arial" w:cs="Arial" w:eastAsia="Arial" w:hAnsi="Arial"/>
                <w:sz w:val="18"/>
                <w:szCs w:val="18"/>
                <w:color w:val="auto"/>
              </w:rPr>
              <w:t>Director</w:t>
            </w:r>
          </w:p>
        </w:tc>
        <w:tc>
          <w:tcPr>
            <w:tcW w:w="2560" w:type="dxa"/>
            <w:vAlign w:val="bottom"/>
          </w:tcPr>
          <w:p>
            <w:pPr>
              <w:ind w:left="1340"/>
              <w:spacing w:after="0"/>
              <w:rPr>
                <w:sz w:val="20"/>
                <w:szCs w:val="20"/>
                <w:color w:val="auto"/>
              </w:rPr>
            </w:pPr>
            <w:r>
              <w:rPr>
                <w:rFonts w:ascii="Arial" w:cs="Arial" w:eastAsia="Arial" w:hAnsi="Arial"/>
                <w:sz w:val="18"/>
                <w:szCs w:val="18"/>
                <w:color w:val="auto"/>
                <w:w w:val="87"/>
              </w:rPr>
              <w:t>February 3, 2022</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0"/>
              </w:rPr>
              <w:t>Asuka Nakahara</w:t>
            </w:r>
          </w:p>
        </w:tc>
        <w:tc>
          <w:tcPr>
            <w:tcW w:w="350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431"/>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David C. Novak</w:t>
            </w:r>
          </w:p>
        </w:tc>
        <w:tc>
          <w:tcPr>
            <w:tcW w:w="3500" w:type="dxa"/>
            <w:vAlign w:val="bottom"/>
          </w:tcPr>
          <w:p>
            <w:pPr>
              <w:ind w:left="1580"/>
              <w:spacing w:after="0"/>
              <w:rPr>
                <w:sz w:val="20"/>
                <w:szCs w:val="20"/>
                <w:color w:val="auto"/>
              </w:rPr>
            </w:pPr>
            <w:r>
              <w:rPr>
                <w:rFonts w:ascii="Arial" w:cs="Arial" w:eastAsia="Arial" w:hAnsi="Arial"/>
                <w:sz w:val="18"/>
                <w:szCs w:val="18"/>
                <w:color w:val="auto"/>
              </w:rPr>
              <w:t>Director</w:t>
            </w:r>
          </w:p>
        </w:tc>
        <w:tc>
          <w:tcPr>
            <w:tcW w:w="2560" w:type="dxa"/>
            <w:vAlign w:val="bottom"/>
          </w:tcPr>
          <w:p>
            <w:pPr>
              <w:ind w:left="1340"/>
              <w:spacing w:after="0"/>
              <w:rPr>
                <w:sz w:val="20"/>
                <w:szCs w:val="20"/>
                <w:color w:val="auto"/>
              </w:rPr>
            </w:pPr>
            <w:r>
              <w:rPr>
                <w:rFonts w:ascii="Arial" w:cs="Arial" w:eastAsia="Arial" w:hAnsi="Arial"/>
                <w:sz w:val="18"/>
                <w:szCs w:val="18"/>
                <w:color w:val="auto"/>
                <w:w w:val="87"/>
              </w:rPr>
              <w:t>February 3, 2022</w:t>
            </w:r>
          </w:p>
        </w:tc>
      </w:tr>
      <w:tr>
        <w:trPr>
          <w:trHeight w:val="224"/>
        </w:trPr>
        <w:tc>
          <w:tcPr>
            <w:tcW w:w="3860" w:type="dxa"/>
            <w:vAlign w:val="bottom"/>
          </w:tcPr>
          <w:p>
            <w:pPr>
              <w:jc w:val="center"/>
              <w:spacing w:after="0"/>
              <w:rPr>
                <w:sz w:val="20"/>
                <w:szCs w:val="20"/>
                <w:color w:val="auto"/>
              </w:rPr>
            </w:pPr>
            <w:r>
              <w:rPr>
                <w:rFonts w:ascii="Arial" w:cs="Arial" w:eastAsia="Arial" w:hAnsi="Arial"/>
                <w:sz w:val="18"/>
                <w:szCs w:val="18"/>
                <w:color w:val="auto"/>
                <w:w w:val="94"/>
              </w:rPr>
              <w:t>David C. Novak</w:t>
            </w:r>
          </w:p>
        </w:tc>
        <w:tc>
          <w:tcPr>
            <w:tcW w:w="3500" w:type="dxa"/>
            <w:vAlign w:val="bottom"/>
          </w:tcPr>
          <w:p>
            <w:pPr>
              <w:spacing w:after="0"/>
              <w:rPr>
                <w:sz w:val="19"/>
                <w:szCs w:val="19"/>
                <w:color w:val="auto"/>
              </w:rPr>
            </w:pPr>
          </w:p>
        </w:tc>
        <w:tc>
          <w:tcPr>
            <w:tcW w:w="2560" w:type="dxa"/>
            <w:vAlign w:val="bottom"/>
          </w:tcPr>
          <w:p>
            <w:pPr>
              <w:spacing w:after="0"/>
              <w:rPr>
                <w:sz w:val="19"/>
                <w:szCs w:val="19"/>
                <w:color w:val="auto"/>
              </w:rPr>
            </w:pPr>
          </w:p>
        </w:tc>
      </w:tr>
    </w:tbl>
    <w:p>
      <w:pPr>
        <w:sectPr>
          <w:pgSz w:w="11900" w:h="16838" w:orient="portrait"/>
          <w:cols w:equalWidth="0" w:num="1">
            <w:col w:w="10019"/>
          </w:cols>
          <w:pgMar w:left="440" w:top="490" w:right="1440"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2434590" cy="316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243459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One Logan Square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130 North 18th Street | Philadelphia, PA 19103-6998</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3,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We have acted as counsel to Comcast Corporation, a Pennsylvania corporation (the “Company”), in connection with the preparation of the Registration Statement on Form S-8 (the “Registration Statement”) to be filed by the Company with the Securities and Exchange Commission under the Securities Act of 1933, as amended (the “Act”), relating to the registration by the Company of $250,000,000 of deferred compensation obligations (the “Deferred Compensation Obligations”), which represent general unsecured obligations to pay deferred compensation in the future in accordance with the Comcast Select Deferred Compensation Plan, as amended and restated effective October 12, 2021 (the “Deferred Compensation Plan”). This opinion is furnished pursuant to the requirements of Item 601(b)(5) of Regulation S-K.</w:t>
      </w:r>
    </w:p>
    <w:p>
      <w:pPr>
        <w:spacing w:after="0" w:line="178"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Although as counsel to the Company we have advised the Company in connection with a variety of matters referred to us by it, our services are limited to specific matters so referred. Consequently, we do not have knowledge of many transactions in which the Company has engaged or its day-to-day operations.</w:t>
      </w:r>
    </w:p>
    <w:p>
      <w:pPr>
        <w:spacing w:after="0" w:line="184"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In rendering this opinion, we have examined the following documents: (i) the Company’s Amended and Restated Articles of Incorporation; (ii) the Company’s Amended and Restated By-Laws; (iii) resolutions adopted by the Compensation Committee of the Board of Directors related to the delegation of authority to the Chief Financial Officer of the Company to amend the Deferred Compensation Plan; (iv) the Registration Statement (including all exhibits thereto); (v) the Deferred Compensation Plan; and (vi) a certificate from an assistant secretary of the Company. We have not made any independent investigation in rendering this opinion other than the document examination described. We have assumed and relied, as to questions of fact and mixed questions of law and fact, on the truth, completeness, authenticity and due authorization of all certificates, documents and records examined and the genuineness of all signatures.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opinion is limited to the Pennsylvania Business Corporation Law of 1988, as amended.</w:t>
      </w:r>
    </w:p>
    <w:p>
      <w:pPr>
        <w:spacing w:after="0" w:line="225" w:lineRule="exact"/>
        <w:rPr>
          <w:sz w:val="20"/>
          <w:szCs w:val="20"/>
          <w:color w:val="auto"/>
        </w:rPr>
      </w:pPr>
    </w:p>
    <w:p>
      <w:pPr>
        <w:ind w:right="200" w:firstLine="440"/>
        <w:spacing w:after="0" w:line="275" w:lineRule="auto"/>
        <w:rPr>
          <w:sz w:val="20"/>
          <w:szCs w:val="20"/>
          <w:color w:val="auto"/>
        </w:rPr>
      </w:pPr>
      <w:r>
        <w:rPr>
          <w:rFonts w:ascii="Arial" w:cs="Arial" w:eastAsia="Arial" w:hAnsi="Arial"/>
          <w:sz w:val="17"/>
          <w:szCs w:val="17"/>
          <w:color w:val="auto"/>
        </w:rPr>
        <w:t>Based upon and subject to the foregoing, we are of the opinion that the Deferred Compensation Obligations, when issued in accordance with the Deferred Compensation Plan, will constitute valid and binding obligations of the Company enforceable against the Company in accordance with the terms of the Deferred Compensation Plan, except to the extent that enforcement thereof may be limited by (a) bankruptcy, insolvency, reorganization, receivership, fraudulent transfer, moratorium or other laws relating to or affecting creditors’ rights generally and (b) general principles of equity, regardless of whether enforceability is considered in a proceeding at law or in equity.</w:t>
      </w:r>
    </w:p>
    <w:p>
      <w:pPr>
        <w:spacing w:after="0" w:line="176"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This opinion is given as of the date hereof. We assume no obligation to update or supplement this opinion to reflect any facts or circumstances which may hereafter come to our attention or any changes in laws which may hereafter occur.</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This opinion is strictly limited to the matters stated herein and no other or more extensive opinion is intended, implied or to be inferred beyond the matters expressly stated herein.</w:t>
      </w:r>
    </w:p>
    <w:p>
      <w:pPr>
        <w:sectPr>
          <w:pgSz w:w="11900" w:h="16838" w:orient="portrait"/>
          <w:cols w:equalWidth="0" w:num="1">
            <w:col w:w="11020"/>
          </w:cols>
          <w:pgMar w:left="440" w:top="121" w:right="439" w:bottom="1440" w:gutter="0" w:footer="0" w:header="0"/>
        </w:sectPr>
      </w:pPr>
    </w:p>
    <w:bookmarkStart w:id="11" w:name="page12"/>
    <w:bookmarkEnd w:id="11"/>
    <w:p>
      <w:pPr>
        <w:jc w:val="both"/>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consent to the filing of this opinion as an exhibit to the Registration Statement. In giving such consent, we do not thereby admit that we are included in the category of persons whose consent is required under Section 7 of the Act or the rules and regulations of the Securities and Exchange Commission.</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Blank Rome LLP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BLANK ROME LLP</w:t>
      </w:r>
    </w:p>
    <w:p>
      <w:pPr>
        <w:sectPr>
          <w:pgSz w:w="11900" w:h="16838" w:orient="portrait"/>
          <w:cols w:equalWidth="0" w:num="1">
            <w:col w:w="10720"/>
          </w:cols>
          <w:pgMar w:left="440" w:top="274" w:right="7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2434590" cy="316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243459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One Logan Square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130 North 18th Street | Philadelphia, PA 19103-6998</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3,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19103-2838</w:t>
      </w:r>
    </w:p>
    <w:p>
      <w:pPr>
        <w:spacing w:after="0" w:line="3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Comcast Select Deferred Compensation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color w:val="auto"/>
        </w:rPr>
        <w:t>We have served as counsel to Comcast Corporation, a Pennsylvania Corporation (the “Company”), in connection with the registration by the Company of obligations (“Deferred Compensation Obligations”) which may be incurred by the Company pursuant to the Company’s Select Deferred Compensation Plan (the “Plan”) and the filing of a registration statement on Form S-8 relating to the Deferred Compensation Obligations (the “Registration Statement”). Unless otherwise defined herein, capitalized terms used herein shall have the meanings assigned to them in the Registration Statement.</w:t>
      </w:r>
    </w:p>
    <w:p>
      <w:pPr>
        <w:spacing w:after="0" w:line="188"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As such counsel, we have made such legal and factual examination and inquiries as we have deemed necessary or appropriate for purposes of this opinion and have made such additional assumptions as are set forth below.</w:t>
      </w:r>
    </w:p>
    <w:p>
      <w:pPr>
        <w:spacing w:after="0" w:line="170" w:lineRule="exact"/>
        <w:rPr>
          <w:sz w:val="20"/>
          <w:szCs w:val="20"/>
          <w:color w:val="auto"/>
        </w:rPr>
      </w:pPr>
    </w:p>
    <w:p>
      <w:pPr>
        <w:ind w:right="80" w:firstLine="991"/>
        <w:spacing w:after="0" w:line="273" w:lineRule="auto"/>
        <w:rPr>
          <w:sz w:val="20"/>
          <w:szCs w:val="20"/>
          <w:color w:val="auto"/>
        </w:rPr>
      </w:pPr>
      <w:r>
        <w:rPr>
          <w:rFonts w:ascii="Arial" w:cs="Arial" w:eastAsia="Arial" w:hAnsi="Arial"/>
          <w:sz w:val="17"/>
          <w:szCs w:val="17"/>
          <w:color w:val="auto"/>
        </w:rPr>
        <w:t>The Plan was established to permit eligible employees and non-employee directors to defer the receipt of compensation otherwise payable to such non-employee directors and eligible employees in accordance with the terms of the Plan. The Plan states that it is unfunded and is maintained primarily for the purpose of providing deferred compensation to non-employee directors and to a select group of management or highly compensated employees. For the purpose of this opinion, we have assumed that (1) the Plan, as amended and restated, effective as of October 12, 2021 in its current form has been duly adopted, and (2) the Plan is maintained primarily for the purpose of providing the opportunity to defer the receipt of compensation by a select group of management or highly compensated employees.</w:t>
      </w:r>
    </w:p>
    <w:p>
      <w:pPr>
        <w:spacing w:after="0" w:line="178"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By its express terms, the Plan potentially results in a deferral of income by employees for periods extending to the termination of covered employment or beyond. Accordingly, the Plan is an “employee pension benefit plan” described in section 3(3) of the Employee Retirement Income Security Act of 1974, as amended (“ERISA”). However, as a plan that is unfunded and maintained primarily for the purpose of providing deferred compensation to non-employee directors and to a select group of management or highly compensated employees, the Plan is subject to parts 1 and 5 of Title I of ERISA, but not to any other provisions of ERISA.</w:t>
      </w:r>
    </w:p>
    <w:p>
      <w:pPr>
        <w:spacing w:after="0" w:line="188"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The Plan is not designed or operated with the purpose of satisfying the requirements for qualification under section 401(a) of the Internal Revenue Code of 1986, as amended.</w:t>
      </w:r>
    </w:p>
    <w:p>
      <w:pPr>
        <w:spacing w:after="0" w:line="170" w:lineRule="exact"/>
        <w:rPr>
          <w:sz w:val="20"/>
          <w:szCs w:val="20"/>
          <w:color w:val="auto"/>
        </w:rPr>
      </w:pPr>
    </w:p>
    <w:p>
      <w:pPr>
        <w:ind w:right="180" w:firstLine="991"/>
        <w:spacing w:after="0" w:line="263" w:lineRule="auto"/>
        <w:rPr>
          <w:sz w:val="20"/>
          <w:szCs w:val="20"/>
          <w:color w:val="auto"/>
        </w:rPr>
      </w:pPr>
      <w:r>
        <w:rPr>
          <w:rFonts w:ascii="Arial" w:cs="Arial" w:eastAsia="Arial" w:hAnsi="Arial"/>
          <w:sz w:val="18"/>
          <w:szCs w:val="18"/>
          <w:color w:val="auto"/>
        </w:rPr>
        <w:t>Parts 1 and 5 of Title 1 of ERISA do not impose any specific written requirements on non-qualified deferred compensation arrangements such as the Plan as a condition to compliance with the applicable provisions of ERISA. Further, the operation of the Plan pursuant to the written provisions of the Plan will not cause the Plan to fail to comply with parts 1 or 5 of Title 5 of ERISA.</w:t>
      </w:r>
    </w:p>
    <w:p>
      <w:pPr>
        <w:spacing w:after="0" w:line="184" w:lineRule="exact"/>
        <w:rPr>
          <w:sz w:val="20"/>
          <w:szCs w:val="20"/>
          <w:color w:val="auto"/>
        </w:rPr>
      </w:pPr>
    </w:p>
    <w:p>
      <w:pPr>
        <w:ind w:right="440" w:firstLine="991"/>
        <w:spacing w:after="0" w:line="277" w:lineRule="auto"/>
        <w:rPr>
          <w:sz w:val="20"/>
          <w:szCs w:val="20"/>
          <w:color w:val="auto"/>
        </w:rPr>
      </w:pPr>
      <w:r>
        <w:rPr>
          <w:rFonts w:ascii="Arial" w:cs="Arial" w:eastAsia="Arial" w:hAnsi="Arial"/>
          <w:sz w:val="18"/>
          <w:szCs w:val="18"/>
          <w:color w:val="auto"/>
        </w:rPr>
        <w:t>On the basis of the foregoing, we are of the opinion that the provisions of the written document constituting the Plan comply with the requirements of ERISA pertaining to such provisions.</w:t>
      </w:r>
    </w:p>
    <w:p>
      <w:pPr>
        <w:spacing w:after="0" w:line="170" w:lineRule="exact"/>
        <w:rPr>
          <w:sz w:val="20"/>
          <w:szCs w:val="20"/>
          <w:color w:val="auto"/>
        </w:rPr>
      </w:pPr>
    </w:p>
    <w:p>
      <w:pPr>
        <w:ind w:right="20" w:firstLine="991"/>
        <w:spacing w:after="0" w:line="286" w:lineRule="auto"/>
        <w:rPr>
          <w:sz w:val="20"/>
          <w:szCs w:val="20"/>
          <w:color w:val="auto"/>
        </w:rPr>
      </w:pPr>
      <w:r>
        <w:rPr>
          <w:rFonts w:ascii="Arial" w:cs="Arial" w:eastAsia="Arial" w:hAnsi="Arial"/>
          <w:sz w:val="17"/>
          <w:szCs w:val="17"/>
          <w:color w:val="auto"/>
        </w:rPr>
        <w:t>This opinion letter is issued as of the date hereof and is limited to the laws now in effect and in all respects is subject to and may be limited by future legislation, as well as by future case law. We assume no responsibility to keep this opinion current or to supplement it to reflect facts or circumstances which may hereafter come to our attention or any changes in laws which may hereafter occur.</w:t>
      </w:r>
    </w:p>
    <w:p>
      <w:pPr>
        <w:sectPr>
          <w:pgSz w:w="11900" w:h="16838" w:orient="portrait"/>
          <w:cols w:equalWidth="0" w:num="1">
            <w:col w:w="11020"/>
          </w:cols>
          <w:pgMar w:left="440" w:top="121" w:right="439" w:bottom="1440" w:gutter="0" w:footer="0" w:header="0"/>
        </w:sectPr>
      </w:pPr>
    </w:p>
    <w:bookmarkStart w:id="13" w:name="page14"/>
    <w:bookmarkEnd w:id="13"/>
    <w:p>
      <w:pPr>
        <w:ind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hereby expressly consent to the filing of this opinion with the Commission as an exhibit to the Registration Statement. In giving this consent, we do not hereby admit that we are in the category of persons whose consent is required under Section 7 of the 1933 Act or the Rules and Regulations of the Commission.</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Blank Rome LLP</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Blank Rome LLP</w:t>
      </w:r>
    </w:p>
    <w:p>
      <w:pPr>
        <w:sectPr>
          <w:pgSz w:w="11900" w:h="16838" w:orient="portrait"/>
          <w:cols w:equalWidth="0" w:num="1">
            <w:col w:w="10780"/>
          </w:cols>
          <w:pgMar w:left="440" w:top="274" w:right="67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23.1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We consent to the incorporation by reference in this Registration Statement on Form S-8 of our report dated February 2, 2022, relating to the financial statements of Comcast Corporation and the effectiveness of Comcast Corporation’s internal control over financial reporting, appearing in the Annual Report on Form 10-K of Comcast Corporation for the year ended December 31,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3, 2022</w:t>
      </w:r>
    </w:p>
    <w:p>
      <w:pPr>
        <w:sectPr>
          <w:pgSz w:w="11900" w:h="16838" w:orient="portrait"/>
          <w:cols w:equalWidth="0" w:num="1">
            <w:col w:w="11020"/>
          </w:cols>
          <w:pgMar w:left="440" w:top="121" w:right="439" w:bottom="1440" w:gutter="0" w:footer="0" w:header="0"/>
        </w:sectPr>
      </w:pPr>
    </w:p>
    <w:bookmarkStart w:id="15" w:name="page16"/>
    <w:bookmarkEnd w:id="15"/>
    <w:p>
      <w:pPr>
        <w:ind w:left="10124"/>
        <w:spacing w:after="0"/>
        <w:rPr>
          <w:sz w:val="20"/>
          <w:szCs w:val="20"/>
          <w:color w:val="auto"/>
        </w:rPr>
      </w:pPr>
      <w:r>
        <w:rPr>
          <w:rFonts w:ascii="Arial" w:cs="Arial" w:eastAsia="Arial" w:hAnsi="Arial"/>
          <w:sz w:val="17"/>
          <w:szCs w:val="17"/>
          <w:b w:val="1"/>
          <w:bCs w:val="1"/>
          <w:color w:val="auto"/>
        </w:rPr>
        <w:t>Exhibit 107</w:t>
      </w:r>
    </w:p>
    <w:p>
      <w:pPr>
        <w:spacing w:after="0" w:line="34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FILING FEE TABLES</w:t>
      </w:r>
    </w:p>
    <w:p>
      <w:pPr>
        <w:spacing w:after="0" w:line="225" w:lineRule="exact"/>
        <w:rPr>
          <w:sz w:val="20"/>
          <w:szCs w:val="20"/>
          <w:color w:val="auto"/>
        </w:rPr>
      </w:pPr>
    </w:p>
    <w:p>
      <w:pPr>
        <w:ind w:left="5084"/>
        <w:spacing w:after="0"/>
        <w:rPr>
          <w:sz w:val="20"/>
          <w:szCs w:val="20"/>
          <w:color w:val="auto"/>
        </w:rPr>
      </w:pPr>
      <w:r>
        <w:rPr>
          <w:rFonts w:ascii="Arial" w:cs="Arial" w:eastAsia="Arial" w:hAnsi="Arial"/>
          <w:sz w:val="18"/>
          <w:szCs w:val="18"/>
          <w:b w:val="1"/>
          <w:bCs w:val="1"/>
          <w:color w:val="auto"/>
        </w:rPr>
        <w:t>FORM S-8</w:t>
      </w:r>
    </w:p>
    <w:p>
      <w:pPr>
        <w:spacing w:after="0" w:line="27" w:lineRule="exact"/>
        <w:rPr>
          <w:sz w:val="20"/>
          <w:szCs w:val="20"/>
          <w:color w:val="auto"/>
        </w:rPr>
      </w:pPr>
    </w:p>
    <w:p>
      <w:pPr>
        <w:ind w:left="5044"/>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COMCAST CORPORATION</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Table 1: Newly Registered Securities</w:t>
      </w:r>
    </w:p>
    <w:p>
      <w:pPr>
        <w:spacing w:after="0" w:line="246" w:lineRule="exact"/>
        <w:rPr>
          <w:sz w:val="20"/>
          <w:szCs w:val="20"/>
          <w:color w:val="auto"/>
        </w:rPr>
      </w:pPr>
    </w:p>
    <w:tbl>
      <w:tblPr>
        <w:tblLayout w:type="fixed"/>
        <w:tblInd w:w="14" w:type="dxa"/>
        <w:tblCellMar>
          <w:top w:w="0" w:type="dxa"/>
          <w:left w:w="0" w:type="dxa"/>
          <w:bottom w:w="0" w:type="dxa"/>
          <w:right w:w="0" w:type="dxa"/>
        </w:tblCellMar>
      </w:tblPr>
      <w:tr>
        <w:trPr>
          <w:trHeight w:val="211"/>
        </w:trPr>
        <w:tc>
          <w:tcPr>
            <w:tcW w:w="2000" w:type="dxa"/>
            <w:vAlign w:val="bottom"/>
            <w:tcBorders>
              <w:top w:val="single" w:sz="8" w:color="auto"/>
              <w:left w:val="single" w:sz="8" w:color="auto"/>
              <w:right w:val="single" w:sz="8" w:color="auto"/>
            </w:tcBorders>
          </w:tcPr>
          <w:p>
            <w:pPr>
              <w:spacing w:after="0"/>
              <w:rPr>
                <w:sz w:val="18"/>
                <w:szCs w:val="18"/>
                <w:color w:val="auto"/>
              </w:rPr>
            </w:pPr>
          </w:p>
        </w:tc>
        <w:tc>
          <w:tcPr>
            <w:tcW w:w="1340" w:type="dxa"/>
            <w:vAlign w:val="bottom"/>
            <w:tcBorders>
              <w:top w:val="single" w:sz="8" w:color="auto"/>
              <w:right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spacing w:after="0"/>
              <w:rPr>
                <w:sz w:val="18"/>
                <w:szCs w:val="18"/>
                <w:color w:val="auto"/>
              </w:rPr>
            </w:pPr>
          </w:p>
        </w:tc>
        <w:tc>
          <w:tcPr>
            <w:tcW w:w="1220" w:type="dxa"/>
            <w:vAlign w:val="bottom"/>
            <w:tcBorders>
              <w:top w:val="single" w:sz="8" w:color="auto"/>
              <w:right w:val="single" w:sz="8" w:color="auto"/>
            </w:tcBorders>
          </w:tcPr>
          <w:p>
            <w:pPr>
              <w:spacing w:after="0"/>
              <w:rPr>
                <w:sz w:val="18"/>
                <w:szCs w:val="18"/>
                <w:color w:val="auto"/>
              </w:rPr>
            </w:pPr>
          </w:p>
        </w:tc>
        <w:tc>
          <w:tcPr>
            <w:tcW w:w="1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1540" w:type="dxa"/>
            <w:vAlign w:val="bottom"/>
            <w:tcBorders>
              <w:top w:val="single" w:sz="8" w:color="auto"/>
              <w:right w:val="single" w:sz="8" w:color="auto"/>
            </w:tcBorders>
          </w:tcPr>
          <w:p>
            <w:pPr>
              <w:spacing w:after="0"/>
              <w:rPr>
                <w:sz w:val="18"/>
                <w:szCs w:val="18"/>
                <w:color w:val="auto"/>
              </w:rPr>
            </w:pPr>
          </w:p>
        </w:tc>
        <w:tc>
          <w:tcPr>
            <w:tcW w:w="1300" w:type="dxa"/>
            <w:vAlign w:val="bottom"/>
            <w:tcBorders>
              <w:top w:val="single" w:sz="8" w:color="auto"/>
              <w:right w:val="single" w:sz="8" w:color="auto"/>
            </w:tcBorders>
          </w:tcPr>
          <w:p>
            <w:pPr>
              <w:spacing w:after="0"/>
              <w:rPr>
                <w:sz w:val="18"/>
                <w:szCs w:val="18"/>
                <w:color w:val="auto"/>
              </w:rPr>
            </w:pPr>
          </w:p>
        </w:tc>
        <w:tc>
          <w:tcPr>
            <w:tcW w:w="132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5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Fee</w:t>
            </w:r>
          </w:p>
        </w:tc>
        <w:tc>
          <w:tcPr>
            <w:tcW w:w="12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30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 of</w:t>
            </w:r>
          </w:p>
        </w:tc>
        <w:tc>
          <w:tcPr>
            <w:tcW w:w="0" w:type="dxa"/>
            <w:vAlign w:val="bottom"/>
          </w:tcPr>
          <w:p>
            <w:pPr>
              <w:spacing w:after="0"/>
              <w:rPr>
                <w:sz w:val="1"/>
                <w:szCs w:val="1"/>
                <w:color w:val="auto"/>
              </w:rPr>
            </w:pPr>
          </w:p>
        </w:tc>
      </w:tr>
      <w:tr>
        <w:trPr>
          <w:trHeight w:val="216"/>
        </w:trPr>
        <w:tc>
          <w:tcPr>
            <w:tcW w:w="2000" w:type="dxa"/>
            <w:vAlign w:val="bottom"/>
            <w:tcBorders>
              <w:left w:val="single" w:sz="8" w:color="auto"/>
              <w:right w:val="single" w:sz="8" w:color="auto"/>
            </w:tcBorders>
            <w:vMerge w:val="restart"/>
          </w:tcPr>
          <w:p>
            <w:pPr>
              <w:jc w:val="center"/>
              <w:ind w:left="50"/>
              <w:spacing w:after="0"/>
              <w:rPr>
                <w:sz w:val="20"/>
                <w:szCs w:val="20"/>
                <w:color w:val="auto"/>
              </w:rPr>
            </w:pPr>
            <w:r>
              <w:rPr>
                <w:rFonts w:ascii="Arial" w:cs="Arial" w:eastAsia="Arial" w:hAnsi="Arial"/>
                <w:sz w:val="18"/>
                <w:szCs w:val="18"/>
                <w:b w:val="1"/>
                <w:bCs w:val="1"/>
                <w:color w:val="auto"/>
                <w:w w:val="89"/>
              </w:rPr>
              <w:t>Security Type</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Security</w:t>
            </w:r>
          </w:p>
        </w:tc>
        <w:tc>
          <w:tcPr>
            <w:tcW w:w="140" w:type="dxa"/>
            <w:vAlign w:val="bottom"/>
          </w:tcPr>
          <w:p>
            <w:pPr>
              <w:spacing w:after="0"/>
              <w:rPr>
                <w:sz w:val="18"/>
                <w:szCs w:val="18"/>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Calculation</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Price Per</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Aggregate</w:t>
            </w:r>
          </w:p>
        </w:tc>
        <w:tc>
          <w:tcPr>
            <w:tcW w:w="130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0" w:type="dxa"/>
            <w:vAlign w:val="bottom"/>
          </w:tcPr>
          <w:p>
            <w:pPr>
              <w:spacing w:after="0"/>
              <w:rPr>
                <w:sz w:val="1"/>
                <w:szCs w:val="1"/>
                <w:color w:val="auto"/>
              </w:rPr>
            </w:pPr>
          </w:p>
        </w:tc>
      </w:tr>
      <w:tr>
        <w:trPr>
          <w:trHeight w:val="234"/>
        </w:trPr>
        <w:tc>
          <w:tcPr>
            <w:tcW w:w="200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Class Title</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Rule</w:t>
            </w:r>
          </w:p>
        </w:tc>
        <w:tc>
          <w:tcPr>
            <w:tcW w:w="122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9"/>
              </w:rPr>
              <w:t xml:space="preserve">Registered </w:t>
            </w:r>
            <w:r>
              <w:rPr>
                <w:rFonts w:ascii="Arial" w:cs="Arial" w:eastAsia="Arial" w:hAnsi="Arial"/>
                <w:sz w:val="15"/>
                <w:szCs w:val="15"/>
                <w:b w:val="1"/>
                <w:bCs w:val="1"/>
                <w:color w:val="auto"/>
                <w:w w:val="89"/>
              </w:rPr>
              <w:t>(1)</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 xml:space="preserve">Unit </w:t>
            </w:r>
            <w:r>
              <w:rPr>
                <w:rFonts w:ascii="Arial" w:cs="Arial" w:eastAsia="Arial" w:hAnsi="Arial"/>
                <w:sz w:val="15"/>
                <w:szCs w:val="15"/>
                <w:b w:val="1"/>
                <w:bCs w:val="1"/>
                <w:color w:val="auto"/>
                <w:w w:val="95"/>
              </w:rPr>
              <w:t>(1)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 xml:space="preserve">Offering Price </w:t>
            </w:r>
            <w:r>
              <w:rPr>
                <w:rFonts w:ascii="Arial" w:cs="Arial" w:eastAsia="Arial" w:hAnsi="Arial"/>
                <w:sz w:val="15"/>
                <w:szCs w:val="15"/>
                <w:b w:val="1"/>
                <w:bCs w:val="1"/>
                <w:color w:val="auto"/>
                <w:w w:val="92"/>
              </w:rPr>
              <w:t>(2)</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Fee Rate</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 xml:space="preserve">Fee </w:t>
            </w:r>
            <w:r>
              <w:rPr>
                <w:rFonts w:ascii="Arial" w:cs="Arial" w:eastAsia="Arial" w:hAnsi="Arial"/>
                <w:sz w:val="15"/>
                <w:szCs w:val="15"/>
                <w:b w:val="1"/>
                <w:bCs w:val="1"/>
                <w:color w:val="auto"/>
                <w:w w:val="91"/>
              </w:rPr>
              <w:t>(2)</w:t>
            </w:r>
          </w:p>
        </w:tc>
        <w:tc>
          <w:tcPr>
            <w:tcW w:w="0" w:type="dxa"/>
            <w:vAlign w:val="bottom"/>
          </w:tcPr>
          <w:p>
            <w:pPr>
              <w:spacing w:after="0"/>
              <w:rPr>
                <w:sz w:val="1"/>
                <w:szCs w:val="1"/>
                <w:color w:val="auto"/>
              </w:rPr>
            </w:pPr>
          </w:p>
        </w:tc>
      </w:tr>
      <w:tr>
        <w:trPr>
          <w:trHeight w:val="195"/>
        </w:trPr>
        <w:tc>
          <w:tcPr>
            <w:tcW w:w="2000" w:type="dxa"/>
            <w:vAlign w:val="bottom"/>
            <w:tcBorders>
              <w:left w:val="single" w:sz="8" w:color="auto"/>
              <w:right w:val="single" w:sz="8" w:color="auto"/>
            </w:tcBorders>
          </w:tcPr>
          <w:p>
            <w:pPr>
              <w:jc w:val="center"/>
              <w:ind w:left="50"/>
              <w:spacing w:after="0" w:line="195" w:lineRule="exact"/>
              <w:rPr>
                <w:sz w:val="20"/>
                <w:szCs w:val="20"/>
                <w:color w:val="auto"/>
              </w:rPr>
            </w:pPr>
            <w:r>
              <w:rPr>
                <w:rFonts w:ascii="Arial" w:cs="Arial" w:eastAsia="Arial" w:hAnsi="Arial"/>
                <w:sz w:val="18"/>
                <w:szCs w:val="18"/>
                <w:color w:val="auto"/>
                <w:w w:val="89"/>
              </w:rPr>
              <w:t>Debt</w:t>
            </w:r>
          </w:p>
        </w:tc>
        <w:tc>
          <w:tcPr>
            <w:tcW w:w="13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Deferred</w:t>
            </w:r>
          </w:p>
        </w:tc>
        <w:tc>
          <w:tcPr>
            <w:tcW w:w="140" w:type="dxa"/>
            <w:vAlign w:val="bottom"/>
          </w:tcPr>
          <w:p>
            <w:pPr>
              <w:spacing w:after="0"/>
              <w:rPr>
                <w:sz w:val="16"/>
                <w:szCs w:val="16"/>
                <w:color w:val="auto"/>
              </w:rPr>
            </w:pPr>
          </w:p>
        </w:tc>
        <w:tc>
          <w:tcPr>
            <w:tcW w:w="10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Rule 457(h)</w:t>
            </w:r>
          </w:p>
        </w:tc>
        <w:tc>
          <w:tcPr>
            <w:tcW w:w="12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$250,000,000</w:t>
            </w:r>
          </w:p>
        </w:tc>
        <w:tc>
          <w:tcPr>
            <w:tcW w:w="11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15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$250,000,000</w:t>
            </w:r>
          </w:p>
        </w:tc>
        <w:tc>
          <w:tcPr>
            <w:tcW w:w="13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$92.70 per</w:t>
            </w:r>
          </w:p>
        </w:tc>
        <w:tc>
          <w:tcPr>
            <w:tcW w:w="13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$23,175</w:t>
            </w:r>
          </w:p>
        </w:tc>
        <w:tc>
          <w:tcPr>
            <w:tcW w:w="0" w:type="dxa"/>
            <w:vAlign w:val="bottom"/>
          </w:tcPr>
          <w:p>
            <w:pPr>
              <w:spacing w:after="0"/>
              <w:rPr>
                <w:sz w:val="1"/>
                <w:szCs w:val="1"/>
                <w:color w:val="auto"/>
              </w:rPr>
            </w:pPr>
          </w:p>
        </w:tc>
      </w:tr>
      <w:tr>
        <w:trPr>
          <w:trHeight w:val="216"/>
        </w:trPr>
        <w:tc>
          <w:tcPr>
            <w:tcW w:w="200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Compensation</w:t>
            </w:r>
          </w:p>
        </w:tc>
        <w:tc>
          <w:tcPr>
            <w:tcW w:w="14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million dollars</w:t>
            </w: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Borders>
              <w:left w:val="single" w:sz="8" w:color="auto"/>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Obligations</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000" w:type="dxa"/>
            <w:vAlign w:val="bottom"/>
            <w:tcBorders>
              <w:left w:val="single" w:sz="8" w:color="auto"/>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center"/>
              <w:ind w:right="550"/>
              <w:spacing w:after="0"/>
              <w:rPr>
                <w:sz w:val="20"/>
                <w:szCs w:val="20"/>
                <w:color w:val="auto"/>
              </w:rPr>
            </w:pPr>
            <w:r>
              <w:rPr>
                <w:rFonts w:ascii="Arial" w:cs="Arial" w:eastAsia="Arial" w:hAnsi="Arial"/>
                <w:sz w:val="18"/>
                <w:szCs w:val="18"/>
                <w:b w:val="1"/>
                <w:bCs w:val="1"/>
                <w:color w:val="auto"/>
                <w:w w:val="91"/>
              </w:rPr>
              <w:t>Total Offering Amounts</w:t>
            </w:r>
          </w:p>
        </w:tc>
        <w:tc>
          <w:tcPr>
            <w:tcW w:w="12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$250,000,000</w:t>
            </w:r>
          </w:p>
        </w:tc>
        <w:tc>
          <w:tcPr>
            <w:tcW w:w="130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$23,175</w:t>
            </w:r>
          </w:p>
        </w:tc>
        <w:tc>
          <w:tcPr>
            <w:tcW w:w="0" w:type="dxa"/>
            <w:vAlign w:val="bottom"/>
          </w:tcPr>
          <w:p>
            <w:pPr>
              <w:spacing w:after="0"/>
              <w:rPr>
                <w:sz w:val="1"/>
                <w:szCs w:val="1"/>
                <w:color w:val="auto"/>
              </w:rPr>
            </w:pPr>
          </w:p>
        </w:tc>
      </w:tr>
      <w:tr>
        <w:trPr>
          <w:trHeight w:val="236"/>
        </w:trPr>
        <w:tc>
          <w:tcPr>
            <w:tcW w:w="2000" w:type="dxa"/>
            <w:vAlign w:val="bottom"/>
            <w:tcBorders>
              <w:left w:val="single" w:sz="8" w:color="auto"/>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center"/>
              <w:ind w:right="550"/>
              <w:spacing w:after="0"/>
              <w:rPr>
                <w:sz w:val="20"/>
                <w:szCs w:val="20"/>
                <w:color w:val="auto"/>
              </w:rPr>
            </w:pPr>
            <w:r>
              <w:rPr>
                <w:rFonts w:ascii="Arial" w:cs="Arial" w:eastAsia="Arial" w:hAnsi="Arial"/>
                <w:sz w:val="18"/>
                <w:szCs w:val="18"/>
                <w:b w:val="1"/>
                <w:bCs w:val="1"/>
                <w:color w:val="auto"/>
                <w:w w:val="87"/>
              </w:rPr>
              <w:t>Total Fee Offsets</w:t>
            </w:r>
          </w:p>
        </w:tc>
        <w:tc>
          <w:tcPr>
            <w:tcW w:w="12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00" w:type="dxa"/>
            <w:vAlign w:val="bottom"/>
            <w:tcBorders>
              <w:left w:val="single" w:sz="8" w:color="auto"/>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left="330"/>
              <w:spacing w:after="0"/>
              <w:rPr>
                <w:sz w:val="20"/>
                <w:szCs w:val="20"/>
                <w:color w:val="auto"/>
              </w:rPr>
            </w:pPr>
            <w:r>
              <w:rPr>
                <w:rFonts w:ascii="Arial" w:cs="Arial" w:eastAsia="Arial" w:hAnsi="Arial"/>
                <w:sz w:val="18"/>
                <w:szCs w:val="18"/>
                <w:b w:val="1"/>
                <w:bCs w:val="1"/>
                <w:color w:val="auto"/>
                <w:w w:val="90"/>
              </w:rPr>
              <w:t>Net Fee Due</w:t>
            </w:r>
          </w:p>
        </w:tc>
        <w:tc>
          <w:tcPr>
            <w:tcW w:w="108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$23,175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4" w:right="20" w:hanging="444"/>
        <w:spacing w:after="0" w:line="279" w:lineRule="auto"/>
        <w:tabs>
          <w:tab w:leader="none" w:pos="444"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Deferred Compensation Obligations to which this Registration Statement relates arise under the Comcast Select Deferred Compensation Plan, as amended and restated (the “Deferred Compensation Plan”), and are unsecured general obligations of Comcast Corporation to pay up to $250,000,000 of deferred compensation from time to time in the future pursuant to compensation deferral elections made by participants in the Deferred Compensation Plan in accordance with the terms of the Deferred Compensation Plan.</w:t>
      </w:r>
    </w:p>
    <w:p>
      <w:pPr>
        <w:spacing w:after="0" w:line="63" w:lineRule="exact"/>
        <w:rPr>
          <w:rFonts w:ascii="Arial" w:cs="Arial" w:eastAsia="Arial" w:hAnsi="Arial"/>
          <w:sz w:val="17"/>
          <w:szCs w:val="17"/>
          <w:color w:val="auto"/>
        </w:rPr>
      </w:pPr>
    </w:p>
    <w:p>
      <w:pPr>
        <w:ind w:left="444" w:hanging="444"/>
        <w:spacing w:after="0"/>
        <w:tabs>
          <w:tab w:leader="none" w:pos="4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Estimated pursuant to Rule 457(h) under the Securities Act solely for the purpose of calculating the registration fee.</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24"/>
    </w:lvl>
  </w:abstractNum>
  <w:abstractNum w:abstractNumId="2">
    <w:nsid w:val="2EB141F2"/>
    <w:multiLevelType w:val="hybridMultilevel"/>
    <w:lvl w:ilvl="0">
      <w:lvlJc w:val="left"/>
      <w:lvlText w:val="%1"/>
      <w:numFmt w:val="decimal"/>
      <w:start w:val="99"/>
    </w:lvl>
  </w:abstractNum>
  <w:abstractNum w:abstractNumId="3">
    <w:nsid w:val="41B71EFB"/>
    <w:multiLevelType w:val="hybridMultilevel"/>
    <w:lvl w:ilvl="0">
      <w:lvlJc w:val="left"/>
      <w:lvlText w:val="%1"/>
      <w:numFmt w:val="decimal"/>
      <w:start w:val="107"/>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lowerRoman"/>
      <w:start w:val="2"/>
    </w:lvl>
  </w:abstractNum>
  <w:abstractNum w:abstractNumId="6">
    <w:nsid w:val="515F007C"/>
    <w:multiLevelType w:val="hybridMultilevel"/>
    <w:lvl w:ilvl="0">
      <w:lvlJc w:val="left"/>
      <w:lvlText w:val="(%1)"/>
      <w:numFmt w:val="decimal"/>
      <w:start w:val="2"/>
    </w:lvl>
  </w:abstractNum>
  <w:abstractNum w:abstractNumId="7">
    <w:nsid w:val="5BD062C2"/>
    <w:multiLevelType w:val="hybridMultilevel"/>
    <w:lvl w:ilvl="0">
      <w:lvlJc w:val="left"/>
      <w:lvlText w:val="(%1)"/>
      <w:numFmt w:val="lowerLetter"/>
      <w:start w:val="2"/>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jpeg"/><Relationship Id="rId29" Type="http://schemas.openxmlformats.org/officeDocument/2006/relationships/image" Target="media/image19.png"/><Relationship Id="rId30" Type="http://schemas.openxmlformats.org/officeDocument/2006/relationships/image" Target="media/image20.jpeg"/><Relationship Id="rId31" Type="http://schemas.openxmlformats.org/officeDocument/2006/relationships/image" Target="media/image21.png"/><Relationship Id="rId17" Type="http://schemas.openxmlformats.org/officeDocument/2006/relationships/hyperlink" Target="http://www.sec.gov/ix?doc=/Archives/edgar/data/1166691/000116669122000009/cmcsa-20211231.htm" TargetMode="External"/><Relationship Id="rId18" Type="http://schemas.openxmlformats.org/officeDocument/2006/relationships/hyperlink" Target="http://www.sec.gov/Archives/edgar/data/1166691/000116669122000009/ex0415-12312021.htm" TargetMode="External"/><Relationship Id="rId23" Type="http://schemas.openxmlformats.org/officeDocument/2006/relationships/hyperlink" Target="http://www.sec.gov/Archives/edgar/data/1166691/000116669122000009/ex103-123120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2022-02-03T15:34:25Z</dcterms:created>
  <dcterms:modified xsi:type="dcterms:W3CDTF">2022-02-03T15:34:25Z</dcterms:modified>
</cp:coreProperties>
</file>