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May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5460" w:type="dxa"/>
            <w:vAlign w:val="bottom"/>
          </w:tcPr>
          <w:p>
            <w:pPr>
              <w:jc w:val="center"/>
              <w:ind w:right="234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480" w:type="dxa"/>
            <w:vAlign w:val="bottom"/>
          </w:tcPr>
          <w:p>
            <w:pPr>
              <w:spacing w:after="0"/>
              <w:rPr>
                <w:sz w:val="15"/>
                <w:szCs w:val="15"/>
                <w:color w:val="auto"/>
              </w:rPr>
            </w:pPr>
          </w:p>
        </w:tc>
        <w:tc>
          <w:tcPr>
            <w:tcW w:w="5460" w:type="dxa"/>
            <w:vAlign w:val="bottom"/>
          </w:tcPr>
          <w:p>
            <w:pPr>
              <w:jc w:val="center"/>
              <w:ind w:right="234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2480" w:type="dxa"/>
            <w:vAlign w:val="bottom"/>
          </w:tcPr>
          <w:p>
            <w:pPr>
              <w:jc w:val="center"/>
              <w:ind w:right="120"/>
              <w:spacing w:after="0"/>
              <w:rPr>
                <w:sz w:val="20"/>
                <w:szCs w:val="20"/>
                <w:color w:val="auto"/>
              </w:rPr>
            </w:pPr>
            <w:r>
              <w:rPr>
                <w:rFonts w:ascii="Arial" w:cs="Arial" w:eastAsia="Arial" w:hAnsi="Arial"/>
                <w:sz w:val="18"/>
                <w:szCs w:val="18"/>
                <w:b w:val="1"/>
                <w:bCs w:val="1"/>
                <w:color w:val="auto"/>
                <w:w w:val="88"/>
              </w:rPr>
              <w:t>001-32871</w:t>
            </w:r>
          </w:p>
        </w:tc>
        <w:tc>
          <w:tcPr>
            <w:tcW w:w="5460" w:type="dxa"/>
            <w:vAlign w:val="bottom"/>
          </w:tcPr>
          <w:p>
            <w:pPr>
              <w:jc w:val="center"/>
              <w:ind w:left="342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2480" w:type="dxa"/>
            <w:vAlign w:val="bottom"/>
          </w:tcPr>
          <w:p>
            <w:pPr>
              <w:jc w:val="center"/>
              <w:ind w:right="120"/>
              <w:spacing w:after="0"/>
              <w:rPr>
                <w:sz w:val="20"/>
                <w:szCs w:val="20"/>
                <w:color w:val="auto"/>
              </w:rPr>
            </w:pPr>
            <w:r>
              <w:rPr>
                <w:rFonts w:ascii="Arial" w:cs="Arial" w:eastAsia="Arial" w:hAnsi="Arial"/>
                <w:sz w:val="14"/>
                <w:szCs w:val="14"/>
                <w:b w:val="1"/>
                <w:bCs w:val="1"/>
                <w:color w:val="auto"/>
                <w:w w:val="87"/>
              </w:rPr>
              <w:t>(Commission File Number)</w:t>
            </w:r>
          </w:p>
        </w:tc>
        <w:tc>
          <w:tcPr>
            <w:tcW w:w="5460" w:type="dxa"/>
            <w:vAlign w:val="bottom"/>
          </w:tcPr>
          <w:p>
            <w:pPr>
              <w:jc w:val="center"/>
              <w:ind w:left="34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2480" w:type="dxa"/>
            <w:vAlign w:val="bottom"/>
          </w:tcPr>
          <w:p>
            <w:pPr>
              <w:jc w:val="center"/>
              <w:ind w:right="120"/>
              <w:spacing w:after="0"/>
              <w:rPr>
                <w:sz w:val="20"/>
                <w:szCs w:val="20"/>
                <w:color w:val="auto"/>
              </w:rPr>
            </w:pPr>
            <w:r>
              <w:rPr>
                <w:rFonts w:ascii="Arial" w:cs="Arial" w:eastAsia="Arial" w:hAnsi="Arial"/>
                <w:sz w:val="18"/>
                <w:szCs w:val="18"/>
                <w:b w:val="1"/>
                <w:bCs w:val="1"/>
                <w:color w:val="auto"/>
                <w:w w:val="87"/>
              </w:rPr>
              <w:t>One Comcast Center</w:t>
            </w:r>
          </w:p>
        </w:tc>
        <w:tc>
          <w:tcPr>
            <w:tcW w:w="5460" w:type="dxa"/>
            <w:vAlign w:val="bottom"/>
          </w:tcPr>
          <w:p>
            <w:pPr>
              <w:spacing w:after="0"/>
              <w:rPr>
                <w:sz w:val="24"/>
                <w:szCs w:val="24"/>
                <w:color w:val="auto"/>
              </w:rPr>
            </w:pPr>
          </w:p>
        </w:tc>
      </w:tr>
      <w:tr>
        <w:trPr>
          <w:trHeight w:val="231"/>
        </w:trPr>
        <w:tc>
          <w:tcPr>
            <w:tcW w:w="2480" w:type="dxa"/>
            <w:vAlign w:val="bottom"/>
          </w:tcPr>
          <w:p>
            <w:pPr>
              <w:jc w:val="center"/>
              <w:ind w:right="100"/>
              <w:spacing w:after="0"/>
              <w:rPr>
                <w:sz w:val="20"/>
                <w:szCs w:val="20"/>
                <w:color w:val="auto"/>
              </w:rPr>
            </w:pPr>
            <w:r>
              <w:rPr>
                <w:rFonts w:ascii="Arial" w:cs="Arial" w:eastAsia="Arial" w:hAnsi="Arial"/>
                <w:sz w:val="18"/>
                <w:szCs w:val="18"/>
                <w:b w:val="1"/>
                <w:bCs w:val="1"/>
                <w:color w:val="auto"/>
                <w:w w:val="89"/>
              </w:rPr>
              <w:t>Philadelphia, PA</w:t>
            </w:r>
          </w:p>
        </w:tc>
        <w:tc>
          <w:tcPr>
            <w:tcW w:w="5460" w:type="dxa"/>
            <w:vAlign w:val="bottom"/>
          </w:tcPr>
          <w:p>
            <w:pPr>
              <w:jc w:val="center"/>
              <w:ind w:left="342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460" w:type="dxa"/>
            <w:vAlign w:val="bottom"/>
          </w:tcPr>
          <w:p>
            <w:pPr>
              <w:jc w:val="center"/>
              <w:ind w:left="344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our annual meeting of shareholders held on May 20, 2010, our shareholders approved, or did not approve, the following proposals, in each case consistent with the unanimous recommendation of our Board of Directors. The following proposals are described in detail in Comcast Corporation’s definitive proxy statement dated April 9, 2010 (the “Proxy Statement”). The number of votes cast for and against (or withheld) and the number of abstentions and broker non-votes with respect to each matter voted upon are set forth below.</w:t>
      </w:r>
    </w:p>
    <w:p>
      <w:pPr>
        <w:spacing w:after="0" w:line="18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director nominees named in the Proxy Statement were elected to serve as directors for one-year terms.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3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380" w:type="dxa"/>
            <w:vAlign w:val="bottom"/>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Withheld</w:t>
            </w:r>
          </w:p>
        </w:tc>
        <w:tc>
          <w:tcPr>
            <w:tcW w:w="3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 Decker Anstrom</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339,198,610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19,110,810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Kenneth J. Bacon</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5"/>
              </w:rPr>
              <w:t>338,520,253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19,789,167</w:t>
            </w:r>
          </w:p>
        </w:tc>
        <w:tc>
          <w:tcPr>
            <w:tcW w:w="1040" w:type="dxa"/>
            <w:vAlign w:val="bottom"/>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Sheldon M. Bonovitz</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350,176,523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8,132,897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Edward D. Breen</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5"/>
              </w:rPr>
              <w:t>351,180,243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7,129,177</w:t>
            </w:r>
          </w:p>
        </w:tc>
        <w:tc>
          <w:tcPr>
            <w:tcW w:w="1040" w:type="dxa"/>
            <w:vAlign w:val="bottom"/>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Julian A. Brodsky</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350,828,260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7,481,160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Joseph J. Collins</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5"/>
              </w:rPr>
              <w:t>339,205,703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19,103,717</w:t>
            </w:r>
          </w:p>
        </w:tc>
        <w:tc>
          <w:tcPr>
            <w:tcW w:w="1040" w:type="dxa"/>
            <w:vAlign w:val="bottom"/>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 Michael Cook</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350,884,193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7,425,227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Gerald L. Hassell</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5"/>
              </w:rPr>
              <w:t>342,102,264</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16,207,156</w:t>
            </w:r>
          </w:p>
        </w:tc>
        <w:tc>
          <w:tcPr>
            <w:tcW w:w="1040" w:type="dxa"/>
            <w:vAlign w:val="bottom"/>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Jeffrey A. Honickman</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351,035,828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7,273,592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Brian L. Roberts</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5"/>
              </w:rPr>
              <w:t>345,700,248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12,609,172</w:t>
            </w:r>
          </w:p>
        </w:tc>
        <w:tc>
          <w:tcPr>
            <w:tcW w:w="1040" w:type="dxa"/>
            <w:vAlign w:val="bottom"/>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Ralph J. Roberts</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350,662,717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7,646,703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Dr. Judith Rodin</w:t>
            </w: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w w:val="85"/>
              </w:rPr>
              <w:t>315,505,468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42,803,952</w:t>
            </w:r>
          </w:p>
        </w:tc>
        <w:tc>
          <w:tcPr>
            <w:tcW w:w="1040" w:type="dxa"/>
            <w:vAlign w:val="bottom"/>
          </w:tcPr>
          <w:p>
            <w:pPr>
              <w:jc w:val="right"/>
              <w:spacing w:after="0"/>
              <w:rPr>
                <w:sz w:val="20"/>
                <w:szCs w:val="20"/>
                <w:color w:val="auto"/>
              </w:rPr>
            </w:pPr>
            <w:r>
              <w:rPr>
                <w:rFonts w:ascii="Arial" w:cs="Arial" w:eastAsia="Arial" w:hAnsi="Arial"/>
                <w:sz w:val="18"/>
                <w:szCs w:val="18"/>
                <w:color w:val="auto"/>
              </w:rPr>
              <w:t>21,019,911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Michael I. Sovern</w:t>
            </w:r>
          </w:p>
        </w:tc>
        <w:tc>
          <w:tcPr>
            <w:tcW w:w="1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338,959,751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19,349,669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21,019,911</w:t>
            </w:r>
          </w:p>
        </w:tc>
      </w:tr>
    </w:tbl>
    <w:p>
      <w:pPr>
        <w:spacing w:after="0" w:line="19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appointment of Deloitte &amp; Touche LLP as our independent auditors for the 2010 fiscal year was ratified.</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1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1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2160" w:type="dxa"/>
            <w:vAlign w:val="bottom"/>
            <w:gridSpan w:val="2"/>
          </w:tcPr>
          <w:p>
            <w:pPr>
              <w:jc w:val="center"/>
              <w:ind w:left="1032"/>
              <w:spacing w:after="0"/>
              <w:rPr>
                <w:sz w:val="20"/>
                <w:szCs w:val="20"/>
                <w:color w:val="auto"/>
              </w:rPr>
            </w:pPr>
            <w:r>
              <w:rPr>
                <w:rFonts w:ascii="Arial" w:cs="Arial" w:eastAsia="Arial" w:hAnsi="Arial"/>
                <w:sz w:val="14"/>
                <w:szCs w:val="14"/>
                <w:b w:val="1"/>
                <w:bCs w:val="1"/>
                <w:color w:val="auto"/>
                <w:w w:val="85"/>
              </w:rPr>
              <w:t>Broker Non-Votes</w:t>
            </w:r>
          </w:p>
        </w:tc>
      </w:tr>
      <w:tr>
        <w:trPr>
          <w:trHeight w:val="20"/>
        </w:trPr>
        <w:tc>
          <w:tcPr>
            <w:tcW w:w="2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208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376,715,790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2,200,773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412,765</w:t>
            </w: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2006 Cash Bonus Plan was approved.</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10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0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100" w:type="dxa"/>
            <w:vAlign w:val="bottom"/>
            <w:gridSpan w:val="2"/>
          </w:tcPr>
          <w:p>
            <w:pPr>
              <w:jc w:val="center"/>
              <w:ind w:left="972"/>
              <w:spacing w:after="0"/>
              <w:rPr>
                <w:sz w:val="20"/>
                <w:szCs w:val="20"/>
                <w:color w:val="auto"/>
              </w:rPr>
            </w:pPr>
            <w:r>
              <w:rPr>
                <w:rFonts w:ascii="Arial" w:cs="Arial" w:eastAsia="Arial" w:hAnsi="Arial"/>
                <w:sz w:val="14"/>
                <w:szCs w:val="14"/>
                <w:b w:val="1"/>
                <w:bCs w:val="1"/>
                <w:color w:val="auto"/>
                <w:w w:val="85"/>
              </w:rPr>
              <w:t>Broker Non-Votes</w:t>
            </w:r>
          </w:p>
        </w:tc>
      </w:tr>
      <w:tr>
        <w:trPr>
          <w:trHeight w:val="20"/>
        </w:trPr>
        <w:tc>
          <w:tcPr>
            <w:tcW w:w="2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208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361,703,555</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16,498,468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1,127,305</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bl>
    <w:p>
      <w:pPr>
        <w:spacing w:after="0" w:line="19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 proposal to provide for cumulative voting in the election of directors was not approved.</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10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0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10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0"/>
        </w:trPr>
        <w:tc>
          <w:tcPr>
            <w:tcW w:w="22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78,122,699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279,673,617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513,104</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21,019,911</w:t>
            </w:r>
          </w:p>
        </w:tc>
      </w:tr>
    </w:tbl>
    <w:p>
      <w:pPr>
        <w:spacing w:after="0" w:line="19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shareholder proposal to adopt and disclose a succession planning policy and issue annual reports on succession planning was not approved.</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10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0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10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0"/>
        </w:trPr>
        <w:tc>
          <w:tcPr>
            <w:tcW w:w="22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51,795,597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306,114,526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399,297</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21,019,911</w:t>
            </w:r>
          </w:p>
        </w:tc>
      </w:tr>
    </w:tbl>
    <w:p>
      <w:pPr>
        <w:spacing w:after="0" w:line="7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shareholder proposal to require that the Chairman of the Board not be a current or former executive officer was not approved.</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10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0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10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0"/>
        </w:trPr>
        <w:tc>
          <w:tcPr>
            <w:tcW w:w="22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85,354,628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272,596,765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358,027</w:t>
            </w:r>
          </w:p>
        </w:tc>
        <w:tc>
          <w:tcPr>
            <w:tcW w:w="2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21,019,911</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24, 2010</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2019-12-10T21:40:33Z</dcterms:created>
  <dcterms:modified xsi:type="dcterms:W3CDTF">2019-12-10T21:40:33Z</dcterms:modified>
</cp:coreProperties>
</file>