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392,106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392,106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804,901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subject to the achievement of performance conditions, which were attained on the transaction date. The restricted stock units vest 100% on the 3rd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3363</Characters>
  <CharactersWithSpaces>3920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