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1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27"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Washington, D.C. 20549</w:t>
      </w:r>
    </w:p>
    <w:p>
      <w:pPr>
        <w:spacing w:after="0" w:line="145"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FORM 11-K</w:t>
      </w:r>
    </w:p>
    <w:p>
      <w:pPr>
        <w:spacing w:after="0" w:line="171" w:lineRule="exact"/>
        <w:rPr>
          <w:sz w:val="24"/>
          <w:szCs w:val="24"/>
          <w:color w:val="auto"/>
        </w:rPr>
      </w:pPr>
    </w:p>
    <w:p>
      <w:pPr>
        <w:jc w:val="center"/>
        <w:ind w:right="3039"/>
        <w:spacing w:after="0"/>
        <w:rPr>
          <w:sz w:val="20"/>
          <w:szCs w:val="20"/>
          <w:color w:val="auto"/>
        </w:rPr>
      </w:pPr>
      <w:r>
        <w:rPr>
          <w:rFonts w:ascii="Courier New" w:cs="Courier New" w:eastAsia="Courier New" w:hAnsi="Courier New"/>
          <w:sz w:val="15"/>
          <w:szCs w:val="15"/>
          <w:color w:val="auto"/>
        </w:rPr>
        <w:t>ANNUAL REPORT</w:t>
      </w:r>
    </w:p>
    <w:p>
      <w:pPr>
        <w:spacing w:after="0" w:line="171" w:lineRule="exact"/>
        <w:rPr>
          <w:sz w:val="24"/>
          <w:szCs w:val="24"/>
          <w:color w:val="auto"/>
        </w:rPr>
      </w:pPr>
    </w:p>
    <w:p>
      <w:pPr>
        <w:jc w:val="right"/>
        <w:ind w:right="5259"/>
        <w:spacing w:after="0"/>
        <w:rPr>
          <w:sz w:val="20"/>
          <w:szCs w:val="20"/>
          <w:color w:val="auto"/>
        </w:rPr>
      </w:pPr>
      <w:r>
        <w:rPr>
          <w:rFonts w:ascii="Courier New" w:cs="Courier New" w:eastAsia="Courier New" w:hAnsi="Courier New"/>
          <w:sz w:val="15"/>
          <w:szCs w:val="15"/>
          <w:color w:val="auto"/>
        </w:rPr>
        <w:t>Pursuant to Section 15(d) of the</w:t>
      </w:r>
    </w:p>
    <w:p>
      <w:pPr>
        <w:spacing w:after="0" w:line="27" w:lineRule="exact"/>
        <w:rPr>
          <w:sz w:val="24"/>
          <w:szCs w:val="24"/>
          <w:color w:val="auto"/>
        </w:rPr>
      </w:pPr>
    </w:p>
    <w:p>
      <w:pPr>
        <w:jc w:val="right"/>
        <w:ind w:right="5259"/>
        <w:spacing w:after="0"/>
        <w:rPr>
          <w:sz w:val="20"/>
          <w:szCs w:val="20"/>
          <w:color w:val="auto"/>
        </w:rPr>
      </w:pPr>
      <w:r>
        <w:rPr>
          <w:rFonts w:ascii="Courier New" w:cs="Courier New" w:eastAsia="Courier New" w:hAnsi="Courier New"/>
          <w:sz w:val="15"/>
          <w:szCs w:val="15"/>
          <w:color w:val="auto"/>
        </w:rPr>
        <w:t>Securities Exchange Act of 1934</w:t>
      </w:r>
    </w:p>
    <w:p>
      <w:pPr>
        <w:spacing w:after="0" w:line="316" w:lineRule="exact"/>
        <w:rPr>
          <w:sz w:val="24"/>
          <w:szCs w:val="24"/>
          <w:color w:val="auto"/>
        </w:rPr>
      </w:pPr>
    </w:p>
    <w:p>
      <w:pPr>
        <w:ind w:left="2660"/>
        <w:spacing w:after="0"/>
        <w:rPr>
          <w:sz w:val="20"/>
          <w:szCs w:val="20"/>
          <w:color w:val="auto"/>
        </w:rPr>
      </w:pPr>
      <w:r>
        <w:rPr>
          <w:rFonts w:ascii="Courier New" w:cs="Courier New" w:eastAsia="Courier New" w:hAnsi="Courier New"/>
          <w:sz w:val="15"/>
          <w:szCs w:val="15"/>
          <w:color w:val="auto"/>
        </w:rPr>
        <w:t>COMCAST CORPORATION</w:t>
      </w:r>
    </w:p>
    <w:p>
      <w:pPr>
        <w:spacing w:after="0" w:line="27"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[GRAPHIC OMITTED - LOGO]</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(Mark One):</w:t>
      </w:r>
    </w:p>
    <w:p>
      <w:pPr>
        <w:spacing w:after="0" w:line="171" w:lineRule="exact"/>
        <w:rPr>
          <w:sz w:val="24"/>
          <w:szCs w:val="24"/>
          <w:color w:val="auto"/>
        </w:rPr>
      </w:pPr>
    </w:p>
    <w:p>
      <w:pPr>
        <w:ind w:left="880" w:right="3119" w:hanging="620"/>
        <w:spacing w:after="0" w:line="259" w:lineRule="auto"/>
        <w:tabs>
          <w:tab w:leader="none" w:pos="860" w:val="left"/>
        </w:tabs>
        <w:rPr>
          <w:sz w:val="20"/>
          <w:szCs w:val="20"/>
          <w:color w:val="auto"/>
        </w:rPr>
      </w:pPr>
      <w:r>
        <w:rPr>
          <w:rFonts w:ascii="Courier New" w:cs="Courier New" w:eastAsia="Courier New" w:hAnsi="Courier New"/>
          <w:sz w:val="15"/>
          <w:szCs w:val="15"/>
          <w:color w:val="auto"/>
        </w:rPr>
        <w:t>__X__</w:t>
        <w:tab/>
        <w:t>ANNUAL REPORT PURSUANT TO SECTION 15(d) OF THE SECURITIES EXCHANGE ACT OF 1934.</w:t>
      </w:r>
    </w:p>
    <w:p>
      <w:pPr>
        <w:spacing w:after="0" w:line="1"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For the fiscal year ended December 31, 1998.</w:t>
      </w:r>
    </w:p>
    <w:p>
      <w:pPr>
        <w:spacing w:after="0" w:line="145" w:lineRule="exact"/>
        <w:rPr>
          <w:sz w:val="24"/>
          <w:szCs w:val="24"/>
          <w:color w:val="auto"/>
        </w:rPr>
      </w:pPr>
    </w:p>
    <w:p>
      <w:pPr>
        <w:jc w:val="center"/>
        <w:ind w:right="3119"/>
        <w:spacing w:after="0"/>
        <w:rPr>
          <w:sz w:val="20"/>
          <w:szCs w:val="20"/>
          <w:color w:val="auto"/>
        </w:rPr>
      </w:pPr>
      <w:r>
        <w:rPr>
          <w:rFonts w:ascii="Courier New" w:cs="Courier New" w:eastAsia="Courier New" w:hAnsi="Courier New"/>
          <w:sz w:val="15"/>
          <w:szCs w:val="15"/>
          <w:color w:val="auto"/>
        </w:rPr>
        <w:t>OR</w:t>
      </w:r>
    </w:p>
    <w:p>
      <w:pPr>
        <w:spacing w:after="0" w:line="171" w:lineRule="exact"/>
        <w:rPr>
          <w:sz w:val="24"/>
          <w:szCs w:val="24"/>
          <w:color w:val="auto"/>
        </w:rPr>
      </w:pPr>
    </w:p>
    <w:p>
      <w:pPr>
        <w:ind w:left="260"/>
        <w:spacing w:after="0"/>
        <w:tabs>
          <w:tab w:leader="none" w:pos="860" w:val="left"/>
        </w:tabs>
        <w:rPr>
          <w:sz w:val="20"/>
          <w:szCs w:val="20"/>
          <w:color w:val="auto"/>
        </w:rPr>
      </w:pPr>
      <w:r>
        <w:rPr>
          <w:rFonts w:ascii="Courier New" w:cs="Courier New" w:eastAsia="Courier New" w:hAnsi="Courier New"/>
          <w:sz w:val="15"/>
          <w:szCs w:val="15"/>
          <w:color w:val="auto"/>
        </w:rPr>
        <w:t>_____</w:t>
      </w:r>
      <w:r>
        <w:rPr>
          <w:sz w:val="20"/>
          <w:szCs w:val="20"/>
          <w:color w:val="auto"/>
        </w:rPr>
        <w:tab/>
      </w:r>
      <w:r>
        <w:rPr>
          <w:rFonts w:ascii="Courier New" w:cs="Courier New" w:eastAsia="Courier New" w:hAnsi="Courier New"/>
          <w:sz w:val="14"/>
          <w:szCs w:val="14"/>
          <w:color w:val="auto"/>
        </w:rPr>
        <w:t>TRANSITION REPORT PURSUANT TO SECTION 15(d) OF THE SECURITIES EXCHANGE</w:t>
      </w:r>
    </w:p>
    <w:p>
      <w:pPr>
        <w:spacing w:after="0" w:line="27"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ACT OF 1934.</w:t>
      </w:r>
    </w:p>
    <w:p>
      <w:pPr>
        <w:spacing w:after="0" w:line="1"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For the transition period from _________ to ________</w:t>
      </w:r>
    </w:p>
    <w:p>
      <w:pPr>
        <w:spacing w:after="0" w:line="145"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Commission file number 0-6983</w:t>
      </w:r>
    </w:p>
    <w:p>
      <w:pPr>
        <w:spacing w:after="0" w:line="171" w:lineRule="exact"/>
        <w:rPr>
          <w:sz w:val="24"/>
          <w:szCs w:val="24"/>
          <w:color w:val="auto"/>
        </w:rPr>
      </w:pPr>
    </w:p>
    <w:p>
      <w:pPr>
        <w:ind w:right="3399" w:firstLine="444"/>
        <w:spacing w:after="0" w:line="353" w:lineRule="auto"/>
        <w:rPr>
          <w:sz w:val="20"/>
          <w:szCs w:val="20"/>
          <w:color w:val="auto"/>
        </w:rPr>
      </w:pPr>
      <w:r>
        <w:rPr>
          <w:rFonts w:ascii="Courier New" w:cs="Courier New" w:eastAsia="Courier New" w:hAnsi="Courier New"/>
          <w:sz w:val="15"/>
          <w:szCs w:val="15"/>
          <w:color w:val="auto"/>
        </w:rPr>
        <w:t>A. Full title of the plan and the address of the plan, if different from that of the issuer named below:</w:t>
      </w:r>
    </w:p>
    <w:p>
      <w:pPr>
        <w:spacing w:after="0" w:line="12"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THE COMCAST CORPORATION RETIREMENT-INVESTMENT PLAN</w:t>
      </w:r>
    </w:p>
    <w:p>
      <w:pPr>
        <w:spacing w:after="0" w:line="171" w:lineRule="exact"/>
        <w:rPr>
          <w:sz w:val="24"/>
          <w:szCs w:val="24"/>
          <w:color w:val="auto"/>
        </w:rPr>
      </w:pPr>
    </w:p>
    <w:p>
      <w:pPr>
        <w:ind w:right="3659" w:firstLine="444"/>
        <w:spacing w:after="0" w:line="353" w:lineRule="auto"/>
        <w:rPr>
          <w:sz w:val="20"/>
          <w:szCs w:val="20"/>
          <w:color w:val="auto"/>
        </w:rPr>
      </w:pPr>
      <w:r>
        <w:rPr>
          <w:rFonts w:ascii="Courier New" w:cs="Courier New" w:eastAsia="Courier New" w:hAnsi="Courier New"/>
          <w:sz w:val="15"/>
          <w:szCs w:val="15"/>
          <w:color w:val="auto"/>
        </w:rPr>
        <w:t>B. Name of issuer of the securities held pursuant to the plan and the address of its principal executive office:</w:t>
      </w:r>
    </w:p>
    <w:p>
      <w:pPr>
        <w:spacing w:after="0" w:line="12"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Comcast Corporation</w:t>
      </w:r>
    </w:p>
    <w:p>
      <w:pPr>
        <w:spacing w:after="0" w:line="2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1500 Market Street</w:t>
      </w:r>
    </w:p>
    <w:p>
      <w:pPr>
        <w:spacing w:after="0" w:line="1"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Philadelphia, PA 19102-2148</w:t>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COMCAST CORPORATION RETIREMENT-</w:t>
      </w:r>
    </w:p>
    <w:p>
      <w:pPr>
        <w:spacing w:after="0" w:line="27"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INVESTMENT PLAN</w:t>
      </w:r>
    </w:p>
    <w:p>
      <w:pPr>
        <w:spacing w:after="0" w:line="145"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Financial Statements as of December 31, 1998 and</w:t>
      </w:r>
    </w:p>
    <w:p>
      <w:pPr>
        <w:spacing w:after="0" w:line="27"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1997 and for each of the Three Years in the Period</w:t>
      </w:r>
    </w:p>
    <w:p>
      <w:pPr>
        <w:spacing w:after="0" w:line="1"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Ended December 31, 1998; Supplemental Schedules as</w:t>
      </w:r>
    </w:p>
    <w:p>
      <w:pPr>
        <w:spacing w:after="0" w:line="1"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of and for the Year Ended December 31, 1998; and</w:t>
      </w:r>
    </w:p>
    <w:p>
      <w:pPr>
        <w:spacing w:after="0" w:line="1"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Independent Auditors' Report</w:t>
      </w:r>
    </w:p>
    <w:p>
      <w:pPr>
        <w:sectPr>
          <w:pgSz w:w="11900" w:h="16838" w:orient="portrait"/>
          <w:cols w:equalWidth="0" w:num="1">
            <w:col w:w="10219"/>
          </w:cols>
          <w:pgMar w:left="240" w:top="206" w:right="1440"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TABLE OF CONTENTS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0" w:lineRule="exact"/>
        <w:rPr>
          <w:sz w:val="20"/>
          <w:szCs w:val="20"/>
          <w:color w:val="auto"/>
        </w:rPr>
      </w:pPr>
    </w:p>
    <w:p>
      <w:pPr>
        <w:spacing w:after="0" w:line="298" w:lineRule="exact"/>
        <w:rPr>
          <w:sz w:val="20"/>
          <w:szCs w:val="20"/>
          <w:color w:val="auto"/>
        </w:rPr>
      </w:pPr>
    </w:p>
    <w:p>
      <w:pPr>
        <w:ind w:left="6740"/>
        <w:spacing w:after="0"/>
        <w:rPr>
          <w:sz w:val="20"/>
          <w:szCs w:val="20"/>
          <w:color w:val="auto"/>
        </w:rPr>
      </w:pPr>
      <w:r>
        <w:rPr>
          <w:rFonts w:ascii="Courier New" w:cs="Courier New" w:eastAsia="Courier New" w:hAnsi="Courier New"/>
          <w:sz w:val="15"/>
          <w:szCs w:val="15"/>
          <w:color w:val="auto"/>
        </w:rPr>
        <w:t>Page</w:t>
      </w:r>
    </w:p>
    <w:p>
      <w:pPr>
        <w:spacing w:after="0" w:line="171" w:lineRule="exact"/>
        <w:rPr>
          <w:sz w:val="20"/>
          <w:szCs w:val="20"/>
          <w:color w:val="auto"/>
        </w:rPr>
      </w:pPr>
    </w:p>
    <w:p>
      <w:pPr>
        <w:spacing w:after="0"/>
        <w:tabs>
          <w:tab w:leader="none" w:pos="6900"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3"/>
          <w:szCs w:val="13"/>
          <w:color w:val="auto"/>
        </w:rPr>
        <w:t>1</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STATEMENTS: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Statement of Net Assets Available for Benefits With Fund</w:t>
      </w:r>
    </w:p>
    <w:p>
      <w:pPr>
        <w:spacing w:after="0" w:line="27" w:lineRule="exact"/>
        <w:rPr>
          <w:sz w:val="20"/>
          <w:szCs w:val="20"/>
          <w:color w:val="auto"/>
        </w:rPr>
      </w:pPr>
    </w:p>
    <w:p>
      <w:pPr>
        <w:ind w:left="880"/>
        <w:spacing w:after="0"/>
        <w:tabs>
          <w:tab w:leader="none" w:pos="6900" w:val="left"/>
        </w:tabs>
        <w:rPr>
          <w:sz w:val="20"/>
          <w:szCs w:val="20"/>
          <w:color w:val="auto"/>
        </w:rPr>
      </w:pPr>
      <w:r>
        <w:rPr>
          <w:rFonts w:ascii="Courier New" w:cs="Courier New" w:eastAsia="Courier New" w:hAnsi="Courier New"/>
          <w:sz w:val="15"/>
          <w:szCs w:val="15"/>
          <w:color w:val="auto"/>
        </w:rPr>
        <w:t>Information as of December 31, 1998 and 1997</w:t>
      </w:r>
      <w:r>
        <w:rPr>
          <w:sz w:val="20"/>
          <w:szCs w:val="20"/>
          <w:color w:val="auto"/>
        </w:rPr>
        <w:tab/>
      </w:r>
      <w:r>
        <w:rPr>
          <w:rFonts w:ascii="Courier New" w:cs="Courier New" w:eastAsia="Courier New" w:hAnsi="Courier New"/>
          <w:sz w:val="13"/>
          <w:szCs w:val="13"/>
          <w:color w:val="auto"/>
        </w:rPr>
        <w:t>2</w:t>
      </w:r>
    </w:p>
    <w:p>
      <w:pPr>
        <w:spacing w:after="0" w:line="14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Statement of Changes in Net Assets Available for Benefits With</w:t>
      </w:r>
    </w:p>
    <w:p>
      <w:pPr>
        <w:spacing w:after="0" w:line="27"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Fund Information for the Years Ended December 31, 1998, 1997</w:t>
      </w:r>
    </w:p>
    <w:p>
      <w:pPr>
        <w:spacing w:after="0" w:line="1" w:lineRule="exact"/>
        <w:rPr>
          <w:sz w:val="20"/>
          <w:szCs w:val="20"/>
          <w:color w:val="auto"/>
        </w:rPr>
      </w:pPr>
    </w:p>
    <w:p>
      <w:pPr>
        <w:ind w:left="880"/>
        <w:spacing w:after="0"/>
        <w:tabs>
          <w:tab w:leader="none" w:pos="6720" w:val="left"/>
        </w:tabs>
        <w:rPr>
          <w:sz w:val="20"/>
          <w:szCs w:val="20"/>
          <w:color w:val="auto"/>
        </w:rPr>
      </w:pPr>
      <w:r>
        <w:rPr>
          <w:rFonts w:ascii="Courier New" w:cs="Courier New" w:eastAsia="Courier New" w:hAnsi="Courier New"/>
          <w:sz w:val="15"/>
          <w:szCs w:val="15"/>
          <w:color w:val="auto"/>
        </w:rPr>
        <w:t>and 1996</w:t>
      </w:r>
      <w:r>
        <w:rPr>
          <w:sz w:val="20"/>
          <w:szCs w:val="20"/>
          <w:color w:val="auto"/>
        </w:rPr>
        <w:tab/>
      </w:r>
      <w:r>
        <w:rPr>
          <w:rFonts w:ascii="Courier New" w:cs="Courier New" w:eastAsia="Courier New" w:hAnsi="Courier New"/>
          <w:sz w:val="14"/>
          <w:szCs w:val="14"/>
          <w:color w:val="auto"/>
        </w:rPr>
        <w:t>3-5</w:t>
      </w:r>
    </w:p>
    <w:p>
      <w:pPr>
        <w:spacing w:after="0" w:line="145" w:lineRule="exact"/>
        <w:rPr>
          <w:sz w:val="20"/>
          <w:szCs w:val="20"/>
          <w:color w:val="auto"/>
        </w:rPr>
      </w:pPr>
    </w:p>
    <w:p>
      <w:pPr>
        <w:ind w:left="440"/>
        <w:spacing w:after="0"/>
        <w:tabs>
          <w:tab w:leader="none" w:pos="6620" w:val="left"/>
        </w:tabs>
        <w:rPr>
          <w:sz w:val="20"/>
          <w:szCs w:val="20"/>
          <w:color w:val="auto"/>
        </w:rPr>
      </w:pPr>
      <w:r>
        <w:rPr>
          <w:rFonts w:ascii="Courier New" w:cs="Courier New" w:eastAsia="Courier New" w:hAnsi="Courier New"/>
          <w:sz w:val="15"/>
          <w:szCs w:val="15"/>
          <w:color w:val="auto"/>
        </w:rPr>
        <w:t>Notes to Financial Statements</w:t>
      </w:r>
      <w:r>
        <w:rPr>
          <w:sz w:val="20"/>
          <w:szCs w:val="20"/>
          <w:color w:val="auto"/>
        </w:rPr>
        <w:tab/>
      </w:r>
      <w:r>
        <w:rPr>
          <w:rFonts w:ascii="Courier New" w:cs="Courier New" w:eastAsia="Courier New" w:hAnsi="Courier New"/>
          <w:sz w:val="14"/>
          <w:szCs w:val="14"/>
          <w:color w:val="auto"/>
        </w:rPr>
        <w:t>6-10</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SUPPLEMENTAL SCHEDULES:</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Line 27a - Schedule of Assets Held for Investment Purposes as of</w:t>
      </w:r>
    </w:p>
    <w:p>
      <w:pPr>
        <w:spacing w:after="0" w:line="27" w:lineRule="exact"/>
        <w:rPr>
          <w:sz w:val="20"/>
          <w:szCs w:val="20"/>
          <w:color w:val="auto"/>
        </w:rPr>
      </w:pPr>
    </w:p>
    <w:p>
      <w:pPr>
        <w:ind w:left="880"/>
        <w:spacing w:after="0"/>
        <w:tabs>
          <w:tab w:leader="none" w:pos="6800" w:val="left"/>
        </w:tabs>
        <w:rPr>
          <w:sz w:val="20"/>
          <w:szCs w:val="20"/>
          <w:color w:val="auto"/>
        </w:rPr>
      </w:pPr>
      <w:r>
        <w:rPr>
          <w:rFonts w:ascii="Courier New" w:cs="Courier New" w:eastAsia="Courier New" w:hAnsi="Courier New"/>
          <w:sz w:val="15"/>
          <w:szCs w:val="15"/>
          <w:color w:val="auto"/>
        </w:rPr>
        <w:t>December 31, 1998</w:t>
      </w:r>
      <w:r>
        <w:rPr>
          <w:sz w:val="20"/>
          <w:szCs w:val="20"/>
          <w:color w:val="auto"/>
        </w:rPr>
        <w:tab/>
      </w:r>
      <w:r>
        <w:rPr>
          <w:rFonts w:ascii="Courier New" w:cs="Courier New" w:eastAsia="Courier New" w:hAnsi="Courier New"/>
          <w:sz w:val="15"/>
          <w:szCs w:val="15"/>
          <w:color w:val="auto"/>
        </w:rPr>
        <w:t>11</w:t>
      </w:r>
    </w:p>
    <w:p>
      <w:pPr>
        <w:spacing w:after="0" w:line="14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Line 27d - Schedule of Reportable Transactions for the Year Ended</w:t>
      </w:r>
    </w:p>
    <w:p>
      <w:pPr>
        <w:spacing w:after="0" w:line="27" w:lineRule="exact"/>
        <w:rPr>
          <w:sz w:val="20"/>
          <w:szCs w:val="20"/>
          <w:color w:val="auto"/>
        </w:rPr>
      </w:pPr>
    </w:p>
    <w:p>
      <w:pPr>
        <w:ind w:left="880"/>
        <w:spacing w:after="0"/>
        <w:tabs>
          <w:tab w:leader="none" w:pos="6800" w:val="left"/>
        </w:tabs>
        <w:rPr>
          <w:sz w:val="20"/>
          <w:szCs w:val="20"/>
          <w:color w:val="auto"/>
        </w:rPr>
      </w:pPr>
      <w:r>
        <w:rPr>
          <w:rFonts w:ascii="Courier New" w:cs="Courier New" w:eastAsia="Courier New" w:hAnsi="Courier New"/>
          <w:sz w:val="15"/>
          <w:szCs w:val="15"/>
          <w:color w:val="auto"/>
        </w:rPr>
        <w:t>December 31, 1998</w:t>
      </w:r>
      <w:r>
        <w:rPr>
          <w:sz w:val="20"/>
          <w:szCs w:val="20"/>
          <w:color w:val="auto"/>
        </w:rPr>
        <w:tab/>
      </w:r>
      <w:r>
        <w:rPr>
          <w:rFonts w:ascii="Courier New" w:cs="Courier New" w:eastAsia="Courier New" w:hAnsi="Courier New"/>
          <w:sz w:val="15"/>
          <w:szCs w:val="15"/>
          <w:color w:val="auto"/>
        </w:rPr>
        <w:t>12</w:t>
      </w:r>
    </w:p>
    <w:p>
      <w:pPr>
        <w:spacing w:after="0" w:line="145" w:lineRule="exact"/>
        <w:rPr>
          <w:sz w:val="20"/>
          <w:szCs w:val="20"/>
          <w:color w:val="auto"/>
        </w:rPr>
      </w:pPr>
    </w:p>
    <w:p>
      <w:pPr>
        <w:spacing w:after="0"/>
        <w:tabs>
          <w:tab w:leader="none" w:pos="6800" w:val="left"/>
        </w:tabs>
        <w:rPr>
          <w:sz w:val="20"/>
          <w:szCs w:val="20"/>
          <w:color w:val="auto"/>
        </w:rPr>
      </w:pPr>
      <w:r>
        <w:rPr>
          <w:rFonts w:ascii="Courier New" w:cs="Courier New" w:eastAsia="Courier New" w:hAnsi="Courier New"/>
          <w:sz w:val="15"/>
          <w:szCs w:val="15"/>
          <w:color w:val="auto"/>
        </w:rPr>
        <w:t>INDEPENDENT AUDITORS' REPORT</w:t>
      </w:r>
      <w:r>
        <w:rPr>
          <w:sz w:val="20"/>
          <w:szCs w:val="20"/>
          <w:color w:val="auto"/>
        </w:rPr>
        <w:tab/>
      </w:r>
      <w:r>
        <w:rPr>
          <w:rFonts w:ascii="Courier New" w:cs="Courier New" w:eastAsia="Courier New" w:hAnsi="Courier New"/>
          <w:sz w:val="15"/>
          <w:szCs w:val="15"/>
          <w:color w:val="auto"/>
        </w:rPr>
        <w:t>13</w:t>
      </w:r>
    </w:p>
    <w:p>
      <w:pPr>
        <w:spacing w:after="0" w:line="171" w:lineRule="exact"/>
        <w:rPr>
          <w:sz w:val="20"/>
          <w:szCs w:val="20"/>
          <w:color w:val="auto"/>
        </w:rPr>
      </w:pPr>
    </w:p>
    <w:p>
      <w:pPr>
        <w:spacing w:after="0"/>
        <w:tabs>
          <w:tab w:leader="none" w:pos="680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14</w:t>
      </w:r>
    </w:p>
    <w:p>
      <w:pPr>
        <w:sectPr>
          <w:pgSz w:w="11900" w:h="16838" w:orient="portrait"/>
          <w:cols w:equalWidth="0" w:num="1">
            <w:col w:w="10219"/>
          </w:cols>
          <w:pgMar w:left="240" w:top="43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INDEPENDENT AUDITORS' REPORT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Administrator</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45" w:lineRule="exact"/>
        <w:rPr>
          <w:sz w:val="20"/>
          <w:szCs w:val="20"/>
          <w:color w:val="auto"/>
        </w:rPr>
      </w:pPr>
    </w:p>
    <w:p>
      <w:pPr>
        <w:ind w:right="3119"/>
        <w:spacing w:after="0" w:line="281" w:lineRule="auto"/>
        <w:rPr>
          <w:sz w:val="20"/>
          <w:szCs w:val="20"/>
          <w:color w:val="auto"/>
        </w:rPr>
      </w:pPr>
      <w:r>
        <w:rPr>
          <w:rFonts w:ascii="Courier New" w:cs="Courier New" w:eastAsia="Courier New" w:hAnsi="Courier New"/>
          <w:sz w:val="14"/>
          <w:szCs w:val="14"/>
          <w:color w:val="auto"/>
        </w:rPr>
        <w:t>We have audited the accompanying statement of net assets available for benefits with fund information of the Comcast Corporation Retirement-Investment Plan (the "Plan") as of December 31, 1998 and 1997, and the related statement of changes in net assets available for benefits with fund information for each of the three years in the period ended December 31, 1998. These financial statements are the responsibility of the Plan's management. Our responsibility is to express an opinion on these financial statements based on our audits.</w:t>
      </w:r>
    </w:p>
    <w:p>
      <w:pPr>
        <w:spacing w:after="0" w:line="65" w:lineRule="exact"/>
        <w:rPr>
          <w:sz w:val="20"/>
          <w:szCs w:val="20"/>
          <w:color w:val="auto"/>
        </w:rPr>
      </w:pPr>
    </w:p>
    <w:p>
      <w:pPr>
        <w:ind w:right="3119"/>
        <w:spacing w:after="0" w:line="277"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72" w:lineRule="exact"/>
        <w:rPr>
          <w:sz w:val="20"/>
          <w:szCs w:val="20"/>
          <w:color w:val="auto"/>
        </w:rPr>
      </w:pPr>
    </w:p>
    <w:p>
      <w:pPr>
        <w:ind w:right="3219"/>
        <w:spacing w:after="0" w:line="263" w:lineRule="auto"/>
        <w:rPr>
          <w:sz w:val="20"/>
          <w:szCs w:val="20"/>
          <w:color w:val="auto"/>
        </w:rPr>
      </w:pPr>
      <w:r>
        <w:rPr>
          <w:rFonts w:ascii="Courier New" w:cs="Courier New" w:eastAsia="Courier New" w:hAnsi="Courier New"/>
          <w:sz w:val="15"/>
          <w:szCs w:val="15"/>
          <w:color w:val="auto"/>
        </w:rPr>
        <w:t>In our opinion, such financial statements present fairly, in all material respects, the net assets available for benefits of the Comcast Corporation Retirement-Investment Plan as of December 31, 1998 and 1997, and the related changes in net assets available for benefits for each of the three years in the period ended December 31, 1998 in conformity with generally accepted accounting principles.</w:t>
      </w:r>
    </w:p>
    <w:p>
      <w:pPr>
        <w:spacing w:after="0" w:line="77" w:lineRule="exact"/>
        <w:rPr>
          <w:sz w:val="20"/>
          <w:szCs w:val="20"/>
          <w:color w:val="auto"/>
        </w:rPr>
      </w:pPr>
    </w:p>
    <w:p>
      <w:pPr>
        <w:ind w:right="3119"/>
        <w:spacing w:after="0" w:line="266" w:lineRule="auto"/>
        <w:rPr>
          <w:sz w:val="20"/>
          <w:szCs w:val="20"/>
          <w:color w:val="auto"/>
        </w:rPr>
      </w:pPr>
      <w:r>
        <w:rPr>
          <w:rFonts w:ascii="Courier New" w:cs="Courier New" w:eastAsia="Courier New" w:hAnsi="Courier New"/>
          <w:sz w:val="14"/>
          <w:szCs w:val="14"/>
          <w:color w:val="auto"/>
        </w:rPr>
        <w:t>Our audits were conducted for the purpose of forming an opinion on the basic financial statements taken as a whole. The supplemental information by fund in the statement of net assets available for benefits with fund information and the statement of changes in net assets available for benefits with fund information is presented for the purpose of additional analysis of the basic financial statements rather than to present information regarding the net assets available for benefits and changes in net assets available for benefits of each fund. The supplemental schedules on pages 11 and 12 are presented for the purpose of additional analysis and are not a required part of the basic financial statements, but are supplementary information required by the Department of Labor's Rules and Regulations for Reporting and Disclosure under the Employee Retirement Income Security Act of 1974. The supplemental information by fund and supplemental schedules are the responsibility of the Plan's management. The supplemental information by fund and supplemental schedules have been subjected to the auditing procedures applied in the audits of the basic financial statements and, in our opinion, are fairly stated in all material respects when considered in relation to the basic financial statements taken as a whole.</w:t>
      </w: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24, 1999</w:t>
      </w:r>
    </w:p>
    <w:p>
      <w:pPr>
        <w:spacing w:after="0" w:line="200" w:lineRule="exact"/>
        <w:rPr>
          <w:sz w:val="20"/>
          <w:szCs w:val="20"/>
          <w:color w:val="auto"/>
        </w:rPr>
      </w:pPr>
    </w:p>
    <w:p>
      <w:pPr>
        <w:spacing w:after="0" w:line="287"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- 1 -</w:t>
      </w:r>
    </w:p>
    <w:p>
      <w:pPr>
        <w:sectPr>
          <w:pgSz w:w="11900" w:h="16838" w:orient="portrait"/>
          <w:cols w:equalWidth="0" w:num="1">
            <w:col w:w="10219"/>
          </w:cols>
          <w:pgMar w:left="240" w:top="605"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5" w:lineRule="exact"/>
        <w:rPr>
          <w:sz w:val="20"/>
          <w:szCs w:val="20"/>
          <w:color w:val="auto"/>
        </w:rPr>
      </w:pPr>
    </w:p>
    <w:p>
      <w:pPr>
        <w:ind w:right="4199"/>
        <w:spacing w:after="0" w:line="259" w:lineRule="auto"/>
        <w:rPr>
          <w:sz w:val="20"/>
          <w:szCs w:val="20"/>
          <w:color w:val="auto"/>
        </w:rPr>
      </w:pPr>
      <w:r>
        <w:rPr>
          <w:rFonts w:ascii="Courier New" w:cs="Courier New" w:eastAsia="Courier New" w:hAnsi="Courier New"/>
          <w:sz w:val="15"/>
          <w:szCs w:val="15"/>
          <w:color w:val="auto"/>
        </w:rPr>
        <w:t>STATEMENT OF NET ASSETS AVAILABLE FOR BENEFITS WITH FUND INFORMATION DECEMBER 31, 1998 AND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8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ind w:left="80"/>
              <w:spacing w:after="0"/>
              <w:rPr>
                <w:sz w:val="20"/>
                <w:szCs w:val="20"/>
                <w:color w:val="auto"/>
              </w:rPr>
            </w:pPr>
            <w:r>
              <w:rPr>
                <w:rFonts w:ascii="Courier New" w:cs="Courier New" w:eastAsia="Courier New" w:hAnsi="Courier New"/>
                <w:sz w:val="15"/>
                <w:szCs w:val="15"/>
                <w:color w:val="auto"/>
              </w:rPr>
              <w:t>Mutual Funds</w:t>
            </w: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6920" w:type="dxa"/>
            <w:vAlign w:val="bottom"/>
            <w:gridSpan w:val="5"/>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4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Dodge and</w:t>
            </w:r>
          </w:p>
        </w:tc>
        <w:tc>
          <w:tcPr>
            <w:tcW w:w="1420" w:type="dxa"/>
            <w:vAlign w:val="bottom"/>
          </w:tcPr>
          <w:p>
            <w:pPr>
              <w:jc w:val="center"/>
              <w:ind w:left="6"/>
              <w:spacing w:after="0"/>
              <w:rPr>
                <w:sz w:val="20"/>
                <w:szCs w:val="20"/>
                <w:color w:val="auto"/>
              </w:rPr>
            </w:pPr>
            <w:r>
              <w:rPr>
                <w:rFonts w:ascii="Courier New" w:cs="Courier New" w:eastAsia="Courier New" w:hAnsi="Courier New"/>
                <w:sz w:val="15"/>
                <w:szCs w:val="15"/>
                <w:color w:val="auto"/>
                <w:w w:val="97"/>
              </w:rPr>
              <w:t>Fidelity Blue</w:t>
            </w:r>
          </w:p>
        </w:tc>
        <w:tc>
          <w:tcPr>
            <w:tcW w:w="1420" w:type="dxa"/>
            <w:vAlign w:val="bottom"/>
            <w:vMerge w:val="restart"/>
          </w:tcPr>
          <w:p>
            <w:pPr>
              <w:ind w:left="520"/>
              <w:spacing w:after="0"/>
              <w:rPr>
                <w:sz w:val="20"/>
                <w:szCs w:val="20"/>
                <w:color w:val="auto"/>
              </w:rPr>
            </w:pPr>
            <w:r>
              <w:rPr>
                <w:rFonts w:ascii="Courier New" w:cs="Courier New" w:eastAsia="Courier New" w:hAnsi="Courier New"/>
                <w:sz w:val="15"/>
                <w:szCs w:val="15"/>
                <w:color w:val="auto"/>
              </w:rPr>
              <w:t>PBHG</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6"/>
              </w:rPr>
              <w:t>Ivy</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Total Mutual</w:t>
            </w: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Cox Balanced</w:t>
            </w:r>
          </w:p>
        </w:tc>
        <w:tc>
          <w:tcPr>
            <w:tcW w:w="142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Chip Growth</w:t>
            </w:r>
          </w:p>
        </w:tc>
        <w:tc>
          <w:tcPr>
            <w:tcW w:w="1420" w:type="dxa"/>
            <w:vAlign w:val="bottom"/>
            <w:vMerge w:val="continue"/>
          </w:tcPr>
          <w:p>
            <w:pPr>
              <w:spacing w:after="0"/>
              <w:rPr>
                <w:sz w:val="14"/>
                <w:szCs w:val="14"/>
                <w:color w:val="auto"/>
              </w:rPr>
            </w:pP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7"/>
              </w:rPr>
              <w:t>International</w:t>
            </w: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14"/>
                <w:szCs w:val="14"/>
                <w:color w:val="auto"/>
              </w:rPr>
            </w:pPr>
          </w:p>
        </w:tc>
        <w:tc>
          <w:tcPr>
            <w:tcW w:w="142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Fund</w:t>
            </w:r>
          </w:p>
        </w:tc>
        <w:tc>
          <w:tcPr>
            <w:tcW w:w="1420" w:type="dxa"/>
            <w:vAlign w:val="bottom"/>
          </w:tcPr>
          <w:p>
            <w:pPr>
              <w:ind w:left="520"/>
              <w:spacing w:after="0"/>
              <w:rPr>
                <w:sz w:val="20"/>
                <w:szCs w:val="20"/>
                <w:color w:val="auto"/>
              </w:rPr>
            </w:pPr>
            <w:r>
              <w:rPr>
                <w:rFonts w:ascii="Courier New" w:cs="Courier New" w:eastAsia="Courier New" w:hAnsi="Courier New"/>
                <w:sz w:val="15"/>
                <w:szCs w:val="15"/>
                <w:color w:val="auto"/>
              </w:rPr>
              <w:t>Fund</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Growth Fund</w:t>
            </w:r>
          </w:p>
        </w:tc>
        <w:tc>
          <w:tcPr>
            <w:tcW w:w="1460" w:type="dxa"/>
            <w:vAlign w:val="bottom"/>
          </w:tcPr>
          <w:p>
            <w:pPr>
              <w:ind w:left="620"/>
              <w:spacing w:after="0"/>
              <w:rPr>
                <w:sz w:val="20"/>
                <w:szCs w:val="20"/>
                <w:color w:val="auto"/>
              </w:rPr>
            </w:pPr>
            <w:r>
              <w:rPr>
                <w:rFonts w:ascii="Courier New" w:cs="Courier New" w:eastAsia="Courier New" w:hAnsi="Courier New"/>
                <w:sz w:val="15"/>
                <w:szCs w:val="15"/>
                <w:color w:val="auto"/>
              </w:rPr>
              <w:t>Fund</w:t>
            </w:r>
          </w:p>
        </w:tc>
        <w:tc>
          <w:tcPr>
            <w:tcW w:w="120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Funds</w:t>
            </w:r>
          </w:p>
        </w:tc>
        <w:tc>
          <w:tcPr>
            <w:tcW w:w="0" w:type="dxa"/>
            <w:vAlign w:val="bottom"/>
          </w:tcPr>
          <w:p>
            <w:pPr>
              <w:spacing w:after="0"/>
              <w:rPr>
                <w:sz w:val="1"/>
                <w:szCs w:val="1"/>
                <w:color w:val="auto"/>
              </w:rPr>
            </w:pPr>
          </w:p>
        </w:tc>
      </w:tr>
      <w:tr>
        <w:trPr>
          <w:trHeight w:val="249"/>
        </w:trPr>
        <w:tc>
          <w:tcPr>
            <w:tcW w:w="2480" w:type="dxa"/>
            <w:vAlign w:val="bottom"/>
          </w:tcPr>
          <w:p>
            <w:pPr>
              <w:spacing w:after="0"/>
              <w:rPr>
                <w:sz w:val="21"/>
                <w:szCs w:val="21"/>
                <w:color w:val="auto"/>
              </w:rPr>
            </w:pP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248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1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Investments, at fair or</w:t>
            </w:r>
          </w:p>
        </w:tc>
        <w:tc>
          <w:tcPr>
            <w:tcW w:w="142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$21,852,109</w:t>
            </w:r>
          </w:p>
        </w:tc>
        <w:tc>
          <w:tcPr>
            <w:tcW w:w="1420" w:type="dxa"/>
            <w:vAlign w:val="bottom"/>
            <w:vMerge w:val="restart"/>
          </w:tcPr>
          <w:p>
            <w:pPr>
              <w:jc w:val="center"/>
              <w:ind w:left="6"/>
              <w:spacing w:after="0"/>
              <w:rPr>
                <w:sz w:val="20"/>
                <w:szCs w:val="20"/>
                <w:color w:val="auto"/>
              </w:rPr>
            </w:pPr>
            <w:r>
              <w:rPr>
                <w:rFonts w:ascii="Courier New" w:cs="Courier New" w:eastAsia="Courier New" w:hAnsi="Courier New"/>
                <w:sz w:val="15"/>
                <w:szCs w:val="15"/>
                <w:color w:val="auto"/>
                <w:w w:val="98"/>
              </w:rPr>
              <w:t>$54,561,445</w:t>
            </w:r>
          </w:p>
        </w:tc>
        <w:tc>
          <w:tcPr>
            <w:tcW w:w="14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$ 6,036,037</w:t>
            </w:r>
          </w:p>
        </w:tc>
        <w:tc>
          <w:tcPr>
            <w:tcW w:w="14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$ 5,601,842</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$88,051,433</w:t>
            </w:r>
          </w:p>
        </w:tc>
        <w:tc>
          <w:tcPr>
            <w:tcW w:w="0" w:type="dxa"/>
            <w:vAlign w:val="bottom"/>
          </w:tcPr>
          <w:p>
            <w:pPr>
              <w:spacing w:after="0"/>
              <w:rPr>
                <w:sz w:val="1"/>
                <w:szCs w:val="1"/>
                <w:color w:val="auto"/>
              </w:rPr>
            </w:pPr>
          </w:p>
        </w:tc>
      </w:tr>
      <w:tr>
        <w:trPr>
          <w:trHeight w:val="171"/>
        </w:trPr>
        <w:tc>
          <w:tcPr>
            <w:tcW w:w="2480" w:type="dxa"/>
            <w:vAlign w:val="bottom"/>
          </w:tcPr>
          <w:p>
            <w:pPr>
              <w:ind w:left="440"/>
              <w:spacing w:after="0"/>
              <w:rPr>
                <w:sz w:val="20"/>
                <w:szCs w:val="20"/>
                <w:color w:val="auto"/>
              </w:rPr>
            </w:pPr>
            <w:r>
              <w:rPr>
                <w:rFonts w:ascii="Courier New" w:cs="Courier New" w:eastAsia="Courier New" w:hAnsi="Courier New"/>
                <w:sz w:val="15"/>
                <w:szCs w:val="15"/>
                <w:color w:val="auto"/>
              </w:rPr>
              <w:t>contract value</w:t>
            </w:r>
          </w:p>
        </w:tc>
        <w:tc>
          <w:tcPr>
            <w:tcW w:w="14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Cash</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Loans receivable from</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Pr>
          <w:p>
            <w:pPr>
              <w:ind w:left="440"/>
              <w:spacing w:after="0"/>
              <w:rPr>
                <w:sz w:val="20"/>
                <w:szCs w:val="20"/>
                <w:color w:val="auto"/>
              </w:rPr>
            </w:pPr>
            <w:r>
              <w:rPr>
                <w:rFonts w:ascii="Courier New" w:cs="Courier New" w:eastAsia="Courier New" w:hAnsi="Courier New"/>
                <w:sz w:val="15"/>
                <w:szCs w:val="15"/>
                <w:color w:val="auto"/>
              </w:rPr>
              <w:t>participants</w:t>
            </w:r>
          </w:p>
        </w:tc>
        <w:tc>
          <w:tcPr>
            <w:tcW w:w="1420" w:type="dxa"/>
            <w:vAlign w:val="bottom"/>
          </w:tcPr>
          <w:p>
            <w:pPr>
              <w:spacing w:after="0"/>
              <w:rPr>
                <w:sz w:val="14"/>
                <w:szCs w:val="14"/>
                <w:color w:val="auto"/>
              </w:rPr>
            </w:pPr>
          </w:p>
        </w:tc>
        <w:tc>
          <w:tcPr>
            <w:tcW w:w="1420" w:type="dxa"/>
            <w:vAlign w:val="bottom"/>
            <w:vMerge w:val="restart"/>
          </w:tcPr>
          <w:p>
            <w:pPr>
              <w:jc w:val="center"/>
              <w:ind w:lef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2480" w:type="dxa"/>
            <w:vAlign w:val="bottom"/>
          </w:tcPr>
          <w:p>
            <w:pPr>
              <w:spacing w:after="0"/>
              <w:rPr>
                <w:sz w:val="21"/>
                <w:szCs w:val="21"/>
                <w:color w:val="auto"/>
              </w:rPr>
            </w:pP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48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42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$21,852,109</w:t>
            </w:r>
          </w:p>
        </w:tc>
        <w:tc>
          <w:tcPr>
            <w:tcW w:w="1420" w:type="dxa"/>
            <w:vAlign w:val="bottom"/>
            <w:vMerge w:val="restart"/>
          </w:tcPr>
          <w:p>
            <w:pPr>
              <w:jc w:val="center"/>
              <w:ind w:left="6"/>
              <w:spacing w:after="0"/>
              <w:rPr>
                <w:sz w:val="20"/>
                <w:szCs w:val="20"/>
                <w:color w:val="auto"/>
              </w:rPr>
            </w:pPr>
            <w:r>
              <w:rPr>
                <w:rFonts w:ascii="Courier New" w:cs="Courier New" w:eastAsia="Courier New" w:hAnsi="Courier New"/>
                <w:sz w:val="15"/>
                <w:szCs w:val="15"/>
                <w:color w:val="auto"/>
                <w:w w:val="98"/>
              </w:rPr>
              <w:t>$54,561,445</w:t>
            </w:r>
          </w:p>
        </w:tc>
        <w:tc>
          <w:tcPr>
            <w:tcW w:w="14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$ 6,036,037</w:t>
            </w:r>
          </w:p>
        </w:tc>
        <w:tc>
          <w:tcPr>
            <w:tcW w:w="14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$ 5,601,842</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$88,051,433</w:t>
            </w:r>
          </w:p>
        </w:tc>
        <w:tc>
          <w:tcPr>
            <w:tcW w:w="0" w:type="dxa"/>
            <w:vAlign w:val="bottom"/>
          </w:tcPr>
          <w:p>
            <w:pPr>
              <w:spacing w:after="0"/>
              <w:rPr>
                <w:sz w:val="1"/>
                <w:szCs w:val="1"/>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FOR BENEFITS</w:t>
            </w:r>
          </w:p>
        </w:tc>
        <w:tc>
          <w:tcPr>
            <w:tcW w:w="14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480" w:type="dxa"/>
            <w:vAlign w:val="bottom"/>
            <w:vMerge w:val="restart"/>
          </w:tcPr>
          <w:p>
            <w:pPr>
              <w:spacing w:after="0"/>
              <w:rPr>
                <w:sz w:val="20"/>
                <w:szCs w:val="20"/>
                <w:color w:val="auto"/>
              </w:rPr>
            </w:pPr>
            <w:r>
              <w:rPr>
                <w:rFonts w:ascii="Courier New" w:cs="Courier New" w:eastAsia="Courier New" w:hAnsi="Courier New"/>
                <w:sz w:val="15"/>
                <w:szCs w:val="15"/>
                <w:color w:val="auto"/>
              </w:rPr>
              <w:t>DECEMBER 31, 1997</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2480" w:type="dxa"/>
            <w:vAlign w:val="bottom"/>
            <w:vMerge w:val="continue"/>
          </w:tcPr>
          <w:p>
            <w:pPr>
              <w:spacing w:after="0"/>
              <w:rPr>
                <w:sz w:val="8"/>
                <w:szCs w:val="8"/>
                <w:color w:val="auto"/>
              </w:rPr>
            </w:pPr>
          </w:p>
        </w:tc>
        <w:tc>
          <w:tcPr>
            <w:tcW w:w="1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46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24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Investments, at fair or</w:t>
            </w:r>
          </w:p>
        </w:tc>
        <w:tc>
          <w:tcPr>
            <w:tcW w:w="142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$20,218,907</w:t>
            </w:r>
          </w:p>
        </w:tc>
        <w:tc>
          <w:tcPr>
            <w:tcW w:w="1420" w:type="dxa"/>
            <w:vAlign w:val="bottom"/>
            <w:vMerge w:val="restart"/>
          </w:tcPr>
          <w:p>
            <w:pPr>
              <w:jc w:val="center"/>
              <w:ind w:left="6"/>
              <w:spacing w:after="0"/>
              <w:rPr>
                <w:sz w:val="20"/>
                <w:szCs w:val="20"/>
                <w:color w:val="auto"/>
              </w:rPr>
            </w:pPr>
            <w:r>
              <w:rPr>
                <w:rFonts w:ascii="Courier New" w:cs="Courier New" w:eastAsia="Courier New" w:hAnsi="Courier New"/>
                <w:sz w:val="15"/>
                <w:szCs w:val="15"/>
                <w:color w:val="auto"/>
                <w:w w:val="98"/>
              </w:rPr>
              <w:t>$39,071,781</w:t>
            </w:r>
          </w:p>
        </w:tc>
        <w:tc>
          <w:tcPr>
            <w:tcW w:w="14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$ 5,695,881</w:t>
            </w:r>
          </w:p>
        </w:tc>
        <w:tc>
          <w:tcPr>
            <w:tcW w:w="14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$ 5,688,630</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$70,675,199</w:t>
            </w:r>
          </w:p>
        </w:tc>
        <w:tc>
          <w:tcPr>
            <w:tcW w:w="0" w:type="dxa"/>
            <w:vAlign w:val="bottom"/>
          </w:tcPr>
          <w:p>
            <w:pPr>
              <w:spacing w:after="0"/>
              <w:rPr>
                <w:sz w:val="1"/>
                <w:szCs w:val="1"/>
                <w:color w:val="auto"/>
              </w:rPr>
            </w:pPr>
          </w:p>
        </w:tc>
      </w:tr>
      <w:tr>
        <w:trPr>
          <w:trHeight w:val="171"/>
        </w:trPr>
        <w:tc>
          <w:tcPr>
            <w:tcW w:w="2480" w:type="dxa"/>
            <w:vAlign w:val="bottom"/>
          </w:tcPr>
          <w:p>
            <w:pPr>
              <w:ind w:left="440"/>
              <w:spacing w:after="0"/>
              <w:rPr>
                <w:sz w:val="20"/>
                <w:szCs w:val="20"/>
                <w:color w:val="auto"/>
              </w:rPr>
            </w:pPr>
            <w:r>
              <w:rPr>
                <w:rFonts w:ascii="Courier New" w:cs="Courier New" w:eastAsia="Courier New" w:hAnsi="Courier New"/>
                <w:sz w:val="15"/>
                <w:szCs w:val="15"/>
                <w:color w:val="auto"/>
              </w:rPr>
              <w:t>contract value</w:t>
            </w:r>
          </w:p>
        </w:tc>
        <w:tc>
          <w:tcPr>
            <w:tcW w:w="14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Cash</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Loans receivable from</w:t>
            </w: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480" w:type="dxa"/>
            <w:vAlign w:val="bottom"/>
          </w:tcPr>
          <w:p>
            <w:pPr>
              <w:ind w:left="440"/>
              <w:spacing w:after="0"/>
              <w:rPr>
                <w:sz w:val="20"/>
                <w:szCs w:val="20"/>
                <w:color w:val="auto"/>
              </w:rPr>
            </w:pPr>
            <w:r>
              <w:rPr>
                <w:rFonts w:ascii="Courier New" w:cs="Courier New" w:eastAsia="Courier New" w:hAnsi="Courier New"/>
                <w:sz w:val="15"/>
                <w:szCs w:val="15"/>
                <w:color w:val="auto"/>
              </w:rPr>
              <w:t>participants</w:t>
            </w:r>
          </w:p>
        </w:tc>
        <w:tc>
          <w:tcPr>
            <w:tcW w:w="1420" w:type="dxa"/>
            <w:vAlign w:val="bottom"/>
          </w:tcPr>
          <w:p>
            <w:pPr>
              <w:spacing w:after="0"/>
              <w:rPr>
                <w:sz w:val="14"/>
                <w:szCs w:val="14"/>
                <w:color w:val="auto"/>
              </w:rPr>
            </w:pPr>
          </w:p>
        </w:tc>
        <w:tc>
          <w:tcPr>
            <w:tcW w:w="1420" w:type="dxa"/>
            <w:vAlign w:val="bottom"/>
            <w:vMerge w:val="restart"/>
          </w:tcPr>
          <w:p>
            <w:pPr>
              <w:jc w:val="center"/>
              <w:ind w:lef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w:t>
            </w:r>
          </w:p>
        </w:tc>
        <w:tc>
          <w:tcPr>
            <w:tcW w:w="14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2480" w:type="dxa"/>
            <w:vAlign w:val="bottom"/>
            <w:vMerge w:val="restart"/>
          </w:tcPr>
          <w:p>
            <w:pPr>
              <w:spacing w:after="0"/>
              <w:rPr>
                <w:sz w:val="20"/>
                <w:szCs w:val="20"/>
                <w:color w:val="auto"/>
              </w:rPr>
            </w:pPr>
            <w:r>
              <w:rPr>
                <w:rFonts w:ascii="Courier New" w:cs="Courier New" w:eastAsia="Courier New" w:hAnsi="Courier New"/>
                <w:sz w:val="15"/>
                <w:szCs w:val="15"/>
                <w:color w:val="auto"/>
              </w:rPr>
              <w:t>NET ASSETS AVAILABLE</w:t>
            </w: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continue"/>
          </w:tcPr>
          <w:p>
            <w:pPr>
              <w:spacing w:after="0"/>
              <w:rPr>
                <w:sz w:val="21"/>
                <w:szCs w:val="21"/>
                <w:color w:val="auto"/>
              </w:rPr>
            </w:pPr>
          </w:p>
        </w:tc>
        <w:tc>
          <w:tcPr>
            <w:tcW w:w="1420" w:type="dxa"/>
            <w:vAlign w:val="bottom"/>
            <w:vMerge w:val="continue"/>
          </w:tcPr>
          <w:p>
            <w:pPr>
              <w:spacing w:after="0"/>
              <w:rPr>
                <w:sz w:val="21"/>
                <w:szCs w:val="21"/>
                <w:color w:val="auto"/>
              </w:rPr>
            </w:pPr>
          </w:p>
        </w:tc>
        <w:tc>
          <w:tcPr>
            <w:tcW w:w="146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2480" w:type="dxa"/>
            <w:vAlign w:val="bottom"/>
            <w:vMerge w:val="continue"/>
          </w:tcPr>
          <w:p>
            <w:pPr>
              <w:spacing w:after="0"/>
              <w:rPr>
                <w:sz w:val="8"/>
                <w:szCs w:val="8"/>
                <w:color w:val="auto"/>
              </w:rPr>
            </w:pPr>
          </w:p>
        </w:tc>
        <w:tc>
          <w:tcPr>
            <w:tcW w:w="142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$20,218,907</w:t>
            </w:r>
          </w:p>
        </w:tc>
        <w:tc>
          <w:tcPr>
            <w:tcW w:w="1420" w:type="dxa"/>
            <w:vAlign w:val="bottom"/>
            <w:vMerge w:val="restart"/>
          </w:tcPr>
          <w:p>
            <w:pPr>
              <w:jc w:val="center"/>
              <w:ind w:left="6"/>
              <w:spacing w:after="0"/>
              <w:rPr>
                <w:sz w:val="20"/>
                <w:szCs w:val="20"/>
                <w:color w:val="auto"/>
              </w:rPr>
            </w:pPr>
            <w:r>
              <w:rPr>
                <w:rFonts w:ascii="Courier New" w:cs="Courier New" w:eastAsia="Courier New" w:hAnsi="Courier New"/>
                <w:sz w:val="15"/>
                <w:szCs w:val="15"/>
                <w:color w:val="auto"/>
                <w:w w:val="98"/>
              </w:rPr>
              <w:t>$39,071,781</w:t>
            </w:r>
          </w:p>
        </w:tc>
        <w:tc>
          <w:tcPr>
            <w:tcW w:w="142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$ 5,695,881</w:t>
            </w:r>
          </w:p>
        </w:tc>
        <w:tc>
          <w:tcPr>
            <w:tcW w:w="1460" w:type="dxa"/>
            <w:vAlign w:val="bottom"/>
            <w:vMerge w:val="restart"/>
          </w:tcPr>
          <w:p>
            <w:pPr>
              <w:jc w:val="center"/>
              <w:spacing w:after="0"/>
              <w:rPr>
                <w:sz w:val="20"/>
                <w:szCs w:val="20"/>
                <w:color w:val="auto"/>
              </w:rPr>
            </w:pPr>
            <w:r>
              <w:rPr>
                <w:rFonts w:ascii="Courier New" w:cs="Courier New" w:eastAsia="Courier New" w:hAnsi="Courier New"/>
                <w:sz w:val="15"/>
                <w:szCs w:val="15"/>
                <w:color w:val="auto"/>
                <w:w w:val="98"/>
              </w:rPr>
              <w:t>$ 5,688,630</w:t>
            </w:r>
          </w:p>
        </w:tc>
        <w:tc>
          <w:tcPr>
            <w:tcW w:w="12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$70,675,199</w:t>
            </w:r>
          </w:p>
        </w:tc>
        <w:tc>
          <w:tcPr>
            <w:tcW w:w="0" w:type="dxa"/>
            <w:vAlign w:val="bottom"/>
          </w:tcPr>
          <w:p>
            <w:pPr>
              <w:spacing w:after="0"/>
              <w:rPr>
                <w:sz w:val="1"/>
                <w:szCs w:val="1"/>
                <w:color w:val="auto"/>
              </w:rPr>
            </w:pPr>
          </w:p>
        </w:tc>
      </w:tr>
      <w:tr>
        <w:trPr>
          <w:trHeight w:val="171"/>
        </w:trPr>
        <w:tc>
          <w:tcPr>
            <w:tcW w:w="2480" w:type="dxa"/>
            <w:vAlign w:val="bottom"/>
          </w:tcPr>
          <w:p>
            <w:pPr>
              <w:ind w:left="260"/>
              <w:spacing w:after="0"/>
              <w:rPr>
                <w:sz w:val="20"/>
                <w:szCs w:val="20"/>
                <w:color w:val="auto"/>
              </w:rPr>
            </w:pPr>
            <w:r>
              <w:rPr>
                <w:rFonts w:ascii="Courier New" w:cs="Courier New" w:eastAsia="Courier New" w:hAnsi="Courier New"/>
                <w:sz w:val="15"/>
                <w:szCs w:val="15"/>
                <w:color w:val="auto"/>
              </w:rPr>
              <w:t>FOR BENEFITS</w:t>
            </w:r>
          </w:p>
        </w:tc>
        <w:tc>
          <w:tcPr>
            <w:tcW w:w="14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146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480" w:type="dxa"/>
            <w:vAlign w:val="bottom"/>
          </w:tcPr>
          <w:p>
            <w:pPr>
              <w:spacing w:after="0"/>
              <w:rPr>
                <w:sz w:val="21"/>
                <w:szCs w:val="21"/>
                <w:color w:val="auto"/>
              </w:rPr>
            </w:pPr>
          </w:p>
        </w:tc>
        <w:tc>
          <w:tcPr>
            <w:tcW w:w="142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center"/>
              <w:ind w:left="6"/>
              <w:spacing w:after="0"/>
              <w:rPr>
                <w:sz w:val="20"/>
                <w:szCs w:val="20"/>
                <w:color w:val="auto"/>
              </w:rPr>
            </w:pPr>
            <w:r>
              <w:rPr>
                <w:rFonts w:ascii="Courier New" w:cs="Courier New" w:eastAsia="Courier New" w:hAnsi="Courier New"/>
                <w:sz w:val="15"/>
                <w:szCs w:val="15"/>
                <w:color w:val="auto"/>
                <w:w w:val="98"/>
              </w:rPr>
              <w:t>===========</w:t>
            </w:r>
          </w:p>
        </w:tc>
        <w:tc>
          <w:tcPr>
            <w:tcW w:w="142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spacing w:after="0"/>
              <w:rPr>
                <w:sz w:val="20"/>
                <w:szCs w:val="20"/>
                <w:color w:val="auto"/>
              </w:rPr>
            </w:pPr>
            <w:r>
              <w:rPr>
                <w:rFonts w:ascii="Courier New" w:cs="Courier New" w:eastAsia="Courier New" w:hAnsi="Courier New"/>
                <w:sz w:val="15"/>
                <w:szCs w:val="15"/>
                <w:color w:val="auto"/>
                <w:w w:val="98"/>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520" w:type="dxa"/>
            <w:vAlign w:val="bottom"/>
          </w:tcPr>
          <w:p>
            <w:pPr>
              <w:spacing w:after="0"/>
              <w:rPr>
                <w:sz w:val="14"/>
                <w:szCs w:val="14"/>
                <w:color w:val="auto"/>
              </w:rPr>
            </w:pPr>
          </w:p>
        </w:tc>
        <w:tc>
          <w:tcPr>
            <w:tcW w:w="150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Comcast</w:t>
            </w:r>
          </w:p>
        </w:tc>
        <w:tc>
          <w:tcPr>
            <w:tcW w:w="15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Stable Value</w:t>
            </w:r>
          </w:p>
        </w:tc>
        <w:tc>
          <w:tcPr>
            <w:tcW w:w="150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Total</w:t>
            </w:r>
          </w:p>
        </w:tc>
        <w:tc>
          <w:tcPr>
            <w:tcW w:w="1520" w:type="dxa"/>
            <w:vAlign w:val="bottom"/>
            <w:gridSpan w:val="2"/>
            <w:vMerge w:val="restart"/>
          </w:tcPr>
          <w:p>
            <w:pPr>
              <w:ind w:left="220"/>
              <w:spacing w:after="0"/>
              <w:rPr>
                <w:sz w:val="20"/>
                <w:szCs w:val="20"/>
                <w:color w:val="auto"/>
              </w:rPr>
            </w:pPr>
            <w:r>
              <w:rPr>
                <w:rFonts w:ascii="Courier New" w:cs="Courier New" w:eastAsia="Courier New" w:hAnsi="Courier New"/>
                <w:sz w:val="15"/>
                <w:szCs w:val="15"/>
                <w:color w:val="auto"/>
              </w:rPr>
              <w:t>Participant</w:t>
            </w: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5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5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Investment</w:t>
            </w:r>
          </w:p>
        </w:tc>
        <w:tc>
          <w:tcPr>
            <w:tcW w:w="1520" w:type="dxa"/>
            <w:vAlign w:val="bottom"/>
            <w:gridSpan w:val="2"/>
            <w:vMerge w:val="continue"/>
          </w:tcPr>
          <w:p>
            <w:pPr>
              <w:spacing w:after="0"/>
              <w:rPr>
                <w:sz w:val="14"/>
                <w:szCs w:val="14"/>
                <w:color w:val="auto"/>
              </w:rPr>
            </w:pPr>
          </w:p>
        </w:tc>
        <w:tc>
          <w:tcPr>
            <w:tcW w:w="1280" w:type="dxa"/>
            <w:vAlign w:val="bottom"/>
            <w:vMerge w:val="restart"/>
          </w:tcPr>
          <w:p>
            <w:pPr>
              <w:jc w:val="right"/>
              <w:ind w:right="286"/>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1"/>
        </w:trPr>
        <w:tc>
          <w:tcPr>
            <w:tcW w:w="2520" w:type="dxa"/>
            <w:vAlign w:val="bottom"/>
          </w:tcPr>
          <w:p>
            <w:pPr>
              <w:spacing w:after="0"/>
              <w:rPr>
                <w:sz w:val="14"/>
                <w:szCs w:val="14"/>
                <w:color w:val="auto"/>
              </w:rPr>
            </w:pPr>
          </w:p>
        </w:tc>
        <w:tc>
          <w:tcPr>
            <w:tcW w:w="150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Stock Fund</w:t>
            </w:r>
          </w:p>
        </w:tc>
        <w:tc>
          <w:tcPr>
            <w:tcW w:w="152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Fund</w:t>
            </w:r>
          </w:p>
        </w:tc>
        <w:tc>
          <w:tcPr>
            <w:tcW w:w="15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Funds</w:t>
            </w:r>
          </w:p>
        </w:tc>
        <w:tc>
          <w:tcPr>
            <w:tcW w:w="32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Loan Fund</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520" w:type="dxa"/>
            <w:vAlign w:val="bottom"/>
          </w:tcPr>
          <w:p>
            <w:pPr>
              <w:spacing w:after="0"/>
              <w:rPr>
                <w:sz w:val="21"/>
                <w:szCs w:val="21"/>
                <w:color w:val="auto"/>
              </w:rPr>
            </w:pP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1"/>
        </w:trPr>
        <w:tc>
          <w:tcPr>
            <w:tcW w:w="2520" w:type="dxa"/>
            <w:vAlign w:val="bottom"/>
          </w:tcPr>
          <w:p>
            <w:pPr>
              <w:spacing w:after="0"/>
              <w:rPr>
                <w:sz w:val="20"/>
                <w:szCs w:val="20"/>
                <w:color w:val="auto"/>
              </w:rPr>
            </w:pPr>
            <w:r>
              <w:rPr>
                <w:rFonts w:ascii="Courier New" w:cs="Courier New" w:eastAsia="Courier New" w:hAnsi="Courier New"/>
                <w:sz w:val="15"/>
                <w:szCs w:val="15"/>
                <w:color w:val="auto"/>
              </w:rPr>
              <w:t>DECEMBER 31, 1998</w:t>
            </w:r>
          </w:p>
        </w:tc>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5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520" w:type="dxa"/>
            <w:vAlign w:val="bottom"/>
          </w:tcPr>
          <w:p>
            <w:pPr>
              <w:ind w:left="260"/>
              <w:spacing w:after="0"/>
              <w:rPr>
                <w:sz w:val="20"/>
                <w:szCs w:val="20"/>
                <w:color w:val="auto"/>
              </w:rPr>
            </w:pPr>
            <w:r>
              <w:rPr>
                <w:rFonts w:ascii="Courier New" w:cs="Courier New" w:eastAsia="Courier New" w:hAnsi="Courier New"/>
                <w:sz w:val="15"/>
                <w:szCs w:val="15"/>
                <w:color w:val="auto"/>
              </w:rPr>
              <w:t>Investments, at fair or</w:t>
            </w:r>
          </w:p>
        </w:tc>
        <w:tc>
          <w:tcPr>
            <w:tcW w:w="15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$ 68,821,432</w:t>
            </w:r>
          </w:p>
        </w:tc>
        <w:tc>
          <w:tcPr>
            <w:tcW w:w="15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$ 34,741,046</w:t>
            </w:r>
          </w:p>
        </w:tc>
        <w:tc>
          <w:tcPr>
            <w:tcW w:w="15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$191,613,911</w:t>
            </w:r>
          </w:p>
        </w:tc>
        <w:tc>
          <w:tcPr>
            <w:tcW w:w="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$191,613,911</w:t>
            </w:r>
          </w:p>
        </w:tc>
        <w:tc>
          <w:tcPr>
            <w:tcW w:w="0" w:type="dxa"/>
            <w:vAlign w:val="bottom"/>
          </w:tcPr>
          <w:p>
            <w:pPr>
              <w:spacing w:after="0"/>
              <w:rPr>
                <w:sz w:val="1"/>
                <w:szCs w:val="1"/>
                <w:color w:val="auto"/>
              </w:rPr>
            </w:pPr>
          </w:p>
        </w:tc>
      </w:tr>
      <w:tr>
        <w:trPr>
          <w:trHeight w:val="171"/>
        </w:trPr>
        <w:tc>
          <w:tcPr>
            <w:tcW w:w="2520" w:type="dxa"/>
            <w:vAlign w:val="bottom"/>
          </w:tcPr>
          <w:p>
            <w:pPr>
              <w:ind w:left="440"/>
              <w:spacing w:after="0"/>
              <w:rPr>
                <w:sz w:val="20"/>
                <w:szCs w:val="20"/>
                <w:color w:val="auto"/>
              </w:rPr>
            </w:pPr>
            <w:r>
              <w:rPr>
                <w:rFonts w:ascii="Courier New" w:cs="Courier New" w:eastAsia="Courier New" w:hAnsi="Courier New"/>
                <w:sz w:val="15"/>
                <w:szCs w:val="15"/>
                <w:color w:val="auto"/>
              </w:rPr>
              <w:t>contract value</w:t>
            </w:r>
          </w:p>
        </w:tc>
        <w:tc>
          <w:tcPr>
            <w:tcW w:w="15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tcPr>
          <w:p>
            <w:pPr>
              <w:ind w:left="260"/>
              <w:spacing w:after="0"/>
              <w:rPr>
                <w:sz w:val="20"/>
                <w:szCs w:val="20"/>
                <w:color w:val="auto"/>
              </w:rPr>
            </w:pPr>
            <w:r>
              <w:rPr>
                <w:rFonts w:ascii="Courier New" w:cs="Courier New" w:eastAsia="Courier New" w:hAnsi="Courier New"/>
                <w:sz w:val="15"/>
                <w:szCs w:val="15"/>
                <w:color w:val="auto"/>
              </w:rPr>
              <w:t>Cash</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7,509,536</w:t>
            </w:r>
          </w:p>
        </w:tc>
        <w:tc>
          <w:tcPr>
            <w:tcW w:w="15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5,793,376</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13,302,912</w:t>
            </w: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13,302,912</w:t>
            </w:r>
          </w:p>
        </w:tc>
        <w:tc>
          <w:tcPr>
            <w:tcW w:w="0" w:type="dxa"/>
            <w:vAlign w:val="bottom"/>
          </w:tcPr>
          <w:p>
            <w:pPr>
              <w:spacing w:after="0"/>
              <w:rPr>
                <w:sz w:val="1"/>
                <w:szCs w:val="1"/>
                <w:color w:val="auto"/>
              </w:rPr>
            </w:pPr>
          </w:p>
        </w:tc>
      </w:tr>
      <w:tr>
        <w:trPr>
          <w:trHeight w:val="171"/>
        </w:trPr>
        <w:tc>
          <w:tcPr>
            <w:tcW w:w="2520" w:type="dxa"/>
            <w:vAlign w:val="bottom"/>
          </w:tcPr>
          <w:p>
            <w:pPr>
              <w:ind w:left="260"/>
              <w:spacing w:after="0"/>
              <w:rPr>
                <w:sz w:val="20"/>
                <w:szCs w:val="20"/>
                <w:color w:val="auto"/>
              </w:rPr>
            </w:pPr>
            <w:r>
              <w:rPr>
                <w:rFonts w:ascii="Courier New" w:cs="Courier New" w:eastAsia="Courier New" w:hAnsi="Courier New"/>
                <w:sz w:val="15"/>
                <w:szCs w:val="15"/>
                <w:color w:val="auto"/>
              </w:rPr>
              <w:t>Loans receivable from</w:t>
            </w: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6,338,905</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6,338,905</w:t>
            </w:r>
          </w:p>
        </w:tc>
        <w:tc>
          <w:tcPr>
            <w:tcW w:w="0" w:type="dxa"/>
            <w:vAlign w:val="bottom"/>
          </w:tcPr>
          <w:p>
            <w:pPr>
              <w:spacing w:after="0"/>
              <w:rPr>
                <w:sz w:val="1"/>
                <w:szCs w:val="1"/>
                <w:color w:val="auto"/>
              </w:rPr>
            </w:pPr>
          </w:p>
        </w:tc>
      </w:tr>
      <w:tr>
        <w:trPr>
          <w:trHeight w:val="171"/>
        </w:trPr>
        <w:tc>
          <w:tcPr>
            <w:tcW w:w="2520" w:type="dxa"/>
            <w:vAlign w:val="bottom"/>
          </w:tcPr>
          <w:p>
            <w:pPr>
              <w:ind w:left="440"/>
              <w:spacing w:after="0"/>
              <w:rPr>
                <w:sz w:val="20"/>
                <w:szCs w:val="20"/>
                <w:color w:val="auto"/>
              </w:rPr>
            </w:pPr>
            <w:r>
              <w:rPr>
                <w:rFonts w:ascii="Courier New" w:cs="Courier New" w:eastAsia="Courier New" w:hAnsi="Courier New"/>
                <w:sz w:val="15"/>
                <w:szCs w:val="15"/>
                <w:color w:val="auto"/>
              </w:rPr>
              <w:t>participants</w:t>
            </w:r>
          </w:p>
        </w:tc>
        <w:tc>
          <w:tcPr>
            <w:tcW w:w="15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52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1520" w:type="dxa"/>
            <w:vAlign w:val="bottom"/>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252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5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$ 76,330,968</w:t>
            </w:r>
          </w:p>
        </w:tc>
        <w:tc>
          <w:tcPr>
            <w:tcW w:w="15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$ 40,534,422</w:t>
            </w:r>
          </w:p>
        </w:tc>
        <w:tc>
          <w:tcPr>
            <w:tcW w:w="15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$204,916,823</w:t>
            </w:r>
          </w:p>
        </w:tc>
        <w:tc>
          <w:tcPr>
            <w:tcW w:w="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6,338,905</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$211,255,728</w:t>
            </w:r>
          </w:p>
        </w:tc>
        <w:tc>
          <w:tcPr>
            <w:tcW w:w="0" w:type="dxa"/>
            <w:vAlign w:val="bottom"/>
          </w:tcPr>
          <w:p>
            <w:pPr>
              <w:spacing w:after="0"/>
              <w:rPr>
                <w:sz w:val="1"/>
                <w:szCs w:val="1"/>
                <w:color w:val="auto"/>
              </w:rPr>
            </w:pPr>
          </w:p>
        </w:tc>
      </w:tr>
      <w:tr>
        <w:trPr>
          <w:trHeight w:val="171"/>
        </w:trPr>
        <w:tc>
          <w:tcPr>
            <w:tcW w:w="2520" w:type="dxa"/>
            <w:vAlign w:val="bottom"/>
          </w:tcPr>
          <w:p>
            <w:pPr>
              <w:ind w:left="260"/>
              <w:spacing w:after="0"/>
              <w:rPr>
                <w:sz w:val="20"/>
                <w:szCs w:val="20"/>
                <w:color w:val="auto"/>
              </w:rPr>
            </w:pPr>
            <w:r>
              <w:rPr>
                <w:rFonts w:ascii="Courier New" w:cs="Courier New" w:eastAsia="Courier New" w:hAnsi="Courier New"/>
                <w:sz w:val="15"/>
                <w:szCs w:val="15"/>
                <w:color w:val="auto"/>
              </w:rPr>
              <w:t>FOR BENEFITS</w:t>
            </w:r>
          </w:p>
        </w:tc>
        <w:tc>
          <w:tcPr>
            <w:tcW w:w="15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520" w:type="dxa"/>
            <w:vAlign w:val="bottom"/>
          </w:tcPr>
          <w:p>
            <w:pPr>
              <w:spacing w:after="0"/>
              <w:rPr>
                <w:sz w:val="21"/>
                <w:szCs w:val="21"/>
                <w:color w:val="auto"/>
              </w:rPr>
            </w:pP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341"/>
        </w:trPr>
        <w:tc>
          <w:tcPr>
            <w:tcW w:w="2520" w:type="dxa"/>
            <w:vAlign w:val="bottom"/>
          </w:tcPr>
          <w:p>
            <w:pPr>
              <w:spacing w:after="0"/>
              <w:rPr>
                <w:sz w:val="20"/>
                <w:szCs w:val="20"/>
                <w:color w:val="auto"/>
              </w:rPr>
            </w:pPr>
            <w:r>
              <w:rPr>
                <w:rFonts w:ascii="Courier New" w:cs="Courier New" w:eastAsia="Courier New" w:hAnsi="Courier New"/>
                <w:sz w:val="15"/>
                <w:szCs w:val="15"/>
                <w:color w:val="auto"/>
              </w:rPr>
              <w:t>DECEMBER 31, 1997</w:t>
            </w:r>
          </w:p>
        </w:tc>
        <w:tc>
          <w:tcPr>
            <w:tcW w:w="15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5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150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5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2520" w:type="dxa"/>
            <w:vAlign w:val="bottom"/>
          </w:tcPr>
          <w:p>
            <w:pPr>
              <w:ind w:left="260"/>
              <w:spacing w:after="0"/>
              <w:rPr>
                <w:sz w:val="20"/>
                <w:szCs w:val="20"/>
                <w:color w:val="auto"/>
              </w:rPr>
            </w:pPr>
            <w:r>
              <w:rPr>
                <w:rFonts w:ascii="Courier New" w:cs="Courier New" w:eastAsia="Courier New" w:hAnsi="Courier New"/>
                <w:sz w:val="15"/>
                <w:szCs w:val="15"/>
                <w:color w:val="auto"/>
              </w:rPr>
              <w:t>Investments, at fair or</w:t>
            </w:r>
          </w:p>
        </w:tc>
        <w:tc>
          <w:tcPr>
            <w:tcW w:w="15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$ 37,694,328</w:t>
            </w:r>
          </w:p>
        </w:tc>
        <w:tc>
          <w:tcPr>
            <w:tcW w:w="15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$ 29,194,986</w:t>
            </w:r>
          </w:p>
        </w:tc>
        <w:tc>
          <w:tcPr>
            <w:tcW w:w="15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$137,564,513</w:t>
            </w:r>
          </w:p>
        </w:tc>
        <w:tc>
          <w:tcPr>
            <w:tcW w:w="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tcPr>
          <w:p>
            <w:pPr>
              <w:spacing w:after="0"/>
              <w:rPr>
                <w:sz w:val="14"/>
                <w:szCs w:val="14"/>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$137,564,513</w:t>
            </w:r>
          </w:p>
        </w:tc>
        <w:tc>
          <w:tcPr>
            <w:tcW w:w="0" w:type="dxa"/>
            <w:vAlign w:val="bottom"/>
          </w:tcPr>
          <w:p>
            <w:pPr>
              <w:spacing w:after="0"/>
              <w:rPr>
                <w:sz w:val="1"/>
                <w:szCs w:val="1"/>
                <w:color w:val="auto"/>
              </w:rPr>
            </w:pPr>
          </w:p>
        </w:tc>
      </w:tr>
      <w:tr>
        <w:trPr>
          <w:trHeight w:val="171"/>
        </w:trPr>
        <w:tc>
          <w:tcPr>
            <w:tcW w:w="2520" w:type="dxa"/>
            <w:vAlign w:val="bottom"/>
          </w:tcPr>
          <w:p>
            <w:pPr>
              <w:ind w:left="440"/>
              <w:spacing w:after="0"/>
              <w:rPr>
                <w:sz w:val="20"/>
                <w:szCs w:val="20"/>
                <w:color w:val="auto"/>
              </w:rPr>
            </w:pPr>
            <w:r>
              <w:rPr>
                <w:rFonts w:ascii="Courier New" w:cs="Courier New" w:eastAsia="Courier New" w:hAnsi="Courier New"/>
                <w:sz w:val="15"/>
                <w:szCs w:val="15"/>
                <w:color w:val="auto"/>
              </w:rPr>
              <w:t>contract value</w:t>
            </w:r>
          </w:p>
        </w:tc>
        <w:tc>
          <w:tcPr>
            <w:tcW w:w="15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520" w:type="dxa"/>
            <w:vAlign w:val="bottom"/>
          </w:tcPr>
          <w:p>
            <w:pPr>
              <w:ind w:left="260"/>
              <w:spacing w:after="0"/>
              <w:rPr>
                <w:sz w:val="20"/>
                <w:szCs w:val="20"/>
                <w:color w:val="auto"/>
              </w:rPr>
            </w:pPr>
            <w:r>
              <w:rPr>
                <w:rFonts w:ascii="Courier New" w:cs="Courier New" w:eastAsia="Courier New" w:hAnsi="Courier New"/>
                <w:sz w:val="15"/>
                <w:szCs w:val="15"/>
                <w:color w:val="auto"/>
              </w:rPr>
              <w:t>Cash</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1,450,289</w:t>
            </w:r>
          </w:p>
        </w:tc>
        <w:tc>
          <w:tcPr>
            <w:tcW w:w="15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5,079,040</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6,529,329</w:t>
            </w:r>
          </w:p>
        </w:tc>
        <w:tc>
          <w:tcPr>
            <w:tcW w:w="3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6,529,329</w:t>
            </w:r>
          </w:p>
        </w:tc>
        <w:tc>
          <w:tcPr>
            <w:tcW w:w="0" w:type="dxa"/>
            <w:vAlign w:val="bottom"/>
          </w:tcPr>
          <w:p>
            <w:pPr>
              <w:spacing w:after="0"/>
              <w:rPr>
                <w:sz w:val="1"/>
                <w:szCs w:val="1"/>
                <w:color w:val="auto"/>
              </w:rPr>
            </w:pPr>
          </w:p>
        </w:tc>
      </w:tr>
      <w:tr>
        <w:trPr>
          <w:trHeight w:val="171"/>
        </w:trPr>
        <w:tc>
          <w:tcPr>
            <w:tcW w:w="2520" w:type="dxa"/>
            <w:vAlign w:val="bottom"/>
          </w:tcPr>
          <w:p>
            <w:pPr>
              <w:ind w:left="260"/>
              <w:spacing w:after="0"/>
              <w:rPr>
                <w:sz w:val="20"/>
                <w:szCs w:val="20"/>
                <w:color w:val="auto"/>
              </w:rPr>
            </w:pPr>
            <w:r>
              <w:rPr>
                <w:rFonts w:ascii="Courier New" w:cs="Courier New" w:eastAsia="Courier New" w:hAnsi="Courier New"/>
                <w:sz w:val="15"/>
                <w:szCs w:val="15"/>
                <w:color w:val="auto"/>
              </w:rPr>
              <w:t>Loans receivable from</w:t>
            </w:r>
          </w:p>
        </w:tc>
        <w:tc>
          <w:tcPr>
            <w:tcW w:w="15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6,174,371</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6,174,371</w:t>
            </w:r>
          </w:p>
        </w:tc>
        <w:tc>
          <w:tcPr>
            <w:tcW w:w="0" w:type="dxa"/>
            <w:vAlign w:val="bottom"/>
          </w:tcPr>
          <w:p>
            <w:pPr>
              <w:spacing w:after="0"/>
              <w:rPr>
                <w:sz w:val="1"/>
                <w:szCs w:val="1"/>
                <w:color w:val="auto"/>
              </w:rPr>
            </w:pPr>
          </w:p>
        </w:tc>
      </w:tr>
      <w:tr>
        <w:trPr>
          <w:trHeight w:val="171"/>
        </w:trPr>
        <w:tc>
          <w:tcPr>
            <w:tcW w:w="2520" w:type="dxa"/>
            <w:vAlign w:val="bottom"/>
          </w:tcPr>
          <w:p>
            <w:pPr>
              <w:ind w:left="440"/>
              <w:spacing w:after="0"/>
              <w:rPr>
                <w:sz w:val="20"/>
                <w:szCs w:val="20"/>
                <w:color w:val="auto"/>
              </w:rPr>
            </w:pPr>
            <w:r>
              <w:rPr>
                <w:rFonts w:ascii="Courier New" w:cs="Courier New" w:eastAsia="Courier New" w:hAnsi="Courier New"/>
                <w:sz w:val="15"/>
                <w:szCs w:val="15"/>
                <w:color w:val="auto"/>
              </w:rPr>
              <w:t>participants</w:t>
            </w:r>
          </w:p>
        </w:tc>
        <w:tc>
          <w:tcPr>
            <w:tcW w:w="15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520" w:type="dxa"/>
            <w:vAlign w:val="bottom"/>
          </w:tcPr>
          <w:p>
            <w:pPr>
              <w:spacing w:after="0"/>
              <w:rPr>
                <w:sz w:val="21"/>
                <w:szCs w:val="21"/>
                <w:color w:val="auto"/>
              </w:rPr>
            </w:pPr>
          </w:p>
        </w:tc>
        <w:tc>
          <w:tcPr>
            <w:tcW w:w="1500" w:type="dxa"/>
            <w:vAlign w:val="bottom"/>
            <w:vMerge w:val="continue"/>
          </w:tcPr>
          <w:p>
            <w:pPr>
              <w:spacing w:after="0"/>
              <w:rPr>
                <w:sz w:val="21"/>
                <w:szCs w:val="21"/>
                <w:color w:val="auto"/>
              </w:rPr>
            </w:pPr>
          </w:p>
        </w:tc>
        <w:tc>
          <w:tcPr>
            <w:tcW w:w="1520" w:type="dxa"/>
            <w:vAlign w:val="bottom"/>
            <w:vMerge w:val="continue"/>
          </w:tcPr>
          <w:p>
            <w:pPr>
              <w:spacing w:after="0"/>
              <w:rPr>
                <w:sz w:val="21"/>
                <w:szCs w:val="21"/>
                <w:color w:val="auto"/>
              </w:rPr>
            </w:pPr>
          </w:p>
        </w:tc>
        <w:tc>
          <w:tcPr>
            <w:tcW w:w="1500" w:type="dxa"/>
            <w:vAlign w:val="bottom"/>
            <w:vMerge w:val="continue"/>
          </w:tcPr>
          <w:p>
            <w:pPr>
              <w:spacing w:after="0"/>
              <w:rPr>
                <w:sz w:val="21"/>
                <w:szCs w:val="21"/>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252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5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$ 39,144,617</w:t>
            </w:r>
          </w:p>
        </w:tc>
        <w:tc>
          <w:tcPr>
            <w:tcW w:w="15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$ 34,274,026</w:t>
            </w:r>
          </w:p>
        </w:tc>
        <w:tc>
          <w:tcPr>
            <w:tcW w:w="15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$144,093,842</w:t>
            </w:r>
          </w:p>
        </w:tc>
        <w:tc>
          <w:tcPr>
            <w:tcW w:w="320" w:type="dxa"/>
            <w:vAlign w:val="bottom"/>
            <w:vMerge w:val="restart"/>
          </w:tcPr>
          <w:p>
            <w:pPr>
              <w:ind w:left="220"/>
              <w:spacing w:after="0"/>
              <w:rPr>
                <w:sz w:val="20"/>
                <w:szCs w:val="20"/>
                <w:color w:val="auto"/>
              </w:rPr>
            </w:pPr>
            <w:r>
              <w:rPr>
                <w:rFonts w:ascii="Courier New" w:cs="Courier New" w:eastAsia="Courier New" w:hAnsi="Courier New"/>
                <w:sz w:val="15"/>
                <w:szCs w:val="15"/>
                <w:color w:val="auto"/>
                <w:w w:val="88"/>
              </w:rPr>
              <w:t>$</w:t>
            </w:r>
          </w:p>
        </w:tc>
        <w:tc>
          <w:tcPr>
            <w:tcW w:w="120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6,174,371</w:t>
            </w:r>
          </w:p>
        </w:tc>
        <w:tc>
          <w:tcPr>
            <w:tcW w:w="12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$150,268,213</w:t>
            </w:r>
          </w:p>
        </w:tc>
        <w:tc>
          <w:tcPr>
            <w:tcW w:w="0" w:type="dxa"/>
            <w:vAlign w:val="bottom"/>
          </w:tcPr>
          <w:p>
            <w:pPr>
              <w:spacing w:after="0"/>
              <w:rPr>
                <w:sz w:val="1"/>
                <w:szCs w:val="1"/>
                <w:color w:val="auto"/>
              </w:rPr>
            </w:pPr>
          </w:p>
        </w:tc>
      </w:tr>
      <w:tr>
        <w:trPr>
          <w:trHeight w:val="171"/>
        </w:trPr>
        <w:tc>
          <w:tcPr>
            <w:tcW w:w="2520" w:type="dxa"/>
            <w:vAlign w:val="bottom"/>
          </w:tcPr>
          <w:p>
            <w:pPr>
              <w:ind w:left="260"/>
              <w:spacing w:after="0"/>
              <w:rPr>
                <w:sz w:val="20"/>
                <w:szCs w:val="20"/>
                <w:color w:val="auto"/>
              </w:rPr>
            </w:pPr>
            <w:r>
              <w:rPr>
                <w:rFonts w:ascii="Courier New" w:cs="Courier New" w:eastAsia="Courier New" w:hAnsi="Courier New"/>
                <w:sz w:val="15"/>
                <w:szCs w:val="15"/>
                <w:color w:val="auto"/>
              </w:rPr>
              <w:t>FOR BENEFITS</w:t>
            </w:r>
          </w:p>
        </w:tc>
        <w:tc>
          <w:tcPr>
            <w:tcW w:w="1500" w:type="dxa"/>
            <w:vAlign w:val="bottom"/>
            <w:vMerge w:val="continue"/>
          </w:tcPr>
          <w:p>
            <w:pPr>
              <w:spacing w:after="0"/>
              <w:rPr>
                <w:sz w:val="14"/>
                <w:szCs w:val="14"/>
                <w:color w:val="auto"/>
              </w:rPr>
            </w:pPr>
          </w:p>
        </w:tc>
        <w:tc>
          <w:tcPr>
            <w:tcW w:w="1520" w:type="dxa"/>
            <w:vAlign w:val="bottom"/>
            <w:vMerge w:val="continue"/>
          </w:tcPr>
          <w:p>
            <w:pPr>
              <w:spacing w:after="0"/>
              <w:rPr>
                <w:sz w:val="14"/>
                <w:szCs w:val="14"/>
                <w:color w:val="auto"/>
              </w:rPr>
            </w:pPr>
          </w:p>
        </w:tc>
        <w:tc>
          <w:tcPr>
            <w:tcW w:w="150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2520" w:type="dxa"/>
            <w:vAlign w:val="bottom"/>
          </w:tcPr>
          <w:p>
            <w:pPr>
              <w:spacing w:after="0"/>
              <w:rPr>
                <w:sz w:val="21"/>
                <w:szCs w:val="21"/>
                <w:color w:val="auto"/>
              </w:rPr>
            </w:pP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- 2 -</w:t>
      </w:r>
    </w:p>
    <w:p>
      <w:pPr>
        <w:sectPr>
          <w:pgSz w:w="11900" w:h="16838" w:orient="portrait"/>
          <w:cols w:equalWidth="0" w:num="1">
            <w:col w:w="10219"/>
          </w:cols>
          <w:pgMar w:left="240" w:top="43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5" w:lineRule="exact"/>
        <w:rPr>
          <w:sz w:val="20"/>
          <w:szCs w:val="20"/>
          <w:color w:val="auto"/>
        </w:rPr>
      </w:pPr>
    </w:p>
    <w:p>
      <w:pPr>
        <w:ind w:right="4180"/>
        <w:spacing w:after="0" w:line="259" w:lineRule="auto"/>
        <w:rPr>
          <w:sz w:val="20"/>
          <w:szCs w:val="20"/>
          <w:color w:val="auto"/>
        </w:rPr>
      </w:pPr>
      <w:r>
        <w:rPr>
          <w:rFonts w:ascii="Courier New" w:cs="Courier New" w:eastAsia="Courier New" w:hAnsi="Courier New"/>
          <w:sz w:val="15"/>
          <w:szCs w:val="15"/>
          <w:color w:val="auto"/>
        </w:rPr>
        <w:t>STATEMENT OF CHANGES IN NET ASSETS AVAILABLE FOR BENEFITS WITH FUND INFORMATION YEAR ENDED DECEMBER 31,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Mutual Funds</w:t>
            </w: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7820" w:type="dxa"/>
            <w:vAlign w:val="bottom"/>
            <w:gridSpan w:val="7"/>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660" w:type="dxa"/>
            <w:vAlign w:val="bottom"/>
          </w:tcPr>
          <w:p>
            <w:pPr>
              <w:jc w:val="right"/>
              <w:ind w:right="248"/>
              <w:spacing w:after="0"/>
              <w:rPr>
                <w:sz w:val="20"/>
                <w:szCs w:val="20"/>
                <w:color w:val="auto"/>
              </w:rPr>
            </w:pPr>
            <w:r>
              <w:rPr>
                <w:rFonts w:ascii="Courier New" w:cs="Courier New" w:eastAsia="Courier New" w:hAnsi="Courier New"/>
                <w:sz w:val="15"/>
                <w:szCs w:val="15"/>
                <w:color w:val="auto"/>
              </w:rPr>
              <w:t>Dodge and Cox</w:t>
            </w:r>
          </w:p>
        </w:tc>
        <w:tc>
          <w:tcPr>
            <w:tcW w:w="1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Fidelity Blue</w:t>
            </w:r>
          </w:p>
        </w:tc>
        <w:tc>
          <w:tcPr>
            <w:tcW w:w="1600" w:type="dxa"/>
            <w:vAlign w:val="bottom"/>
            <w:gridSpan w:val="2"/>
            <w:vMerge w:val="restart"/>
          </w:tcPr>
          <w:p>
            <w:pPr>
              <w:ind w:left="220"/>
              <w:spacing w:after="0"/>
              <w:rPr>
                <w:sz w:val="20"/>
                <w:szCs w:val="20"/>
                <w:color w:val="auto"/>
              </w:rPr>
            </w:pPr>
            <w:r>
              <w:rPr>
                <w:rFonts w:ascii="Courier New" w:cs="Courier New" w:eastAsia="Courier New" w:hAnsi="Courier New"/>
                <w:sz w:val="15"/>
                <w:szCs w:val="15"/>
                <w:color w:val="auto"/>
              </w:rPr>
              <w:t>PBHG Growth</w:t>
            </w:r>
          </w:p>
        </w:tc>
        <w:tc>
          <w:tcPr>
            <w:tcW w:w="36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Ivy</w:t>
            </w:r>
          </w:p>
        </w:tc>
        <w:tc>
          <w:tcPr>
            <w:tcW w:w="13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Total Mutual</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660" w:type="dxa"/>
            <w:vAlign w:val="bottom"/>
          </w:tcPr>
          <w:p>
            <w:pPr>
              <w:jc w:val="right"/>
              <w:ind w:right="508"/>
              <w:spacing w:after="0"/>
              <w:rPr>
                <w:sz w:val="20"/>
                <w:szCs w:val="20"/>
                <w:color w:val="auto"/>
              </w:rPr>
            </w:pPr>
            <w:r>
              <w:rPr>
                <w:rFonts w:ascii="Courier New" w:cs="Courier New" w:eastAsia="Courier New" w:hAnsi="Courier New"/>
                <w:sz w:val="15"/>
                <w:szCs w:val="15"/>
                <w:color w:val="auto"/>
              </w:rPr>
              <w:t>Balanced</w:t>
            </w:r>
          </w:p>
        </w:tc>
        <w:tc>
          <w:tcPr>
            <w:tcW w:w="15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Chip Growth</w:t>
            </w:r>
          </w:p>
        </w:tc>
        <w:tc>
          <w:tcPr>
            <w:tcW w:w="1600" w:type="dxa"/>
            <w:vAlign w:val="bottom"/>
            <w:gridSpan w:val="2"/>
            <w:vMerge w:val="continue"/>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International</w:t>
            </w: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660" w:type="dxa"/>
            <w:vAlign w:val="bottom"/>
          </w:tcPr>
          <w:p>
            <w:pPr>
              <w:jc w:val="right"/>
              <w:ind w:right="688"/>
              <w:spacing w:after="0"/>
              <w:rPr>
                <w:sz w:val="20"/>
                <w:szCs w:val="20"/>
                <w:color w:val="auto"/>
              </w:rPr>
            </w:pPr>
            <w:r>
              <w:rPr>
                <w:rFonts w:ascii="Courier New" w:cs="Courier New" w:eastAsia="Courier New" w:hAnsi="Courier New"/>
                <w:sz w:val="15"/>
                <w:szCs w:val="15"/>
                <w:color w:val="auto"/>
              </w:rPr>
              <w:t>Fund</w:t>
            </w:r>
          </w:p>
        </w:tc>
        <w:tc>
          <w:tcPr>
            <w:tcW w:w="15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Fund</w:t>
            </w:r>
          </w:p>
        </w:tc>
        <w:tc>
          <w:tcPr>
            <w:tcW w:w="360" w:type="dxa"/>
            <w:vAlign w:val="bottom"/>
          </w:tcPr>
          <w:p>
            <w:pPr>
              <w:spacing w:after="0"/>
              <w:rPr>
                <w:sz w:val="14"/>
                <w:szCs w:val="14"/>
                <w:color w:val="auto"/>
              </w:rPr>
            </w:pPr>
          </w:p>
        </w:tc>
        <w:tc>
          <w:tcPr>
            <w:tcW w:w="124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Fund</w:t>
            </w:r>
          </w:p>
        </w:tc>
        <w:tc>
          <w:tcPr>
            <w:tcW w:w="360" w:type="dxa"/>
            <w:vAlign w:val="bottom"/>
          </w:tcPr>
          <w:p>
            <w:pPr>
              <w:spacing w:after="0"/>
              <w:rPr>
                <w:sz w:val="14"/>
                <w:szCs w:val="14"/>
                <w:color w:val="auto"/>
              </w:rPr>
            </w:pPr>
          </w:p>
        </w:tc>
        <w:tc>
          <w:tcPr>
            <w:tcW w:w="1240" w:type="dxa"/>
            <w:vAlign w:val="bottom"/>
          </w:tcPr>
          <w:p>
            <w:pPr>
              <w:ind w:left="220"/>
              <w:spacing w:after="0"/>
              <w:rPr>
                <w:sz w:val="20"/>
                <w:szCs w:val="20"/>
                <w:color w:val="auto"/>
              </w:rPr>
            </w:pPr>
            <w:r>
              <w:rPr>
                <w:rFonts w:ascii="Courier New" w:cs="Courier New" w:eastAsia="Courier New" w:hAnsi="Courier New"/>
                <w:sz w:val="15"/>
                <w:szCs w:val="15"/>
                <w:color w:val="auto"/>
              </w:rPr>
              <w:t>Fund</w:t>
            </w:r>
          </w:p>
        </w:tc>
        <w:tc>
          <w:tcPr>
            <w:tcW w:w="13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Funds</w:t>
            </w:r>
          </w:p>
        </w:tc>
        <w:tc>
          <w:tcPr>
            <w:tcW w:w="0" w:type="dxa"/>
            <w:vAlign w:val="bottom"/>
          </w:tcPr>
          <w:p>
            <w:pPr>
              <w:spacing w:after="0"/>
              <w:rPr>
                <w:sz w:val="1"/>
                <w:szCs w:val="1"/>
                <w:color w:val="auto"/>
              </w:rPr>
            </w:pPr>
          </w:p>
        </w:tc>
      </w:tr>
      <w:tr>
        <w:trPr>
          <w:trHeight w:val="249"/>
        </w:trPr>
        <w:tc>
          <w:tcPr>
            <w:tcW w:w="3000" w:type="dxa"/>
            <w:vAlign w:val="bottom"/>
          </w:tcPr>
          <w:p>
            <w:pPr>
              <w:spacing w:after="0"/>
              <w:rPr>
                <w:sz w:val="21"/>
                <w:szCs w:val="21"/>
                <w:color w:val="auto"/>
              </w:rPr>
            </w:pPr>
          </w:p>
        </w:tc>
        <w:tc>
          <w:tcPr>
            <w:tcW w:w="1660" w:type="dxa"/>
            <w:vAlign w:val="bottom"/>
          </w:tcPr>
          <w:p>
            <w:pPr>
              <w:jc w:val="right"/>
              <w:ind w:right="248"/>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00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16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ATTRIBUTED TO:</w:t>
            </w: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Investment income:</w:t>
            </w: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Pr>
          <w:p>
            <w:pPr>
              <w:ind w:left="440"/>
              <w:spacing w:after="0"/>
              <w:rPr>
                <w:sz w:val="20"/>
                <w:szCs w:val="20"/>
                <w:color w:val="auto"/>
              </w:rPr>
            </w:pPr>
            <w:r>
              <w:rPr>
                <w:rFonts w:ascii="Courier New" w:cs="Courier New" w:eastAsia="Courier New" w:hAnsi="Courier New"/>
                <w:sz w:val="15"/>
                <w:szCs w:val="15"/>
                <w:color w:val="auto"/>
              </w:rPr>
              <w:t>Net realized and unrealized</w:t>
            </w: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Pr>
          <w:p>
            <w:pPr>
              <w:ind w:left="620"/>
              <w:spacing w:after="0"/>
              <w:rPr>
                <w:sz w:val="20"/>
                <w:szCs w:val="20"/>
                <w:color w:val="auto"/>
              </w:rPr>
            </w:pPr>
            <w:r>
              <w:rPr>
                <w:rFonts w:ascii="Courier New" w:cs="Courier New" w:eastAsia="Courier New" w:hAnsi="Courier New"/>
                <w:sz w:val="15"/>
                <w:szCs w:val="15"/>
                <w:color w:val="auto"/>
              </w:rPr>
              <w:t>appreciation</w:t>
            </w: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Pr>
          <w:p>
            <w:pPr>
              <w:ind w:left="620"/>
              <w:spacing w:after="0"/>
              <w:rPr>
                <w:sz w:val="20"/>
                <w:szCs w:val="20"/>
                <w:color w:val="auto"/>
              </w:rPr>
            </w:pPr>
            <w:r>
              <w:rPr>
                <w:rFonts w:ascii="Courier New" w:cs="Courier New" w:eastAsia="Courier New" w:hAnsi="Courier New"/>
                <w:sz w:val="15"/>
                <w:szCs w:val="15"/>
                <w:color w:val="auto"/>
              </w:rPr>
              <w:t>(depreciation) in fair</w:t>
            </w:r>
          </w:p>
        </w:tc>
        <w:tc>
          <w:tcPr>
            <w:tcW w:w="1660" w:type="dxa"/>
            <w:vAlign w:val="bottom"/>
            <w:vMerge w:val="restart"/>
          </w:tcPr>
          <w:p>
            <w:pPr>
              <w:jc w:val="right"/>
              <w:ind w:right="168"/>
              <w:spacing w:after="0"/>
              <w:rPr>
                <w:sz w:val="20"/>
                <w:szCs w:val="20"/>
                <w:color w:val="auto"/>
              </w:rPr>
            </w:pPr>
            <w:r>
              <w:rPr>
                <w:rFonts w:ascii="Courier New" w:cs="Courier New" w:eastAsia="Courier New" w:hAnsi="Courier New"/>
                <w:sz w:val="15"/>
                <w:szCs w:val="15"/>
                <w:color w:val="auto"/>
              </w:rPr>
              <w:t>$  (451,133)</w:t>
            </w:r>
          </w:p>
        </w:tc>
        <w:tc>
          <w:tcPr>
            <w:tcW w:w="158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$ 11,749,165</w:t>
            </w:r>
          </w:p>
        </w:tc>
        <w:tc>
          <w:tcPr>
            <w:tcW w:w="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20,759</w:t>
            </w:r>
          </w:p>
        </w:tc>
        <w:tc>
          <w:tcPr>
            <w:tcW w:w="3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349,453</w:t>
            </w:r>
          </w:p>
        </w:tc>
        <w:tc>
          <w:tcPr>
            <w:tcW w:w="13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$ 11,668,244</w:t>
            </w:r>
          </w:p>
        </w:tc>
        <w:tc>
          <w:tcPr>
            <w:tcW w:w="0" w:type="dxa"/>
            <w:vAlign w:val="bottom"/>
          </w:tcPr>
          <w:p>
            <w:pPr>
              <w:spacing w:after="0"/>
              <w:rPr>
                <w:sz w:val="1"/>
                <w:szCs w:val="1"/>
                <w:color w:val="auto"/>
              </w:rPr>
            </w:pPr>
          </w:p>
        </w:tc>
      </w:tr>
      <w:tr>
        <w:trPr>
          <w:trHeight w:val="171"/>
        </w:trPr>
        <w:tc>
          <w:tcPr>
            <w:tcW w:w="3000" w:type="dxa"/>
            <w:vAlign w:val="bottom"/>
          </w:tcPr>
          <w:p>
            <w:pPr>
              <w:ind w:left="620"/>
              <w:spacing w:after="0"/>
              <w:rPr>
                <w:sz w:val="20"/>
                <w:szCs w:val="20"/>
                <w:color w:val="auto"/>
              </w:rPr>
            </w:pPr>
            <w:r>
              <w:rPr>
                <w:rFonts w:ascii="Courier New" w:cs="Courier New" w:eastAsia="Courier New" w:hAnsi="Courier New"/>
                <w:sz w:val="15"/>
                <w:szCs w:val="15"/>
                <w:color w:val="auto"/>
              </w:rPr>
              <w:t>value of investments</w:t>
            </w:r>
          </w:p>
        </w:tc>
        <w:tc>
          <w:tcPr>
            <w:tcW w:w="166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3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Pr>
          <w:p>
            <w:pPr>
              <w:ind w:left="440"/>
              <w:spacing w:after="0"/>
              <w:rPr>
                <w:sz w:val="20"/>
                <w:szCs w:val="20"/>
                <w:color w:val="auto"/>
              </w:rPr>
            </w:pPr>
            <w:r>
              <w:rPr>
                <w:rFonts w:ascii="Courier New" w:cs="Courier New" w:eastAsia="Courier New" w:hAnsi="Courier New"/>
                <w:sz w:val="15"/>
                <w:szCs w:val="15"/>
                <w:color w:val="auto"/>
              </w:rPr>
              <w:t>Interest and dividends</w:t>
            </w:r>
          </w:p>
        </w:tc>
        <w:tc>
          <w:tcPr>
            <w:tcW w:w="1660" w:type="dxa"/>
            <w:vAlign w:val="bottom"/>
          </w:tcPr>
          <w:p>
            <w:pPr>
              <w:jc w:val="right"/>
              <w:ind w:right="248"/>
              <w:spacing w:after="0"/>
              <w:rPr>
                <w:sz w:val="20"/>
                <w:szCs w:val="20"/>
                <w:color w:val="auto"/>
              </w:rPr>
            </w:pPr>
            <w:r>
              <w:rPr>
                <w:rFonts w:ascii="Courier New" w:cs="Courier New" w:eastAsia="Courier New" w:hAnsi="Courier New"/>
                <w:sz w:val="15"/>
                <w:szCs w:val="15"/>
                <w:color w:val="auto"/>
              </w:rPr>
              <w:t>1,886,058</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2,230,370</w:t>
            </w:r>
          </w:p>
        </w:tc>
        <w:tc>
          <w:tcPr>
            <w:tcW w:w="1600" w:type="dxa"/>
            <w:vAlign w:val="bottom"/>
            <w:gridSpan w:val="2"/>
            <w:vMerge w:val="restart"/>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92,759</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4,209,187</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660" w:type="dxa"/>
            <w:vAlign w:val="bottom"/>
            <w:vMerge w:val="restart"/>
          </w:tcPr>
          <w:p>
            <w:pPr>
              <w:jc w:val="right"/>
              <w:ind w:right="248"/>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1,434,925</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vMerge w:val="continue"/>
          </w:tcPr>
          <w:p>
            <w:pPr>
              <w:spacing w:after="0"/>
              <w:rPr>
                <w:sz w:val="14"/>
                <w:szCs w:val="14"/>
                <w:color w:val="auto"/>
              </w:rPr>
            </w:pP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13,979,535</w:t>
            </w:r>
          </w:p>
        </w:tc>
        <w:tc>
          <w:tcPr>
            <w:tcW w:w="3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20,759</w:t>
            </w:r>
          </w:p>
        </w:tc>
        <w:tc>
          <w:tcPr>
            <w:tcW w:w="3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442,212</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15,877,431</w:t>
            </w:r>
          </w:p>
        </w:tc>
        <w:tc>
          <w:tcPr>
            <w:tcW w:w="0" w:type="dxa"/>
            <w:vAlign w:val="bottom"/>
          </w:tcPr>
          <w:p>
            <w:pPr>
              <w:spacing w:after="0"/>
              <w:rPr>
                <w:sz w:val="1"/>
                <w:szCs w:val="1"/>
                <w:color w:val="auto"/>
              </w:rPr>
            </w:pPr>
          </w:p>
        </w:tc>
      </w:tr>
      <w:tr>
        <w:trPr>
          <w:trHeight w:val="249"/>
        </w:trPr>
        <w:tc>
          <w:tcPr>
            <w:tcW w:w="30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Contributions:</w:t>
            </w:r>
          </w:p>
        </w:tc>
        <w:tc>
          <w:tcPr>
            <w:tcW w:w="1660" w:type="dxa"/>
            <w:vAlign w:val="bottom"/>
          </w:tcPr>
          <w:p>
            <w:pPr>
              <w:jc w:val="right"/>
              <w:ind w:right="248"/>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000" w:type="dxa"/>
            <w:vAlign w:val="bottom"/>
            <w:vMerge w:val="continue"/>
          </w:tcPr>
          <w:p>
            <w:pPr>
              <w:spacing w:after="0"/>
              <w:rPr>
                <w:sz w:val="8"/>
                <w:szCs w:val="8"/>
                <w:color w:val="auto"/>
              </w:rPr>
            </w:pPr>
          </w:p>
        </w:tc>
        <w:tc>
          <w:tcPr>
            <w:tcW w:w="1660" w:type="dxa"/>
            <w:vAlign w:val="bottom"/>
            <w:vMerge w:val="restart"/>
          </w:tcPr>
          <w:p>
            <w:pPr>
              <w:jc w:val="right"/>
              <w:ind w:right="248"/>
              <w:spacing w:after="0"/>
              <w:rPr>
                <w:sz w:val="20"/>
                <w:szCs w:val="20"/>
                <w:color w:val="auto"/>
              </w:rPr>
            </w:pPr>
            <w:r>
              <w:rPr>
                <w:rFonts w:ascii="Courier New" w:cs="Courier New" w:eastAsia="Courier New" w:hAnsi="Courier New"/>
                <w:sz w:val="15"/>
                <w:szCs w:val="15"/>
                <w:color w:val="auto"/>
              </w:rPr>
              <w:t>2,405,190</w:t>
            </w:r>
          </w:p>
        </w:tc>
        <w:tc>
          <w:tcPr>
            <w:tcW w:w="158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4,610,570</w:t>
            </w:r>
          </w:p>
        </w:tc>
        <w:tc>
          <w:tcPr>
            <w:tcW w:w="360" w:type="dxa"/>
            <w:vAlign w:val="bottom"/>
          </w:tcPr>
          <w:p>
            <w:pPr>
              <w:spacing w:after="0"/>
              <w:rPr>
                <w:sz w:val="8"/>
                <w:szCs w:val="8"/>
                <w:color w:val="auto"/>
              </w:rPr>
            </w:pPr>
          </w:p>
        </w:tc>
        <w:tc>
          <w:tcPr>
            <w:tcW w:w="124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1,208,342</w:t>
            </w:r>
          </w:p>
        </w:tc>
        <w:tc>
          <w:tcPr>
            <w:tcW w:w="360" w:type="dxa"/>
            <w:vAlign w:val="bottom"/>
          </w:tcPr>
          <w:p>
            <w:pPr>
              <w:spacing w:after="0"/>
              <w:rPr>
                <w:sz w:val="8"/>
                <w:szCs w:val="8"/>
                <w:color w:val="auto"/>
              </w:rPr>
            </w:pPr>
          </w:p>
        </w:tc>
        <w:tc>
          <w:tcPr>
            <w:tcW w:w="124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1,149,055</w:t>
            </w:r>
          </w:p>
        </w:tc>
        <w:tc>
          <w:tcPr>
            <w:tcW w:w="13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9,373,157</w:t>
            </w:r>
          </w:p>
        </w:tc>
        <w:tc>
          <w:tcPr>
            <w:tcW w:w="0" w:type="dxa"/>
            <w:vAlign w:val="bottom"/>
          </w:tcPr>
          <w:p>
            <w:pPr>
              <w:spacing w:after="0"/>
              <w:rPr>
                <w:sz w:val="1"/>
                <w:szCs w:val="1"/>
                <w:color w:val="auto"/>
              </w:rPr>
            </w:pPr>
          </w:p>
        </w:tc>
      </w:tr>
      <w:tr>
        <w:trPr>
          <w:trHeight w:val="171"/>
        </w:trPr>
        <w:tc>
          <w:tcPr>
            <w:tcW w:w="3000" w:type="dxa"/>
            <w:vAlign w:val="bottom"/>
          </w:tcPr>
          <w:p>
            <w:pPr>
              <w:ind w:left="440"/>
              <w:spacing w:after="0"/>
              <w:rPr>
                <w:sz w:val="20"/>
                <w:szCs w:val="20"/>
                <w:color w:val="auto"/>
              </w:rPr>
            </w:pPr>
            <w:r>
              <w:rPr>
                <w:rFonts w:ascii="Courier New" w:cs="Courier New" w:eastAsia="Courier New" w:hAnsi="Courier New"/>
                <w:sz w:val="15"/>
                <w:szCs w:val="15"/>
                <w:color w:val="auto"/>
              </w:rPr>
              <w:t>Employee</w:t>
            </w:r>
          </w:p>
        </w:tc>
        <w:tc>
          <w:tcPr>
            <w:tcW w:w="166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Pr>
          <w:p>
            <w:pPr>
              <w:ind w:left="440"/>
              <w:spacing w:after="0"/>
              <w:rPr>
                <w:sz w:val="20"/>
                <w:szCs w:val="20"/>
                <w:color w:val="auto"/>
              </w:rPr>
            </w:pPr>
            <w:r>
              <w:rPr>
                <w:rFonts w:ascii="Courier New" w:cs="Courier New" w:eastAsia="Courier New" w:hAnsi="Courier New"/>
                <w:sz w:val="15"/>
                <w:szCs w:val="15"/>
                <w:color w:val="auto"/>
              </w:rPr>
              <w:t>Employer</w:t>
            </w:r>
          </w:p>
        </w:tc>
        <w:tc>
          <w:tcPr>
            <w:tcW w:w="1660" w:type="dxa"/>
            <w:vAlign w:val="bottom"/>
          </w:tcPr>
          <w:p>
            <w:pPr>
              <w:jc w:val="right"/>
              <w:ind w:right="248"/>
              <w:spacing w:after="0"/>
              <w:rPr>
                <w:sz w:val="20"/>
                <w:szCs w:val="20"/>
                <w:color w:val="auto"/>
              </w:rPr>
            </w:pPr>
            <w:r>
              <w:rPr>
                <w:rFonts w:ascii="Courier New" w:cs="Courier New" w:eastAsia="Courier New" w:hAnsi="Courier New"/>
                <w:sz w:val="15"/>
                <w:szCs w:val="15"/>
                <w:color w:val="auto"/>
              </w:rPr>
              <w:t>1,096,592</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2,140,396</w:t>
            </w:r>
          </w:p>
        </w:tc>
        <w:tc>
          <w:tcPr>
            <w:tcW w:w="3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539,247</w:t>
            </w:r>
          </w:p>
        </w:tc>
        <w:tc>
          <w:tcPr>
            <w:tcW w:w="3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467,508</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4,243,743</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660" w:type="dxa"/>
            <w:vAlign w:val="bottom"/>
            <w:vMerge w:val="restart"/>
          </w:tcPr>
          <w:p>
            <w:pPr>
              <w:jc w:val="right"/>
              <w:ind w:right="248"/>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3,501,782</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6,750,966</w:t>
            </w:r>
          </w:p>
        </w:tc>
        <w:tc>
          <w:tcPr>
            <w:tcW w:w="3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1,747,589</w:t>
            </w:r>
          </w:p>
        </w:tc>
        <w:tc>
          <w:tcPr>
            <w:tcW w:w="3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1,616,563</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13,616,900</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660" w:type="dxa"/>
            <w:vAlign w:val="bottom"/>
            <w:vMerge w:val="restart"/>
          </w:tcPr>
          <w:p>
            <w:pPr>
              <w:jc w:val="right"/>
              <w:ind w:right="248"/>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4,936,707</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20,730,501</w:t>
            </w:r>
          </w:p>
        </w:tc>
        <w:tc>
          <w:tcPr>
            <w:tcW w:w="3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1,768,348</w:t>
            </w:r>
          </w:p>
        </w:tc>
        <w:tc>
          <w:tcPr>
            <w:tcW w:w="3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2,058,775</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29,494,331</w:t>
            </w:r>
          </w:p>
        </w:tc>
        <w:tc>
          <w:tcPr>
            <w:tcW w:w="0" w:type="dxa"/>
            <w:vAlign w:val="bottom"/>
          </w:tcPr>
          <w:p>
            <w:pPr>
              <w:spacing w:after="0"/>
              <w:rPr>
                <w:sz w:val="1"/>
                <w:szCs w:val="1"/>
                <w:color w:val="auto"/>
              </w:rPr>
            </w:pPr>
          </w:p>
        </w:tc>
      </w:tr>
      <w:tr>
        <w:trPr>
          <w:trHeight w:val="249"/>
        </w:trPr>
        <w:tc>
          <w:tcPr>
            <w:tcW w:w="3000" w:type="dxa"/>
            <w:vAlign w:val="bottom"/>
          </w:tcPr>
          <w:p>
            <w:pPr>
              <w:spacing w:after="0"/>
              <w:rPr>
                <w:sz w:val="21"/>
                <w:szCs w:val="21"/>
                <w:color w:val="auto"/>
              </w:rPr>
            </w:pPr>
          </w:p>
        </w:tc>
        <w:tc>
          <w:tcPr>
            <w:tcW w:w="1660" w:type="dxa"/>
            <w:vAlign w:val="bottom"/>
          </w:tcPr>
          <w:p>
            <w:pPr>
              <w:jc w:val="right"/>
              <w:ind w:right="248"/>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000" w:type="dxa"/>
            <w:vAlign w:val="bottom"/>
          </w:tcPr>
          <w:p>
            <w:pPr>
              <w:spacing w:after="0"/>
              <w:rPr>
                <w:sz w:val="20"/>
                <w:szCs w:val="20"/>
                <w:color w:val="auto"/>
              </w:rPr>
            </w:pPr>
            <w:r>
              <w:rPr>
                <w:rFonts w:ascii="Courier New" w:cs="Courier New" w:eastAsia="Courier New" w:hAnsi="Courier New"/>
                <w:sz w:val="15"/>
                <w:szCs w:val="15"/>
                <w:color w:val="auto"/>
              </w:rPr>
              <w:t>DEDUCTIONS FROM NET</w:t>
            </w:r>
          </w:p>
        </w:tc>
        <w:tc>
          <w:tcPr>
            <w:tcW w:w="166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ASSETS ATTRIBUTED TO:</w:t>
            </w: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Benefits paid to participants</w:t>
            </w:r>
          </w:p>
        </w:tc>
        <w:tc>
          <w:tcPr>
            <w:tcW w:w="1660" w:type="dxa"/>
            <w:vAlign w:val="bottom"/>
            <w:vMerge w:val="restart"/>
          </w:tcPr>
          <w:p>
            <w:pPr>
              <w:jc w:val="right"/>
              <w:ind w:right="248"/>
              <w:spacing w:after="0"/>
              <w:rPr>
                <w:sz w:val="20"/>
                <w:szCs w:val="20"/>
                <w:color w:val="auto"/>
              </w:rPr>
            </w:pPr>
            <w:r>
              <w:rPr>
                <w:rFonts w:ascii="Courier New" w:cs="Courier New" w:eastAsia="Courier New" w:hAnsi="Courier New"/>
                <w:sz w:val="15"/>
                <w:szCs w:val="15"/>
                <w:color w:val="auto"/>
              </w:rPr>
              <w:t>1,520,891</w:t>
            </w:r>
          </w:p>
        </w:tc>
        <w:tc>
          <w:tcPr>
            <w:tcW w:w="158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3,506,735</w:t>
            </w:r>
          </w:p>
        </w:tc>
        <w:tc>
          <w:tcPr>
            <w:tcW w:w="360" w:type="dxa"/>
            <w:vAlign w:val="bottom"/>
          </w:tcPr>
          <w:p>
            <w:pPr>
              <w:spacing w:after="0"/>
              <w:rPr>
                <w:sz w:val="14"/>
                <w:szCs w:val="14"/>
                <w:color w:val="auto"/>
              </w:rPr>
            </w:pPr>
          </w:p>
        </w:tc>
        <w:tc>
          <w:tcPr>
            <w:tcW w:w="124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412,058</w:t>
            </w:r>
          </w:p>
        </w:tc>
        <w:tc>
          <w:tcPr>
            <w:tcW w:w="360" w:type="dxa"/>
            <w:vAlign w:val="bottom"/>
          </w:tcPr>
          <w:p>
            <w:pPr>
              <w:spacing w:after="0"/>
              <w:rPr>
                <w:sz w:val="14"/>
                <w:szCs w:val="14"/>
                <w:color w:val="auto"/>
              </w:rPr>
            </w:pPr>
          </w:p>
        </w:tc>
        <w:tc>
          <w:tcPr>
            <w:tcW w:w="124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488,497</w:t>
            </w:r>
          </w:p>
        </w:tc>
        <w:tc>
          <w:tcPr>
            <w:tcW w:w="13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5,928,181</w:t>
            </w:r>
          </w:p>
        </w:tc>
        <w:tc>
          <w:tcPr>
            <w:tcW w:w="0" w:type="dxa"/>
            <w:vAlign w:val="bottom"/>
          </w:tcPr>
          <w:p>
            <w:pPr>
              <w:spacing w:after="0"/>
              <w:rPr>
                <w:sz w:val="1"/>
                <w:szCs w:val="1"/>
                <w:color w:val="auto"/>
              </w:rPr>
            </w:pPr>
          </w:p>
        </w:tc>
      </w:tr>
      <w:tr>
        <w:trPr>
          <w:trHeight w:val="171"/>
        </w:trPr>
        <w:tc>
          <w:tcPr>
            <w:tcW w:w="3000" w:type="dxa"/>
            <w:vAlign w:val="bottom"/>
          </w:tcPr>
          <w:p>
            <w:pPr>
              <w:ind w:left="520"/>
              <w:spacing w:after="0"/>
              <w:rPr>
                <w:sz w:val="20"/>
                <w:szCs w:val="20"/>
                <w:color w:val="auto"/>
              </w:rPr>
            </w:pPr>
            <w:r>
              <w:rPr>
                <w:rFonts w:ascii="Courier New" w:cs="Courier New" w:eastAsia="Courier New" w:hAnsi="Courier New"/>
                <w:sz w:val="15"/>
                <w:szCs w:val="15"/>
                <w:color w:val="auto"/>
              </w:rPr>
              <w:t>or beneficiaries</w:t>
            </w:r>
          </w:p>
        </w:tc>
        <w:tc>
          <w:tcPr>
            <w:tcW w:w="166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660" w:type="dxa"/>
            <w:vAlign w:val="bottom"/>
            <w:vMerge w:val="restart"/>
          </w:tcPr>
          <w:p>
            <w:pPr>
              <w:jc w:val="right"/>
              <w:ind w:right="248"/>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1,520,891</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3,506,735</w:t>
            </w:r>
          </w:p>
        </w:tc>
        <w:tc>
          <w:tcPr>
            <w:tcW w:w="3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412,058</w:t>
            </w:r>
          </w:p>
        </w:tc>
        <w:tc>
          <w:tcPr>
            <w:tcW w:w="3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488,497</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5,928,181</w:t>
            </w:r>
          </w:p>
        </w:tc>
        <w:tc>
          <w:tcPr>
            <w:tcW w:w="0" w:type="dxa"/>
            <w:vAlign w:val="bottom"/>
          </w:tcPr>
          <w:p>
            <w:pPr>
              <w:spacing w:after="0"/>
              <w:rPr>
                <w:sz w:val="1"/>
                <w:szCs w:val="1"/>
                <w:color w:val="auto"/>
              </w:rPr>
            </w:pPr>
          </w:p>
        </w:tc>
      </w:tr>
      <w:tr>
        <w:trPr>
          <w:trHeight w:val="249"/>
        </w:trPr>
        <w:tc>
          <w:tcPr>
            <w:tcW w:w="3000" w:type="dxa"/>
            <w:vAlign w:val="bottom"/>
          </w:tcPr>
          <w:p>
            <w:pPr>
              <w:spacing w:after="0"/>
              <w:rPr>
                <w:sz w:val="21"/>
                <w:szCs w:val="21"/>
                <w:color w:val="auto"/>
              </w:rPr>
            </w:pPr>
          </w:p>
        </w:tc>
        <w:tc>
          <w:tcPr>
            <w:tcW w:w="1660" w:type="dxa"/>
            <w:vAlign w:val="bottom"/>
          </w:tcPr>
          <w:p>
            <w:pPr>
              <w:jc w:val="right"/>
              <w:ind w:right="248"/>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increase (decrease) prior to</w:t>
            </w:r>
          </w:p>
        </w:tc>
        <w:tc>
          <w:tcPr>
            <w:tcW w:w="1660" w:type="dxa"/>
            <w:vAlign w:val="bottom"/>
            <w:vMerge w:val="restart"/>
          </w:tcPr>
          <w:p>
            <w:pPr>
              <w:jc w:val="right"/>
              <w:ind w:right="248"/>
              <w:spacing w:after="0"/>
              <w:rPr>
                <w:sz w:val="20"/>
                <w:szCs w:val="20"/>
                <w:color w:val="auto"/>
              </w:rPr>
            </w:pPr>
            <w:r>
              <w:rPr>
                <w:rFonts w:ascii="Courier New" w:cs="Courier New" w:eastAsia="Courier New" w:hAnsi="Courier New"/>
                <w:sz w:val="15"/>
                <w:szCs w:val="15"/>
                <w:color w:val="auto"/>
              </w:rPr>
              <w:t>3,415,816</w:t>
            </w:r>
          </w:p>
        </w:tc>
        <w:tc>
          <w:tcPr>
            <w:tcW w:w="158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17,223,766</w:t>
            </w:r>
          </w:p>
        </w:tc>
        <w:tc>
          <w:tcPr>
            <w:tcW w:w="360" w:type="dxa"/>
            <w:vAlign w:val="bottom"/>
          </w:tcPr>
          <w:p>
            <w:pPr>
              <w:spacing w:after="0"/>
              <w:rPr>
                <w:sz w:val="22"/>
                <w:szCs w:val="22"/>
                <w:color w:val="auto"/>
              </w:rPr>
            </w:pPr>
          </w:p>
        </w:tc>
        <w:tc>
          <w:tcPr>
            <w:tcW w:w="124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1,356,290</w:t>
            </w:r>
          </w:p>
        </w:tc>
        <w:tc>
          <w:tcPr>
            <w:tcW w:w="360" w:type="dxa"/>
            <w:vAlign w:val="bottom"/>
          </w:tcPr>
          <w:p>
            <w:pPr>
              <w:spacing w:after="0"/>
              <w:rPr>
                <w:sz w:val="22"/>
                <w:szCs w:val="22"/>
                <w:color w:val="auto"/>
              </w:rPr>
            </w:pPr>
          </w:p>
        </w:tc>
        <w:tc>
          <w:tcPr>
            <w:tcW w:w="124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1,570,278</w:t>
            </w:r>
          </w:p>
        </w:tc>
        <w:tc>
          <w:tcPr>
            <w:tcW w:w="13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23,566,150</w:t>
            </w:r>
          </w:p>
        </w:tc>
        <w:tc>
          <w:tcPr>
            <w:tcW w:w="0" w:type="dxa"/>
            <w:vAlign w:val="bottom"/>
          </w:tcPr>
          <w:p>
            <w:pPr>
              <w:spacing w:after="0"/>
              <w:rPr>
                <w:sz w:val="1"/>
                <w:szCs w:val="1"/>
                <w:color w:val="auto"/>
              </w:rPr>
            </w:pP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interfund transfers</w:t>
            </w:r>
          </w:p>
        </w:tc>
        <w:tc>
          <w:tcPr>
            <w:tcW w:w="166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Loan repayments--principal</w:t>
            </w:r>
          </w:p>
        </w:tc>
        <w:tc>
          <w:tcPr>
            <w:tcW w:w="1660" w:type="dxa"/>
            <w:vAlign w:val="bottom"/>
          </w:tcPr>
          <w:p>
            <w:pPr>
              <w:jc w:val="right"/>
              <w:ind w:right="248"/>
              <w:spacing w:after="0"/>
              <w:rPr>
                <w:sz w:val="20"/>
                <w:szCs w:val="20"/>
                <w:color w:val="auto"/>
              </w:rPr>
            </w:pPr>
            <w:r>
              <w:rPr>
                <w:rFonts w:ascii="Courier New" w:cs="Courier New" w:eastAsia="Courier New" w:hAnsi="Courier New"/>
                <w:sz w:val="15"/>
                <w:szCs w:val="15"/>
                <w:color w:val="auto"/>
              </w:rPr>
              <w:t>321,940</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633,852</w:t>
            </w:r>
          </w:p>
        </w:tc>
        <w:tc>
          <w:tcPr>
            <w:tcW w:w="3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107,941</w:t>
            </w:r>
          </w:p>
        </w:tc>
        <w:tc>
          <w:tcPr>
            <w:tcW w:w="3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117,918</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1,181,651</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Loan withdrawals</w:t>
            </w:r>
          </w:p>
        </w:tc>
        <w:tc>
          <w:tcPr>
            <w:tcW w:w="1660" w:type="dxa"/>
            <w:vAlign w:val="bottom"/>
          </w:tcPr>
          <w:p>
            <w:pPr>
              <w:jc w:val="right"/>
              <w:ind w:right="168"/>
              <w:spacing w:after="0"/>
              <w:rPr>
                <w:sz w:val="20"/>
                <w:szCs w:val="20"/>
                <w:color w:val="auto"/>
              </w:rPr>
            </w:pPr>
            <w:r>
              <w:rPr>
                <w:rFonts w:ascii="Courier New" w:cs="Courier New" w:eastAsia="Courier New" w:hAnsi="Courier New"/>
                <w:sz w:val="15"/>
                <w:szCs w:val="15"/>
                <w:color w:val="auto"/>
              </w:rPr>
              <w:t>(328,828)</w:t>
            </w:r>
          </w:p>
        </w:tc>
        <w:tc>
          <w:tcPr>
            <w:tcW w:w="1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(770,731)</w:t>
            </w:r>
          </w:p>
        </w:tc>
        <w:tc>
          <w:tcPr>
            <w:tcW w:w="36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(108,968)</w:t>
            </w:r>
          </w:p>
        </w:tc>
        <w:tc>
          <w:tcPr>
            <w:tcW w:w="36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(100,883)</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(1,309,410)</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Other interfund transfers</w:t>
            </w:r>
          </w:p>
        </w:tc>
        <w:tc>
          <w:tcPr>
            <w:tcW w:w="1660" w:type="dxa"/>
            <w:vAlign w:val="bottom"/>
          </w:tcPr>
          <w:p>
            <w:pPr>
              <w:jc w:val="right"/>
              <w:ind w:right="168"/>
              <w:spacing w:after="0"/>
              <w:rPr>
                <w:sz w:val="20"/>
                <w:szCs w:val="20"/>
                <w:color w:val="auto"/>
              </w:rPr>
            </w:pPr>
            <w:r>
              <w:rPr>
                <w:rFonts w:ascii="Courier New" w:cs="Courier New" w:eastAsia="Courier New" w:hAnsi="Courier New"/>
                <w:sz w:val="15"/>
                <w:szCs w:val="15"/>
                <w:color w:val="auto"/>
              </w:rPr>
              <w:t>(1,775,726)</w:t>
            </w:r>
          </w:p>
        </w:tc>
        <w:tc>
          <w:tcPr>
            <w:tcW w:w="1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(1,597,223)</w:t>
            </w:r>
          </w:p>
        </w:tc>
        <w:tc>
          <w:tcPr>
            <w:tcW w:w="36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(1,015,107)</w:t>
            </w:r>
          </w:p>
        </w:tc>
        <w:tc>
          <w:tcPr>
            <w:tcW w:w="36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(1,674,101)</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(6,062,157)</w:t>
            </w:r>
          </w:p>
        </w:tc>
        <w:tc>
          <w:tcPr>
            <w:tcW w:w="0" w:type="dxa"/>
            <w:vAlign w:val="bottom"/>
          </w:tcPr>
          <w:p>
            <w:pPr>
              <w:spacing w:after="0"/>
              <w:rPr>
                <w:sz w:val="1"/>
                <w:szCs w:val="1"/>
                <w:color w:val="auto"/>
              </w:rPr>
            </w:pPr>
          </w:p>
        </w:tc>
      </w:tr>
      <w:tr>
        <w:trPr>
          <w:trHeight w:val="171"/>
        </w:trPr>
        <w:tc>
          <w:tcPr>
            <w:tcW w:w="3000" w:type="dxa"/>
            <w:vAlign w:val="bottom"/>
            <w:vMerge w:val="restart"/>
          </w:tcPr>
          <w:p>
            <w:pPr>
              <w:spacing w:after="0"/>
              <w:rPr>
                <w:sz w:val="20"/>
                <w:szCs w:val="20"/>
                <w:color w:val="auto"/>
              </w:rPr>
            </w:pPr>
            <w:r>
              <w:rPr>
                <w:rFonts w:ascii="Courier New" w:cs="Courier New" w:eastAsia="Courier New" w:hAnsi="Courier New"/>
                <w:sz w:val="15"/>
                <w:szCs w:val="15"/>
                <w:color w:val="auto"/>
              </w:rPr>
              <w:t>Net increase (decrease)</w:t>
            </w:r>
          </w:p>
        </w:tc>
        <w:tc>
          <w:tcPr>
            <w:tcW w:w="1660" w:type="dxa"/>
            <w:vAlign w:val="bottom"/>
            <w:vMerge w:val="restart"/>
          </w:tcPr>
          <w:p>
            <w:pPr>
              <w:jc w:val="right"/>
              <w:ind w:right="248"/>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5"/>
                <w:szCs w:val="25"/>
                <w:color w:val="auto"/>
                <w:w w:val="71"/>
                <w:vertAlign w:val="subscript"/>
              </w:rPr>
              <w:t>1,633,202</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15,489,664</w:t>
            </w:r>
          </w:p>
        </w:tc>
        <w:tc>
          <w:tcPr>
            <w:tcW w:w="360" w:type="dxa"/>
            <w:vAlign w:val="bottom"/>
          </w:tcPr>
          <w:p>
            <w:pPr>
              <w:spacing w:after="0"/>
              <w:rPr>
                <w:sz w:val="14"/>
                <w:szCs w:val="14"/>
                <w:color w:val="auto"/>
              </w:rPr>
            </w:pP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340,156</w:t>
            </w:r>
          </w:p>
        </w:tc>
        <w:tc>
          <w:tcPr>
            <w:tcW w:w="360" w:type="dxa"/>
            <w:vAlign w:val="bottom"/>
          </w:tcPr>
          <w:p>
            <w:pPr>
              <w:spacing w:after="0"/>
              <w:rPr>
                <w:sz w:val="14"/>
                <w:szCs w:val="14"/>
                <w:color w:val="auto"/>
              </w:rPr>
            </w:pPr>
          </w:p>
        </w:tc>
        <w:tc>
          <w:tcPr>
            <w:tcW w:w="124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(86,788)</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17,376,234</w:t>
            </w:r>
          </w:p>
        </w:tc>
        <w:tc>
          <w:tcPr>
            <w:tcW w:w="0" w:type="dxa"/>
            <w:vAlign w:val="bottom"/>
          </w:tcPr>
          <w:p>
            <w:pPr>
              <w:spacing w:after="0"/>
              <w:rPr>
                <w:sz w:val="1"/>
                <w:szCs w:val="1"/>
                <w:color w:val="auto"/>
              </w:rPr>
            </w:pPr>
          </w:p>
        </w:tc>
      </w:tr>
      <w:tr>
        <w:trPr>
          <w:trHeight w:val="171"/>
        </w:trPr>
        <w:tc>
          <w:tcPr>
            <w:tcW w:w="300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6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Pr>
          <w:p>
            <w:pPr>
              <w:ind w:left="160"/>
              <w:spacing w:after="0"/>
              <w:rPr>
                <w:sz w:val="20"/>
                <w:szCs w:val="20"/>
                <w:color w:val="auto"/>
              </w:rPr>
            </w:pPr>
            <w:r>
              <w:rPr>
                <w:rFonts w:ascii="Courier New" w:cs="Courier New" w:eastAsia="Courier New" w:hAnsi="Courier New"/>
                <w:sz w:val="15"/>
                <w:szCs w:val="15"/>
                <w:color w:val="auto"/>
              </w:rPr>
              <w:t>FOR BENEFITS:</w:t>
            </w:r>
          </w:p>
        </w:tc>
        <w:tc>
          <w:tcPr>
            <w:tcW w:w="1660" w:type="dxa"/>
            <w:vAlign w:val="bottom"/>
            <w:vMerge w:val="restart"/>
          </w:tcPr>
          <w:p>
            <w:pPr>
              <w:jc w:val="right"/>
              <w:ind w:right="248"/>
              <w:spacing w:after="0"/>
              <w:rPr>
                <w:sz w:val="20"/>
                <w:szCs w:val="20"/>
                <w:color w:val="auto"/>
              </w:rPr>
            </w:pPr>
            <w:r>
              <w:rPr>
                <w:rFonts w:ascii="Courier New" w:cs="Courier New" w:eastAsia="Courier New" w:hAnsi="Courier New"/>
                <w:sz w:val="15"/>
                <w:szCs w:val="15"/>
                <w:color w:val="auto"/>
              </w:rPr>
              <w:t>20,218,907</w:t>
            </w:r>
          </w:p>
        </w:tc>
        <w:tc>
          <w:tcPr>
            <w:tcW w:w="158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39,071,781</w:t>
            </w:r>
          </w:p>
        </w:tc>
        <w:tc>
          <w:tcPr>
            <w:tcW w:w="360" w:type="dxa"/>
            <w:vAlign w:val="bottom"/>
          </w:tcPr>
          <w:p>
            <w:pPr>
              <w:spacing w:after="0"/>
              <w:rPr>
                <w:sz w:val="14"/>
                <w:szCs w:val="14"/>
                <w:color w:val="auto"/>
              </w:rPr>
            </w:pPr>
          </w:p>
        </w:tc>
        <w:tc>
          <w:tcPr>
            <w:tcW w:w="124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5,695,881</w:t>
            </w:r>
          </w:p>
        </w:tc>
        <w:tc>
          <w:tcPr>
            <w:tcW w:w="360" w:type="dxa"/>
            <w:vAlign w:val="bottom"/>
          </w:tcPr>
          <w:p>
            <w:pPr>
              <w:spacing w:after="0"/>
              <w:rPr>
                <w:sz w:val="14"/>
                <w:szCs w:val="14"/>
                <w:color w:val="auto"/>
              </w:rPr>
            </w:pPr>
          </w:p>
        </w:tc>
        <w:tc>
          <w:tcPr>
            <w:tcW w:w="124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5,688,630</w:t>
            </w:r>
          </w:p>
        </w:tc>
        <w:tc>
          <w:tcPr>
            <w:tcW w:w="138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70,675,199</w:t>
            </w:r>
          </w:p>
        </w:tc>
        <w:tc>
          <w:tcPr>
            <w:tcW w:w="0" w:type="dxa"/>
            <w:vAlign w:val="bottom"/>
          </w:tcPr>
          <w:p>
            <w:pPr>
              <w:spacing w:after="0"/>
              <w:rPr>
                <w:sz w:val="1"/>
                <w:szCs w:val="1"/>
                <w:color w:val="auto"/>
              </w:rPr>
            </w:pPr>
          </w:p>
        </w:tc>
      </w:tr>
      <w:tr>
        <w:trPr>
          <w:trHeight w:val="171"/>
        </w:trPr>
        <w:tc>
          <w:tcPr>
            <w:tcW w:w="3000" w:type="dxa"/>
            <w:vAlign w:val="bottom"/>
          </w:tcPr>
          <w:p>
            <w:pPr>
              <w:ind w:left="260"/>
              <w:spacing w:after="0"/>
              <w:rPr>
                <w:sz w:val="20"/>
                <w:szCs w:val="20"/>
                <w:color w:val="auto"/>
              </w:rPr>
            </w:pPr>
            <w:r>
              <w:rPr>
                <w:rFonts w:ascii="Courier New" w:cs="Courier New" w:eastAsia="Courier New" w:hAnsi="Courier New"/>
                <w:sz w:val="15"/>
                <w:szCs w:val="15"/>
                <w:color w:val="auto"/>
              </w:rPr>
              <w:t>Beginning of year</w:t>
            </w:r>
          </w:p>
        </w:tc>
        <w:tc>
          <w:tcPr>
            <w:tcW w:w="166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End of year</w:t>
            </w:r>
          </w:p>
        </w:tc>
        <w:tc>
          <w:tcPr>
            <w:tcW w:w="1660" w:type="dxa"/>
            <w:vAlign w:val="bottom"/>
            <w:vMerge w:val="restart"/>
          </w:tcPr>
          <w:p>
            <w:pPr>
              <w:jc w:val="right"/>
              <w:ind w:right="248"/>
              <w:spacing w:after="0"/>
              <w:rPr>
                <w:sz w:val="20"/>
                <w:szCs w:val="20"/>
                <w:color w:val="auto"/>
              </w:rPr>
            </w:pPr>
            <w:r>
              <w:rPr>
                <w:rFonts w:ascii="Courier New" w:cs="Courier New" w:eastAsia="Courier New" w:hAnsi="Courier New"/>
                <w:sz w:val="22"/>
                <w:szCs w:val="22"/>
                <w:color w:val="auto"/>
                <w:w w:val="72"/>
                <w:vertAlign w:val="subscript"/>
              </w:rPr>
              <w:t>$</w:t>
            </w:r>
            <w:r>
              <w:rPr>
                <w:rFonts w:ascii="Courier New" w:cs="Courier New" w:eastAsia="Courier New" w:hAnsi="Courier New"/>
                <w:sz w:val="12"/>
                <w:szCs w:val="12"/>
                <w:color w:val="auto"/>
                <w:w w:val="72"/>
              </w:rPr>
              <w:t>------------</w:t>
            </w:r>
            <w:r>
              <w:rPr>
                <w:rFonts w:ascii="Courier New" w:cs="Courier New" w:eastAsia="Courier New" w:hAnsi="Courier New"/>
                <w:sz w:val="22"/>
                <w:szCs w:val="22"/>
                <w:color w:val="auto"/>
                <w:w w:val="72"/>
                <w:vertAlign w:val="subscript"/>
              </w:rPr>
              <w:t>21,852,109</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00" w:type="dxa"/>
            <w:vAlign w:val="bottom"/>
            <w:vMerge w:val="continue"/>
          </w:tcPr>
          <w:p>
            <w:pPr>
              <w:spacing w:after="0"/>
              <w:rPr>
                <w:sz w:val="14"/>
                <w:szCs w:val="14"/>
                <w:color w:val="auto"/>
              </w:rPr>
            </w:pPr>
          </w:p>
        </w:tc>
        <w:tc>
          <w:tcPr>
            <w:tcW w:w="1660" w:type="dxa"/>
            <w:vAlign w:val="bottom"/>
            <w:vMerge w:val="continue"/>
          </w:tcPr>
          <w:p>
            <w:pPr>
              <w:spacing w:after="0"/>
              <w:rPr>
                <w:sz w:val="14"/>
                <w:szCs w:val="14"/>
                <w:color w:val="auto"/>
              </w:rPr>
            </w:pP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$ 54,561,445</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6,036,037</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5,601,842</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$ 88,051,433</w:t>
            </w:r>
          </w:p>
        </w:tc>
        <w:tc>
          <w:tcPr>
            <w:tcW w:w="0" w:type="dxa"/>
            <w:vAlign w:val="bottom"/>
          </w:tcPr>
          <w:p>
            <w:pPr>
              <w:spacing w:after="0"/>
              <w:rPr>
                <w:sz w:val="1"/>
                <w:szCs w:val="1"/>
                <w:color w:val="auto"/>
              </w:rPr>
            </w:pPr>
          </w:p>
        </w:tc>
      </w:tr>
      <w:tr>
        <w:trPr>
          <w:trHeight w:val="249"/>
        </w:trPr>
        <w:tc>
          <w:tcPr>
            <w:tcW w:w="3000" w:type="dxa"/>
            <w:vAlign w:val="bottom"/>
          </w:tcPr>
          <w:p>
            <w:pPr>
              <w:spacing w:after="0"/>
              <w:rPr>
                <w:sz w:val="21"/>
                <w:szCs w:val="21"/>
                <w:color w:val="auto"/>
              </w:rPr>
            </w:pPr>
          </w:p>
        </w:tc>
        <w:tc>
          <w:tcPr>
            <w:tcW w:w="1660" w:type="dxa"/>
            <w:vAlign w:val="bottom"/>
          </w:tcPr>
          <w:p>
            <w:pPr>
              <w:jc w:val="right"/>
              <w:ind w:right="248"/>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00" w:type="dxa"/>
            <w:vAlign w:val="bottom"/>
            <w:gridSpan w:val="2"/>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640" w:type="dxa"/>
            <w:vAlign w:val="bottom"/>
            <w:vMerge w:val="restart"/>
          </w:tcPr>
          <w:p>
            <w:pPr>
              <w:jc w:val="right"/>
              <w:ind w:right="209"/>
              <w:spacing w:after="0"/>
              <w:rPr>
                <w:sz w:val="20"/>
                <w:szCs w:val="20"/>
                <w:color w:val="auto"/>
              </w:rPr>
            </w:pPr>
            <w:r>
              <w:rPr>
                <w:rFonts w:ascii="Courier New" w:cs="Courier New" w:eastAsia="Courier New" w:hAnsi="Courier New"/>
                <w:sz w:val="15"/>
                <w:szCs w:val="15"/>
                <w:color w:val="auto"/>
              </w:rPr>
              <w:t>Comcast Stock</w:t>
            </w:r>
          </w:p>
        </w:tc>
        <w:tc>
          <w:tcPr>
            <w:tcW w:w="16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Stable Value</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Total</w:t>
            </w:r>
          </w:p>
        </w:tc>
        <w:tc>
          <w:tcPr>
            <w:tcW w:w="170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Participant</w:t>
            </w: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68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Investment</w:t>
            </w:r>
          </w:p>
        </w:tc>
        <w:tc>
          <w:tcPr>
            <w:tcW w:w="1700" w:type="dxa"/>
            <w:vAlign w:val="bottom"/>
            <w:vMerge w:val="continue"/>
          </w:tcPr>
          <w:p>
            <w:pPr>
              <w:spacing w:after="0"/>
              <w:rPr>
                <w:sz w:val="14"/>
                <w:szCs w:val="14"/>
                <w:color w:val="auto"/>
              </w:rPr>
            </w:pPr>
          </w:p>
        </w:tc>
        <w:tc>
          <w:tcPr>
            <w:tcW w:w="1420" w:type="dxa"/>
            <w:vAlign w:val="bottom"/>
            <w:vMerge w:val="restart"/>
          </w:tcPr>
          <w:p>
            <w:pPr>
              <w:jc w:val="right"/>
              <w:ind w:right="386"/>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640" w:type="dxa"/>
            <w:vAlign w:val="bottom"/>
          </w:tcPr>
          <w:p>
            <w:pPr>
              <w:jc w:val="right"/>
              <w:ind w:right="549"/>
              <w:spacing w:after="0"/>
              <w:rPr>
                <w:sz w:val="20"/>
                <w:szCs w:val="20"/>
                <w:color w:val="auto"/>
              </w:rPr>
            </w:pPr>
            <w:r>
              <w:rPr>
                <w:rFonts w:ascii="Courier New" w:cs="Courier New" w:eastAsia="Courier New" w:hAnsi="Courier New"/>
                <w:sz w:val="15"/>
                <w:szCs w:val="15"/>
                <w:color w:val="auto"/>
              </w:rPr>
              <w:t>Fund</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Fund</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Funds</w:t>
            </w: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Loan Fund</w:t>
            </w: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060" w:type="dxa"/>
            <w:vAlign w:val="bottom"/>
          </w:tcPr>
          <w:p>
            <w:pPr>
              <w:spacing w:after="0"/>
              <w:rPr>
                <w:sz w:val="21"/>
                <w:szCs w:val="21"/>
                <w:color w:val="auto"/>
              </w:rPr>
            </w:pPr>
          </w:p>
        </w:tc>
        <w:tc>
          <w:tcPr>
            <w:tcW w:w="164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06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16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ATTRIBUTED TO:</w:t>
            </w:r>
          </w:p>
        </w:tc>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Investment income:</w:t>
            </w:r>
          </w:p>
        </w:tc>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Net realized and unrealized</w:t>
            </w:r>
          </w:p>
        </w:tc>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620"/>
              <w:spacing w:after="0"/>
              <w:rPr>
                <w:sz w:val="20"/>
                <w:szCs w:val="20"/>
                <w:color w:val="auto"/>
              </w:rPr>
            </w:pPr>
            <w:r>
              <w:rPr>
                <w:rFonts w:ascii="Courier New" w:cs="Courier New" w:eastAsia="Courier New" w:hAnsi="Courier New"/>
                <w:sz w:val="15"/>
                <w:szCs w:val="15"/>
                <w:color w:val="auto"/>
              </w:rPr>
              <w:t>appreciation</w:t>
            </w:r>
          </w:p>
        </w:tc>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620"/>
              <w:spacing w:after="0"/>
              <w:rPr>
                <w:sz w:val="20"/>
                <w:szCs w:val="20"/>
                <w:color w:val="auto"/>
              </w:rPr>
            </w:pPr>
            <w:r>
              <w:rPr>
                <w:rFonts w:ascii="Courier New" w:cs="Courier New" w:eastAsia="Courier New" w:hAnsi="Courier New"/>
                <w:sz w:val="15"/>
                <w:szCs w:val="15"/>
                <w:color w:val="auto"/>
              </w:rPr>
              <w:t>(depreciation) in fair</w:t>
            </w:r>
          </w:p>
        </w:tc>
        <w:tc>
          <w:tcPr>
            <w:tcW w:w="1640" w:type="dxa"/>
            <w:vAlign w:val="bottom"/>
            <w:vMerge w:val="restart"/>
          </w:tcPr>
          <w:p>
            <w:pPr>
              <w:jc w:val="right"/>
              <w:ind w:right="209"/>
              <w:spacing w:after="0"/>
              <w:rPr>
                <w:sz w:val="20"/>
                <w:szCs w:val="20"/>
                <w:color w:val="auto"/>
              </w:rPr>
            </w:pPr>
            <w:r>
              <w:rPr>
                <w:rFonts w:ascii="Courier New" w:cs="Courier New" w:eastAsia="Courier New" w:hAnsi="Courier New"/>
                <w:sz w:val="15"/>
                <w:szCs w:val="15"/>
                <w:color w:val="auto"/>
              </w:rPr>
              <w:t>$  32,155,179</w:t>
            </w:r>
          </w:p>
        </w:tc>
        <w:tc>
          <w:tcPr>
            <w:tcW w:w="1680" w:type="dxa"/>
            <w:vAlign w:val="bottom"/>
            <w:vMerge w:val="restart"/>
          </w:tcPr>
          <w:p>
            <w:pPr>
              <w:ind w:left="340"/>
              <w:spacing w:after="0"/>
              <w:rPr>
                <w:sz w:val="20"/>
                <w:szCs w:val="20"/>
                <w:color w:val="auto"/>
              </w:rPr>
            </w:pPr>
            <w:r>
              <w:rPr>
                <w:rFonts w:ascii="Courier New" w:cs="Courier New" w:eastAsia="Courier New" w:hAnsi="Courier New"/>
                <w:sz w:val="15"/>
                <w:szCs w:val="15"/>
                <w:color w:val="auto"/>
              </w:rPr>
              <w:t>$</w:t>
            </w:r>
          </w:p>
        </w:tc>
        <w:tc>
          <w:tcPr>
            <w:tcW w:w="16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  43,823,423</w:t>
            </w:r>
          </w:p>
        </w:tc>
        <w:tc>
          <w:tcPr>
            <w:tcW w:w="170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43,823,423</w:t>
            </w:r>
          </w:p>
        </w:tc>
        <w:tc>
          <w:tcPr>
            <w:tcW w:w="0" w:type="dxa"/>
            <w:vAlign w:val="bottom"/>
          </w:tcPr>
          <w:p>
            <w:pPr>
              <w:spacing w:after="0"/>
              <w:rPr>
                <w:sz w:val="1"/>
                <w:szCs w:val="1"/>
                <w:color w:val="auto"/>
              </w:rPr>
            </w:pPr>
          </w:p>
        </w:tc>
      </w:tr>
      <w:tr>
        <w:trPr>
          <w:trHeight w:val="171"/>
        </w:trPr>
        <w:tc>
          <w:tcPr>
            <w:tcW w:w="3060" w:type="dxa"/>
            <w:vAlign w:val="bottom"/>
          </w:tcPr>
          <w:p>
            <w:pPr>
              <w:ind w:left="620"/>
              <w:spacing w:after="0"/>
              <w:rPr>
                <w:sz w:val="20"/>
                <w:szCs w:val="20"/>
                <w:color w:val="auto"/>
              </w:rPr>
            </w:pPr>
            <w:r>
              <w:rPr>
                <w:rFonts w:ascii="Courier New" w:cs="Courier New" w:eastAsia="Courier New" w:hAnsi="Courier New"/>
                <w:sz w:val="15"/>
                <w:szCs w:val="15"/>
                <w:color w:val="auto"/>
              </w:rPr>
              <w:t>value of investments</w:t>
            </w:r>
          </w:p>
        </w:tc>
        <w:tc>
          <w:tcPr>
            <w:tcW w:w="16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Interest and dividends</w:t>
            </w:r>
          </w:p>
        </w:tc>
        <w:tc>
          <w:tcPr>
            <w:tcW w:w="164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340,913</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2,343,130</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6,893,230</w:t>
            </w:r>
          </w:p>
        </w:tc>
        <w:tc>
          <w:tcPr>
            <w:tcW w:w="17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6,893,230</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640" w:type="dxa"/>
            <w:vAlign w:val="bottom"/>
            <w:vMerge w:val="restart"/>
          </w:tcPr>
          <w:p>
            <w:pPr>
              <w:jc w:val="right"/>
              <w:ind w:right="209"/>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32,496,092</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continue"/>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2,343,130</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50,716,653</w:t>
            </w:r>
          </w:p>
        </w:tc>
        <w:tc>
          <w:tcPr>
            <w:tcW w:w="17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50,716,653</w:t>
            </w:r>
          </w:p>
        </w:tc>
        <w:tc>
          <w:tcPr>
            <w:tcW w:w="0" w:type="dxa"/>
            <w:vAlign w:val="bottom"/>
          </w:tcPr>
          <w:p>
            <w:pPr>
              <w:spacing w:after="0"/>
              <w:rPr>
                <w:sz w:val="1"/>
                <w:szCs w:val="1"/>
                <w:color w:val="auto"/>
              </w:rPr>
            </w:pPr>
          </w:p>
        </w:tc>
      </w:tr>
      <w:tr>
        <w:trPr>
          <w:trHeight w:val="249"/>
        </w:trPr>
        <w:tc>
          <w:tcPr>
            <w:tcW w:w="30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Contributions:</w:t>
            </w:r>
          </w:p>
        </w:tc>
        <w:tc>
          <w:tcPr>
            <w:tcW w:w="164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continue"/>
          </w:tcPr>
          <w:p>
            <w:pPr>
              <w:spacing w:after="0"/>
              <w:rPr>
                <w:sz w:val="21"/>
                <w:szCs w:val="21"/>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060" w:type="dxa"/>
            <w:vAlign w:val="bottom"/>
            <w:vMerge w:val="continue"/>
          </w:tcPr>
          <w:p>
            <w:pPr>
              <w:spacing w:after="0"/>
              <w:rPr>
                <w:sz w:val="8"/>
                <w:szCs w:val="8"/>
                <w:color w:val="auto"/>
              </w:rPr>
            </w:pPr>
          </w:p>
        </w:tc>
        <w:tc>
          <w:tcPr>
            <w:tcW w:w="1640" w:type="dxa"/>
            <w:vAlign w:val="bottom"/>
            <w:vMerge w:val="restart"/>
          </w:tcPr>
          <w:p>
            <w:pPr>
              <w:jc w:val="right"/>
              <w:ind w:right="209"/>
              <w:spacing w:after="0"/>
              <w:rPr>
                <w:sz w:val="20"/>
                <w:szCs w:val="20"/>
                <w:color w:val="auto"/>
              </w:rPr>
            </w:pPr>
            <w:r>
              <w:rPr>
                <w:rFonts w:ascii="Courier New" w:cs="Courier New" w:eastAsia="Courier New" w:hAnsi="Courier New"/>
                <w:sz w:val="15"/>
                <w:szCs w:val="15"/>
                <w:color w:val="auto"/>
              </w:rPr>
              <w:t>3,825,451</w:t>
            </w:r>
          </w:p>
        </w:tc>
        <w:tc>
          <w:tcPr>
            <w:tcW w:w="16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2,564,913</w:t>
            </w:r>
          </w:p>
        </w:tc>
        <w:tc>
          <w:tcPr>
            <w:tcW w:w="16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15,763,521</w:t>
            </w:r>
          </w:p>
        </w:tc>
        <w:tc>
          <w:tcPr>
            <w:tcW w:w="1700" w:type="dxa"/>
            <w:vAlign w:val="bottom"/>
          </w:tcPr>
          <w:p>
            <w:pPr>
              <w:spacing w:after="0"/>
              <w:rPr>
                <w:sz w:val="8"/>
                <w:szCs w:val="8"/>
                <w:color w:val="auto"/>
              </w:rPr>
            </w:pPr>
          </w:p>
        </w:tc>
        <w:tc>
          <w:tcPr>
            <w:tcW w:w="1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15,763,521</w:t>
            </w:r>
          </w:p>
        </w:tc>
        <w:tc>
          <w:tcPr>
            <w:tcW w:w="0" w:type="dxa"/>
            <w:vAlign w:val="bottom"/>
          </w:tcPr>
          <w:p>
            <w:pPr>
              <w:spacing w:after="0"/>
              <w:rPr>
                <w:sz w:val="1"/>
                <w:szCs w:val="1"/>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Employee</w:t>
            </w:r>
          </w:p>
        </w:tc>
        <w:tc>
          <w:tcPr>
            <w:tcW w:w="16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Employer</w:t>
            </w:r>
          </w:p>
        </w:tc>
        <w:tc>
          <w:tcPr>
            <w:tcW w:w="164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2,197,074</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1,642,510</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8,083,327</w:t>
            </w:r>
          </w:p>
        </w:tc>
        <w:tc>
          <w:tcPr>
            <w:tcW w:w="17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8,083,327</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640" w:type="dxa"/>
            <w:vAlign w:val="bottom"/>
            <w:vMerge w:val="restart"/>
          </w:tcPr>
          <w:p>
            <w:pPr>
              <w:jc w:val="right"/>
              <w:ind w:right="209"/>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4"/>
                <w:szCs w:val="24"/>
                <w:color w:val="auto"/>
                <w:w w:val="71"/>
                <w:vertAlign w:val="subscript"/>
              </w:rPr>
              <w:t>6,022,525</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continue"/>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4,207,423</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23,846,848</w:t>
            </w:r>
          </w:p>
        </w:tc>
        <w:tc>
          <w:tcPr>
            <w:tcW w:w="17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23,846,848</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640" w:type="dxa"/>
            <w:vAlign w:val="bottom"/>
            <w:vMerge w:val="restart"/>
          </w:tcPr>
          <w:p>
            <w:pPr>
              <w:jc w:val="right"/>
              <w:ind w:right="209"/>
              <w:spacing w:after="0"/>
              <w:rPr>
                <w:sz w:val="20"/>
                <w:szCs w:val="20"/>
                <w:color w:val="auto"/>
              </w:rPr>
            </w:pPr>
            <w:r>
              <w:rPr>
                <w:rFonts w:ascii="Courier New" w:cs="Courier New" w:eastAsia="Courier New" w:hAnsi="Courier New"/>
                <w:sz w:val="12"/>
                <w:szCs w:val="12"/>
                <w:color w:val="auto"/>
                <w:w w:val="73"/>
              </w:rPr>
              <w:t>-------------</w:t>
            </w:r>
            <w:r>
              <w:rPr>
                <w:rFonts w:ascii="Courier New" w:cs="Courier New" w:eastAsia="Courier New" w:hAnsi="Courier New"/>
                <w:sz w:val="22"/>
                <w:szCs w:val="22"/>
                <w:color w:val="auto"/>
                <w:w w:val="73"/>
                <w:vertAlign w:val="subscript"/>
              </w:rPr>
              <w:t>38,518,617</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continue"/>
          </w:tcPr>
          <w:p>
            <w:pPr>
              <w:spacing w:after="0"/>
              <w:rPr>
                <w:sz w:val="14"/>
                <w:szCs w:val="14"/>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6,550,553</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74,563,501</w:t>
            </w:r>
          </w:p>
        </w:tc>
        <w:tc>
          <w:tcPr>
            <w:tcW w:w="17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74,563,501</w:t>
            </w:r>
          </w:p>
        </w:tc>
        <w:tc>
          <w:tcPr>
            <w:tcW w:w="0" w:type="dxa"/>
            <w:vAlign w:val="bottom"/>
          </w:tcPr>
          <w:p>
            <w:pPr>
              <w:spacing w:after="0"/>
              <w:rPr>
                <w:sz w:val="1"/>
                <w:szCs w:val="1"/>
                <w:color w:val="auto"/>
              </w:rPr>
            </w:pPr>
          </w:p>
        </w:tc>
      </w:tr>
      <w:tr>
        <w:trPr>
          <w:trHeight w:val="249"/>
        </w:trPr>
        <w:tc>
          <w:tcPr>
            <w:tcW w:w="3060" w:type="dxa"/>
            <w:vAlign w:val="bottom"/>
          </w:tcPr>
          <w:p>
            <w:pPr>
              <w:spacing w:after="0"/>
              <w:rPr>
                <w:sz w:val="21"/>
                <w:szCs w:val="21"/>
                <w:color w:val="auto"/>
              </w:rPr>
            </w:pPr>
          </w:p>
        </w:tc>
        <w:tc>
          <w:tcPr>
            <w:tcW w:w="164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continue"/>
          </w:tcPr>
          <w:p>
            <w:pPr>
              <w:spacing w:after="0"/>
              <w:rPr>
                <w:sz w:val="21"/>
                <w:szCs w:val="21"/>
                <w:color w:val="auto"/>
              </w:rPr>
            </w:pP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060" w:type="dxa"/>
            <w:vAlign w:val="bottom"/>
          </w:tcPr>
          <w:p>
            <w:pPr>
              <w:spacing w:after="0"/>
              <w:rPr>
                <w:sz w:val="20"/>
                <w:szCs w:val="20"/>
                <w:color w:val="auto"/>
              </w:rPr>
            </w:pPr>
            <w:r>
              <w:rPr>
                <w:rFonts w:ascii="Courier New" w:cs="Courier New" w:eastAsia="Courier New" w:hAnsi="Courier New"/>
                <w:sz w:val="15"/>
                <w:szCs w:val="15"/>
                <w:color w:val="auto"/>
              </w:rPr>
              <w:t>DEDUCTIONS FROM NET</w:t>
            </w:r>
          </w:p>
        </w:tc>
        <w:tc>
          <w:tcPr>
            <w:tcW w:w="16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160"/>
              <w:spacing w:after="0"/>
              <w:rPr>
                <w:sz w:val="20"/>
                <w:szCs w:val="20"/>
                <w:color w:val="auto"/>
              </w:rPr>
            </w:pPr>
            <w:r>
              <w:rPr>
                <w:rFonts w:ascii="Courier New" w:cs="Courier New" w:eastAsia="Courier New" w:hAnsi="Courier New"/>
                <w:sz w:val="15"/>
                <w:szCs w:val="15"/>
                <w:color w:val="auto"/>
              </w:rPr>
              <w:t>ASSETS ATTRIBUTED TO:</w:t>
            </w:r>
          </w:p>
        </w:tc>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Benefits paid to participants</w:t>
            </w:r>
          </w:p>
        </w:tc>
        <w:tc>
          <w:tcPr>
            <w:tcW w:w="1640" w:type="dxa"/>
            <w:vAlign w:val="bottom"/>
            <w:vMerge w:val="restart"/>
          </w:tcPr>
          <w:p>
            <w:pPr>
              <w:jc w:val="right"/>
              <w:ind w:right="209"/>
              <w:spacing w:after="0"/>
              <w:rPr>
                <w:sz w:val="20"/>
                <w:szCs w:val="20"/>
                <w:color w:val="auto"/>
              </w:rPr>
            </w:pPr>
            <w:r>
              <w:rPr>
                <w:rFonts w:ascii="Courier New" w:cs="Courier New" w:eastAsia="Courier New" w:hAnsi="Courier New"/>
                <w:sz w:val="15"/>
                <w:szCs w:val="15"/>
                <w:color w:val="auto"/>
              </w:rPr>
              <w:t>3,272,382</w:t>
            </w:r>
          </w:p>
        </w:tc>
        <w:tc>
          <w:tcPr>
            <w:tcW w:w="16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3,697,640</w:t>
            </w:r>
          </w:p>
        </w:tc>
        <w:tc>
          <w:tcPr>
            <w:tcW w:w="16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12,898,203</w:t>
            </w:r>
          </w:p>
        </w:tc>
        <w:tc>
          <w:tcPr>
            <w:tcW w:w="17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677,783</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13,575,986</w:t>
            </w:r>
          </w:p>
        </w:tc>
        <w:tc>
          <w:tcPr>
            <w:tcW w:w="0" w:type="dxa"/>
            <w:vAlign w:val="bottom"/>
          </w:tcPr>
          <w:p>
            <w:pPr>
              <w:spacing w:after="0"/>
              <w:rPr>
                <w:sz w:val="1"/>
                <w:szCs w:val="1"/>
                <w:color w:val="auto"/>
              </w:rPr>
            </w:pPr>
          </w:p>
        </w:tc>
      </w:tr>
      <w:tr>
        <w:trPr>
          <w:trHeight w:val="171"/>
        </w:trPr>
        <w:tc>
          <w:tcPr>
            <w:tcW w:w="3060" w:type="dxa"/>
            <w:vAlign w:val="bottom"/>
          </w:tcPr>
          <w:p>
            <w:pPr>
              <w:ind w:left="520"/>
              <w:spacing w:after="0"/>
              <w:rPr>
                <w:sz w:val="20"/>
                <w:szCs w:val="20"/>
                <w:color w:val="auto"/>
              </w:rPr>
            </w:pPr>
            <w:r>
              <w:rPr>
                <w:rFonts w:ascii="Courier New" w:cs="Courier New" w:eastAsia="Courier New" w:hAnsi="Courier New"/>
                <w:sz w:val="15"/>
                <w:szCs w:val="15"/>
                <w:color w:val="auto"/>
              </w:rPr>
              <w:t>or beneficiaries</w:t>
            </w:r>
          </w:p>
        </w:tc>
        <w:tc>
          <w:tcPr>
            <w:tcW w:w="16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640" w:type="dxa"/>
            <w:vAlign w:val="bottom"/>
            <w:vMerge w:val="restart"/>
          </w:tcPr>
          <w:p>
            <w:pPr>
              <w:jc w:val="right"/>
              <w:ind w:right="209"/>
              <w:spacing w:after="0"/>
              <w:rPr>
                <w:sz w:val="20"/>
                <w:szCs w:val="20"/>
                <w:color w:val="auto"/>
              </w:rPr>
            </w:pPr>
            <w:r>
              <w:rPr>
                <w:rFonts w:ascii="Courier New" w:cs="Courier New" w:eastAsia="Courier New" w:hAnsi="Courier New"/>
                <w:sz w:val="13"/>
                <w:szCs w:val="13"/>
                <w:color w:val="auto"/>
                <w:w w:val="71"/>
              </w:rPr>
              <w:t>-------------</w:t>
            </w:r>
            <w:r>
              <w:rPr>
                <w:rFonts w:ascii="Courier New" w:cs="Courier New" w:eastAsia="Courier New" w:hAnsi="Courier New"/>
                <w:sz w:val="24"/>
                <w:szCs w:val="24"/>
                <w:color w:val="auto"/>
                <w:w w:val="71"/>
                <w:vertAlign w:val="subscript"/>
              </w:rPr>
              <w:t>3,272,382</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640" w:type="dxa"/>
            <w:vAlign w:val="bottom"/>
            <w:vMerge w:val="continue"/>
          </w:tcPr>
          <w:p>
            <w:pPr>
              <w:spacing w:after="0"/>
              <w:rPr>
                <w:sz w:val="14"/>
                <w:szCs w:val="14"/>
                <w:color w:val="auto"/>
              </w:rPr>
            </w:pP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3,697,640</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12,898,203</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677,783</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13,575,986</w:t>
            </w:r>
          </w:p>
        </w:tc>
        <w:tc>
          <w:tcPr>
            <w:tcW w:w="0" w:type="dxa"/>
            <w:vAlign w:val="bottom"/>
          </w:tcPr>
          <w:p>
            <w:pPr>
              <w:spacing w:after="0"/>
              <w:rPr>
                <w:sz w:val="1"/>
                <w:szCs w:val="1"/>
                <w:color w:val="auto"/>
              </w:rPr>
            </w:pPr>
          </w:p>
        </w:tc>
      </w:tr>
      <w:tr>
        <w:trPr>
          <w:trHeight w:val="249"/>
        </w:trPr>
        <w:tc>
          <w:tcPr>
            <w:tcW w:w="3060" w:type="dxa"/>
            <w:vAlign w:val="bottom"/>
          </w:tcPr>
          <w:p>
            <w:pPr>
              <w:spacing w:after="0"/>
              <w:rPr>
                <w:sz w:val="21"/>
                <w:szCs w:val="21"/>
                <w:color w:val="auto"/>
              </w:rPr>
            </w:pPr>
          </w:p>
        </w:tc>
        <w:tc>
          <w:tcPr>
            <w:tcW w:w="1640" w:type="dxa"/>
            <w:vAlign w:val="bottom"/>
          </w:tcPr>
          <w:p>
            <w:pPr>
              <w:jc w:val="right"/>
              <w:ind w:right="209"/>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ectPr>
          <w:pgSz w:w="11900" w:h="16838" w:orient="portrait"/>
          <w:cols w:equalWidth="0" w:num="1">
            <w:col w:w="11180"/>
          </w:cols>
          <w:pgMar w:left="240" w:top="434" w:right="479" w:bottom="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Net increase (decrease) prior to</w:t>
            </w:r>
          </w:p>
        </w:tc>
        <w:tc>
          <w:tcPr>
            <w:tcW w:w="168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35,246,235</w:t>
            </w:r>
          </w:p>
        </w:tc>
        <w:tc>
          <w:tcPr>
            <w:tcW w:w="168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2,852,913</w:t>
            </w:r>
          </w:p>
        </w:tc>
        <w:tc>
          <w:tcPr>
            <w:tcW w:w="170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61,665,298</w:t>
            </w:r>
          </w:p>
        </w:tc>
        <w:tc>
          <w:tcPr>
            <w:tcW w:w="400" w:type="dxa"/>
            <w:vAlign w:val="bottom"/>
          </w:tcPr>
          <w:p>
            <w:pPr>
              <w:spacing w:after="0"/>
              <w:rPr>
                <w:sz w:val="14"/>
                <w:szCs w:val="14"/>
                <w:color w:val="auto"/>
              </w:rPr>
            </w:pPr>
          </w:p>
        </w:tc>
        <w:tc>
          <w:tcPr>
            <w:tcW w:w="128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(677,783)</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60,987,515</w:t>
            </w:r>
          </w:p>
        </w:tc>
        <w:tc>
          <w:tcPr>
            <w:tcW w:w="0" w:type="dxa"/>
            <w:vAlign w:val="bottom"/>
          </w:tcPr>
          <w:p>
            <w:pPr>
              <w:spacing w:after="0"/>
              <w:rPr>
                <w:sz w:val="1"/>
                <w:szCs w:val="1"/>
                <w:color w:val="auto"/>
              </w:rPr>
            </w:pPr>
          </w:p>
        </w:tc>
      </w:tr>
      <w:tr>
        <w:trPr>
          <w:trHeight w:val="171"/>
        </w:trPr>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interfund transfers</w:t>
            </w:r>
          </w:p>
        </w:tc>
        <w:tc>
          <w:tcPr>
            <w:tcW w:w="16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Loan repayments--principal</w:t>
            </w: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583,396</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751,538</w:t>
            </w:r>
          </w:p>
        </w:tc>
        <w:tc>
          <w:tcPr>
            <w:tcW w:w="17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2,516,585</w:t>
            </w:r>
          </w:p>
        </w:tc>
        <w:tc>
          <w:tcPr>
            <w:tcW w:w="40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(2,516,585)</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Loan withdrawals</w:t>
            </w:r>
          </w:p>
        </w:tc>
        <w:tc>
          <w:tcPr>
            <w:tcW w:w="16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(1,158,161)</w:t>
            </w:r>
          </w:p>
        </w:tc>
        <w:tc>
          <w:tcPr>
            <w:tcW w:w="16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(891,331)</w:t>
            </w:r>
          </w:p>
        </w:tc>
        <w:tc>
          <w:tcPr>
            <w:tcW w:w="17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(3,358,902)</w:t>
            </w:r>
          </w:p>
        </w:tc>
        <w:tc>
          <w:tcPr>
            <w:tcW w:w="40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3,358,902</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Other interfund transfers</w:t>
            </w: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2,514,881</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3,547,276</w:t>
            </w:r>
          </w:p>
        </w:tc>
        <w:tc>
          <w:tcPr>
            <w:tcW w:w="170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vMerge w:val="restart"/>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60" w:type="dxa"/>
            <w:vAlign w:val="bottom"/>
            <w:vMerge w:val="restart"/>
          </w:tcPr>
          <w:p>
            <w:pPr>
              <w:spacing w:after="0"/>
              <w:rPr>
                <w:sz w:val="20"/>
                <w:szCs w:val="20"/>
                <w:color w:val="auto"/>
              </w:rPr>
            </w:pPr>
            <w:r>
              <w:rPr>
                <w:rFonts w:ascii="Courier New" w:cs="Courier New" w:eastAsia="Courier New" w:hAnsi="Courier New"/>
                <w:sz w:val="15"/>
                <w:szCs w:val="15"/>
                <w:color w:val="auto"/>
              </w:rPr>
              <w:t>Net increase (decrease)</w:t>
            </w: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vMerge w:val="continue"/>
          </w:tcPr>
          <w:p>
            <w:pPr>
              <w:spacing w:after="0"/>
              <w:rPr>
                <w:sz w:val="14"/>
                <w:szCs w:val="14"/>
                <w:color w:val="auto"/>
              </w:rPr>
            </w:pP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37,186,351</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6,260,396</w:t>
            </w:r>
          </w:p>
        </w:tc>
        <w:tc>
          <w:tcPr>
            <w:tcW w:w="17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60,822,981</w:t>
            </w:r>
          </w:p>
        </w:tc>
        <w:tc>
          <w:tcPr>
            <w:tcW w:w="40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164,534</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60,987,515</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6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160"/>
              <w:spacing w:after="0"/>
              <w:rPr>
                <w:sz w:val="20"/>
                <w:szCs w:val="20"/>
                <w:color w:val="auto"/>
              </w:rPr>
            </w:pPr>
            <w:r>
              <w:rPr>
                <w:rFonts w:ascii="Courier New" w:cs="Courier New" w:eastAsia="Courier New" w:hAnsi="Courier New"/>
                <w:sz w:val="15"/>
                <w:szCs w:val="15"/>
                <w:color w:val="auto"/>
              </w:rPr>
              <w:t>FOR BENEFITS:</w:t>
            </w:r>
          </w:p>
        </w:tc>
        <w:tc>
          <w:tcPr>
            <w:tcW w:w="168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39,144,617</w:t>
            </w:r>
          </w:p>
        </w:tc>
        <w:tc>
          <w:tcPr>
            <w:tcW w:w="168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34,274,026</w:t>
            </w:r>
          </w:p>
        </w:tc>
        <w:tc>
          <w:tcPr>
            <w:tcW w:w="170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144,093,842</w:t>
            </w:r>
          </w:p>
        </w:tc>
        <w:tc>
          <w:tcPr>
            <w:tcW w:w="400" w:type="dxa"/>
            <w:vAlign w:val="bottom"/>
          </w:tcPr>
          <w:p>
            <w:pPr>
              <w:spacing w:after="0"/>
              <w:rPr>
                <w:sz w:val="14"/>
                <w:szCs w:val="14"/>
                <w:color w:val="auto"/>
              </w:rPr>
            </w:pPr>
          </w:p>
        </w:tc>
        <w:tc>
          <w:tcPr>
            <w:tcW w:w="128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6,174,371</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150,268,213</w:t>
            </w:r>
          </w:p>
        </w:tc>
        <w:tc>
          <w:tcPr>
            <w:tcW w:w="0" w:type="dxa"/>
            <w:vAlign w:val="bottom"/>
          </w:tcPr>
          <w:p>
            <w:pPr>
              <w:spacing w:after="0"/>
              <w:rPr>
                <w:sz w:val="1"/>
                <w:szCs w:val="1"/>
                <w:color w:val="auto"/>
              </w:rPr>
            </w:pPr>
          </w:p>
        </w:tc>
      </w:tr>
      <w:tr>
        <w:trPr>
          <w:trHeight w:val="171"/>
        </w:trPr>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Beginning of year</w:t>
            </w:r>
          </w:p>
        </w:tc>
        <w:tc>
          <w:tcPr>
            <w:tcW w:w="168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End of year</w:t>
            </w: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60" w:type="dxa"/>
            <w:vAlign w:val="bottom"/>
            <w:vMerge w:val="continue"/>
          </w:tcPr>
          <w:p>
            <w:pPr>
              <w:spacing w:after="0"/>
              <w:rPr>
                <w:sz w:val="14"/>
                <w:szCs w:val="14"/>
                <w:color w:val="auto"/>
              </w:rPr>
            </w:pP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76,330,968</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40,534,422</w:t>
            </w:r>
          </w:p>
        </w:tc>
        <w:tc>
          <w:tcPr>
            <w:tcW w:w="17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$ 204,916,823</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6,338,905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$ 211,255,728</w:t>
            </w:r>
          </w:p>
        </w:tc>
        <w:tc>
          <w:tcPr>
            <w:tcW w:w="0" w:type="dxa"/>
            <w:vAlign w:val="bottom"/>
          </w:tcPr>
          <w:p>
            <w:pPr>
              <w:spacing w:after="0"/>
              <w:rPr>
                <w:sz w:val="1"/>
                <w:szCs w:val="1"/>
                <w:color w:val="auto"/>
              </w:rPr>
            </w:pPr>
          </w:p>
        </w:tc>
      </w:tr>
      <w:tr>
        <w:trPr>
          <w:trHeight w:val="249"/>
        </w:trPr>
        <w:tc>
          <w:tcPr>
            <w:tcW w:w="3060" w:type="dxa"/>
            <w:vAlign w:val="bottom"/>
          </w:tcPr>
          <w:p>
            <w:pPr>
              <w:spacing w:after="0"/>
              <w:rPr>
                <w:sz w:val="21"/>
                <w:szCs w:val="21"/>
                <w:color w:val="auto"/>
              </w:rPr>
            </w:pPr>
          </w:p>
        </w:tc>
        <w:tc>
          <w:tcPr>
            <w:tcW w:w="16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- 3 -</w:t>
      </w:r>
    </w:p>
    <w:p>
      <w:pPr>
        <w:sectPr>
          <w:pgSz w:w="11900" w:h="16838" w:orient="portrait"/>
          <w:cols w:equalWidth="0" w:num="1">
            <w:col w:w="11180"/>
          </w:cols>
          <w:pgMar w:left="240" w:top="115" w:right="479" w:bottom="1440" w:gutter="0" w:footer="0" w:header="0"/>
        </w:sectPr>
      </w:pPr>
    </w:p>
    <w:bookmarkStart w:id="6" w:name="page7"/>
    <w:bookmarkEnd w:id="6"/>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5" w:lineRule="exact"/>
        <w:rPr>
          <w:sz w:val="20"/>
          <w:szCs w:val="20"/>
          <w:color w:val="auto"/>
        </w:rPr>
      </w:pPr>
    </w:p>
    <w:p>
      <w:pPr>
        <w:ind w:right="4180"/>
        <w:spacing w:after="0" w:line="259" w:lineRule="auto"/>
        <w:rPr>
          <w:sz w:val="20"/>
          <w:szCs w:val="20"/>
          <w:color w:val="auto"/>
        </w:rPr>
      </w:pPr>
      <w:r>
        <w:rPr>
          <w:rFonts w:ascii="Courier New" w:cs="Courier New" w:eastAsia="Courier New" w:hAnsi="Courier New"/>
          <w:sz w:val="15"/>
          <w:szCs w:val="15"/>
          <w:color w:val="auto"/>
        </w:rPr>
        <w:t>STATEMENT OF CHANGES IN NET ASSETS AVAILABLE FOR BENEFITS WITH FUND INFORMATION YEAR ENDED DECEMBER 31, 1997</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700" w:type="dxa"/>
            <w:vAlign w:val="bottom"/>
            <w:gridSpan w:val="2"/>
          </w:tcPr>
          <w:p>
            <w:pPr>
              <w:jc w:val="right"/>
              <w:ind w:right="506"/>
              <w:spacing w:after="0"/>
              <w:rPr>
                <w:sz w:val="20"/>
                <w:szCs w:val="20"/>
                <w:color w:val="auto"/>
              </w:rPr>
            </w:pPr>
            <w:r>
              <w:rPr>
                <w:rFonts w:ascii="Courier New" w:cs="Courier New" w:eastAsia="Courier New" w:hAnsi="Courier New"/>
                <w:sz w:val="15"/>
                <w:szCs w:val="15"/>
                <w:color w:val="auto"/>
              </w:rPr>
              <w:t>Mutual Funds</w:t>
            </w: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8120" w:type="dxa"/>
            <w:vAlign w:val="bottom"/>
            <w:gridSpan w:val="8"/>
          </w:tcPr>
          <w:p>
            <w:pPr>
              <w:jc w:val="right"/>
              <w:ind w:right="38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Dodge and</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Fidelity Blue</w:t>
            </w:r>
          </w:p>
        </w:tc>
        <w:tc>
          <w:tcPr>
            <w:tcW w:w="500" w:type="dxa"/>
            <w:vAlign w:val="bottom"/>
          </w:tcPr>
          <w:p>
            <w:pPr>
              <w:spacing w:after="0"/>
              <w:rPr>
                <w:sz w:val="14"/>
                <w:szCs w:val="14"/>
                <w:color w:val="auto"/>
              </w:rPr>
            </w:pPr>
          </w:p>
        </w:tc>
        <w:tc>
          <w:tcPr>
            <w:tcW w:w="1200" w:type="dxa"/>
            <w:vAlign w:val="bottom"/>
            <w:vMerge w:val="restart"/>
          </w:tcPr>
          <w:p>
            <w:pPr>
              <w:spacing w:after="0"/>
              <w:rPr>
                <w:sz w:val="20"/>
                <w:szCs w:val="20"/>
                <w:color w:val="auto"/>
              </w:rPr>
            </w:pPr>
            <w:r>
              <w:rPr>
                <w:rFonts w:ascii="Courier New" w:cs="Courier New" w:eastAsia="Courier New" w:hAnsi="Courier New"/>
                <w:sz w:val="15"/>
                <w:szCs w:val="15"/>
                <w:color w:val="auto"/>
              </w:rPr>
              <w:t>PBHG</w:t>
            </w:r>
          </w:p>
        </w:tc>
        <w:tc>
          <w:tcPr>
            <w:tcW w:w="30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Ivy</w:t>
            </w:r>
          </w:p>
        </w:tc>
        <w:tc>
          <w:tcPr>
            <w:tcW w:w="1560" w:type="dxa"/>
            <w:vAlign w:val="bottom"/>
            <w:vMerge w:val="restart"/>
          </w:tcPr>
          <w:p>
            <w:pPr>
              <w:jc w:val="right"/>
              <w:ind w:right="386"/>
              <w:spacing w:after="0"/>
              <w:rPr>
                <w:sz w:val="20"/>
                <w:szCs w:val="20"/>
                <w:color w:val="auto"/>
              </w:rPr>
            </w:pPr>
            <w:r>
              <w:rPr>
                <w:rFonts w:ascii="Courier New" w:cs="Courier New" w:eastAsia="Courier New" w:hAnsi="Courier New"/>
                <w:sz w:val="15"/>
                <w:szCs w:val="15"/>
                <w:color w:val="auto"/>
                <w:w w:val="99"/>
              </w:rPr>
              <w:t>Total Mutual</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Cox Balanced</w:t>
            </w:r>
          </w:p>
        </w:tc>
        <w:tc>
          <w:tcPr>
            <w:tcW w:w="15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Chip Growth</w:t>
            </w:r>
          </w:p>
        </w:tc>
        <w:tc>
          <w:tcPr>
            <w:tcW w:w="5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International</w:t>
            </w: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Fund</w:t>
            </w:r>
          </w:p>
        </w:tc>
        <w:tc>
          <w:tcPr>
            <w:tcW w:w="1580" w:type="dxa"/>
            <w:vAlign w:val="bottom"/>
          </w:tcPr>
          <w:p>
            <w:pPr>
              <w:jc w:val="right"/>
              <w:ind w:right="586"/>
              <w:spacing w:after="0"/>
              <w:rPr>
                <w:sz w:val="20"/>
                <w:szCs w:val="20"/>
                <w:color w:val="auto"/>
              </w:rPr>
            </w:pPr>
            <w:r>
              <w:rPr>
                <w:rFonts w:ascii="Courier New" w:cs="Courier New" w:eastAsia="Courier New" w:hAnsi="Courier New"/>
                <w:sz w:val="15"/>
                <w:szCs w:val="15"/>
                <w:color w:val="auto"/>
              </w:rPr>
              <w:t>Fund</w:t>
            </w:r>
          </w:p>
        </w:tc>
        <w:tc>
          <w:tcPr>
            <w:tcW w:w="170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Growth Fund</w:t>
            </w:r>
          </w:p>
        </w:tc>
        <w:tc>
          <w:tcPr>
            <w:tcW w:w="30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Fund</w:t>
            </w:r>
          </w:p>
        </w:tc>
        <w:tc>
          <w:tcPr>
            <w:tcW w:w="156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Funds</w:t>
            </w:r>
          </w:p>
        </w:tc>
        <w:tc>
          <w:tcPr>
            <w:tcW w:w="0" w:type="dxa"/>
            <w:vAlign w:val="bottom"/>
          </w:tcPr>
          <w:p>
            <w:pPr>
              <w:spacing w:after="0"/>
              <w:rPr>
                <w:sz w:val="1"/>
                <w:szCs w:val="1"/>
                <w:color w:val="auto"/>
              </w:rPr>
            </w:pPr>
          </w:p>
        </w:tc>
      </w:tr>
      <w:tr>
        <w:trPr>
          <w:trHeight w:val="249"/>
        </w:trPr>
        <w:tc>
          <w:tcPr>
            <w:tcW w:w="1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263"/>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ADDITIONS TO NET ASSETS</w:t>
            </w: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w w:val="96"/>
              </w:rPr>
              <w:t>ATTRIBUTED TO:</w:t>
            </w: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Investment income:</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Net realized and unrealized</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appreciation</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(depreciation) in fair</w:t>
            </w:r>
          </w:p>
        </w:tc>
        <w:tc>
          <w:tcPr>
            <w:tcW w:w="4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1,792,883</w:t>
            </w:r>
          </w:p>
        </w:tc>
        <w:tc>
          <w:tcPr>
            <w:tcW w:w="158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  5,929,901</w:t>
            </w:r>
          </w:p>
        </w:tc>
        <w:tc>
          <w:tcPr>
            <w:tcW w:w="5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(67,073)</w:t>
            </w:r>
          </w:p>
        </w:tc>
        <w:tc>
          <w:tcPr>
            <w:tcW w:w="3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jc w:val="right"/>
              <w:ind w:right="406"/>
              <w:spacing w:after="0"/>
              <w:rPr>
                <w:sz w:val="20"/>
                <w:szCs w:val="20"/>
                <w:color w:val="auto"/>
              </w:rPr>
            </w:pPr>
            <w:r>
              <w:rPr>
                <w:rFonts w:ascii="Courier New" w:cs="Courier New" w:eastAsia="Courier New" w:hAnsi="Courier New"/>
                <w:sz w:val="15"/>
                <w:szCs w:val="15"/>
                <w:color w:val="auto"/>
              </w:rPr>
              <w:t>274,312</w:t>
            </w:r>
          </w:p>
        </w:tc>
        <w:tc>
          <w:tcPr>
            <w:tcW w:w="1560" w:type="dxa"/>
            <w:vAlign w:val="bottom"/>
            <w:vMerge w:val="restart"/>
          </w:tcPr>
          <w:p>
            <w:pPr>
              <w:jc w:val="right"/>
              <w:ind w:right="386"/>
              <w:spacing w:after="0"/>
              <w:rPr>
                <w:sz w:val="20"/>
                <w:szCs w:val="20"/>
                <w:color w:val="auto"/>
              </w:rPr>
            </w:pPr>
            <w:r>
              <w:rPr>
                <w:rFonts w:ascii="Courier New" w:cs="Courier New" w:eastAsia="Courier New" w:hAnsi="Courier New"/>
                <w:sz w:val="15"/>
                <w:szCs w:val="15"/>
                <w:color w:val="auto"/>
                <w:w w:val="99"/>
              </w:rPr>
              <w:t>$  7,930,023</w:t>
            </w:r>
          </w:p>
        </w:tc>
        <w:tc>
          <w:tcPr>
            <w:tcW w:w="0" w:type="dxa"/>
            <w:vAlign w:val="bottom"/>
          </w:tcPr>
          <w:p>
            <w:pPr>
              <w:spacing w:after="0"/>
              <w:rPr>
                <w:sz w:val="1"/>
                <w:szCs w:val="1"/>
                <w:color w:val="auto"/>
              </w:rPr>
            </w:pPr>
          </w:p>
        </w:tc>
      </w:tr>
      <w:tr>
        <w:trPr>
          <w:trHeight w:val="171"/>
        </w:trPr>
        <w:tc>
          <w:tcPr>
            <w:tcW w:w="30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value of investments</w:t>
            </w:r>
          </w:p>
        </w:tc>
        <w:tc>
          <w:tcPr>
            <w:tcW w:w="4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Interest and dividends</w:t>
            </w:r>
          </w:p>
        </w:tc>
        <w:tc>
          <w:tcPr>
            <w:tcW w:w="40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1,532,461</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1,884,234</w:t>
            </w:r>
          </w:p>
        </w:tc>
        <w:tc>
          <w:tcPr>
            <w:tcW w:w="1700" w:type="dxa"/>
            <w:vAlign w:val="bottom"/>
            <w:gridSpan w:val="2"/>
            <w:vMerge w:val="restart"/>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133,488</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3,550,183</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3"/>
                <w:szCs w:val="3"/>
                <w:color w:val="auto"/>
                <w:w w:val="73"/>
              </w:rPr>
              <w:t>------------</w:t>
            </w:r>
          </w:p>
        </w:tc>
        <w:tc>
          <w:tcPr>
            <w:tcW w:w="120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3,325,344</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vMerge w:val="continue"/>
          </w:tcPr>
          <w:p>
            <w:pPr>
              <w:spacing w:after="0"/>
              <w:rPr>
                <w:sz w:val="14"/>
                <w:szCs w:val="14"/>
                <w:color w:val="auto"/>
              </w:rPr>
            </w:pP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7,814,135</w:t>
            </w:r>
          </w:p>
        </w:tc>
        <w:tc>
          <w:tcPr>
            <w:tcW w:w="50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(67,073)</w:t>
            </w:r>
          </w:p>
        </w:tc>
        <w:tc>
          <w:tcPr>
            <w:tcW w:w="300" w:type="dxa"/>
            <w:vAlign w:val="bottom"/>
          </w:tcPr>
          <w:p>
            <w:pPr>
              <w:spacing w:after="0"/>
              <w:rPr>
                <w:sz w:val="14"/>
                <w:szCs w:val="14"/>
                <w:color w:val="auto"/>
              </w:rPr>
            </w:pP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407,800</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11,480,206</w:t>
            </w:r>
          </w:p>
        </w:tc>
        <w:tc>
          <w:tcPr>
            <w:tcW w:w="0" w:type="dxa"/>
            <w:vAlign w:val="bottom"/>
          </w:tcPr>
          <w:p>
            <w:pPr>
              <w:spacing w:after="0"/>
              <w:rPr>
                <w:sz w:val="1"/>
                <w:szCs w:val="1"/>
                <w:color w:val="auto"/>
              </w:rPr>
            </w:pPr>
          </w:p>
        </w:tc>
      </w:tr>
      <w:tr>
        <w:trPr>
          <w:trHeight w:val="249"/>
        </w:trPr>
        <w:tc>
          <w:tcPr>
            <w:tcW w:w="15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96"/>
              </w:rPr>
              <w:t>Contributions:</w:t>
            </w:r>
          </w:p>
        </w:tc>
        <w:tc>
          <w:tcPr>
            <w:tcW w:w="1560" w:type="dxa"/>
            <w:vAlign w:val="bottom"/>
          </w:tcPr>
          <w:p>
            <w:pPr>
              <w:spacing w:after="0"/>
              <w:rPr>
                <w:sz w:val="21"/>
                <w:szCs w:val="21"/>
                <w:color w:val="auto"/>
              </w:rPr>
            </w:pPr>
          </w:p>
        </w:tc>
        <w:tc>
          <w:tcPr>
            <w:tcW w:w="16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3,121,095</w:t>
            </w:r>
          </w:p>
        </w:tc>
        <w:tc>
          <w:tcPr>
            <w:tcW w:w="158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5,240,073</w:t>
            </w:r>
          </w:p>
        </w:tc>
        <w:tc>
          <w:tcPr>
            <w:tcW w:w="500" w:type="dxa"/>
            <w:vAlign w:val="bottom"/>
          </w:tcPr>
          <w:p>
            <w:pPr>
              <w:spacing w:after="0"/>
              <w:rPr>
                <w:sz w:val="8"/>
                <w:szCs w:val="8"/>
                <w:color w:val="auto"/>
              </w:rPr>
            </w:pPr>
          </w:p>
        </w:tc>
        <w:tc>
          <w:tcPr>
            <w:tcW w:w="120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w w:val="96"/>
              </w:rPr>
              <w:t>1,535,385</w:t>
            </w:r>
          </w:p>
        </w:tc>
        <w:tc>
          <w:tcPr>
            <w:tcW w:w="300" w:type="dxa"/>
            <w:vAlign w:val="bottom"/>
          </w:tcPr>
          <w:p>
            <w:pPr>
              <w:spacing w:after="0"/>
              <w:rPr>
                <w:sz w:val="8"/>
                <w:szCs w:val="8"/>
                <w:color w:val="auto"/>
              </w:rPr>
            </w:pPr>
          </w:p>
        </w:tc>
        <w:tc>
          <w:tcPr>
            <w:tcW w:w="1380" w:type="dxa"/>
            <w:vAlign w:val="bottom"/>
            <w:vMerge w:val="restart"/>
          </w:tcPr>
          <w:p>
            <w:pPr>
              <w:jc w:val="right"/>
              <w:ind w:right="406"/>
              <w:spacing w:after="0"/>
              <w:rPr>
                <w:sz w:val="20"/>
                <w:szCs w:val="20"/>
                <w:color w:val="auto"/>
              </w:rPr>
            </w:pPr>
            <w:r>
              <w:rPr>
                <w:rFonts w:ascii="Courier New" w:cs="Courier New" w:eastAsia="Courier New" w:hAnsi="Courier New"/>
                <w:sz w:val="15"/>
                <w:szCs w:val="15"/>
                <w:color w:val="auto"/>
              </w:rPr>
              <w:t>2,047,378</w:t>
            </w:r>
          </w:p>
        </w:tc>
        <w:tc>
          <w:tcPr>
            <w:tcW w:w="1560" w:type="dxa"/>
            <w:vAlign w:val="bottom"/>
            <w:vMerge w:val="restart"/>
          </w:tcPr>
          <w:p>
            <w:pPr>
              <w:jc w:val="right"/>
              <w:ind w:right="386"/>
              <w:spacing w:after="0"/>
              <w:rPr>
                <w:sz w:val="20"/>
                <w:szCs w:val="20"/>
                <w:color w:val="auto"/>
              </w:rPr>
            </w:pPr>
            <w:r>
              <w:rPr>
                <w:rFonts w:ascii="Courier New" w:cs="Courier New" w:eastAsia="Courier New" w:hAnsi="Courier New"/>
                <w:sz w:val="15"/>
                <w:szCs w:val="15"/>
                <w:color w:val="auto"/>
              </w:rPr>
              <w:t>11,943,931</w:t>
            </w:r>
          </w:p>
        </w:tc>
        <w:tc>
          <w:tcPr>
            <w:tcW w:w="0" w:type="dxa"/>
            <w:vAlign w:val="bottom"/>
          </w:tcPr>
          <w:p>
            <w:pPr>
              <w:spacing w:after="0"/>
              <w:rPr>
                <w:sz w:val="1"/>
                <w:szCs w:val="1"/>
                <w:color w:val="auto"/>
              </w:rPr>
            </w:pPr>
          </w:p>
        </w:tc>
      </w:tr>
      <w:tr>
        <w:trPr>
          <w:trHeight w:val="171"/>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Employee</w:t>
            </w: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Employer</w:t>
            </w: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898,586</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1,649,103</w:t>
            </w:r>
          </w:p>
        </w:tc>
        <w:tc>
          <w:tcPr>
            <w:tcW w:w="5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390,842</w:t>
            </w:r>
          </w:p>
        </w:tc>
        <w:tc>
          <w:tcPr>
            <w:tcW w:w="300" w:type="dxa"/>
            <w:vAlign w:val="bottom"/>
          </w:tcPr>
          <w:p>
            <w:pPr>
              <w:spacing w:after="0"/>
              <w:rPr>
                <w:sz w:val="14"/>
                <w:szCs w:val="14"/>
                <w:color w:val="auto"/>
              </w:rPr>
            </w:pP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423,160</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3,361,691</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3"/>
                <w:szCs w:val="3"/>
                <w:color w:val="auto"/>
                <w:w w:val="73"/>
              </w:rPr>
              <w:t>------------</w:t>
            </w:r>
          </w:p>
        </w:tc>
        <w:tc>
          <w:tcPr>
            <w:tcW w:w="120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4,019,681</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6,889,176</w:t>
            </w:r>
          </w:p>
        </w:tc>
        <w:tc>
          <w:tcPr>
            <w:tcW w:w="5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1,926,227</w:t>
            </w:r>
          </w:p>
        </w:tc>
        <w:tc>
          <w:tcPr>
            <w:tcW w:w="300" w:type="dxa"/>
            <w:vAlign w:val="bottom"/>
          </w:tcPr>
          <w:p>
            <w:pPr>
              <w:spacing w:after="0"/>
              <w:rPr>
                <w:sz w:val="14"/>
                <w:szCs w:val="14"/>
                <w:color w:val="auto"/>
              </w:rPr>
            </w:pP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2,470,538</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15,305,622</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3"/>
                <w:szCs w:val="3"/>
                <w:color w:val="auto"/>
                <w:w w:val="73"/>
              </w:rPr>
              <w:t>------------</w:t>
            </w:r>
          </w:p>
        </w:tc>
        <w:tc>
          <w:tcPr>
            <w:tcW w:w="120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7,345,025</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14,703,311</w:t>
            </w:r>
          </w:p>
        </w:tc>
        <w:tc>
          <w:tcPr>
            <w:tcW w:w="5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1,859,154</w:t>
            </w:r>
          </w:p>
        </w:tc>
        <w:tc>
          <w:tcPr>
            <w:tcW w:w="300" w:type="dxa"/>
            <w:vAlign w:val="bottom"/>
          </w:tcPr>
          <w:p>
            <w:pPr>
              <w:spacing w:after="0"/>
              <w:rPr>
                <w:sz w:val="14"/>
                <w:szCs w:val="14"/>
                <w:color w:val="auto"/>
              </w:rPr>
            </w:pP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2,878,338</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26,785,828</w:t>
            </w:r>
          </w:p>
        </w:tc>
        <w:tc>
          <w:tcPr>
            <w:tcW w:w="0" w:type="dxa"/>
            <w:vAlign w:val="bottom"/>
          </w:tcPr>
          <w:p>
            <w:pPr>
              <w:spacing w:after="0"/>
              <w:rPr>
                <w:sz w:val="1"/>
                <w:szCs w:val="1"/>
                <w:color w:val="auto"/>
              </w:rPr>
            </w:pPr>
          </w:p>
        </w:tc>
      </w:tr>
      <w:tr>
        <w:trPr>
          <w:trHeight w:val="249"/>
        </w:trPr>
        <w:tc>
          <w:tcPr>
            <w:tcW w:w="30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DEDUCTIONS FROM NET</w:t>
            </w:r>
          </w:p>
        </w:tc>
        <w:tc>
          <w:tcPr>
            <w:tcW w:w="16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2"/>
        </w:trPr>
        <w:tc>
          <w:tcPr>
            <w:tcW w:w="306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5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1"/>
        </w:trPr>
        <w:tc>
          <w:tcPr>
            <w:tcW w:w="30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ASSETS ATTRIBUTED TO:</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Benefits paid to participants</w:t>
            </w:r>
          </w:p>
        </w:tc>
        <w:tc>
          <w:tcPr>
            <w:tcW w:w="400" w:type="dxa"/>
            <w:vAlign w:val="bottom"/>
          </w:tcPr>
          <w:p>
            <w:pPr>
              <w:spacing w:after="0"/>
              <w:rPr>
                <w:sz w:val="14"/>
                <w:szCs w:val="14"/>
                <w:color w:val="auto"/>
              </w:rPr>
            </w:pPr>
          </w:p>
        </w:tc>
        <w:tc>
          <w:tcPr>
            <w:tcW w:w="120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997,293</w:t>
            </w:r>
          </w:p>
        </w:tc>
        <w:tc>
          <w:tcPr>
            <w:tcW w:w="158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2,370,839</w:t>
            </w:r>
          </w:p>
        </w:tc>
        <w:tc>
          <w:tcPr>
            <w:tcW w:w="500" w:type="dxa"/>
            <w:vAlign w:val="bottom"/>
          </w:tcPr>
          <w:p>
            <w:pPr>
              <w:spacing w:after="0"/>
              <w:rPr>
                <w:sz w:val="14"/>
                <w:szCs w:val="14"/>
                <w:color w:val="auto"/>
              </w:rPr>
            </w:pPr>
          </w:p>
        </w:tc>
        <w:tc>
          <w:tcPr>
            <w:tcW w:w="120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rPr>
              <w:t>352,551</w:t>
            </w:r>
          </w:p>
        </w:tc>
        <w:tc>
          <w:tcPr>
            <w:tcW w:w="300" w:type="dxa"/>
            <w:vAlign w:val="bottom"/>
          </w:tcPr>
          <w:p>
            <w:pPr>
              <w:spacing w:after="0"/>
              <w:rPr>
                <w:sz w:val="14"/>
                <w:szCs w:val="14"/>
                <w:color w:val="auto"/>
              </w:rPr>
            </w:pPr>
          </w:p>
        </w:tc>
        <w:tc>
          <w:tcPr>
            <w:tcW w:w="1380" w:type="dxa"/>
            <w:vAlign w:val="bottom"/>
            <w:vMerge w:val="restart"/>
          </w:tcPr>
          <w:p>
            <w:pPr>
              <w:jc w:val="right"/>
              <w:ind w:right="406"/>
              <w:spacing w:after="0"/>
              <w:rPr>
                <w:sz w:val="20"/>
                <w:szCs w:val="20"/>
                <w:color w:val="auto"/>
              </w:rPr>
            </w:pPr>
            <w:r>
              <w:rPr>
                <w:rFonts w:ascii="Courier New" w:cs="Courier New" w:eastAsia="Courier New" w:hAnsi="Courier New"/>
                <w:sz w:val="15"/>
                <w:szCs w:val="15"/>
                <w:color w:val="auto"/>
              </w:rPr>
              <w:t>340,298</w:t>
            </w:r>
          </w:p>
        </w:tc>
        <w:tc>
          <w:tcPr>
            <w:tcW w:w="1560" w:type="dxa"/>
            <w:vAlign w:val="bottom"/>
            <w:vMerge w:val="restart"/>
          </w:tcPr>
          <w:p>
            <w:pPr>
              <w:jc w:val="right"/>
              <w:ind w:right="386"/>
              <w:spacing w:after="0"/>
              <w:rPr>
                <w:sz w:val="20"/>
                <w:szCs w:val="20"/>
                <w:color w:val="auto"/>
              </w:rPr>
            </w:pPr>
            <w:r>
              <w:rPr>
                <w:rFonts w:ascii="Courier New" w:cs="Courier New" w:eastAsia="Courier New" w:hAnsi="Courier New"/>
                <w:sz w:val="15"/>
                <w:szCs w:val="15"/>
                <w:color w:val="auto"/>
              </w:rPr>
              <w:t>4,060,981</w:t>
            </w:r>
          </w:p>
        </w:tc>
        <w:tc>
          <w:tcPr>
            <w:tcW w:w="0" w:type="dxa"/>
            <w:vAlign w:val="bottom"/>
          </w:tcPr>
          <w:p>
            <w:pPr>
              <w:spacing w:after="0"/>
              <w:rPr>
                <w:sz w:val="1"/>
                <w:szCs w:val="1"/>
                <w:color w:val="auto"/>
              </w:rPr>
            </w:pPr>
          </w:p>
        </w:tc>
      </w:tr>
      <w:tr>
        <w:trPr>
          <w:trHeight w:val="171"/>
        </w:trPr>
        <w:tc>
          <w:tcPr>
            <w:tcW w:w="30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or beneficiaries</w:t>
            </w:r>
          </w:p>
        </w:tc>
        <w:tc>
          <w:tcPr>
            <w:tcW w:w="4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3"/>
                <w:szCs w:val="3"/>
                <w:color w:val="auto"/>
                <w:w w:val="73"/>
              </w:rPr>
              <w:t>------------</w:t>
            </w:r>
          </w:p>
        </w:tc>
        <w:tc>
          <w:tcPr>
            <w:tcW w:w="120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997,293</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2,370,839</w:t>
            </w:r>
          </w:p>
        </w:tc>
        <w:tc>
          <w:tcPr>
            <w:tcW w:w="5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352,551</w:t>
            </w:r>
          </w:p>
        </w:tc>
        <w:tc>
          <w:tcPr>
            <w:tcW w:w="300" w:type="dxa"/>
            <w:vAlign w:val="bottom"/>
          </w:tcPr>
          <w:p>
            <w:pPr>
              <w:spacing w:after="0"/>
              <w:rPr>
                <w:sz w:val="14"/>
                <w:szCs w:val="14"/>
                <w:color w:val="auto"/>
              </w:rPr>
            </w:pP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340,298</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4,060,981</w:t>
            </w:r>
          </w:p>
        </w:tc>
        <w:tc>
          <w:tcPr>
            <w:tcW w:w="0" w:type="dxa"/>
            <w:vAlign w:val="bottom"/>
          </w:tcPr>
          <w:p>
            <w:pPr>
              <w:spacing w:after="0"/>
              <w:rPr>
                <w:sz w:val="1"/>
                <w:szCs w:val="1"/>
                <w:color w:val="auto"/>
              </w:rPr>
            </w:pPr>
          </w:p>
        </w:tc>
      </w:tr>
      <w:tr>
        <w:trPr>
          <w:trHeight w:val="249"/>
        </w:trPr>
        <w:tc>
          <w:tcPr>
            <w:tcW w:w="3060" w:type="dxa"/>
            <w:vAlign w:val="bottom"/>
            <w:gridSpan w:val="2"/>
            <w:vMerge w:val="restart"/>
          </w:tcPr>
          <w:p>
            <w:pPr>
              <w:spacing w:after="0"/>
              <w:rPr>
                <w:sz w:val="20"/>
                <w:szCs w:val="20"/>
                <w:color w:val="auto"/>
              </w:rPr>
            </w:pPr>
            <w:r>
              <w:rPr>
                <w:rFonts w:ascii="Courier New" w:cs="Courier New" w:eastAsia="Courier New" w:hAnsi="Courier New"/>
                <w:sz w:val="15"/>
                <w:szCs w:val="15"/>
                <w:color w:val="auto"/>
              </w:rPr>
              <w:t>Net increase (decrease) prior to</w:t>
            </w:r>
          </w:p>
        </w:tc>
        <w:tc>
          <w:tcPr>
            <w:tcW w:w="16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92"/>
        </w:trPr>
        <w:tc>
          <w:tcPr>
            <w:tcW w:w="306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6,347,732</w:t>
            </w:r>
          </w:p>
        </w:tc>
        <w:tc>
          <w:tcPr>
            <w:tcW w:w="158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12,332,472</w:t>
            </w:r>
          </w:p>
        </w:tc>
        <w:tc>
          <w:tcPr>
            <w:tcW w:w="500" w:type="dxa"/>
            <w:vAlign w:val="bottom"/>
          </w:tcPr>
          <w:p>
            <w:pPr>
              <w:spacing w:after="0"/>
              <w:rPr>
                <w:sz w:val="8"/>
                <w:szCs w:val="8"/>
                <w:color w:val="auto"/>
              </w:rPr>
            </w:pPr>
          </w:p>
        </w:tc>
        <w:tc>
          <w:tcPr>
            <w:tcW w:w="120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w w:val="96"/>
              </w:rPr>
              <w:t>1,506,603</w:t>
            </w:r>
          </w:p>
        </w:tc>
        <w:tc>
          <w:tcPr>
            <w:tcW w:w="300" w:type="dxa"/>
            <w:vAlign w:val="bottom"/>
          </w:tcPr>
          <w:p>
            <w:pPr>
              <w:spacing w:after="0"/>
              <w:rPr>
                <w:sz w:val="8"/>
                <w:szCs w:val="8"/>
                <w:color w:val="auto"/>
              </w:rPr>
            </w:pPr>
          </w:p>
        </w:tc>
        <w:tc>
          <w:tcPr>
            <w:tcW w:w="1380" w:type="dxa"/>
            <w:vAlign w:val="bottom"/>
            <w:vMerge w:val="restart"/>
          </w:tcPr>
          <w:p>
            <w:pPr>
              <w:jc w:val="right"/>
              <w:ind w:right="406"/>
              <w:spacing w:after="0"/>
              <w:rPr>
                <w:sz w:val="20"/>
                <w:szCs w:val="20"/>
                <w:color w:val="auto"/>
              </w:rPr>
            </w:pPr>
            <w:r>
              <w:rPr>
                <w:rFonts w:ascii="Courier New" w:cs="Courier New" w:eastAsia="Courier New" w:hAnsi="Courier New"/>
                <w:sz w:val="15"/>
                <w:szCs w:val="15"/>
                <w:color w:val="auto"/>
              </w:rPr>
              <w:t>2,538,040</w:t>
            </w:r>
          </w:p>
        </w:tc>
        <w:tc>
          <w:tcPr>
            <w:tcW w:w="1560" w:type="dxa"/>
            <w:vAlign w:val="bottom"/>
            <w:vMerge w:val="restart"/>
          </w:tcPr>
          <w:p>
            <w:pPr>
              <w:jc w:val="right"/>
              <w:ind w:right="386"/>
              <w:spacing w:after="0"/>
              <w:rPr>
                <w:sz w:val="20"/>
                <w:szCs w:val="20"/>
                <w:color w:val="auto"/>
              </w:rPr>
            </w:pPr>
            <w:r>
              <w:rPr>
                <w:rFonts w:ascii="Courier New" w:cs="Courier New" w:eastAsia="Courier New" w:hAnsi="Courier New"/>
                <w:sz w:val="15"/>
                <w:szCs w:val="15"/>
                <w:color w:val="auto"/>
              </w:rPr>
              <w:t>22,724,847</w:t>
            </w:r>
          </w:p>
        </w:tc>
        <w:tc>
          <w:tcPr>
            <w:tcW w:w="0" w:type="dxa"/>
            <w:vAlign w:val="bottom"/>
          </w:tcPr>
          <w:p>
            <w:pPr>
              <w:spacing w:after="0"/>
              <w:rPr>
                <w:sz w:val="1"/>
                <w:szCs w:val="1"/>
                <w:color w:val="auto"/>
              </w:rPr>
            </w:pPr>
          </w:p>
        </w:tc>
      </w:tr>
      <w:tr>
        <w:trPr>
          <w:trHeight w:val="171"/>
        </w:trPr>
        <w:tc>
          <w:tcPr>
            <w:tcW w:w="30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interfund transfers</w:t>
            </w:r>
          </w:p>
        </w:tc>
        <w:tc>
          <w:tcPr>
            <w:tcW w:w="4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w w:val="96"/>
              </w:rPr>
              <w:t>Loan repayments--</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principal</w:t>
            </w:r>
          </w:p>
        </w:tc>
        <w:tc>
          <w:tcPr>
            <w:tcW w:w="40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251,296</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508,748</w:t>
            </w:r>
          </w:p>
        </w:tc>
        <w:tc>
          <w:tcPr>
            <w:tcW w:w="5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83,815</w:t>
            </w:r>
          </w:p>
        </w:tc>
        <w:tc>
          <w:tcPr>
            <w:tcW w:w="300" w:type="dxa"/>
            <w:vAlign w:val="bottom"/>
          </w:tcPr>
          <w:p>
            <w:pPr>
              <w:spacing w:after="0"/>
              <w:rPr>
                <w:sz w:val="14"/>
                <w:szCs w:val="14"/>
                <w:color w:val="auto"/>
              </w:rPr>
            </w:pP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98,235</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942,094</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rPr>
              <w:t>Loan withdrawals</w:t>
            </w: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(538,711)</w:t>
            </w:r>
          </w:p>
        </w:tc>
        <w:tc>
          <w:tcPr>
            <w:tcW w:w="15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(988,514)</w:t>
            </w:r>
          </w:p>
        </w:tc>
        <w:tc>
          <w:tcPr>
            <w:tcW w:w="50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(185,809)</w:t>
            </w:r>
          </w:p>
        </w:tc>
        <w:tc>
          <w:tcPr>
            <w:tcW w:w="300" w:type="dxa"/>
            <w:vAlign w:val="bottom"/>
          </w:tcPr>
          <w:p>
            <w:pPr>
              <w:spacing w:after="0"/>
              <w:rPr>
                <w:sz w:val="14"/>
                <w:szCs w:val="14"/>
                <w:color w:val="auto"/>
              </w:rPr>
            </w:pPr>
          </w:p>
        </w:tc>
        <w:tc>
          <w:tcPr>
            <w:tcW w:w="138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(231,170)</w:t>
            </w:r>
          </w:p>
        </w:tc>
        <w:tc>
          <w:tcPr>
            <w:tcW w:w="156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(1,944,204)</w:t>
            </w:r>
          </w:p>
        </w:tc>
        <w:tc>
          <w:tcPr>
            <w:tcW w:w="0" w:type="dxa"/>
            <w:vAlign w:val="bottom"/>
          </w:tcPr>
          <w:p>
            <w:pPr>
              <w:spacing w:after="0"/>
              <w:rPr>
                <w:sz w:val="1"/>
                <w:szCs w:val="1"/>
                <w:color w:val="auto"/>
              </w:rPr>
            </w:pPr>
          </w:p>
        </w:tc>
      </w:tr>
      <w:tr>
        <w:trPr>
          <w:trHeight w:val="171"/>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Other interfund transfers</w:t>
            </w:r>
          </w:p>
        </w:tc>
        <w:tc>
          <w:tcPr>
            <w:tcW w:w="400" w:type="dxa"/>
            <w:vAlign w:val="bottom"/>
          </w:tcPr>
          <w:p>
            <w:pPr>
              <w:spacing w:after="0"/>
              <w:rPr>
                <w:sz w:val="14"/>
                <w:szCs w:val="14"/>
                <w:color w:val="auto"/>
              </w:rPr>
            </w:pPr>
          </w:p>
        </w:tc>
        <w:tc>
          <w:tcPr>
            <w:tcW w:w="12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637,979</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775,677</w:t>
            </w:r>
          </w:p>
        </w:tc>
        <w:tc>
          <w:tcPr>
            <w:tcW w:w="5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807,746</w:t>
            </w:r>
          </w:p>
        </w:tc>
        <w:tc>
          <w:tcPr>
            <w:tcW w:w="300" w:type="dxa"/>
            <w:vAlign w:val="bottom"/>
          </w:tcPr>
          <w:p>
            <w:pPr>
              <w:spacing w:after="0"/>
              <w:rPr>
                <w:sz w:val="14"/>
                <w:szCs w:val="14"/>
                <w:color w:val="auto"/>
              </w:rPr>
            </w:pP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979,714</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3,201,116</w:t>
            </w:r>
          </w:p>
        </w:tc>
        <w:tc>
          <w:tcPr>
            <w:tcW w:w="0" w:type="dxa"/>
            <w:vAlign w:val="bottom"/>
          </w:tcPr>
          <w:p>
            <w:pPr>
              <w:spacing w:after="0"/>
              <w:rPr>
                <w:sz w:val="1"/>
                <w:szCs w:val="1"/>
                <w:color w:val="auto"/>
              </w:rPr>
            </w:pPr>
          </w:p>
        </w:tc>
      </w:tr>
      <w:tr>
        <w:trPr>
          <w:trHeight w:val="171"/>
        </w:trPr>
        <w:tc>
          <w:tcPr>
            <w:tcW w:w="1500" w:type="dxa"/>
            <w:vAlign w:val="bottom"/>
            <w:vMerge w:val="restart"/>
          </w:tcPr>
          <w:p>
            <w:pPr>
              <w:spacing w:after="0"/>
              <w:rPr>
                <w:sz w:val="20"/>
                <w:szCs w:val="20"/>
                <w:color w:val="auto"/>
              </w:rPr>
            </w:pPr>
            <w:r>
              <w:rPr>
                <w:rFonts w:ascii="Courier New" w:cs="Courier New" w:eastAsia="Courier New" w:hAnsi="Courier New"/>
                <w:sz w:val="15"/>
                <w:szCs w:val="15"/>
                <w:color w:val="auto"/>
              </w:rPr>
              <w:t>Net increase</w:t>
            </w:r>
          </w:p>
        </w:tc>
        <w:tc>
          <w:tcPr>
            <w:tcW w:w="156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3"/>
                <w:szCs w:val="3"/>
                <w:color w:val="auto"/>
                <w:w w:val="73"/>
              </w:rPr>
              <w:t>------------</w:t>
            </w:r>
          </w:p>
        </w:tc>
        <w:tc>
          <w:tcPr>
            <w:tcW w:w="120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6,698,296</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1"/>
        </w:trPr>
        <w:tc>
          <w:tcPr>
            <w:tcW w:w="150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12,628,383</w:t>
            </w:r>
          </w:p>
        </w:tc>
        <w:tc>
          <w:tcPr>
            <w:tcW w:w="500" w:type="dxa"/>
            <w:vAlign w:val="bottom"/>
          </w:tcPr>
          <w:p>
            <w:pPr>
              <w:spacing w:after="0"/>
              <w:rPr>
                <w:sz w:val="14"/>
                <w:szCs w:val="14"/>
                <w:color w:val="auto"/>
              </w:rPr>
            </w:pP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2,212,355</w:t>
            </w:r>
          </w:p>
        </w:tc>
        <w:tc>
          <w:tcPr>
            <w:tcW w:w="300" w:type="dxa"/>
            <w:vAlign w:val="bottom"/>
          </w:tcPr>
          <w:p>
            <w:pPr>
              <w:spacing w:after="0"/>
              <w:rPr>
                <w:sz w:val="14"/>
                <w:szCs w:val="14"/>
                <w:color w:val="auto"/>
              </w:rPr>
            </w:pP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3,384,819</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24,923,853</w:t>
            </w:r>
          </w:p>
        </w:tc>
        <w:tc>
          <w:tcPr>
            <w:tcW w:w="0" w:type="dxa"/>
            <w:vAlign w:val="bottom"/>
          </w:tcPr>
          <w:p>
            <w:pPr>
              <w:spacing w:after="0"/>
              <w:rPr>
                <w:sz w:val="1"/>
                <w:szCs w:val="1"/>
                <w:color w:val="auto"/>
              </w:rPr>
            </w:pPr>
          </w:p>
        </w:tc>
      </w:tr>
      <w:tr>
        <w:trPr>
          <w:trHeight w:val="171"/>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NET ASSETS AVAILABLE</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tcPr>
          <w:p>
            <w:pPr>
              <w:ind w:left="160"/>
              <w:spacing w:after="0"/>
              <w:rPr>
                <w:sz w:val="20"/>
                <w:szCs w:val="20"/>
                <w:color w:val="auto"/>
              </w:rPr>
            </w:pPr>
            <w:r>
              <w:rPr>
                <w:rFonts w:ascii="Courier New" w:cs="Courier New" w:eastAsia="Courier New" w:hAnsi="Courier New"/>
                <w:sz w:val="15"/>
                <w:szCs w:val="15"/>
                <w:color w:val="auto"/>
              </w:rPr>
              <w:t>FOR BENEFITS:</w:t>
            </w: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w w:val="95"/>
              </w:rPr>
              <w:t>13,520,611</w:t>
            </w:r>
          </w:p>
        </w:tc>
        <w:tc>
          <w:tcPr>
            <w:tcW w:w="158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26,443,398</w:t>
            </w:r>
          </w:p>
        </w:tc>
        <w:tc>
          <w:tcPr>
            <w:tcW w:w="500" w:type="dxa"/>
            <w:vAlign w:val="bottom"/>
          </w:tcPr>
          <w:p>
            <w:pPr>
              <w:spacing w:after="0"/>
              <w:rPr>
                <w:sz w:val="14"/>
                <w:szCs w:val="14"/>
                <w:color w:val="auto"/>
              </w:rPr>
            </w:pPr>
          </w:p>
        </w:tc>
        <w:tc>
          <w:tcPr>
            <w:tcW w:w="1200" w:type="dxa"/>
            <w:vAlign w:val="bottom"/>
            <w:vMerge w:val="restart"/>
          </w:tcPr>
          <w:p>
            <w:pPr>
              <w:jc w:val="right"/>
              <w:ind w:right="326"/>
              <w:spacing w:after="0"/>
              <w:rPr>
                <w:sz w:val="20"/>
                <w:szCs w:val="20"/>
                <w:color w:val="auto"/>
              </w:rPr>
            </w:pPr>
            <w:r>
              <w:rPr>
                <w:rFonts w:ascii="Courier New" w:cs="Courier New" w:eastAsia="Courier New" w:hAnsi="Courier New"/>
                <w:sz w:val="15"/>
                <w:szCs w:val="15"/>
                <w:color w:val="auto"/>
                <w:w w:val="96"/>
              </w:rPr>
              <w:t>3,483,526</w:t>
            </w:r>
          </w:p>
        </w:tc>
        <w:tc>
          <w:tcPr>
            <w:tcW w:w="300" w:type="dxa"/>
            <w:vAlign w:val="bottom"/>
          </w:tcPr>
          <w:p>
            <w:pPr>
              <w:spacing w:after="0"/>
              <w:rPr>
                <w:sz w:val="14"/>
                <w:szCs w:val="14"/>
                <w:color w:val="auto"/>
              </w:rPr>
            </w:pPr>
          </w:p>
        </w:tc>
        <w:tc>
          <w:tcPr>
            <w:tcW w:w="1380" w:type="dxa"/>
            <w:vAlign w:val="bottom"/>
            <w:vMerge w:val="restart"/>
          </w:tcPr>
          <w:p>
            <w:pPr>
              <w:jc w:val="right"/>
              <w:ind w:right="406"/>
              <w:spacing w:after="0"/>
              <w:rPr>
                <w:sz w:val="20"/>
                <w:szCs w:val="20"/>
                <w:color w:val="auto"/>
              </w:rPr>
            </w:pPr>
            <w:r>
              <w:rPr>
                <w:rFonts w:ascii="Courier New" w:cs="Courier New" w:eastAsia="Courier New" w:hAnsi="Courier New"/>
                <w:sz w:val="15"/>
                <w:szCs w:val="15"/>
                <w:color w:val="auto"/>
              </w:rPr>
              <w:t>2,303,811</w:t>
            </w:r>
          </w:p>
        </w:tc>
        <w:tc>
          <w:tcPr>
            <w:tcW w:w="1560" w:type="dxa"/>
            <w:vAlign w:val="bottom"/>
            <w:vMerge w:val="restart"/>
          </w:tcPr>
          <w:p>
            <w:pPr>
              <w:jc w:val="right"/>
              <w:ind w:right="386"/>
              <w:spacing w:after="0"/>
              <w:rPr>
                <w:sz w:val="20"/>
                <w:szCs w:val="20"/>
                <w:color w:val="auto"/>
              </w:rPr>
            </w:pPr>
            <w:r>
              <w:rPr>
                <w:rFonts w:ascii="Courier New" w:cs="Courier New" w:eastAsia="Courier New" w:hAnsi="Courier New"/>
                <w:sz w:val="15"/>
                <w:szCs w:val="15"/>
                <w:color w:val="auto"/>
              </w:rPr>
              <w:t>45,751,346</w:t>
            </w:r>
          </w:p>
        </w:tc>
        <w:tc>
          <w:tcPr>
            <w:tcW w:w="0" w:type="dxa"/>
            <w:vAlign w:val="bottom"/>
          </w:tcPr>
          <w:p>
            <w:pPr>
              <w:spacing w:after="0"/>
              <w:rPr>
                <w:sz w:val="1"/>
                <w:szCs w:val="1"/>
                <w:color w:val="auto"/>
              </w:rPr>
            </w:pPr>
          </w:p>
        </w:tc>
      </w:tr>
      <w:tr>
        <w:trPr>
          <w:trHeight w:val="171"/>
        </w:trPr>
        <w:tc>
          <w:tcPr>
            <w:tcW w:w="30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Beginning of year</w:t>
            </w:r>
          </w:p>
        </w:tc>
        <w:tc>
          <w:tcPr>
            <w:tcW w:w="4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End of year</w:t>
            </w:r>
          </w:p>
        </w:tc>
        <w:tc>
          <w:tcPr>
            <w:tcW w:w="1560" w:type="dxa"/>
            <w:vAlign w:val="bottom"/>
          </w:tcPr>
          <w:p>
            <w:pPr>
              <w:spacing w:after="0"/>
              <w:rPr>
                <w:sz w:val="14"/>
                <w:szCs w:val="14"/>
                <w:color w:val="auto"/>
              </w:rPr>
            </w:pPr>
          </w:p>
        </w:tc>
        <w:tc>
          <w:tcPr>
            <w:tcW w:w="1600" w:type="dxa"/>
            <w:vAlign w:val="bottom"/>
            <w:gridSpan w:val="2"/>
            <w:vMerge w:val="restart"/>
          </w:tcPr>
          <w:p>
            <w:pPr>
              <w:jc w:val="right"/>
              <w:ind w:right="246"/>
              <w:spacing w:after="0"/>
              <w:rPr>
                <w:sz w:val="20"/>
                <w:szCs w:val="20"/>
                <w:color w:val="auto"/>
              </w:rPr>
            </w:pPr>
            <w:r>
              <w:rPr>
                <w:rFonts w:ascii="Courier New" w:cs="Courier New" w:eastAsia="Courier New" w:hAnsi="Courier New"/>
                <w:sz w:val="21"/>
                <w:szCs w:val="21"/>
                <w:color w:val="auto"/>
                <w:w w:val="70"/>
                <w:vertAlign w:val="subscript"/>
              </w:rPr>
              <w:t>$</w:t>
            </w: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20,218,907</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171"/>
        </w:trPr>
        <w:tc>
          <w:tcPr>
            <w:tcW w:w="1500" w:type="dxa"/>
            <w:vAlign w:val="bottom"/>
            <w:vMerge w:val="continue"/>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$ 39,071,781</w:t>
            </w:r>
          </w:p>
        </w:tc>
        <w:tc>
          <w:tcPr>
            <w:tcW w:w="50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326"/>
              <w:spacing w:after="0"/>
              <w:rPr>
                <w:sz w:val="20"/>
                <w:szCs w:val="20"/>
                <w:color w:val="auto"/>
              </w:rPr>
            </w:pPr>
            <w:r>
              <w:rPr>
                <w:rFonts w:ascii="Courier New" w:cs="Courier New" w:eastAsia="Courier New" w:hAnsi="Courier New"/>
                <w:sz w:val="15"/>
                <w:szCs w:val="15"/>
                <w:color w:val="auto"/>
                <w:w w:val="96"/>
              </w:rPr>
              <w:t>5,695,881</w:t>
            </w:r>
          </w:p>
        </w:tc>
        <w:tc>
          <w:tcPr>
            <w:tcW w:w="3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406"/>
              <w:spacing w:after="0"/>
              <w:rPr>
                <w:sz w:val="20"/>
                <w:szCs w:val="20"/>
                <w:color w:val="auto"/>
              </w:rPr>
            </w:pPr>
            <w:r>
              <w:rPr>
                <w:rFonts w:ascii="Courier New" w:cs="Courier New" w:eastAsia="Courier New" w:hAnsi="Courier New"/>
                <w:sz w:val="15"/>
                <w:szCs w:val="15"/>
                <w:color w:val="auto"/>
              </w:rPr>
              <w:t>5,688,630</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9"/>
              </w:rPr>
              <w:t>$ 70,675,199</w:t>
            </w:r>
          </w:p>
        </w:tc>
        <w:tc>
          <w:tcPr>
            <w:tcW w:w="0" w:type="dxa"/>
            <w:vAlign w:val="bottom"/>
          </w:tcPr>
          <w:p>
            <w:pPr>
              <w:spacing w:after="0"/>
              <w:rPr>
                <w:sz w:val="1"/>
                <w:szCs w:val="1"/>
                <w:color w:val="auto"/>
              </w:rPr>
            </w:pPr>
          </w:p>
        </w:tc>
      </w:tr>
      <w:tr>
        <w:trPr>
          <w:trHeight w:val="249"/>
        </w:trPr>
        <w:tc>
          <w:tcPr>
            <w:tcW w:w="1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32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40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ind w:right="386"/>
              <w:spacing w:after="0"/>
              <w:rPr>
                <w:sz w:val="20"/>
                <w:szCs w:val="20"/>
                <w:color w:val="auto"/>
              </w:rPr>
            </w:pPr>
            <w:r>
              <w:rPr>
                <w:rFonts w:ascii="Courier New" w:cs="Courier New" w:eastAsia="Courier New" w:hAnsi="Courier New"/>
                <w:sz w:val="15"/>
                <w:szCs w:val="15"/>
                <w:color w:val="auto"/>
                <w:w w:val="99"/>
              </w:rPr>
              <w:t>============</w:t>
            </w:r>
          </w:p>
        </w:tc>
        <w:tc>
          <w:tcPr>
            <w:tcW w:w="0" w:type="dxa"/>
            <w:vAlign w:val="bottom"/>
          </w:tcPr>
          <w:p>
            <w:pPr>
              <w:spacing w:after="0"/>
              <w:rPr>
                <w:sz w:val="1"/>
                <w:szCs w:val="1"/>
                <w:color w:val="auto"/>
              </w:rPr>
            </w:pPr>
          </w:p>
        </w:tc>
      </w:tr>
      <w:tr>
        <w:trPr>
          <w:trHeight w:val="775"/>
        </w:trPr>
        <w:tc>
          <w:tcPr>
            <w:tcW w:w="15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0" w:type="dxa"/>
            <w:vAlign w:val="bottom"/>
            <w:gridSpan w:val="2"/>
            <w:vMerge w:val="restart"/>
          </w:tcPr>
          <w:p>
            <w:pPr>
              <w:ind w:left="220"/>
              <w:spacing w:after="0"/>
              <w:rPr>
                <w:sz w:val="20"/>
                <w:szCs w:val="20"/>
                <w:color w:val="auto"/>
              </w:rPr>
            </w:pPr>
            <w:r>
              <w:rPr>
                <w:rFonts w:ascii="Courier New" w:cs="Courier New" w:eastAsia="Courier New" w:hAnsi="Courier New"/>
                <w:sz w:val="15"/>
                <w:szCs w:val="15"/>
                <w:color w:val="auto"/>
              </w:rPr>
              <w:t>Comcast Stock</w:t>
            </w:r>
          </w:p>
        </w:tc>
        <w:tc>
          <w:tcPr>
            <w:tcW w:w="158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Stable Value</w:t>
            </w:r>
          </w:p>
        </w:tc>
        <w:tc>
          <w:tcPr>
            <w:tcW w:w="500" w:type="dxa"/>
            <w:vAlign w:val="bottom"/>
          </w:tcPr>
          <w:p>
            <w:pPr>
              <w:spacing w:after="0"/>
              <w:rPr>
                <w:sz w:val="24"/>
                <w:szCs w:val="2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Total</w:t>
            </w:r>
          </w:p>
        </w:tc>
        <w:tc>
          <w:tcPr>
            <w:tcW w:w="300" w:type="dxa"/>
            <w:vAlign w:val="bottom"/>
          </w:tcPr>
          <w:p>
            <w:pPr>
              <w:spacing w:after="0"/>
              <w:rPr>
                <w:sz w:val="24"/>
                <w:szCs w:val="24"/>
                <w:color w:val="auto"/>
              </w:rPr>
            </w:pPr>
          </w:p>
        </w:tc>
        <w:tc>
          <w:tcPr>
            <w:tcW w:w="13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Participant</w:t>
            </w: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600" w:type="dxa"/>
            <w:vAlign w:val="bottom"/>
            <w:gridSpan w:val="2"/>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20"/>
                <w:szCs w:val="20"/>
                <w:color w:val="auto"/>
              </w:rPr>
            </w:pPr>
            <w:r>
              <w:rPr>
                <w:rFonts w:ascii="Courier New" w:cs="Courier New" w:eastAsia="Courier New" w:hAnsi="Courier New"/>
                <w:sz w:val="15"/>
                <w:szCs w:val="15"/>
                <w:color w:val="auto"/>
              </w:rPr>
              <w:t>Investment</w:t>
            </w:r>
          </w:p>
        </w:tc>
        <w:tc>
          <w:tcPr>
            <w:tcW w:w="3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56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Fund</w:t>
            </w:r>
          </w:p>
        </w:tc>
        <w:tc>
          <w:tcPr>
            <w:tcW w:w="1580" w:type="dxa"/>
            <w:vAlign w:val="bottom"/>
          </w:tcPr>
          <w:p>
            <w:pPr>
              <w:jc w:val="right"/>
              <w:ind w:right="486"/>
              <w:spacing w:after="0"/>
              <w:rPr>
                <w:sz w:val="20"/>
                <w:szCs w:val="20"/>
                <w:color w:val="auto"/>
              </w:rPr>
            </w:pPr>
            <w:r>
              <w:rPr>
                <w:rFonts w:ascii="Courier New" w:cs="Courier New" w:eastAsia="Courier New" w:hAnsi="Courier New"/>
                <w:sz w:val="15"/>
                <w:szCs w:val="15"/>
                <w:color w:val="auto"/>
              </w:rPr>
              <w:t>Fund</w:t>
            </w:r>
          </w:p>
        </w:tc>
        <w:tc>
          <w:tcPr>
            <w:tcW w:w="500" w:type="dxa"/>
            <w:vAlign w:val="bottom"/>
          </w:tcPr>
          <w:p>
            <w:pPr>
              <w:spacing w:after="0"/>
              <w:rPr>
                <w:sz w:val="14"/>
                <w:szCs w:val="14"/>
                <w:color w:val="auto"/>
              </w:rPr>
            </w:pPr>
          </w:p>
        </w:tc>
        <w:tc>
          <w:tcPr>
            <w:tcW w:w="120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Funds</w:t>
            </w:r>
          </w:p>
        </w:tc>
        <w:tc>
          <w:tcPr>
            <w:tcW w:w="300" w:type="dxa"/>
            <w:vAlign w:val="bottom"/>
          </w:tcPr>
          <w:p>
            <w:pPr>
              <w:spacing w:after="0"/>
              <w:rPr>
                <w:sz w:val="14"/>
                <w:szCs w:val="14"/>
                <w:color w:val="auto"/>
              </w:rPr>
            </w:pPr>
          </w:p>
        </w:tc>
        <w:tc>
          <w:tcPr>
            <w:tcW w:w="1380" w:type="dxa"/>
            <w:vAlign w:val="bottom"/>
          </w:tcPr>
          <w:p>
            <w:pPr>
              <w:ind w:left="180"/>
              <w:spacing w:after="0"/>
              <w:rPr>
                <w:sz w:val="20"/>
                <w:szCs w:val="20"/>
                <w:color w:val="auto"/>
              </w:rPr>
            </w:pPr>
            <w:r>
              <w:rPr>
                <w:rFonts w:ascii="Courier New" w:cs="Courier New" w:eastAsia="Courier New" w:hAnsi="Courier New"/>
                <w:sz w:val="15"/>
                <w:szCs w:val="15"/>
                <w:color w:val="auto"/>
              </w:rPr>
              <w:t>Loan Fund</w:t>
            </w: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ADDITIONS TO NET ASSETS</w:t>
            </w: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1500" w:type="dxa"/>
            <w:vAlign w:val="bottom"/>
          </w:tcPr>
          <w:p>
            <w:pPr>
              <w:ind w:left="260"/>
              <w:spacing w:after="0"/>
              <w:rPr>
                <w:sz w:val="20"/>
                <w:szCs w:val="20"/>
                <w:color w:val="auto"/>
              </w:rPr>
            </w:pPr>
            <w:r>
              <w:rPr>
                <w:rFonts w:ascii="Courier New" w:cs="Courier New" w:eastAsia="Courier New" w:hAnsi="Courier New"/>
                <w:sz w:val="15"/>
                <w:szCs w:val="15"/>
                <w:color w:val="auto"/>
                <w:w w:val="96"/>
              </w:rPr>
              <w:t>ATTRIBUTED TO:</w:t>
            </w: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Investment income:</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Net realized and unrealized</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appreciation</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(depreciation) in fair</w:t>
            </w:r>
          </w:p>
        </w:tc>
        <w:tc>
          <w:tcPr>
            <w:tcW w:w="40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166"/>
              <w:spacing w:after="0"/>
              <w:rPr>
                <w:sz w:val="20"/>
                <w:szCs w:val="20"/>
                <w:color w:val="auto"/>
              </w:rPr>
            </w:pPr>
            <w:r>
              <w:rPr>
                <w:rFonts w:ascii="Courier New" w:cs="Courier New" w:eastAsia="Courier New" w:hAnsi="Courier New"/>
                <w:sz w:val="15"/>
                <w:szCs w:val="15"/>
                <w:color w:val="auto"/>
              </w:rPr>
              <w:t>16,106,341</w:t>
            </w:r>
          </w:p>
        </w:tc>
        <w:tc>
          <w:tcPr>
            <w:tcW w:w="1580" w:type="dxa"/>
            <w:vAlign w:val="bottom"/>
            <w:vMerge w:val="restart"/>
          </w:tcPr>
          <w:p>
            <w:pPr>
              <w:jc w:val="right"/>
              <w:ind w:right="1126"/>
              <w:spacing w:after="0"/>
              <w:rPr>
                <w:sz w:val="20"/>
                <w:szCs w:val="20"/>
                <w:color w:val="auto"/>
              </w:rPr>
            </w:pPr>
            <w:r>
              <w:rPr>
                <w:rFonts w:ascii="Courier New" w:cs="Courier New" w:eastAsia="Courier New" w:hAnsi="Courier New"/>
                <w:sz w:val="15"/>
                <w:szCs w:val="15"/>
                <w:color w:val="auto"/>
              </w:rPr>
              <w:t>$</w:t>
            </w:r>
          </w:p>
        </w:tc>
        <w:tc>
          <w:tcPr>
            <w:tcW w:w="5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24,036,364</w:t>
            </w:r>
          </w:p>
        </w:tc>
        <w:tc>
          <w:tcPr>
            <w:tcW w:w="300" w:type="dxa"/>
            <w:vAlign w:val="bottom"/>
          </w:tcPr>
          <w:p>
            <w:pPr>
              <w:spacing w:after="0"/>
              <w:rPr>
                <w:sz w:val="14"/>
                <w:szCs w:val="14"/>
                <w:color w:val="auto"/>
              </w:rPr>
            </w:pPr>
          </w:p>
        </w:tc>
        <w:tc>
          <w:tcPr>
            <w:tcW w:w="1380" w:type="dxa"/>
            <w:vAlign w:val="bottom"/>
            <w:vMerge w:val="restart"/>
          </w:tcPr>
          <w:p>
            <w:pPr>
              <w:ind w:left="100"/>
              <w:spacing w:after="0"/>
              <w:rPr>
                <w:sz w:val="20"/>
                <w:szCs w:val="20"/>
                <w:color w:val="auto"/>
              </w:rPr>
            </w:pPr>
            <w:r>
              <w:rPr>
                <w:rFonts w:ascii="Courier New" w:cs="Courier New" w:eastAsia="Courier New" w:hAnsi="Courier New"/>
                <w:sz w:val="15"/>
                <w:szCs w:val="15"/>
                <w:color w:val="auto"/>
              </w:rPr>
              <w:t>$</w:t>
            </w:r>
          </w:p>
        </w:tc>
        <w:tc>
          <w:tcPr>
            <w:tcW w:w="1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24,036,364</w:t>
            </w:r>
          </w:p>
        </w:tc>
        <w:tc>
          <w:tcPr>
            <w:tcW w:w="0" w:type="dxa"/>
            <w:vAlign w:val="bottom"/>
          </w:tcPr>
          <w:p>
            <w:pPr>
              <w:spacing w:after="0"/>
              <w:rPr>
                <w:sz w:val="1"/>
                <w:szCs w:val="1"/>
                <w:color w:val="auto"/>
              </w:rPr>
            </w:pPr>
          </w:p>
        </w:tc>
      </w:tr>
      <w:tr>
        <w:trPr>
          <w:trHeight w:val="171"/>
        </w:trPr>
        <w:tc>
          <w:tcPr>
            <w:tcW w:w="30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value of investments</w:t>
            </w:r>
          </w:p>
        </w:tc>
        <w:tc>
          <w:tcPr>
            <w:tcW w:w="4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Interest and dividends</w:t>
            </w:r>
          </w:p>
        </w:tc>
        <w:tc>
          <w:tcPr>
            <w:tcW w:w="400" w:type="dxa"/>
            <w:vAlign w:val="bottom"/>
          </w:tcPr>
          <w:p>
            <w:pPr>
              <w:spacing w:after="0"/>
              <w:rPr>
                <w:sz w:val="14"/>
                <w:szCs w:val="14"/>
                <w:color w:val="auto"/>
              </w:rPr>
            </w:pP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272,014</w:t>
            </w:r>
          </w:p>
        </w:tc>
        <w:tc>
          <w:tcPr>
            <w:tcW w:w="1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2,071,125</w:t>
            </w:r>
          </w:p>
        </w:tc>
        <w:tc>
          <w:tcPr>
            <w:tcW w:w="50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5,893,322</w:t>
            </w:r>
          </w:p>
        </w:tc>
        <w:tc>
          <w:tcPr>
            <w:tcW w:w="300" w:type="dxa"/>
            <w:vAlign w:val="bottom"/>
          </w:tcPr>
          <w:p>
            <w:pPr>
              <w:spacing w:after="0"/>
              <w:rPr>
                <w:sz w:val="14"/>
                <w:szCs w:val="14"/>
                <w:color w:val="auto"/>
              </w:rPr>
            </w:pPr>
          </w:p>
        </w:tc>
        <w:tc>
          <w:tcPr>
            <w:tcW w:w="138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5,893,322</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2"/>
                <w:szCs w:val="2"/>
                <w:color w:val="auto"/>
              </w:rPr>
              <w:t>-------------</w:t>
            </w:r>
          </w:p>
        </w:tc>
        <w:tc>
          <w:tcPr>
            <w:tcW w:w="1200" w:type="dxa"/>
            <w:vAlign w:val="bottom"/>
            <w:vMerge w:val="restart"/>
          </w:tcPr>
          <w:p>
            <w:pPr>
              <w:jc w:val="right"/>
              <w:ind w:right="166"/>
              <w:spacing w:after="0"/>
              <w:rPr>
                <w:sz w:val="20"/>
                <w:szCs w:val="20"/>
                <w:color w:val="auto"/>
              </w:rPr>
            </w:pPr>
            <w:r>
              <w:rPr>
                <w:rFonts w:ascii="Courier New" w:cs="Courier New" w:eastAsia="Courier New" w:hAnsi="Courier New"/>
                <w:sz w:val="15"/>
                <w:szCs w:val="15"/>
                <w:color w:val="auto"/>
              </w:rPr>
              <w:t>16,378,355</w:t>
            </w:r>
          </w:p>
        </w:tc>
        <w:tc>
          <w:tcPr>
            <w:tcW w:w="1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2,071,125</w:t>
            </w:r>
          </w:p>
        </w:tc>
        <w:tc>
          <w:tcPr>
            <w:tcW w:w="50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29,929,686</w:t>
            </w:r>
          </w:p>
        </w:tc>
        <w:tc>
          <w:tcPr>
            <w:tcW w:w="300" w:type="dxa"/>
            <w:vAlign w:val="bottom"/>
          </w:tcPr>
          <w:p>
            <w:pPr>
              <w:spacing w:after="0"/>
              <w:rPr>
                <w:sz w:val="14"/>
                <w:szCs w:val="14"/>
                <w:color w:val="auto"/>
              </w:rPr>
            </w:pPr>
          </w:p>
        </w:tc>
        <w:tc>
          <w:tcPr>
            <w:tcW w:w="138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29,929,686</w:t>
            </w:r>
          </w:p>
        </w:tc>
        <w:tc>
          <w:tcPr>
            <w:tcW w:w="0" w:type="dxa"/>
            <w:vAlign w:val="bottom"/>
          </w:tcPr>
          <w:p>
            <w:pPr>
              <w:spacing w:after="0"/>
              <w:rPr>
                <w:sz w:val="1"/>
                <w:szCs w:val="1"/>
                <w:color w:val="auto"/>
              </w:rPr>
            </w:pPr>
          </w:p>
        </w:tc>
      </w:tr>
      <w:tr>
        <w:trPr>
          <w:trHeight w:val="249"/>
        </w:trPr>
        <w:tc>
          <w:tcPr>
            <w:tcW w:w="1500" w:type="dxa"/>
            <w:vAlign w:val="bottom"/>
            <w:vMerge w:val="restart"/>
          </w:tcPr>
          <w:p>
            <w:pPr>
              <w:ind w:left="260"/>
              <w:spacing w:after="0"/>
              <w:rPr>
                <w:sz w:val="20"/>
                <w:szCs w:val="20"/>
                <w:color w:val="auto"/>
              </w:rPr>
            </w:pPr>
            <w:r>
              <w:rPr>
                <w:rFonts w:ascii="Courier New" w:cs="Courier New" w:eastAsia="Courier New" w:hAnsi="Courier New"/>
                <w:sz w:val="15"/>
                <w:szCs w:val="15"/>
                <w:color w:val="auto"/>
                <w:w w:val="96"/>
              </w:rPr>
              <w:t>Contributions:</w:t>
            </w:r>
          </w:p>
        </w:tc>
        <w:tc>
          <w:tcPr>
            <w:tcW w:w="1560" w:type="dxa"/>
            <w:vAlign w:val="bottom"/>
          </w:tcPr>
          <w:p>
            <w:pPr>
              <w:spacing w:after="0"/>
              <w:rPr>
                <w:sz w:val="21"/>
                <w:szCs w:val="21"/>
                <w:color w:val="auto"/>
              </w:rPr>
            </w:pPr>
          </w:p>
        </w:tc>
        <w:tc>
          <w:tcPr>
            <w:tcW w:w="16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1500" w:type="dxa"/>
            <w:vAlign w:val="bottom"/>
            <w:vMerge w:val="continue"/>
          </w:tcPr>
          <w:p>
            <w:pPr>
              <w:spacing w:after="0"/>
              <w:rPr>
                <w:sz w:val="8"/>
                <w:szCs w:val="8"/>
                <w:color w:val="auto"/>
              </w:rPr>
            </w:pPr>
          </w:p>
        </w:tc>
        <w:tc>
          <w:tcPr>
            <w:tcW w:w="1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0" w:type="dxa"/>
            <w:vAlign w:val="bottom"/>
            <w:vMerge w:val="restart"/>
          </w:tcPr>
          <w:p>
            <w:pPr>
              <w:jc w:val="right"/>
              <w:ind w:right="166"/>
              <w:spacing w:after="0"/>
              <w:rPr>
                <w:sz w:val="20"/>
                <w:szCs w:val="20"/>
                <w:color w:val="auto"/>
              </w:rPr>
            </w:pPr>
            <w:r>
              <w:rPr>
                <w:rFonts w:ascii="Courier New" w:cs="Courier New" w:eastAsia="Courier New" w:hAnsi="Courier New"/>
                <w:sz w:val="15"/>
                <w:szCs w:val="15"/>
                <w:color w:val="auto"/>
              </w:rPr>
              <w:t>2,990,886</w:t>
            </w:r>
          </w:p>
        </w:tc>
        <w:tc>
          <w:tcPr>
            <w:tcW w:w="158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3,450,752</w:t>
            </w:r>
          </w:p>
        </w:tc>
        <w:tc>
          <w:tcPr>
            <w:tcW w:w="500" w:type="dxa"/>
            <w:vAlign w:val="bottom"/>
          </w:tcPr>
          <w:p>
            <w:pPr>
              <w:spacing w:after="0"/>
              <w:rPr>
                <w:sz w:val="8"/>
                <w:szCs w:val="8"/>
                <w:color w:val="auto"/>
              </w:rPr>
            </w:pPr>
          </w:p>
        </w:tc>
        <w:tc>
          <w:tcPr>
            <w:tcW w:w="120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18,385,569</w:t>
            </w:r>
          </w:p>
        </w:tc>
        <w:tc>
          <w:tcPr>
            <w:tcW w:w="30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18,385,569</w:t>
            </w:r>
          </w:p>
        </w:tc>
        <w:tc>
          <w:tcPr>
            <w:tcW w:w="0" w:type="dxa"/>
            <w:vAlign w:val="bottom"/>
          </w:tcPr>
          <w:p>
            <w:pPr>
              <w:spacing w:after="0"/>
              <w:rPr>
                <w:sz w:val="1"/>
                <w:szCs w:val="1"/>
                <w:color w:val="auto"/>
              </w:rPr>
            </w:pPr>
          </w:p>
        </w:tc>
      </w:tr>
      <w:tr>
        <w:trPr>
          <w:trHeight w:val="171"/>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Employee</w:t>
            </w: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tcPr>
          <w:p>
            <w:pPr>
              <w:ind w:left="440"/>
              <w:spacing w:after="0"/>
              <w:rPr>
                <w:sz w:val="20"/>
                <w:szCs w:val="20"/>
                <w:color w:val="auto"/>
              </w:rPr>
            </w:pPr>
            <w:r>
              <w:rPr>
                <w:rFonts w:ascii="Courier New" w:cs="Courier New" w:eastAsia="Courier New" w:hAnsi="Courier New"/>
                <w:sz w:val="15"/>
                <w:szCs w:val="15"/>
                <w:color w:val="auto"/>
              </w:rPr>
              <w:t>Employer</w:t>
            </w: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1,352,577</w:t>
            </w:r>
          </w:p>
        </w:tc>
        <w:tc>
          <w:tcPr>
            <w:tcW w:w="1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1,048,735</w:t>
            </w:r>
          </w:p>
        </w:tc>
        <w:tc>
          <w:tcPr>
            <w:tcW w:w="50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5,763,003</w:t>
            </w:r>
          </w:p>
        </w:tc>
        <w:tc>
          <w:tcPr>
            <w:tcW w:w="300" w:type="dxa"/>
            <w:vAlign w:val="bottom"/>
          </w:tcPr>
          <w:p>
            <w:pPr>
              <w:spacing w:after="0"/>
              <w:rPr>
                <w:sz w:val="14"/>
                <w:szCs w:val="14"/>
                <w:color w:val="auto"/>
              </w:rPr>
            </w:pPr>
          </w:p>
        </w:tc>
        <w:tc>
          <w:tcPr>
            <w:tcW w:w="138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5,763,003</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2"/>
                <w:szCs w:val="2"/>
                <w:color w:val="auto"/>
              </w:rPr>
              <w:t>-------------</w:t>
            </w:r>
          </w:p>
        </w:tc>
        <w:tc>
          <w:tcPr>
            <w:tcW w:w="1200" w:type="dxa"/>
            <w:vAlign w:val="bottom"/>
            <w:vMerge w:val="restart"/>
          </w:tcPr>
          <w:p>
            <w:pPr>
              <w:jc w:val="right"/>
              <w:ind w:right="166"/>
              <w:spacing w:after="0"/>
              <w:rPr>
                <w:sz w:val="20"/>
                <w:szCs w:val="20"/>
                <w:color w:val="auto"/>
              </w:rPr>
            </w:pPr>
            <w:r>
              <w:rPr>
                <w:rFonts w:ascii="Courier New" w:cs="Courier New" w:eastAsia="Courier New" w:hAnsi="Courier New"/>
                <w:sz w:val="15"/>
                <w:szCs w:val="15"/>
                <w:color w:val="auto"/>
              </w:rPr>
              <w:t>4,343,463</w:t>
            </w:r>
          </w:p>
        </w:tc>
        <w:tc>
          <w:tcPr>
            <w:tcW w:w="1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4,499,487</w:t>
            </w:r>
          </w:p>
        </w:tc>
        <w:tc>
          <w:tcPr>
            <w:tcW w:w="50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24,148,572</w:t>
            </w:r>
          </w:p>
        </w:tc>
        <w:tc>
          <w:tcPr>
            <w:tcW w:w="300" w:type="dxa"/>
            <w:vAlign w:val="bottom"/>
          </w:tcPr>
          <w:p>
            <w:pPr>
              <w:spacing w:after="0"/>
              <w:rPr>
                <w:sz w:val="14"/>
                <w:szCs w:val="14"/>
                <w:color w:val="auto"/>
              </w:rPr>
            </w:pPr>
          </w:p>
        </w:tc>
        <w:tc>
          <w:tcPr>
            <w:tcW w:w="138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24,148,572</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2"/>
                <w:szCs w:val="2"/>
                <w:color w:val="auto"/>
              </w:rPr>
              <w:t>-------------</w:t>
            </w:r>
          </w:p>
        </w:tc>
        <w:tc>
          <w:tcPr>
            <w:tcW w:w="1200" w:type="dxa"/>
            <w:vAlign w:val="bottom"/>
            <w:vMerge w:val="restart"/>
          </w:tcPr>
          <w:p>
            <w:pPr>
              <w:jc w:val="right"/>
              <w:ind w:right="166"/>
              <w:spacing w:after="0"/>
              <w:rPr>
                <w:sz w:val="20"/>
                <w:szCs w:val="20"/>
                <w:color w:val="auto"/>
              </w:rPr>
            </w:pPr>
            <w:r>
              <w:rPr>
                <w:rFonts w:ascii="Courier New" w:cs="Courier New" w:eastAsia="Courier New" w:hAnsi="Courier New"/>
                <w:sz w:val="15"/>
                <w:szCs w:val="15"/>
                <w:color w:val="auto"/>
              </w:rPr>
              <w:t>20,721,818</w:t>
            </w:r>
          </w:p>
        </w:tc>
        <w:tc>
          <w:tcPr>
            <w:tcW w:w="1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6,570,612</w:t>
            </w:r>
          </w:p>
        </w:tc>
        <w:tc>
          <w:tcPr>
            <w:tcW w:w="50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54,078,258</w:t>
            </w:r>
          </w:p>
        </w:tc>
        <w:tc>
          <w:tcPr>
            <w:tcW w:w="300" w:type="dxa"/>
            <w:vAlign w:val="bottom"/>
          </w:tcPr>
          <w:p>
            <w:pPr>
              <w:spacing w:after="0"/>
              <w:rPr>
                <w:sz w:val="14"/>
                <w:szCs w:val="14"/>
                <w:color w:val="auto"/>
              </w:rPr>
            </w:pPr>
          </w:p>
        </w:tc>
        <w:tc>
          <w:tcPr>
            <w:tcW w:w="138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54,078,258</w:t>
            </w:r>
          </w:p>
        </w:tc>
        <w:tc>
          <w:tcPr>
            <w:tcW w:w="0" w:type="dxa"/>
            <w:vAlign w:val="bottom"/>
          </w:tcPr>
          <w:p>
            <w:pPr>
              <w:spacing w:after="0"/>
              <w:rPr>
                <w:sz w:val="1"/>
                <w:szCs w:val="1"/>
                <w:color w:val="auto"/>
              </w:rPr>
            </w:pPr>
          </w:p>
        </w:tc>
      </w:tr>
      <w:tr>
        <w:trPr>
          <w:trHeight w:val="249"/>
        </w:trPr>
        <w:tc>
          <w:tcPr>
            <w:tcW w:w="1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1380" w:type="dxa"/>
            <w:vAlign w:val="bottom"/>
            <w:vMerge w:val="continue"/>
          </w:tcPr>
          <w:p>
            <w:pPr>
              <w:spacing w:after="0"/>
              <w:rPr>
                <w:sz w:val="21"/>
                <w:szCs w:val="21"/>
                <w:color w:val="auto"/>
              </w:rPr>
            </w:pP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DEDUCTIONS FROM NET</w:t>
            </w:r>
          </w:p>
        </w:tc>
        <w:tc>
          <w:tcPr>
            <w:tcW w:w="4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06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ASSETS ATTRIBUTED TO:</w:t>
            </w:r>
          </w:p>
        </w:tc>
        <w:tc>
          <w:tcPr>
            <w:tcW w:w="4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Benefits paid to participants</w:t>
            </w:r>
          </w:p>
        </w:tc>
        <w:tc>
          <w:tcPr>
            <w:tcW w:w="400" w:type="dxa"/>
            <w:vAlign w:val="bottom"/>
          </w:tcPr>
          <w:p>
            <w:pPr>
              <w:spacing w:after="0"/>
              <w:rPr>
                <w:sz w:val="14"/>
                <w:szCs w:val="14"/>
                <w:color w:val="auto"/>
              </w:rPr>
            </w:pPr>
          </w:p>
        </w:tc>
        <w:tc>
          <w:tcPr>
            <w:tcW w:w="1200" w:type="dxa"/>
            <w:vAlign w:val="bottom"/>
            <w:vMerge w:val="restart"/>
          </w:tcPr>
          <w:p>
            <w:pPr>
              <w:jc w:val="right"/>
              <w:ind w:right="166"/>
              <w:spacing w:after="0"/>
              <w:rPr>
                <w:sz w:val="20"/>
                <w:szCs w:val="20"/>
                <w:color w:val="auto"/>
              </w:rPr>
            </w:pPr>
            <w:r>
              <w:rPr>
                <w:rFonts w:ascii="Courier New" w:cs="Courier New" w:eastAsia="Courier New" w:hAnsi="Courier New"/>
                <w:sz w:val="15"/>
                <w:szCs w:val="15"/>
                <w:color w:val="auto"/>
              </w:rPr>
              <w:t>1,865,843</w:t>
            </w:r>
          </w:p>
        </w:tc>
        <w:tc>
          <w:tcPr>
            <w:tcW w:w="158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2,705,193</w:t>
            </w:r>
          </w:p>
        </w:tc>
        <w:tc>
          <w:tcPr>
            <w:tcW w:w="500" w:type="dxa"/>
            <w:vAlign w:val="bottom"/>
          </w:tcPr>
          <w:p>
            <w:pPr>
              <w:spacing w:after="0"/>
              <w:rPr>
                <w:sz w:val="14"/>
                <w:szCs w:val="14"/>
                <w:color w:val="auto"/>
              </w:rPr>
            </w:pPr>
          </w:p>
        </w:tc>
        <w:tc>
          <w:tcPr>
            <w:tcW w:w="120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8,632,017</w:t>
            </w:r>
          </w:p>
        </w:tc>
        <w:tc>
          <w:tcPr>
            <w:tcW w:w="300" w:type="dxa"/>
            <w:vAlign w:val="bottom"/>
          </w:tcPr>
          <w:p>
            <w:pPr>
              <w:spacing w:after="0"/>
              <w:rPr>
                <w:sz w:val="14"/>
                <w:szCs w:val="14"/>
                <w:color w:val="auto"/>
              </w:rPr>
            </w:pPr>
          </w:p>
        </w:tc>
        <w:tc>
          <w:tcPr>
            <w:tcW w:w="138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344,417</w:t>
            </w:r>
          </w:p>
        </w:tc>
        <w:tc>
          <w:tcPr>
            <w:tcW w:w="1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8,976,434</w:t>
            </w:r>
          </w:p>
        </w:tc>
        <w:tc>
          <w:tcPr>
            <w:tcW w:w="0" w:type="dxa"/>
            <w:vAlign w:val="bottom"/>
          </w:tcPr>
          <w:p>
            <w:pPr>
              <w:spacing w:after="0"/>
              <w:rPr>
                <w:sz w:val="1"/>
                <w:szCs w:val="1"/>
                <w:color w:val="auto"/>
              </w:rPr>
            </w:pPr>
          </w:p>
        </w:tc>
      </w:tr>
      <w:tr>
        <w:trPr>
          <w:trHeight w:val="171"/>
        </w:trPr>
        <w:tc>
          <w:tcPr>
            <w:tcW w:w="3060" w:type="dxa"/>
            <w:vAlign w:val="bottom"/>
            <w:gridSpan w:val="2"/>
          </w:tcPr>
          <w:p>
            <w:pPr>
              <w:ind w:left="520"/>
              <w:spacing w:after="0"/>
              <w:rPr>
                <w:sz w:val="20"/>
                <w:szCs w:val="20"/>
                <w:color w:val="auto"/>
              </w:rPr>
            </w:pPr>
            <w:r>
              <w:rPr>
                <w:rFonts w:ascii="Courier New" w:cs="Courier New" w:eastAsia="Courier New" w:hAnsi="Courier New"/>
                <w:sz w:val="15"/>
                <w:szCs w:val="15"/>
                <w:color w:val="auto"/>
              </w:rPr>
              <w:t>or beneficiaries</w:t>
            </w:r>
          </w:p>
        </w:tc>
        <w:tc>
          <w:tcPr>
            <w:tcW w:w="4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ind w:left="220"/>
              <w:spacing w:after="0"/>
              <w:rPr>
                <w:sz w:val="20"/>
                <w:szCs w:val="20"/>
                <w:color w:val="auto"/>
              </w:rPr>
            </w:pPr>
            <w:r>
              <w:rPr>
                <w:rFonts w:ascii="Courier New" w:cs="Courier New" w:eastAsia="Courier New" w:hAnsi="Courier New"/>
                <w:sz w:val="2"/>
                <w:szCs w:val="2"/>
                <w:color w:val="auto"/>
              </w:rPr>
              <w:t>-------------</w:t>
            </w:r>
          </w:p>
        </w:tc>
        <w:tc>
          <w:tcPr>
            <w:tcW w:w="1200" w:type="dxa"/>
            <w:vAlign w:val="bottom"/>
            <w:vMerge w:val="restart"/>
          </w:tcPr>
          <w:p>
            <w:pPr>
              <w:jc w:val="right"/>
              <w:ind w:right="166"/>
              <w:spacing w:after="0"/>
              <w:rPr>
                <w:sz w:val="20"/>
                <w:szCs w:val="20"/>
                <w:color w:val="auto"/>
              </w:rPr>
            </w:pPr>
            <w:r>
              <w:rPr>
                <w:rFonts w:ascii="Courier New" w:cs="Courier New" w:eastAsia="Courier New" w:hAnsi="Courier New"/>
                <w:sz w:val="15"/>
                <w:szCs w:val="15"/>
                <w:color w:val="auto"/>
              </w:rPr>
              <w:t>1,865,843</w:t>
            </w:r>
          </w:p>
        </w:tc>
        <w:tc>
          <w:tcPr>
            <w:tcW w:w="1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15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2,705,193</w:t>
            </w:r>
          </w:p>
        </w:tc>
        <w:tc>
          <w:tcPr>
            <w:tcW w:w="50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8,632,017</w:t>
            </w:r>
          </w:p>
        </w:tc>
        <w:tc>
          <w:tcPr>
            <w:tcW w:w="300" w:type="dxa"/>
            <w:vAlign w:val="bottom"/>
          </w:tcPr>
          <w:p>
            <w:pPr>
              <w:spacing w:after="0"/>
              <w:rPr>
                <w:sz w:val="14"/>
                <w:szCs w:val="14"/>
                <w:color w:val="auto"/>
              </w:rPr>
            </w:pP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344,417</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8,976,434</w:t>
            </w:r>
          </w:p>
        </w:tc>
        <w:tc>
          <w:tcPr>
            <w:tcW w:w="0" w:type="dxa"/>
            <w:vAlign w:val="bottom"/>
          </w:tcPr>
          <w:p>
            <w:pPr>
              <w:spacing w:after="0"/>
              <w:rPr>
                <w:sz w:val="1"/>
                <w:szCs w:val="1"/>
                <w:color w:val="auto"/>
              </w:rPr>
            </w:pPr>
          </w:p>
        </w:tc>
      </w:tr>
      <w:tr>
        <w:trPr>
          <w:trHeight w:val="249"/>
        </w:trPr>
        <w:tc>
          <w:tcPr>
            <w:tcW w:w="1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600" w:type="dxa"/>
            <w:vAlign w:val="bottom"/>
            <w:gridSpan w:val="2"/>
          </w:tcPr>
          <w:p>
            <w:pPr>
              <w:jc w:val="right"/>
              <w:ind w:right="16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1"/>
                <w:szCs w:val="21"/>
                <w:color w:val="auto"/>
              </w:rPr>
            </w:pP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060" w:type="dxa"/>
            <w:vAlign w:val="bottom"/>
            <w:gridSpan w:val="2"/>
          </w:tcPr>
          <w:p>
            <w:pPr>
              <w:spacing w:after="0"/>
              <w:rPr>
                <w:sz w:val="20"/>
                <w:szCs w:val="20"/>
                <w:color w:val="auto"/>
              </w:rPr>
            </w:pPr>
            <w:r>
              <w:rPr>
                <w:rFonts w:ascii="Courier New" w:cs="Courier New" w:eastAsia="Courier New" w:hAnsi="Courier New"/>
                <w:sz w:val="15"/>
                <w:szCs w:val="15"/>
                <w:color w:val="auto"/>
              </w:rPr>
              <w:t>Net increase (decrease) prior to</w:t>
            </w:r>
          </w:p>
        </w:tc>
        <w:tc>
          <w:tcPr>
            <w:tcW w:w="400" w:type="dxa"/>
            <w:vAlign w:val="bottom"/>
          </w:tcPr>
          <w:p>
            <w:pPr>
              <w:spacing w:after="0"/>
              <w:rPr>
                <w:sz w:val="22"/>
                <w:szCs w:val="22"/>
                <w:color w:val="auto"/>
              </w:rPr>
            </w:pPr>
          </w:p>
        </w:tc>
        <w:tc>
          <w:tcPr>
            <w:tcW w:w="1200" w:type="dxa"/>
            <w:vAlign w:val="bottom"/>
            <w:vMerge w:val="restart"/>
          </w:tcPr>
          <w:p>
            <w:pPr>
              <w:jc w:val="right"/>
              <w:ind w:right="166"/>
              <w:spacing w:after="0"/>
              <w:rPr>
                <w:sz w:val="20"/>
                <w:szCs w:val="20"/>
                <w:color w:val="auto"/>
              </w:rPr>
            </w:pPr>
            <w:r>
              <w:rPr>
                <w:rFonts w:ascii="Courier New" w:cs="Courier New" w:eastAsia="Courier New" w:hAnsi="Courier New"/>
                <w:sz w:val="15"/>
                <w:szCs w:val="15"/>
                <w:color w:val="auto"/>
              </w:rPr>
              <w:t>18,855,975</w:t>
            </w:r>
          </w:p>
        </w:tc>
        <w:tc>
          <w:tcPr>
            <w:tcW w:w="158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3,865,419</w:t>
            </w:r>
          </w:p>
        </w:tc>
        <w:tc>
          <w:tcPr>
            <w:tcW w:w="500" w:type="dxa"/>
            <w:vAlign w:val="bottom"/>
          </w:tcPr>
          <w:p>
            <w:pPr>
              <w:spacing w:after="0"/>
              <w:rPr>
                <w:sz w:val="22"/>
                <w:szCs w:val="22"/>
                <w:color w:val="auto"/>
              </w:rPr>
            </w:pPr>
          </w:p>
        </w:tc>
        <w:tc>
          <w:tcPr>
            <w:tcW w:w="120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45,446,241</w:t>
            </w:r>
          </w:p>
        </w:tc>
        <w:tc>
          <w:tcPr>
            <w:tcW w:w="300" w:type="dxa"/>
            <w:vAlign w:val="bottom"/>
          </w:tcPr>
          <w:p>
            <w:pPr>
              <w:spacing w:after="0"/>
              <w:rPr>
                <w:sz w:val="22"/>
                <w:szCs w:val="22"/>
                <w:color w:val="auto"/>
              </w:rPr>
            </w:pPr>
          </w:p>
        </w:tc>
        <w:tc>
          <w:tcPr>
            <w:tcW w:w="1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(344,417)</w:t>
            </w:r>
          </w:p>
        </w:tc>
        <w:tc>
          <w:tcPr>
            <w:tcW w:w="15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45,101,824</w:t>
            </w:r>
          </w:p>
        </w:tc>
        <w:tc>
          <w:tcPr>
            <w:tcW w:w="0" w:type="dxa"/>
            <w:vAlign w:val="bottom"/>
          </w:tcPr>
          <w:p>
            <w:pPr>
              <w:spacing w:after="0"/>
              <w:rPr>
                <w:sz w:val="1"/>
                <w:szCs w:val="1"/>
                <w:color w:val="auto"/>
              </w:rPr>
            </w:pPr>
          </w:p>
        </w:tc>
      </w:tr>
      <w:tr>
        <w:trPr>
          <w:trHeight w:val="171"/>
        </w:trPr>
        <w:tc>
          <w:tcPr>
            <w:tcW w:w="306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interfund transfers</w:t>
            </w:r>
          </w:p>
        </w:tc>
        <w:tc>
          <w:tcPr>
            <w:tcW w:w="4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380" w:type="dxa"/>
            <w:vAlign w:val="bottom"/>
            <w:vMerge w:val="continue"/>
          </w:tcPr>
          <w:p>
            <w:pPr>
              <w:spacing w:after="0"/>
              <w:rPr>
                <w:sz w:val="14"/>
                <w:szCs w:val="14"/>
                <w:color w:val="auto"/>
              </w:rPr>
            </w:pPr>
          </w:p>
        </w:tc>
        <w:tc>
          <w:tcPr>
            <w:tcW w:w="15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500" w:type="dxa"/>
            <w:vAlign w:val="bottom"/>
          </w:tcPr>
          <w:p>
            <w:pPr>
              <w:spacing w:after="0"/>
              <w:rPr>
                <w:sz w:val="20"/>
                <w:szCs w:val="20"/>
                <w:color w:val="auto"/>
              </w:rPr>
            </w:pPr>
            <w:r>
              <w:rPr>
                <w:rFonts w:ascii="Courier New" w:cs="Courier New" w:eastAsia="Courier New" w:hAnsi="Courier New"/>
                <w:sz w:val="15"/>
                <w:szCs w:val="15"/>
                <w:color w:val="auto"/>
                <w:w w:val="96"/>
              </w:rPr>
              <w:t>Loan repayments--</w:t>
            </w:r>
          </w:p>
        </w:tc>
        <w:tc>
          <w:tcPr>
            <w:tcW w:w="1560" w:type="dxa"/>
            <w:vAlign w:val="bottom"/>
          </w:tcPr>
          <w:p>
            <w:pPr>
              <w:spacing w:after="0"/>
              <w:rPr>
                <w:sz w:val="20"/>
                <w:szCs w:val="20"/>
                <w:color w:val="auto"/>
              </w:rPr>
            </w:pPr>
            <w:r>
              <w:rPr>
                <w:rFonts w:ascii="Courier New" w:cs="Courier New" w:eastAsia="Courier New" w:hAnsi="Courier New"/>
                <w:sz w:val="15"/>
                <w:szCs w:val="15"/>
                <w:color w:val="auto"/>
              </w:rPr>
              <w:t>principal</w:t>
            </w:r>
          </w:p>
        </w:tc>
        <w:tc>
          <w:tcPr>
            <w:tcW w:w="400" w:type="dxa"/>
            <w:vAlign w:val="bottom"/>
          </w:tcPr>
          <w:p>
            <w:pPr>
              <w:spacing w:after="0"/>
              <w:rPr>
                <w:sz w:val="14"/>
                <w:szCs w:val="14"/>
                <w:color w:val="auto"/>
              </w:rPr>
            </w:pPr>
          </w:p>
        </w:tc>
        <w:tc>
          <w:tcPr>
            <w:tcW w:w="12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398,924</w:t>
            </w:r>
          </w:p>
        </w:tc>
        <w:tc>
          <w:tcPr>
            <w:tcW w:w="1580" w:type="dxa"/>
            <w:vAlign w:val="bottom"/>
          </w:tcPr>
          <w:p>
            <w:pPr>
              <w:jc w:val="right"/>
              <w:ind w:right="46"/>
              <w:spacing w:after="0"/>
              <w:rPr>
                <w:sz w:val="20"/>
                <w:szCs w:val="20"/>
                <w:color w:val="auto"/>
              </w:rPr>
            </w:pPr>
            <w:r>
              <w:rPr>
                <w:rFonts w:ascii="Courier New" w:cs="Courier New" w:eastAsia="Courier New" w:hAnsi="Courier New"/>
                <w:sz w:val="15"/>
                <w:szCs w:val="15"/>
                <w:color w:val="auto"/>
              </w:rPr>
              <w:t>653,884</w:t>
            </w:r>
          </w:p>
        </w:tc>
        <w:tc>
          <w:tcPr>
            <w:tcW w:w="500" w:type="dxa"/>
            <w:vAlign w:val="bottom"/>
          </w:tcPr>
          <w:p>
            <w:pPr>
              <w:spacing w:after="0"/>
              <w:rPr>
                <w:sz w:val="14"/>
                <w:szCs w:val="14"/>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1,994,902</w:t>
            </w:r>
          </w:p>
        </w:tc>
        <w:tc>
          <w:tcPr>
            <w:tcW w:w="30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(1,994,902)</w:t>
            </w: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500" w:type="dxa"/>
            <w:vAlign w:val="bottom"/>
          </w:tcPr>
          <w:p>
            <w:pPr>
              <w:spacing w:after="0"/>
              <w:rPr>
                <w:sz w:val="20"/>
                <w:szCs w:val="20"/>
                <w:color w:val="auto"/>
              </w:rPr>
            </w:pPr>
            <w:r>
              <w:rPr>
                <w:rFonts w:ascii="Courier New" w:cs="Courier New" w:eastAsia="Courier New" w:hAnsi="Courier New"/>
                <w:sz w:val="15"/>
                <w:szCs w:val="15"/>
                <w:color w:val="auto"/>
              </w:rPr>
              <w:t>Loan withdrawals</w:t>
            </w:r>
          </w:p>
        </w:tc>
        <w:tc>
          <w:tcPr>
            <w:tcW w:w="15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(910,792)</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(999,704)</w:t>
            </w:r>
          </w:p>
        </w:tc>
        <w:tc>
          <w:tcPr>
            <w:tcW w:w="5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(3,854,700)</w:t>
            </w:r>
          </w:p>
        </w:tc>
        <w:tc>
          <w:tcPr>
            <w:tcW w:w="300" w:type="dxa"/>
            <w:vAlign w:val="bottom"/>
          </w:tcPr>
          <w:p>
            <w:pPr>
              <w:spacing w:after="0"/>
              <w:rPr>
                <w:sz w:val="21"/>
                <w:szCs w:val="21"/>
                <w:color w:val="auto"/>
              </w:rPr>
            </w:pP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3,854,700</w:t>
            </w: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ectPr>
          <w:pgSz w:w="11900" w:h="16926" w:orient="portrait"/>
          <w:cols w:equalWidth="0" w:num="1">
            <w:col w:w="11180"/>
          </w:cols>
          <w:pgMar w:left="240" w:top="434" w:right="479"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Other interfund transfers</w:t>
            </w:r>
          </w:p>
        </w:tc>
        <w:tc>
          <w:tcPr>
            <w:tcW w:w="200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(2,750,470)</w:t>
            </w:r>
          </w:p>
        </w:tc>
        <w:tc>
          <w:tcPr>
            <w:tcW w:w="16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(450,646)</w:t>
            </w:r>
          </w:p>
        </w:tc>
        <w:tc>
          <w:tcPr>
            <w:tcW w:w="164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vMerge w:val="restart"/>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740" w:type="dxa"/>
            <w:vAlign w:val="bottom"/>
            <w:vMerge w:val="restart"/>
          </w:tcPr>
          <w:p>
            <w:pPr>
              <w:spacing w:after="0"/>
              <w:rPr>
                <w:sz w:val="20"/>
                <w:szCs w:val="20"/>
                <w:color w:val="auto"/>
              </w:rPr>
            </w:pPr>
            <w:r>
              <w:rPr>
                <w:rFonts w:ascii="Courier New" w:cs="Courier New" w:eastAsia="Courier New" w:hAnsi="Courier New"/>
                <w:sz w:val="15"/>
                <w:szCs w:val="15"/>
                <w:color w:val="auto"/>
              </w:rPr>
              <w:t>Net increase</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40" w:type="dxa"/>
            <w:vAlign w:val="bottom"/>
            <w:vMerge w:val="continue"/>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vMerge w:val="continue"/>
          </w:tcPr>
          <w:p>
            <w:pPr>
              <w:spacing w:after="0"/>
              <w:rPr>
                <w:sz w:val="14"/>
                <w:szCs w:val="14"/>
                <w:color w:val="auto"/>
              </w:rPr>
            </w:pP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15,593,637</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3,068,953</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43,586,443</w:t>
            </w:r>
          </w:p>
        </w:tc>
        <w:tc>
          <w:tcPr>
            <w:tcW w:w="500" w:type="dxa"/>
            <w:vAlign w:val="bottom"/>
          </w:tcPr>
          <w:p>
            <w:pPr>
              <w:spacing w:after="0"/>
              <w:rPr>
                <w:sz w:val="14"/>
                <w:szCs w:val="14"/>
                <w:color w:val="auto"/>
              </w:rPr>
            </w:pP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1,515,381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45,101,824</w:t>
            </w:r>
          </w:p>
        </w:tc>
        <w:tc>
          <w:tcPr>
            <w:tcW w:w="0" w:type="dxa"/>
            <w:vAlign w:val="bottom"/>
          </w:tcPr>
          <w:p>
            <w:pPr>
              <w:spacing w:after="0"/>
              <w:rPr>
                <w:sz w:val="1"/>
                <w:szCs w:val="1"/>
                <w:color w:val="auto"/>
              </w:rPr>
            </w:pPr>
          </w:p>
        </w:tc>
      </w:tr>
      <w:tr>
        <w:trPr>
          <w:trHeight w:val="171"/>
        </w:trPr>
        <w:tc>
          <w:tcPr>
            <w:tcW w:w="274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2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tcPr>
          <w:p>
            <w:pPr>
              <w:ind w:left="160"/>
              <w:spacing w:after="0"/>
              <w:rPr>
                <w:sz w:val="20"/>
                <w:szCs w:val="20"/>
                <w:color w:val="auto"/>
              </w:rPr>
            </w:pPr>
            <w:r>
              <w:rPr>
                <w:rFonts w:ascii="Courier New" w:cs="Courier New" w:eastAsia="Courier New" w:hAnsi="Courier New"/>
                <w:sz w:val="15"/>
                <w:szCs w:val="15"/>
                <w:color w:val="auto"/>
              </w:rPr>
              <w:t>FOR BENEFITS:</w:t>
            </w:r>
          </w:p>
        </w:tc>
        <w:tc>
          <w:tcPr>
            <w:tcW w:w="200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23,550,980</w:t>
            </w:r>
          </w:p>
        </w:tc>
        <w:tc>
          <w:tcPr>
            <w:tcW w:w="168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31,205,073</w:t>
            </w:r>
          </w:p>
        </w:tc>
        <w:tc>
          <w:tcPr>
            <w:tcW w:w="164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100,507,399</w:t>
            </w:r>
          </w:p>
        </w:tc>
        <w:tc>
          <w:tcPr>
            <w:tcW w:w="500" w:type="dxa"/>
            <w:vAlign w:val="bottom"/>
          </w:tcPr>
          <w:p>
            <w:pPr>
              <w:spacing w:after="0"/>
              <w:rPr>
                <w:sz w:val="14"/>
                <w:szCs w:val="14"/>
                <w:color w:val="auto"/>
              </w:rPr>
            </w:pPr>
          </w:p>
        </w:tc>
        <w:tc>
          <w:tcPr>
            <w:tcW w:w="12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4,658,990</w:t>
            </w:r>
          </w:p>
        </w:tc>
        <w:tc>
          <w:tcPr>
            <w:tcW w:w="14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105,166,389</w:t>
            </w:r>
          </w:p>
        </w:tc>
        <w:tc>
          <w:tcPr>
            <w:tcW w:w="0" w:type="dxa"/>
            <w:vAlign w:val="bottom"/>
          </w:tcPr>
          <w:p>
            <w:pPr>
              <w:spacing w:after="0"/>
              <w:rPr>
                <w:sz w:val="1"/>
                <w:szCs w:val="1"/>
                <w:color w:val="auto"/>
              </w:rPr>
            </w:pPr>
          </w:p>
        </w:tc>
      </w:tr>
      <w:tr>
        <w:trPr>
          <w:trHeight w:val="171"/>
        </w:trPr>
        <w:tc>
          <w:tcPr>
            <w:tcW w:w="2740" w:type="dxa"/>
            <w:vAlign w:val="bottom"/>
          </w:tcPr>
          <w:p>
            <w:pPr>
              <w:ind w:left="260"/>
              <w:spacing w:after="0"/>
              <w:rPr>
                <w:sz w:val="20"/>
                <w:szCs w:val="20"/>
                <w:color w:val="auto"/>
              </w:rPr>
            </w:pPr>
            <w:r>
              <w:rPr>
                <w:rFonts w:ascii="Courier New" w:cs="Courier New" w:eastAsia="Courier New" w:hAnsi="Courier New"/>
                <w:sz w:val="15"/>
                <w:szCs w:val="15"/>
                <w:color w:val="auto"/>
              </w:rPr>
              <w:t>Beginning of year</w:t>
            </w:r>
          </w:p>
        </w:tc>
        <w:tc>
          <w:tcPr>
            <w:tcW w:w="200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14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4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End of year</w:t>
            </w: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740" w:type="dxa"/>
            <w:vAlign w:val="bottom"/>
            <w:vMerge w:val="continue"/>
          </w:tcPr>
          <w:p>
            <w:pPr>
              <w:spacing w:after="0"/>
              <w:rPr>
                <w:sz w:val="14"/>
                <w:szCs w:val="14"/>
                <w:color w:val="auto"/>
              </w:rPr>
            </w:pP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39,144,617</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34,274,026</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$ 144,093,842</w:t>
            </w:r>
          </w:p>
        </w:tc>
        <w:tc>
          <w:tcPr>
            <w:tcW w:w="5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6,174,371</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$ 150,268,213</w:t>
            </w:r>
          </w:p>
        </w:tc>
        <w:tc>
          <w:tcPr>
            <w:tcW w:w="0" w:type="dxa"/>
            <w:vAlign w:val="bottom"/>
          </w:tcPr>
          <w:p>
            <w:pPr>
              <w:spacing w:after="0"/>
              <w:rPr>
                <w:sz w:val="1"/>
                <w:szCs w:val="1"/>
                <w:color w:val="auto"/>
              </w:rPr>
            </w:pPr>
          </w:p>
        </w:tc>
      </w:tr>
      <w:tr>
        <w:trPr>
          <w:trHeight w:val="249"/>
        </w:trPr>
        <w:tc>
          <w:tcPr>
            <w:tcW w:w="2740" w:type="dxa"/>
            <w:vAlign w:val="bottom"/>
          </w:tcPr>
          <w:p>
            <w:pPr>
              <w:spacing w:after="0"/>
              <w:rPr>
                <w:sz w:val="21"/>
                <w:szCs w:val="21"/>
                <w:color w:val="auto"/>
              </w:rPr>
            </w:pPr>
          </w:p>
        </w:tc>
        <w:tc>
          <w:tcPr>
            <w:tcW w:w="20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- 4 -</w:t>
      </w:r>
    </w:p>
    <w:p>
      <w:pPr>
        <w:sectPr>
          <w:pgSz w:w="11900" w:h="16838" w:orient="portrait"/>
          <w:cols w:equalWidth="0" w:num="1">
            <w:col w:w="11180"/>
          </w:cols>
          <w:pgMar w:left="240" w:top="115" w:right="479" w:bottom="1440" w:gutter="0" w:footer="0" w:header="0"/>
        </w:sectPr>
      </w:pPr>
    </w:p>
    <w:bookmarkStart w:id="8" w:name="page9"/>
    <w:bookmarkEnd w:id="8"/>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45" w:lineRule="exact"/>
        <w:rPr>
          <w:sz w:val="20"/>
          <w:szCs w:val="20"/>
          <w:color w:val="auto"/>
        </w:rPr>
      </w:pPr>
    </w:p>
    <w:p>
      <w:pPr>
        <w:ind w:right="4440"/>
        <w:spacing w:after="0" w:line="259" w:lineRule="auto"/>
        <w:rPr>
          <w:sz w:val="20"/>
          <w:szCs w:val="20"/>
          <w:color w:val="auto"/>
        </w:rPr>
      </w:pPr>
      <w:r>
        <w:rPr>
          <w:rFonts w:ascii="Courier New" w:cs="Courier New" w:eastAsia="Courier New" w:hAnsi="Courier New"/>
          <w:sz w:val="15"/>
          <w:szCs w:val="15"/>
          <w:color w:val="auto"/>
        </w:rPr>
        <w:t>STATEMENT OF CHANGES IN NET ASSETS AVAILABLE FOR BENEFITS WITH FUND INFORMATION YEAR ENDED DECEMBER 31, 1996</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80" w:type="dxa"/>
            <w:vAlign w:val="bottom"/>
            <w:gridSpan w:val="2"/>
          </w:tcPr>
          <w:p>
            <w:pPr>
              <w:jc w:val="right"/>
              <w:ind w:right="686"/>
              <w:spacing w:after="0"/>
              <w:rPr>
                <w:sz w:val="20"/>
                <w:szCs w:val="20"/>
                <w:color w:val="auto"/>
              </w:rPr>
            </w:pPr>
            <w:r>
              <w:rPr>
                <w:rFonts w:ascii="Courier New" w:cs="Courier New" w:eastAsia="Courier New" w:hAnsi="Courier New"/>
                <w:sz w:val="15"/>
                <w:szCs w:val="15"/>
                <w:color w:val="auto"/>
              </w:rPr>
              <w:t>Mutual Funds</w:t>
            </w: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8380" w:type="dxa"/>
            <w:vAlign w:val="bottom"/>
            <w:gridSpan w:val="9"/>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Dodge and</w:t>
            </w: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Fidelity Blue</w:t>
            </w:r>
          </w:p>
        </w:tc>
        <w:tc>
          <w:tcPr>
            <w:tcW w:w="260" w:type="dxa"/>
            <w:vAlign w:val="bottom"/>
          </w:tcPr>
          <w:p>
            <w:pPr>
              <w:spacing w:after="0"/>
              <w:rPr>
                <w:sz w:val="14"/>
                <w:szCs w:val="1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5"/>
                <w:szCs w:val="15"/>
                <w:color w:val="auto"/>
              </w:rPr>
              <w:t>Crabbe</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PBHG</w:t>
            </w:r>
          </w:p>
        </w:tc>
        <w:tc>
          <w:tcPr>
            <w:tcW w:w="400" w:type="dxa"/>
            <w:vAlign w:val="bottom"/>
          </w:tcPr>
          <w:p>
            <w:pPr>
              <w:spacing w:after="0"/>
              <w:rPr>
                <w:sz w:val="14"/>
                <w:szCs w:val="14"/>
                <w:color w:val="auto"/>
              </w:rPr>
            </w:pPr>
          </w:p>
        </w:tc>
        <w:tc>
          <w:tcPr>
            <w:tcW w:w="11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Ivy</w:t>
            </w:r>
          </w:p>
        </w:tc>
        <w:tc>
          <w:tcPr>
            <w:tcW w:w="12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Total Mutual</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w w:val="96"/>
              </w:rPr>
              <w:t>Cox Balanced</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Chip Growth</w:t>
            </w:r>
          </w:p>
        </w:tc>
        <w:tc>
          <w:tcPr>
            <w:tcW w:w="260" w:type="dxa"/>
            <w:vAlign w:val="bottom"/>
          </w:tcPr>
          <w:p>
            <w:pPr>
              <w:spacing w:after="0"/>
              <w:rPr>
                <w:sz w:val="14"/>
                <w:szCs w:val="1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5"/>
                <w:szCs w:val="15"/>
                <w:color w:val="auto"/>
              </w:rPr>
              <w:t>Huson</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6"/>
              </w:rPr>
              <w:t>Growth</w:t>
            </w: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International</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tcPr>
          <w:p>
            <w:pPr>
              <w:jc w:val="right"/>
              <w:ind w:right="366"/>
              <w:spacing w:after="0"/>
              <w:rPr>
                <w:sz w:val="20"/>
                <w:szCs w:val="20"/>
                <w:color w:val="auto"/>
              </w:rPr>
            </w:pPr>
            <w:r>
              <w:rPr>
                <w:rFonts w:ascii="Courier New" w:cs="Courier New" w:eastAsia="Courier New" w:hAnsi="Courier New"/>
                <w:sz w:val="15"/>
                <w:szCs w:val="15"/>
                <w:color w:val="auto"/>
              </w:rPr>
              <w:t>Fund</w:t>
            </w:r>
          </w:p>
        </w:tc>
        <w:tc>
          <w:tcPr>
            <w:tcW w:w="1380" w:type="dxa"/>
            <w:vAlign w:val="bottom"/>
          </w:tcPr>
          <w:p>
            <w:pPr>
              <w:jc w:val="right"/>
              <w:ind w:right="506"/>
              <w:spacing w:after="0"/>
              <w:rPr>
                <w:sz w:val="20"/>
                <w:szCs w:val="20"/>
                <w:color w:val="auto"/>
              </w:rPr>
            </w:pPr>
            <w:r>
              <w:rPr>
                <w:rFonts w:ascii="Courier New" w:cs="Courier New" w:eastAsia="Courier New" w:hAnsi="Courier New"/>
                <w:sz w:val="15"/>
                <w:szCs w:val="15"/>
                <w:color w:val="auto"/>
              </w:rPr>
              <w:t>Fund</w:t>
            </w:r>
          </w:p>
        </w:tc>
        <w:tc>
          <w:tcPr>
            <w:tcW w:w="260" w:type="dxa"/>
            <w:vAlign w:val="bottom"/>
          </w:tcPr>
          <w:p>
            <w:pPr>
              <w:spacing w:after="0"/>
              <w:rPr>
                <w:sz w:val="14"/>
                <w:szCs w:val="14"/>
                <w:color w:val="auto"/>
              </w:rPr>
            </w:pPr>
          </w:p>
        </w:tc>
        <w:tc>
          <w:tcPr>
            <w:tcW w:w="1160" w:type="dxa"/>
            <w:vAlign w:val="bottom"/>
          </w:tcPr>
          <w:p>
            <w:pPr>
              <w:ind w:left="300"/>
              <w:spacing w:after="0"/>
              <w:rPr>
                <w:sz w:val="20"/>
                <w:szCs w:val="20"/>
                <w:color w:val="auto"/>
              </w:rPr>
            </w:pPr>
            <w:r>
              <w:rPr>
                <w:rFonts w:ascii="Courier New" w:cs="Courier New" w:eastAsia="Courier New" w:hAnsi="Courier New"/>
                <w:sz w:val="15"/>
                <w:szCs w:val="15"/>
                <w:color w:val="auto"/>
              </w:rPr>
              <w:t>Fund</w:t>
            </w:r>
          </w:p>
        </w:tc>
        <w:tc>
          <w:tcPr>
            <w:tcW w:w="1320" w:type="dxa"/>
            <w:vAlign w:val="bottom"/>
          </w:tcPr>
          <w:p>
            <w:pPr>
              <w:jc w:val="center"/>
              <w:spacing w:after="0"/>
              <w:rPr>
                <w:sz w:val="20"/>
                <w:szCs w:val="20"/>
                <w:color w:val="auto"/>
              </w:rPr>
            </w:pPr>
            <w:r>
              <w:rPr>
                <w:rFonts w:ascii="Courier New" w:cs="Courier New" w:eastAsia="Courier New" w:hAnsi="Courier New"/>
                <w:sz w:val="15"/>
                <w:szCs w:val="15"/>
                <w:color w:val="auto"/>
                <w:w w:val="99"/>
              </w:rPr>
              <w:t>Fund</w:t>
            </w:r>
          </w:p>
        </w:tc>
        <w:tc>
          <w:tcPr>
            <w:tcW w:w="400" w:type="dxa"/>
            <w:vAlign w:val="bottom"/>
          </w:tcPr>
          <w:p>
            <w:pPr>
              <w:spacing w:after="0"/>
              <w:rPr>
                <w:sz w:val="14"/>
                <w:szCs w:val="14"/>
                <w:color w:val="auto"/>
              </w:rPr>
            </w:pPr>
          </w:p>
        </w:tc>
        <w:tc>
          <w:tcPr>
            <w:tcW w:w="1120" w:type="dxa"/>
            <w:vAlign w:val="bottom"/>
          </w:tcPr>
          <w:p>
            <w:pPr>
              <w:jc w:val="right"/>
              <w:ind w:right="606"/>
              <w:spacing w:after="0"/>
              <w:rPr>
                <w:sz w:val="20"/>
                <w:szCs w:val="20"/>
                <w:color w:val="auto"/>
              </w:rPr>
            </w:pPr>
            <w:r>
              <w:rPr>
                <w:rFonts w:ascii="Courier New" w:cs="Courier New" w:eastAsia="Courier New" w:hAnsi="Courier New"/>
                <w:sz w:val="15"/>
                <w:szCs w:val="15"/>
                <w:color w:val="auto"/>
              </w:rPr>
              <w:t>Fund</w:t>
            </w:r>
          </w:p>
        </w:tc>
        <w:tc>
          <w:tcPr>
            <w:tcW w:w="128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Funds</w:t>
            </w:r>
          </w:p>
        </w:tc>
        <w:tc>
          <w:tcPr>
            <w:tcW w:w="0" w:type="dxa"/>
            <w:vAlign w:val="bottom"/>
          </w:tcPr>
          <w:p>
            <w:pPr>
              <w:spacing w:after="0"/>
              <w:rPr>
                <w:sz w:val="1"/>
                <w:szCs w:val="1"/>
                <w:color w:val="auto"/>
              </w:rPr>
            </w:pPr>
          </w:p>
        </w:tc>
      </w:tr>
      <w:tr>
        <w:trPr>
          <w:trHeight w:val="249"/>
        </w:trPr>
        <w:tc>
          <w:tcPr>
            <w:tcW w:w="3060" w:type="dxa"/>
            <w:vAlign w:val="bottom"/>
          </w:tcPr>
          <w:p>
            <w:pPr>
              <w:spacing w:after="0"/>
              <w:rPr>
                <w:sz w:val="21"/>
                <w:szCs w:val="21"/>
                <w:color w:val="auto"/>
              </w:rPr>
            </w:pP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06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ATTRIBUTED TO:</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Investment income:</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Net realized and unrealized</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620"/>
              <w:spacing w:after="0"/>
              <w:rPr>
                <w:sz w:val="20"/>
                <w:szCs w:val="20"/>
                <w:color w:val="auto"/>
              </w:rPr>
            </w:pPr>
            <w:r>
              <w:rPr>
                <w:rFonts w:ascii="Courier New" w:cs="Courier New" w:eastAsia="Courier New" w:hAnsi="Courier New"/>
                <w:sz w:val="15"/>
                <w:szCs w:val="15"/>
                <w:color w:val="auto"/>
              </w:rPr>
              <w:t>appreciation</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620"/>
              <w:spacing w:after="0"/>
              <w:rPr>
                <w:sz w:val="20"/>
                <w:szCs w:val="20"/>
                <w:color w:val="auto"/>
              </w:rPr>
            </w:pPr>
            <w:r>
              <w:rPr>
                <w:rFonts w:ascii="Courier New" w:cs="Courier New" w:eastAsia="Courier New" w:hAnsi="Courier New"/>
                <w:sz w:val="15"/>
                <w:szCs w:val="15"/>
                <w:color w:val="auto"/>
              </w:rPr>
              <w:t>(depreciation) in fair</w:t>
            </w:r>
          </w:p>
        </w:tc>
        <w:tc>
          <w:tcPr>
            <w:tcW w:w="3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1,123,805</w:t>
            </w:r>
          </w:p>
        </w:tc>
        <w:tc>
          <w:tcPr>
            <w:tcW w:w="138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  1,608,398</w:t>
            </w:r>
          </w:p>
        </w:tc>
        <w:tc>
          <w:tcPr>
            <w:tcW w:w="2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63,591</w:t>
            </w:r>
          </w:p>
        </w:tc>
        <w:tc>
          <w:tcPr>
            <w:tcW w:w="1320" w:type="dxa"/>
            <w:vAlign w:val="bottom"/>
            <w:vMerge w:val="restart"/>
          </w:tcPr>
          <w:p>
            <w:pPr>
              <w:jc w:val="right"/>
              <w:ind w:right="1026"/>
              <w:spacing w:after="0"/>
              <w:rPr>
                <w:sz w:val="20"/>
                <w:szCs w:val="20"/>
                <w:color w:val="auto"/>
              </w:rPr>
            </w:pPr>
            <w:r>
              <w:rPr>
                <w:rFonts w:ascii="Courier New" w:cs="Courier New" w:eastAsia="Courier New" w:hAnsi="Courier New"/>
                <w:sz w:val="15"/>
                <w:szCs w:val="15"/>
                <w:color w:val="auto"/>
              </w:rPr>
              <w:t>$</w:t>
            </w:r>
          </w:p>
        </w:tc>
        <w:tc>
          <w:tcPr>
            <w:tcW w:w="40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162,970</w:t>
            </w:r>
          </w:p>
        </w:tc>
        <w:tc>
          <w:tcPr>
            <w:tcW w:w="12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  2,958,764</w:t>
            </w:r>
          </w:p>
        </w:tc>
        <w:tc>
          <w:tcPr>
            <w:tcW w:w="0" w:type="dxa"/>
            <w:vAlign w:val="bottom"/>
          </w:tcPr>
          <w:p>
            <w:pPr>
              <w:spacing w:after="0"/>
              <w:rPr>
                <w:sz w:val="1"/>
                <w:szCs w:val="1"/>
                <w:color w:val="auto"/>
              </w:rPr>
            </w:pPr>
          </w:p>
        </w:tc>
      </w:tr>
      <w:tr>
        <w:trPr>
          <w:trHeight w:val="171"/>
        </w:trPr>
        <w:tc>
          <w:tcPr>
            <w:tcW w:w="3060" w:type="dxa"/>
            <w:vAlign w:val="bottom"/>
          </w:tcPr>
          <w:p>
            <w:pPr>
              <w:ind w:left="620"/>
              <w:spacing w:after="0"/>
              <w:rPr>
                <w:sz w:val="20"/>
                <w:szCs w:val="20"/>
                <w:color w:val="auto"/>
              </w:rPr>
            </w:pPr>
            <w:r>
              <w:rPr>
                <w:rFonts w:ascii="Courier New" w:cs="Courier New" w:eastAsia="Courier New" w:hAnsi="Courier New"/>
                <w:sz w:val="15"/>
                <w:szCs w:val="15"/>
                <w:color w:val="auto"/>
              </w:rPr>
              <w:t>value of investments</w:t>
            </w:r>
          </w:p>
        </w:tc>
        <w:tc>
          <w:tcPr>
            <w:tcW w:w="3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3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Interest and dividends</w:t>
            </w: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570,737</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1,799,338</w:t>
            </w:r>
          </w:p>
        </w:tc>
        <w:tc>
          <w:tcPr>
            <w:tcW w:w="2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108,042</w:t>
            </w:r>
          </w:p>
        </w:tc>
        <w:tc>
          <w:tcPr>
            <w:tcW w:w="132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vMerge w:val="restart"/>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2,478,117</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5"/>
                <w:szCs w:val="5"/>
                <w:color w:val="auto"/>
                <w:w w:val="77"/>
              </w:rPr>
              <w:t>------------</w:t>
            </w:r>
          </w:p>
        </w:tc>
        <w:tc>
          <w:tcPr>
            <w:tcW w:w="11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1,694,542</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3,407,736</w:t>
            </w:r>
          </w:p>
        </w:tc>
        <w:tc>
          <w:tcPr>
            <w:tcW w:w="2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171,633</w:t>
            </w:r>
          </w:p>
        </w:tc>
        <w:tc>
          <w:tcPr>
            <w:tcW w:w="132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162,970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5,436,881</w:t>
            </w:r>
          </w:p>
        </w:tc>
        <w:tc>
          <w:tcPr>
            <w:tcW w:w="0" w:type="dxa"/>
            <w:vAlign w:val="bottom"/>
          </w:tcPr>
          <w:p>
            <w:pPr>
              <w:spacing w:after="0"/>
              <w:rPr>
                <w:sz w:val="1"/>
                <w:szCs w:val="1"/>
                <w:color w:val="auto"/>
              </w:rPr>
            </w:pPr>
          </w:p>
        </w:tc>
      </w:tr>
      <w:tr>
        <w:trPr>
          <w:trHeight w:val="249"/>
        </w:trPr>
        <w:tc>
          <w:tcPr>
            <w:tcW w:w="30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Contributions:</w:t>
            </w: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continue"/>
          </w:tcPr>
          <w:p>
            <w:pPr>
              <w:spacing w:after="0"/>
              <w:rPr>
                <w:sz w:val="21"/>
                <w:szCs w:val="21"/>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060" w:type="dxa"/>
            <w:vAlign w:val="bottom"/>
            <w:vMerge w:val="continue"/>
          </w:tcPr>
          <w:p>
            <w:pPr>
              <w:spacing w:after="0"/>
              <w:rPr>
                <w:sz w:val="8"/>
                <w:szCs w:val="8"/>
                <w:color w:val="auto"/>
              </w:rPr>
            </w:pPr>
          </w:p>
        </w:tc>
        <w:tc>
          <w:tcPr>
            <w:tcW w:w="300" w:type="dxa"/>
            <w:vAlign w:val="bottom"/>
          </w:tcPr>
          <w:p>
            <w:pPr>
              <w:spacing w:after="0"/>
              <w:rPr>
                <w:sz w:val="8"/>
                <w:szCs w:val="8"/>
                <w:color w:val="auto"/>
              </w:rPr>
            </w:pPr>
          </w:p>
        </w:tc>
        <w:tc>
          <w:tcPr>
            <w:tcW w:w="11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1,776,306</w:t>
            </w:r>
          </w:p>
        </w:tc>
        <w:tc>
          <w:tcPr>
            <w:tcW w:w="138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3,555,790</w:t>
            </w:r>
          </w:p>
        </w:tc>
        <w:tc>
          <w:tcPr>
            <w:tcW w:w="260" w:type="dxa"/>
            <w:vAlign w:val="bottom"/>
          </w:tcPr>
          <w:p>
            <w:pPr>
              <w:spacing w:after="0"/>
              <w:rPr>
                <w:sz w:val="8"/>
                <w:szCs w:val="8"/>
                <w:color w:val="auto"/>
              </w:rPr>
            </w:pPr>
          </w:p>
        </w:tc>
        <w:tc>
          <w:tcPr>
            <w:tcW w:w="11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470,359</w:t>
            </w:r>
          </w:p>
        </w:tc>
        <w:tc>
          <w:tcPr>
            <w:tcW w:w="13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490,235</w:t>
            </w:r>
          </w:p>
        </w:tc>
        <w:tc>
          <w:tcPr>
            <w:tcW w:w="12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6,292,690</w:t>
            </w:r>
          </w:p>
        </w:tc>
        <w:tc>
          <w:tcPr>
            <w:tcW w:w="0" w:type="dxa"/>
            <w:vAlign w:val="bottom"/>
          </w:tcPr>
          <w:p>
            <w:pPr>
              <w:spacing w:after="0"/>
              <w:rPr>
                <w:sz w:val="1"/>
                <w:szCs w:val="1"/>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Employee</w:t>
            </w:r>
          </w:p>
        </w:tc>
        <w:tc>
          <w:tcPr>
            <w:tcW w:w="3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Employer</w:t>
            </w: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678,511</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1,351,871</w:t>
            </w:r>
          </w:p>
        </w:tc>
        <w:tc>
          <w:tcPr>
            <w:tcW w:w="2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144,218</w:t>
            </w:r>
          </w:p>
        </w:tc>
        <w:tc>
          <w:tcPr>
            <w:tcW w:w="132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146,388</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2,320,988</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5"/>
                <w:szCs w:val="5"/>
                <w:color w:val="auto"/>
                <w:w w:val="77"/>
              </w:rPr>
              <w:t>------------</w:t>
            </w:r>
          </w:p>
        </w:tc>
        <w:tc>
          <w:tcPr>
            <w:tcW w:w="11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2,454,817</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continue"/>
          </w:tcPr>
          <w:p>
            <w:pPr>
              <w:spacing w:after="0"/>
              <w:rPr>
                <w:sz w:val="14"/>
                <w:szCs w:val="14"/>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4,907,661</w:t>
            </w:r>
          </w:p>
        </w:tc>
        <w:tc>
          <w:tcPr>
            <w:tcW w:w="2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614,577</w:t>
            </w:r>
          </w:p>
        </w:tc>
        <w:tc>
          <w:tcPr>
            <w:tcW w:w="132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636,623</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8,613,678</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5"/>
                <w:szCs w:val="5"/>
                <w:color w:val="auto"/>
                <w:w w:val="77"/>
              </w:rPr>
              <w:t>------------</w:t>
            </w:r>
          </w:p>
        </w:tc>
        <w:tc>
          <w:tcPr>
            <w:tcW w:w="11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4,149,359</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continue"/>
          </w:tcPr>
          <w:p>
            <w:pPr>
              <w:spacing w:after="0"/>
              <w:rPr>
                <w:sz w:val="14"/>
                <w:szCs w:val="14"/>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8,315,397</w:t>
            </w:r>
          </w:p>
        </w:tc>
        <w:tc>
          <w:tcPr>
            <w:tcW w:w="2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786,210</w:t>
            </w:r>
          </w:p>
        </w:tc>
        <w:tc>
          <w:tcPr>
            <w:tcW w:w="132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799,593</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14,050,559</w:t>
            </w:r>
          </w:p>
        </w:tc>
        <w:tc>
          <w:tcPr>
            <w:tcW w:w="0" w:type="dxa"/>
            <w:vAlign w:val="bottom"/>
          </w:tcPr>
          <w:p>
            <w:pPr>
              <w:spacing w:after="0"/>
              <w:rPr>
                <w:sz w:val="1"/>
                <w:szCs w:val="1"/>
                <w:color w:val="auto"/>
              </w:rPr>
            </w:pPr>
          </w:p>
        </w:tc>
      </w:tr>
      <w:tr>
        <w:trPr>
          <w:trHeight w:val="249"/>
        </w:trPr>
        <w:tc>
          <w:tcPr>
            <w:tcW w:w="3060" w:type="dxa"/>
            <w:vAlign w:val="bottom"/>
          </w:tcPr>
          <w:p>
            <w:pPr>
              <w:spacing w:after="0"/>
              <w:rPr>
                <w:sz w:val="21"/>
                <w:szCs w:val="21"/>
                <w:color w:val="auto"/>
              </w:rPr>
            </w:pP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continue"/>
          </w:tcPr>
          <w:p>
            <w:pPr>
              <w:spacing w:after="0"/>
              <w:rPr>
                <w:sz w:val="21"/>
                <w:szCs w:val="21"/>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060" w:type="dxa"/>
            <w:vAlign w:val="bottom"/>
          </w:tcPr>
          <w:p>
            <w:pPr>
              <w:spacing w:after="0"/>
              <w:rPr>
                <w:sz w:val="20"/>
                <w:szCs w:val="20"/>
                <w:color w:val="auto"/>
              </w:rPr>
            </w:pPr>
            <w:r>
              <w:rPr>
                <w:rFonts w:ascii="Courier New" w:cs="Courier New" w:eastAsia="Courier New" w:hAnsi="Courier New"/>
                <w:sz w:val="15"/>
                <w:szCs w:val="15"/>
                <w:color w:val="auto"/>
              </w:rPr>
              <w:t>DEDUCTIONS FROM NET</w:t>
            </w:r>
          </w:p>
        </w:tc>
        <w:tc>
          <w:tcPr>
            <w:tcW w:w="3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160"/>
              <w:spacing w:after="0"/>
              <w:rPr>
                <w:sz w:val="20"/>
                <w:szCs w:val="20"/>
                <w:color w:val="auto"/>
              </w:rPr>
            </w:pPr>
            <w:r>
              <w:rPr>
                <w:rFonts w:ascii="Courier New" w:cs="Courier New" w:eastAsia="Courier New" w:hAnsi="Courier New"/>
                <w:sz w:val="15"/>
                <w:szCs w:val="15"/>
                <w:color w:val="auto"/>
              </w:rPr>
              <w:t>ASSETS ATTRIBUTED TO:</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Benefits paid to participants</w:t>
            </w:r>
          </w:p>
        </w:tc>
        <w:tc>
          <w:tcPr>
            <w:tcW w:w="300" w:type="dxa"/>
            <w:vAlign w:val="bottom"/>
          </w:tcPr>
          <w:p>
            <w:pPr>
              <w:spacing w:after="0"/>
              <w:rPr>
                <w:sz w:val="14"/>
                <w:szCs w:val="14"/>
                <w:color w:val="auto"/>
              </w:rPr>
            </w:pPr>
          </w:p>
        </w:tc>
        <w:tc>
          <w:tcPr>
            <w:tcW w:w="11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1,129,067</w:t>
            </w:r>
          </w:p>
        </w:tc>
        <w:tc>
          <w:tcPr>
            <w:tcW w:w="138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1,977,471</w:t>
            </w:r>
          </w:p>
        </w:tc>
        <w:tc>
          <w:tcPr>
            <w:tcW w:w="260" w:type="dxa"/>
            <w:vAlign w:val="bottom"/>
          </w:tcPr>
          <w:p>
            <w:pPr>
              <w:spacing w:after="0"/>
              <w:rPr>
                <w:sz w:val="14"/>
                <w:szCs w:val="14"/>
                <w:color w:val="auto"/>
              </w:rPr>
            </w:pPr>
          </w:p>
        </w:tc>
        <w:tc>
          <w:tcPr>
            <w:tcW w:w="11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409,861</w:t>
            </w: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49,756</w:t>
            </w:r>
          </w:p>
        </w:tc>
        <w:tc>
          <w:tcPr>
            <w:tcW w:w="12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3,566,155</w:t>
            </w:r>
          </w:p>
        </w:tc>
        <w:tc>
          <w:tcPr>
            <w:tcW w:w="0" w:type="dxa"/>
            <w:vAlign w:val="bottom"/>
          </w:tcPr>
          <w:p>
            <w:pPr>
              <w:spacing w:after="0"/>
              <w:rPr>
                <w:sz w:val="1"/>
                <w:szCs w:val="1"/>
                <w:color w:val="auto"/>
              </w:rPr>
            </w:pPr>
          </w:p>
        </w:tc>
      </w:tr>
      <w:tr>
        <w:trPr>
          <w:trHeight w:val="171"/>
        </w:trPr>
        <w:tc>
          <w:tcPr>
            <w:tcW w:w="3060" w:type="dxa"/>
            <w:vAlign w:val="bottom"/>
          </w:tcPr>
          <w:p>
            <w:pPr>
              <w:ind w:left="520"/>
              <w:spacing w:after="0"/>
              <w:rPr>
                <w:sz w:val="20"/>
                <w:szCs w:val="20"/>
                <w:color w:val="auto"/>
              </w:rPr>
            </w:pPr>
            <w:r>
              <w:rPr>
                <w:rFonts w:ascii="Courier New" w:cs="Courier New" w:eastAsia="Courier New" w:hAnsi="Courier New"/>
                <w:sz w:val="15"/>
                <w:szCs w:val="15"/>
                <w:color w:val="auto"/>
              </w:rPr>
              <w:t>or beneficiaries</w:t>
            </w:r>
          </w:p>
        </w:tc>
        <w:tc>
          <w:tcPr>
            <w:tcW w:w="3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32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Courier New" w:cs="Courier New" w:eastAsia="Courier New" w:hAnsi="Courier New"/>
                <w:sz w:val="5"/>
                <w:szCs w:val="5"/>
                <w:color w:val="auto"/>
                <w:w w:val="77"/>
              </w:rPr>
              <w:t>------------</w:t>
            </w:r>
          </w:p>
        </w:tc>
        <w:tc>
          <w:tcPr>
            <w:tcW w:w="11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1,129,067</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continue"/>
          </w:tcPr>
          <w:p>
            <w:pPr>
              <w:spacing w:after="0"/>
              <w:rPr>
                <w:sz w:val="14"/>
                <w:szCs w:val="14"/>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1,977,471</w:t>
            </w:r>
          </w:p>
        </w:tc>
        <w:tc>
          <w:tcPr>
            <w:tcW w:w="2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409,861</w:t>
            </w:r>
          </w:p>
        </w:tc>
        <w:tc>
          <w:tcPr>
            <w:tcW w:w="132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49,756</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3,566,155</w:t>
            </w:r>
          </w:p>
        </w:tc>
        <w:tc>
          <w:tcPr>
            <w:tcW w:w="0" w:type="dxa"/>
            <w:vAlign w:val="bottom"/>
          </w:tcPr>
          <w:p>
            <w:pPr>
              <w:spacing w:after="0"/>
              <w:rPr>
                <w:sz w:val="1"/>
                <w:szCs w:val="1"/>
                <w:color w:val="auto"/>
              </w:rPr>
            </w:pPr>
          </w:p>
        </w:tc>
      </w:tr>
      <w:tr>
        <w:trPr>
          <w:trHeight w:val="249"/>
        </w:trPr>
        <w:tc>
          <w:tcPr>
            <w:tcW w:w="3060" w:type="dxa"/>
            <w:vAlign w:val="bottom"/>
          </w:tcPr>
          <w:p>
            <w:pPr>
              <w:spacing w:after="0"/>
              <w:rPr>
                <w:sz w:val="21"/>
                <w:szCs w:val="21"/>
                <w:color w:val="auto"/>
              </w:rPr>
            </w:pP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continue"/>
          </w:tcPr>
          <w:p>
            <w:pPr>
              <w:spacing w:after="0"/>
              <w:rPr>
                <w:sz w:val="21"/>
                <w:szCs w:val="21"/>
                <w:color w:val="auto"/>
              </w:rPr>
            </w:pP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060" w:type="dxa"/>
            <w:vAlign w:val="bottom"/>
          </w:tcPr>
          <w:p>
            <w:pPr>
              <w:spacing w:after="0"/>
              <w:rPr>
                <w:sz w:val="20"/>
                <w:szCs w:val="20"/>
                <w:color w:val="auto"/>
              </w:rPr>
            </w:pPr>
            <w:r>
              <w:rPr>
                <w:rFonts w:ascii="Courier New" w:cs="Courier New" w:eastAsia="Courier New" w:hAnsi="Courier New"/>
                <w:sz w:val="15"/>
                <w:szCs w:val="15"/>
                <w:color w:val="auto"/>
              </w:rPr>
              <w:t>Net increase (decrease) prior to</w:t>
            </w:r>
          </w:p>
        </w:tc>
        <w:tc>
          <w:tcPr>
            <w:tcW w:w="300" w:type="dxa"/>
            <w:vAlign w:val="bottom"/>
          </w:tcPr>
          <w:p>
            <w:pPr>
              <w:spacing w:after="0"/>
              <w:rPr>
                <w:sz w:val="22"/>
                <w:szCs w:val="22"/>
                <w:color w:val="auto"/>
              </w:rPr>
            </w:pPr>
          </w:p>
        </w:tc>
        <w:tc>
          <w:tcPr>
            <w:tcW w:w="11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3,020,292</w:t>
            </w:r>
          </w:p>
        </w:tc>
        <w:tc>
          <w:tcPr>
            <w:tcW w:w="138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6,337,926</w:t>
            </w:r>
          </w:p>
        </w:tc>
        <w:tc>
          <w:tcPr>
            <w:tcW w:w="260" w:type="dxa"/>
            <w:vAlign w:val="bottom"/>
          </w:tcPr>
          <w:p>
            <w:pPr>
              <w:spacing w:after="0"/>
              <w:rPr>
                <w:sz w:val="22"/>
                <w:szCs w:val="22"/>
                <w:color w:val="auto"/>
              </w:rPr>
            </w:pPr>
          </w:p>
        </w:tc>
        <w:tc>
          <w:tcPr>
            <w:tcW w:w="11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376,349</w:t>
            </w:r>
          </w:p>
        </w:tc>
        <w:tc>
          <w:tcPr>
            <w:tcW w:w="13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1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749,837</w:t>
            </w:r>
          </w:p>
        </w:tc>
        <w:tc>
          <w:tcPr>
            <w:tcW w:w="12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10,484,404</w:t>
            </w:r>
          </w:p>
        </w:tc>
        <w:tc>
          <w:tcPr>
            <w:tcW w:w="0" w:type="dxa"/>
            <w:vAlign w:val="bottom"/>
          </w:tcPr>
          <w:p>
            <w:pPr>
              <w:spacing w:after="0"/>
              <w:rPr>
                <w:sz w:val="1"/>
                <w:szCs w:val="1"/>
                <w:color w:val="auto"/>
              </w:rPr>
            </w:pPr>
          </w:p>
        </w:tc>
      </w:tr>
      <w:tr>
        <w:trPr>
          <w:trHeight w:val="171"/>
        </w:trPr>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interfund transfers</w:t>
            </w:r>
          </w:p>
        </w:tc>
        <w:tc>
          <w:tcPr>
            <w:tcW w:w="3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Loan repayments--principal</w:t>
            </w:r>
          </w:p>
        </w:tc>
        <w:tc>
          <w:tcPr>
            <w:tcW w:w="300" w:type="dxa"/>
            <w:vAlign w:val="bottom"/>
          </w:tcPr>
          <w:p>
            <w:pPr>
              <w:spacing w:after="0"/>
              <w:rPr>
                <w:sz w:val="14"/>
                <w:szCs w:val="14"/>
                <w:color w:val="auto"/>
              </w:rPr>
            </w:pPr>
          </w:p>
        </w:tc>
        <w:tc>
          <w:tcPr>
            <w:tcW w:w="116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195,087</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402,499</w:t>
            </w:r>
          </w:p>
        </w:tc>
        <w:tc>
          <w:tcPr>
            <w:tcW w:w="260" w:type="dxa"/>
            <w:vAlign w:val="bottom"/>
          </w:tcPr>
          <w:p>
            <w:pPr>
              <w:spacing w:after="0"/>
              <w:rPr>
                <w:sz w:val="14"/>
                <w:szCs w:val="14"/>
                <w:color w:val="auto"/>
              </w:rPr>
            </w:pPr>
          </w:p>
        </w:tc>
        <w:tc>
          <w:tcPr>
            <w:tcW w:w="11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43,019</w:t>
            </w: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48,267</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688,872</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Loan withdrawals</w:t>
            </w:r>
          </w:p>
        </w:tc>
        <w:tc>
          <w:tcPr>
            <w:tcW w:w="30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(456,997)</w:t>
            </w:r>
          </w:p>
        </w:tc>
        <w:tc>
          <w:tcPr>
            <w:tcW w:w="138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(973,427)</w:t>
            </w:r>
          </w:p>
        </w:tc>
        <w:tc>
          <w:tcPr>
            <w:tcW w:w="26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(256,393)</w:t>
            </w:r>
          </w:p>
        </w:tc>
        <w:tc>
          <w:tcPr>
            <w:tcW w:w="132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3,483,526</w:t>
            </w:r>
          </w:p>
        </w:tc>
        <w:tc>
          <w:tcPr>
            <w:tcW w:w="400" w:type="dxa"/>
            <w:vAlign w:val="bottom"/>
          </w:tcPr>
          <w:p>
            <w:pPr>
              <w:spacing w:after="0"/>
              <w:rPr>
                <w:sz w:val="14"/>
                <w:szCs w:val="14"/>
                <w:color w:val="auto"/>
              </w:rPr>
            </w:pPr>
          </w:p>
        </w:tc>
        <w:tc>
          <w:tcPr>
            <w:tcW w:w="1120" w:type="dxa"/>
            <w:vAlign w:val="bottom"/>
          </w:tcPr>
          <w:p>
            <w:pPr>
              <w:jc w:val="right"/>
              <w:ind w:right="66"/>
              <w:spacing w:after="0"/>
              <w:rPr>
                <w:sz w:val="20"/>
                <w:szCs w:val="20"/>
                <w:color w:val="auto"/>
              </w:rPr>
            </w:pPr>
            <w:r>
              <w:rPr>
                <w:rFonts w:ascii="Courier New" w:cs="Courier New" w:eastAsia="Courier New" w:hAnsi="Courier New"/>
                <w:sz w:val="15"/>
                <w:szCs w:val="15"/>
                <w:color w:val="auto"/>
              </w:rPr>
              <w:t>(54,233)</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(1,741,050)</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Other interfund transfers</w:t>
            </w:r>
          </w:p>
        </w:tc>
        <w:tc>
          <w:tcPr>
            <w:tcW w:w="300" w:type="dxa"/>
            <w:vAlign w:val="bottom"/>
          </w:tcPr>
          <w:p>
            <w:pPr>
              <w:spacing w:after="0"/>
              <w:rPr>
                <w:sz w:val="14"/>
                <w:szCs w:val="14"/>
                <w:color w:val="auto"/>
              </w:rPr>
            </w:pPr>
          </w:p>
        </w:tc>
        <w:tc>
          <w:tcPr>
            <w:tcW w:w="1160" w:type="dxa"/>
            <w:vAlign w:val="bottom"/>
          </w:tcPr>
          <w:p>
            <w:pPr>
              <w:jc w:val="right"/>
              <w:ind w:right="26"/>
              <w:spacing w:after="0"/>
              <w:rPr>
                <w:sz w:val="20"/>
                <w:szCs w:val="20"/>
                <w:color w:val="auto"/>
              </w:rPr>
            </w:pPr>
            <w:r>
              <w:rPr>
                <w:rFonts w:ascii="Courier New" w:cs="Courier New" w:eastAsia="Courier New" w:hAnsi="Courier New"/>
                <w:sz w:val="15"/>
                <w:szCs w:val="15"/>
                <w:color w:val="auto"/>
              </w:rPr>
              <w:t>(10,487)</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755,638</w:t>
            </w:r>
          </w:p>
        </w:tc>
        <w:tc>
          <w:tcPr>
            <w:tcW w:w="26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(3,253,617)</w:t>
            </w:r>
          </w:p>
        </w:tc>
        <w:tc>
          <w:tcPr>
            <w:tcW w:w="13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1,559,940</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2,535,000</w:t>
            </w:r>
          </w:p>
        </w:tc>
        <w:tc>
          <w:tcPr>
            <w:tcW w:w="0" w:type="dxa"/>
            <w:vAlign w:val="bottom"/>
          </w:tcPr>
          <w:p>
            <w:pPr>
              <w:spacing w:after="0"/>
              <w:rPr>
                <w:sz w:val="1"/>
                <w:szCs w:val="1"/>
                <w:color w:val="auto"/>
              </w:rPr>
            </w:pPr>
          </w:p>
        </w:tc>
      </w:tr>
      <w:tr>
        <w:trPr>
          <w:trHeight w:val="171"/>
        </w:trPr>
        <w:tc>
          <w:tcPr>
            <w:tcW w:w="3060" w:type="dxa"/>
            <w:vAlign w:val="bottom"/>
            <w:vMerge w:val="restart"/>
          </w:tcPr>
          <w:p>
            <w:pPr>
              <w:spacing w:after="0"/>
              <w:rPr>
                <w:sz w:val="20"/>
                <w:szCs w:val="20"/>
                <w:color w:val="auto"/>
              </w:rPr>
            </w:pPr>
            <w:r>
              <w:rPr>
                <w:rFonts w:ascii="Courier New" w:cs="Courier New" w:eastAsia="Courier New" w:hAnsi="Courier New"/>
                <w:sz w:val="15"/>
                <w:szCs w:val="15"/>
                <w:color w:val="auto"/>
              </w:rPr>
              <w:t>Net increase (decrease)</w:t>
            </w:r>
          </w:p>
        </w:tc>
        <w:tc>
          <w:tcPr>
            <w:tcW w:w="300" w:type="dxa"/>
            <w:vAlign w:val="bottom"/>
          </w:tcPr>
          <w:p>
            <w:pPr>
              <w:jc w:val="right"/>
              <w:spacing w:after="0"/>
              <w:rPr>
                <w:sz w:val="20"/>
                <w:szCs w:val="20"/>
                <w:color w:val="auto"/>
              </w:rPr>
            </w:pPr>
            <w:r>
              <w:rPr>
                <w:rFonts w:ascii="Courier New" w:cs="Courier New" w:eastAsia="Courier New" w:hAnsi="Courier New"/>
                <w:sz w:val="5"/>
                <w:szCs w:val="5"/>
                <w:color w:val="auto"/>
                <w:w w:val="77"/>
              </w:rPr>
              <w:t>------------</w:t>
            </w:r>
          </w:p>
        </w:tc>
        <w:tc>
          <w:tcPr>
            <w:tcW w:w="11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2,747,895</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60" w:type="dxa"/>
            <w:vAlign w:val="bottom"/>
            <w:vMerge w:val="continue"/>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6,522,636</w:t>
            </w:r>
          </w:p>
        </w:tc>
        <w:tc>
          <w:tcPr>
            <w:tcW w:w="260" w:type="dxa"/>
            <w:vAlign w:val="bottom"/>
          </w:tcPr>
          <w:p>
            <w:pPr>
              <w:spacing w:after="0"/>
              <w:rPr>
                <w:sz w:val="14"/>
                <w:szCs w:val="14"/>
                <w:color w:val="auto"/>
              </w:rPr>
            </w:pPr>
          </w:p>
        </w:tc>
        <w:tc>
          <w:tcPr>
            <w:tcW w:w="1160" w:type="dxa"/>
            <w:vAlign w:val="bottom"/>
          </w:tcPr>
          <w:p>
            <w:pPr>
              <w:jc w:val="right"/>
              <w:ind w:right="66"/>
              <w:spacing w:after="0"/>
              <w:rPr>
                <w:sz w:val="20"/>
                <w:szCs w:val="20"/>
                <w:color w:val="auto"/>
              </w:rPr>
            </w:pPr>
            <w:r>
              <w:rPr>
                <w:rFonts w:ascii="Courier New" w:cs="Courier New" w:eastAsia="Courier New" w:hAnsi="Courier New"/>
                <w:sz w:val="15"/>
                <w:szCs w:val="15"/>
                <w:color w:val="auto"/>
              </w:rPr>
              <w:t>(3,090,642)</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3,483,526</w:t>
            </w:r>
          </w:p>
        </w:tc>
        <w:tc>
          <w:tcPr>
            <w:tcW w:w="400" w:type="dxa"/>
            <w:vAlign w:val="bottom"/>
          </w:tcPr>
          <w:p>
            <w:pPr>
              <w:spacing w:after="0"/>
              <w:rPr>
                <w:sz w:val="14"/>
                <w:szCs w:val="14"/>
                <w:color w:val="auto"/>
              </w:rPr>
            </w:pP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2,303,811</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11,967,226</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3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160"/>
              <w:spacing w:after="0"/>
              <w:rPr>
                <w:sz w:val="20"/>
                <w:szCs w:val="20"/>
                <w:color w:val="auto"/>
              </w:rPr>
            </w:pPr>
            <w:r>
              <w:rPr>
                <w:rFonts w:ascii="Courier New" w:cs="Courier New" w:eastAsia="Courier New" w:hAnsi="Courier New"/>
                <w:sz w:val="15"/>
                <w:szCs w:val="15"/>
                <w:color w:val="auto"/>
              </w:rPr>
              <w:t>FOR BENEFITS:</w:t>
            </w:r>
          </w:p>
        </w:tc>
        <w:tc>
          <w:tcPr>
            <w:tcW w:w="300" w:type="dxa"/>
            <w:vAlign w:val="bottom"/>
          </w:tcPr>
          <w:p>
            <w:pPr>
              <w:spacing w:after="0"/>
              <w:rPr>
                <w:sz w:val="14"/>
                <w:szCs w:val="14"/>
                <w:color w:val="auto"/>
              </w:rPr>
            </w:pPr>
          </w:p>
        </w:tc>
        <w:tc>
          <w:tcPr>
            <w:tcW w:w="11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10,772,716</w:t>
            </w:r>
          </w:p>
        </w:tc>
        <w:tc>
          <w:tcPr>
            <w:tcW w:w="138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19,920,762</w:t>
            </w:r>
          </w:p>
        </w:tc>
        <w:tc>
          <w:tcPr>
            <w:tcW w:w="260" w:type="dxa"/>
            <w:vAlign w:val="bottom"/>
          </w:tcPr>
          <w:p>
            <w:pPr>
              <w:spacing w:after="0"/>
              <w:rPr>
                <w:sz w:val="14"/>
                <w:szCs w:val="14"/>
                <w:color w:val="auto"/>
              </w:rPr>
            </w:pPr>
          </w:p>
        </w:tc>
        <w:tc>
          <w:tcPr>
            <w:tcW w:w="116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3,090,642</w:t>
            </w:r>
          </w:p>
        </w:tc>
        <w:tc>
          <w:tcPr>
            <w:tcW w:w="1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8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33,784,120</w:t>
            </w:r>
          </w:p>
        </w:tc>
        <w:tc>
          <w:tcPr>
            <w:tcW w:w="0" w:type="dxa"/>
            <w:vAlign w:val="bottom"/>
          </w:tcPr>
          <w:p>
            <w:pPr>
              <w:spacing w:after="0"/>
              <w:rPr>
                <w:sz w:val="1"/>
                <w:szCs w:val="1"/>
                <w:color w:val="auto"/>
              </w:rPr>
            </w:pPr>
          </w:p>
        </w:tc>
      </w:tr>
      <w:tr>
        <w:trPr>
          <w:trHeight w:val="171"/>
        </w:trPr>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Beginning of year</w:t>
            </w:r>
          </w:p>
        </w:tc>
        <w:tc>
          <w:tcPr>
            <w:tcW w:w="30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1320" w:type="dxa"/>
            <w:vAlign w:val="bottom"/>
            <w:vMerge w:val="restart"/>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vMerge w:val="restart"/>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End of year</w:t>
            </w:r>
          </w:p>
        </w:tc>
        <w:tc>
          <w:tcPr>
            <w:tcW w:w="300" w:type="dxa"/>
            <w:vAlign w:val="bottom"/>
            <w:vMerge w:val="restart"/>
          </w:tcPr>
          <w:p>
            <w:pPr>
              <w:jc w:val="right"/>
              <w:spacing w:after="0"/>
              <w:rPr>
                <w:sz w:val="20"/>
                <w:szCs w:val="20"/>
                <w:color w:val="auto"/>
              </w:rPr>
            </w:pPr>
            <w:r>
              <w:rPr>
                <w:rFonts w:ascii="Courier New" w:cs="Courier New" w:eastAsia="Courier New" w:hAnsi="Courier New"/>
                <w:sz w:val="7"/>
                <w:szCs w:val="7"/>
                <w:color w:val="auto"/>
                <w:w w:val="88"/>
                <w:vertAlign w:val="subscript"/>
              </w:rPr>
              <w:t>$</w:t>
            </w:r>
            <w:r>
              <w:rPr>
                <w:rFonts w:ascii="Courier New" w:cs="Courier New" w:eastAsia="Courier New" w:hAnsi="Courier New"/>
                <w:sz w:val="4"/>
                <w:szCs w:val="4"/>
                <w:color w:val="auto"/>
                <w:w w:val="88"/>
              </w:rPr>
              <w:t>------------</w:t>
            </w:r>
          </w:p>
        </w:tc>
        <w:tc>
          <w:tcPr>
            <w:tcW w:w="116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13,520,611</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vMerge w:val="continue"/>
          </w:tcPr>
          <w:p>
            <w:pPr>
              <w:spacing w:after="0"/>
              <w:rPr>
                <w:sz w:val="14"/>
                <w:szCs w:val="14"/>
                <w:color w:val="auto"/>
              </w:rPr>
            </w:pPr>
          </w:p>
        </w:tc>
        <w:tc>
          <w:tcPr>
            <w:tcW w:w="1520" w:type="dxa"/>
            <w:vAlign w:val="bottom"/>
            <w:gridSpan w:val="2"/>
            <w:vMerge w:val="continue"/>
          </w:tcPr>
          <w:p>
            <w:pPr>
              <w:spacing w:after="0"/>
              <w:rPr>
                <w:sz w:val="14"/>
                <w:szCs w:val="14"/>
                <w:color w:val="auto"/>
              </w:rPr>
            </w:pP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60" w:type="dxa"/>
            <w:vAlign w:val="bottom"/>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1160" w:type="dxa"/>
            <w:vAlign w:val="bottom"/>
            <w:vMerge w:val="continue"/>
          </w:tcPr>
          <w:p>
            <w:pPr>
              <w:spacing w:after="0"/>
              <w:rPr>
                <w:sz w:val="14"/>
                <w:szCs w:val="14"/>
                <w:color w:val="auto"/>
              </w:rPr>
            </w:pP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$ 26,443,398</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60" w:type="dxa"/>
            <w:vAlign w:val="bottom"/>
          </w:tcPr>
          <w:p>
            <w:pPr>
              <w:spacing w:after="0"/>
              <w:rPr>
                <w:sz w:val="14"/>
                <w:szCs w:val="14"/>
                <w:color w:val="auto"/>
              </w:rPr>
            </w:pP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  3,483,526</w:t>
            </w:r>
          </w:p>
        </w:tc>
        <w:tc>
          <w:tcPr>
            <w:tcW w:w="40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2,303,811</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$ 45,751,346</w:t>
            </w:r>
          </w:p>
        </w:tc>
        <w:tc>
          <w:tcPr>
            <w:tcW w:w="0" w:type="dxa"/>
            <w:vAlign w:val="bottom"/>
          </w:tcPr>
          <w:p>
            <w:pPr>
              <w:spacing w:after="0"/>
              <w:rPr>
                <w:sz w:val="1"/>
                <w:szCs w:val="1"/>
                <w:color w:val="auto"/>
              </w:rPr>
            </w:pPr>
          </w:p>
        </w:tc>
      </w:tr>
      <w:tr>
        <w:trPr>
          <w:trHeight w:val="249"/>
        </w:trPr>
        <w:tc>
          <w:tcPr>
            <w:tcW w:w="3060" w:type="dxa"/>
            <w:vAlign w:val="bottom"/>
          </w:tcPr>
          <w:p>
            <w:pPr>
              <w:spacing w:after="0"/>
              <w:rPr>
                <w:sz w:val="21"/>
                <w:szCs w:val="21"/>
                <w:color w:val="auto"/>
              </w:rPr>
            </w:pPr>
          </w:p>
        </w:tc>
        <w:tc>
          <w:tcPr>
            <w:tcW w:w="1460" w:type="dxa"/>
            <w:vAlign w:val="bottom"/>
            <w:gridSpan w:val="2"/>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46"/>
              <w:spacing w:after="0"/>
              <w:rPr>
                <w:sz w:val="20"/>
                <w:szCs w:val="20"/>
                <w:color w:val="auto"/>
              </w:rPr>
            </w:pPr>
            <w:r>
              <w:rPr>
                <w:rFonts w:ascii="Courier New" w:cs="Courier New" w:eastAsia="Courier New" w:hAnsi="Courier New"/>
                <w:sz w:val="15"/>
                <w:szCs w:val="15"/>
                <w:color w:val="auto"/>
              </w:rPr>
              <w:t>============</w:t>
            </w:r>
          </w:p>
        </w:tc>
        <w:tc>
          <w:tcPr>
            <w:tcW w:w="1520" w:type="dxa"/>
            <w:vAlign w:val="bottom"/>
            <w:gridSpan w:val="2"/>
          </w:tcPr>
          <w:p>
            <w:pPr>
              <w:jc w:val="right"/>
              <w:ind w:right="14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60" w:type="dxa"/>
            <w:vAlign w:val="bottom"/>
          </w:tcPr>
          <w:p>
            <w:pPr>
              <w:spacing w:after="0"/>
              <w:rPr>
                <w:sz w:val="14"/>
                <w:szCs w:val="14"/>
                <w:color w:val="auto"/>
              </w:rPr>
            </w:pPr>
          </w:p>
        </w:tc>
        <w:tc>
          <w:tcPr>
            <w:tcW w:w="1680" w:type="dxa"/>
            <w:vAlign w:val="bottom"/>
            <w:gridSpan w:val="2"/>
            <w:vMerge w:val="restart"/>
          </w:tcPr>
          <w:p>
            <w:pPr>
              <w:jc w:val="right"/>
              <w:ind w:right="246"/>
              <w:spacing w:after="0"/>
              <w:rPr>
                <w:sz w:val="20"/>
                <w:szCs w:val="20"/>
                <w:color w:val="auto"/>
              </w:rPr>
            </w:pPr>
            <w:r>
              <w:rPr>
                <w:rFonts w:ascii="Courier New" w:cs="Courier New" w:eastAsia="Courier New" w:hAnsi="Courier New"/>
                <w:sz w:val="15"/>
                <w:szCs w:val="15"/>
                <w:color w:val="auto"/>
              </w:rPr>
              <w:t>Comcast Stock</w:t>
            </w:r>
          </w:p>
        </w:tc>
        <w:tc>
          <w:tcPr>
            <w:tcW w:w="164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Stable Value</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Total</w:t>
            </w:r>
          </w:p>
        </w:tc>
        <w:tc>
          <w:tcPr>
            <w:tcW w:w="170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Participant</w:t>
            </w: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6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Investment</w:t>
            </w:r>
          </w:p>
        </w:tc>
        <w:tc>
          <w:tcPr>
            <w:tcW w:w="17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vMerge w:val="restart"/>
          </w:tcPr>
          <w:p>
            <w:pPr>
              <w:jc w:val="right"/>
              <w:ind w:right="386"/>
              <w:spacing w:after="0"/>
              <w:rPr>
                <w:sz w:val="20"/>
                <w:szCs w:val="20"/>
                <w:color w:val="auto"/>
              </w:rPr>
            </w:pPr>
            <w:r>
              <w:rPr>
                <w:rFonts w:ascii="Courier New" w:cs="Courier New" w:eastAsia="Courier New" w:hAnsi="Courier New"/>
                <w:sz w:val="15"/>
                <w:szCs w:val="15"/>
                <w:color w:val="auto"/>
              </w:rPr>
              <w:t>Total</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tcPr>
          <w:p>
            <w:pPr>
              <w:jc w:val="right"/>
              <w:ind w:right="686"/>
              <w:spacing w:after="0"/>
              <w:rPr>
                <w:sz w:val="20"/>
                <w:szCs w:val="20"/>
                <w:color w:val="auto"/>
              </w:rPr>
            </w:pPr>
            <w:r>
              <w:rPr>
                <w:rFonts w:ascii="Courier New" w:cs="Courier New" w:eastAsia="Courier New" w:hAnsi="Courier New"/>
                <w:sz w:val="15"/>
                <w:szCs w:val="15"/>
                <w:color w:val="auto"/>
                <w:w w:val="94"/>
              </w:rPr>
              <w:t>Fund</w:t>
            </w:r>
          </w:p>
        </w:tc>
        <w:tc>
          <w:tcPr>
            <w:tcW w:w="164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Fund</w:t>
            </w:r>
          </w:p>
        </w:tc>
        <w:tc>
          <w:tcPr>
            <w:tcW w:w="16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Funds</w:t>
            </w:r>
          </w:p>
        </w:tc>
        <w:tc>
          <w:tcPr>
            <w:tcW w:w="170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Loan Fund</w:t>
            </w:r>
          </w:p>
        </w:tc>
        <w:tc>
          <w:tcPr>
            <w:tcW w:w="4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060" w:type="dxa"/>
            <w:vAlign w:val="bottom"/>
          </w:tcPr>
          <w:p>
            <w:pPr>
              <w:spacing w:after="0"/>
              <w:rPr>
                <w:sz w:val="21"/>
                <w:szCs w:val="21"/>
                <w:color w:val="auto"/>
              </w:rPr>
            </w:pP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060" w:type="dxa"/>
            <w:vAlign w:val="bottom"/>
          </w:tcPr>
          <w:p>
            <w:pPr>
              <w:spacing w:after="0"/>
              <w:rPr>
                <w:sz w:val="20"/>
                <w:szCs w:val="20"/>
                <w:color w:val="auto"/>
              </w:rPr>
            </w:pPr>
            <w:r>
              <w:rPr>
                <w:rFonts w:ascii="Courier New" w:cs="Courier New" w:eastAsia="Courier New" w:hAnsi="Courier New"/>
                <w:sz w:val="15"/>
                <w:szCs w:val="15"/>
                <w:color w:val="auto"/>
              </w:rPr>
              <w:t>ADDITIONS TO NET ASSETS</w:t>
            </w: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ATTRIBUTED TO:</w:t>
            </w: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Investment income:</w:t>
            </w: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Net realized and unrealized</w:t>
            </w: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620"/>
              <w:spacing w:after="0"/>
              <w:rPr>
                <w:sz w:val="20"/>
                <w:szCs w:val="20"/>
                <w:color w:val="auto"/>
              </w:rPr>
            </w:pPr>
            <w:r>
              <w:rPr>
                <w:rFonts w:ascii="Courier New" w:cs="Courier New" w:eastAsia="Courier New" w:hAnsi="Courier New"/>
                <w:sz w:val="15"/>
                <w:szCs w:val="15"/>
                <w:color w:val="auto"/>
              </w:rPr>
              <w:t>appreciation</w:t>
            </w: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620"/>
              <w:spacing w:after="0"/>
              <w:rPr>
                <w:sz w:val="20"/>
                <w:szCs w:val="20"/>
                <w:color w:val="auto"/>
              </w:rPr>
            </w:pPr>
            <w:r>
              <w:rPr>
                <w:rFonts w:ascii="Courier New" w:cs="Courier New" w:eastAsia="Courier New" w:hAnsi="Courier New"/>
                <w:sz w:val="15"/>
                <w:szCs w:val="15"/>
                <w:color w:val="auto"/>
              </w:rPr>
              <w:t>(depreciation) in fair</w:t>
            </w:r>
          </w:p>
        </w:tc>
        <w:tc>
          <w:tcPr>
            <w:tcW w:w="560" w:type="dxa"/>
            <w:vAlign w:val="bottom"/>
            <w:vMerge w:val="restart"/>
          </w:tcPr>
          <w:p>
            <w:pPr>
              <w:ind w:left="220"/>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324,354)</w:t>
            </w:r>
          </w:p>
        </w:tc>
        <w:tc>
          <w:tcPr>
            <w:tcW w:w="1640" w:type="dxa"/>
            <w:vAlign w:val="bottom"/>
            <w:vMerge w:val="restart"/>
          </w:tcPr>
          <w:p>
            <w:pPr>
              <w:jc w:val="right"/>
              <w:ind w:right="1266"/>
              <w:spacing w:after="0"/>
              <w:rPr>
                <w:sz w:val="20"/>
                <w:szCs w:val="20"/>
                <w:color w:val="auto"/>
              </w:rPr>
            </w:pPr>
            <w:r>
              <w:rPr>
                <w:rFonts w:ascii="Courier New" w:cs="Courier New" w:eastAsia="Courier New" w:hAnsi="Courier New"/>
                <w:sz w:val="15"/>
                <w:szCs w:val="15"/>
                <w:color w:val="auto"/>
              </w:rPr>
              <w:t>$</w:t>
            </w:r>
          </w:p>
        </w:tc>
        <w:tc>
          <w:tcPr>
            <w:tcW w:w="16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   2,634,410</w:t>
            </w:r>
          </w:p>
        </w:tc>
        <w:tc>
          <w:tcPr>
            <w:tcW w:w="1700" w:type="dxa"/>
            <w:vAlign w:val="bottom"/>
            <w:vMerge w:val="restart"/>
          </w:tcPr>
          <w:p>
            <w:pPr>
              <w:ind w:left="280"/>
              <w:spacing w:after="0"/>
              <w:rPr>
                <w:sz w:val="20"/>
                <w:szCs w:val="20"/>
                <w:color w:val="auto"/>
              </w:rPr>
            </w:pPr>
            <w:r>
              <w:rPr>
                <w:rFonts w:ascii="Courier New" w:cs="Courier New" w:eastAsia="Courier New" w:hAnsi="Courier New"/>
                <w:sz w:val="15"/>
                <w:szCs w:val="15"/>
                <w:color w:val="auto"/>
              </w:rPr>
              <w:t>$</w:t>
            </w:r>
          </w:p>
        </w:tc>
        <w:tc>
          <w:tcPr>
            <w:tcW w:w="44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2,634,410</w:t>
            </w:r>
          </w:p>
        </w:tc>
        <w:tc>
          <w:tcPr>
            <w:tcW w:w="0" w:type="dxa"/>
            <w:vAlign w:val="bottom"/>
          </w:tcPr>
          <w:p>
            <w:pPr>
              <w:spacing w:after="0"/>
              <w:rPr>
                <w:sz w:val="1"/>
                <w:szCs w:val="1"/>
                <w:color w:val="auto"/>
              </w:rPr>
            </w:pPr>
          </w:p>
        </w:tc>
      </w:tr>
      <w:tr>
        <w:trPr>
          <w:trHeight w:val="171"/>
        </w:trPr>
        <w:tc>
          <w:tcPr>
            <w:tcW w:w="3060" w:type="dxa"/>
            <w:vAlign w:val="bottom"/>
          </w:tcPr>
          <w:p>
            <w:pPr>
              <w:ind w:left="620"/>
              <w:spacing w:after="0"/>
              <w:rPr>
                <w:sz w:val="20"/>
                <w:szCs w:val="20"/>
                <w:color w:val="auto"/>
              </w:rPr>
            </w:pPr>
            <w:r>
              <w:rPr>
                <w:rFonts w:ascii="Courier New" w:cs="Courier New" w:eastAsia="Courier New" w:hAnsi="Courier New"/>
                <w:sz w:val="15"/>
                <w:szCs w:val="15"/>
                <w:color w:val="auto"/>
              </w:rPr>
              <w:t>value of investments</w:t>
            </w:r>
          </w:p>
        </w:tc>
        <w:tc>
          <w:tcPr>
            <w:tcW w:w="56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440" w:type="dxa"/>
            <w:vAlign w:val="bottom"/>
            <w:vMerge w:val="continue"/>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Interest and dividends</w:t>
            </w:r>
          </w:p>
        </w:tc>
        <w:tc>
          <w:tcPr>
            <w:tcW w:w="5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225,709</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2,064,686</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4,768,512</w:t>
            </w:r>
          </w:p>
        </w:tc>
        <w:tc>
          <w:tcPr>
            <w:tcW w:w="17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4,768,512</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560" w:type="dxa"/>
            <w:vAlign w:val="bottom"/>
          </w:tcPr>
          <w:p>
            <w:pPr>
              <w:ind w:left="220"/>
              <w:spacing w:after="0"/>
              <w:rPr>
                <w:sz w:val="20"/>
                <w:szCs w:val="20"/>
                <w:color w:val="auto"/>
              </w:rPr>
            </w:pPr>
            <w:r>
              <w:rPr>
                <w:rFonts w:ascii="Courier New" w:cs="Courier New" w:eastAsia="Courier New" w:hAnsi="Courier New"/>
                <w:sz w:val="5"/>
                <w:szCs w:val="5"/>
                <w:color w:val="auto"/>
                <w:w w:val="81"/>
              </w:rPr>
              <w:t>-------------</w:t>
            </w:r>
          </w:p>
        </w:tc>
        <w:tc>
          <w:tcPr>
            <w:tcW w:w="11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(98,645)</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continue"/>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2,064,686</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7,402,922</w:t>
            </w:r>
          </w:p>
        </w:tc>
        <w:tc>
          <w:tcPr>
            <w:tcW w:w="17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7,402,922</w:t>
            </w:r>
          </w:p>
        </w:tc>
        <w:tc>
          <w:tcPr>
            <w:tcW w:w="0" w:type="dxa"/>
            <w:vAlign w:val="bottom"/>
          </w:tcPr>
          <w:p>
            <w:pPr>
              <w:spacing w:after="0"/>
              <w:rPr>
                <w:sz w:val="1"/>
                <w:szCs w:val="1"/>
                <w:color w:val="auto"/>
              </w:rPr>
            </w:pPr>
          </w:p>
        </w:tc>
      </w:tr>
      <w:tr>
        <w:trPr>
          <w:trHeight w:val="249"/>
        </w:trPr>
        <w:tc>
          <w:tcPr>
            <w:tcW w:w="306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Contributions:</w:t>
            </w: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continue"/>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92"/>
        </w:trPr>
        <w:tc>
          <w:tcPr>
            <w:tcW w:w="306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112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w w:val="96"/>
              </w:rPr>
              <w:t>2,558,327</w:t>
            </w:r>
          </w:p>
        </w:tc>
        <w:tc>
          <w:tcPr>
            <w:tcW w:w="164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3,132,940</w:t>
            </w:r>
          </w:p>
        </w:tc>
        <w:tc>
          <w:tcPr>
            <w:tcW w:w="16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11,983,957</w:t>
            </w:r>
          </w:p>
        </w:tc>
        <w:tc>
          <w:tcPr>
            <w:tcW w:w="1700" w:type="dxa"/>
            <w:vAlign w:val="bottom"/>
          </w:tcPr>
          <w:p>
            <w:pPr>
              <w:spacing w:after="0"/>
              <w:rPr>
                <w:sz w:val="8"/>
                <w:szCs w:val="8"/>
                <w:color w:val="auto"/>
              </w:rPr>
            </w:pPr>
          </w:p>
        </w:tc>
        <w:tc>
          <w:tcPr>
            <w:tcW w:w="440" w:type="dxa"/>
            <w:vAlign w:val="bottom"/>
          </w:tcPr>
          <w:p>
            <w:pPr>
              <w:spacing w:after="0"/>
              <w:rPr>
                <w:sz w:val="8"/>
                <w:szCs w:val="8"/>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11,983,957</w:t>
            </w:r>
          </w:p>
        </w:tc>
        <w:tc>
          <w:tcPr>
            <w:tcW w:w="0" w:type="dxa"/>
            <w:vAlign w:val="bottom"/>
          </w:tcPr>
          <w:p>
            <w:pPr>
              <w:spacing w:after="0"/>
              <w:rPr>
                <w:sz w:val="1"/>
                <w:szCs w:val="1"/>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Employee</w:t>
            </w:r>
          </w:p>
        </w:tc>
        <w:tc>
          <w:tcPr>
            <w:tcW w:w="5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440"/>
              <w:spacing w:after="0"/>
              <w:rPr>
                <w:sz w:val="20"/>
                <w:szCs w:val="20"/>
                <w:color w:val="auto"/>
              </w:rPr>
            </w:pPr>
            <w:r>
              <w:rPr>
                <w:rFonts w:ascii="Courier New" w:cs="Courier New" w:eastAsia="Courier New" w:hAnsi="Courier New"/>
                <w:sz w:val="15"/>
                <w:szCs w:val="15"/>
                <w:color w:val="auto"/>
              </w:rPr>
              <w:t>Employer</w:t>
            </w:r>
          </w:p>
        </w:tc>
        <w:tc>
          <w:tcPr>
            <w:tcW w:w="560" w:type="dxa"/>
            <w:vAlign w:val="bottom"/>
          </w:tcPr>
          <w:p>
            <w:pPr>
              <w:spacing w:after="0"/>
              <w:rPr>
                <w:sz w:val="14"/>
                <w:szCs w:val="14"/>
                <w:color w:val="auto"/>
              </w:rPr>
            </w:pPr>
          </w:p>
        </w:tc>
        <w:tc>
          <w:tcPr>
            <w:tcW w:w="1120" w:type="dxa"/>
            <w:vAlign w:val="bottom"/>
          </w:tcPr>
          <w:p>
            <w:pPr>
              <w:jc w:val="right"/>
              <w:ind w:right="246"/>
              <w:spacing w:after="0"/>
              <w:rPr>
                <w:sz w:val="20"/>
                <w:szCs w:val="20"/>
                <w:color w:val="auto"/>
              </w:rPr>
            </w:pPr>
            <w:r>
              <w:rPr>
                <w:rFonts w:ascii="Courier New" w:cs="Courier New" w:eastAsia="Courier New" w:hAnsi="Courier New"/>
                <w:sz w:val="15"/>
                <w:szCs w:val="15"/>
                <w:color w:val="auto"/>
                <w:w w:val="96"/>
              </w:rPr>
              <w:t>1,499,994</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1,267,824</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5,088,806</w:t>
            </w:r>
          </w:p>
        </w:tc>
        <w:tc>
          <w:tcPr>
            <w:tcW w:w="17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5,088,806</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560" w:type="dxa"/>
            <w:vAlign w:val="bottom"/>
          </w:tcPr>
          <w:p>
            <w:pPr>
              <w:ind w:left="220"/>
              <w:spacing w:after="0"/>
              <w:rPr>
                <w:sz w:val="20"/>
                <w:szCs w:val="20"/>
                <w:color w:val="auto"/>
              </w:rPr>
            </w:pPr>
            <w:r>
              <w:rPr>
                <w:rFonts w:ascii="Courier New" w:cs="Courier New" w:eastAsia="Courier New" w:hAnsi="Courier New"/>
                <w:sz w:val="5"/>
                <w:szCs w:val="5"/>
                <w:color w:val="auto"/>
                <w:w w:val="81"/>
              </w:rPr>
              <w:t>-------------</w:t>
            </w:r>
          </w:p>
        </w:tc>
        <w:tc>
          <w:tcPr>
            <w:tcW w:w="112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w w:val="96"/>
              </w:rPr>
              <w:t>4,058,321</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continue"/>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4,400,764</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17,072,763</w:t>
            </w:r>
          </w:p>
        </w:tc>
        <w:tc>
          <w:tcPr>
            <w:tcW w:w="17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17,072,763</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560" w:type="dxa"/>
            <w:vAlign w:val="bottom"/>
          </w:tcPr>
          <w:p>
            <w:pPr>
              <w:ind w:left="220"/>
              <w:spacing w:after="0"/>
              <w:rPr>
                <w:sz w:val="20"/>
                <w:szCs w:val="20"/>
                <w:color w:val="auto"/>
              </w:rPr>
            </w:pPr>
            <w:r>
              <w:rPr>
                <w:rFonts w:ascii="Courier New" w:cs="Courier New" w:eastAsia="Courier New" w:hAnsi="Courier New"/>
                <w:sz w:val="5"/>
                <w:szCs w:val="5"/>
                <w:color w:val="auto"/>
                <w:w w:val="81"/>
              </w:rPr>
              <w:t>-------------</w:t>
            </w:r>
          </w:p>
        </w:tc>
        <w:tc>
          <w:tcPr>
            <w:tcW w:w="112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w w:val="96"/>
              </w:rPr>
              <w:t>3,959,676</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continue"/>
          </w:tcPr>
          <w:p>
            <w:pPr>
              <w:spacing w:after="0"/>
              <w:rPr>
                <w:sz w:val="14"/>
                <w:szCs w:val="14"/>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6,465,450</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24,475,685</w:t>
            </w:r>
          </w:p>
        </w:tc>
        <w:tc>
          <w:tcPr>
            <w:tcW w:w="17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24,475,685</w:t>
            </w:r>
          </w:p>
        </w:tc>
        <w:tc>
          <w:tcPr>
            <w:tcW w:w="0" w:type="dxa"/>
            <w:vAlign w:val="bottom"/>
          </w:tcPr>
          <w:p>
            <w:pPr>
              <w:spacing w:after="0"/>
              <w:rPr>
                <w:sz w:val="1"/>
                <w:szCs w:val="1"/>
                <w:color w:val="auto"/>
              </w:rPr>
            </w:pPr>
          </w:p>
        </w:tc>
      </w:tr>
      <w:tr>
        <w:trPr>
          <w:trHeight w:val="249"/>
        </w:trPr>
        <w:tc>
          <w:tcPr>
            <w:tcW w:w="3060" w:type="dxa"/>
            <w:vAlign w:val="bottom"/>
          </w:tcPr>
          <w:p>
            <w:pPr>
              <w:spacing w:after="0"/>
              <w:rPr>
                <w:sz w:val="21"/>
                <w:szCs w:val="21"/>
                <w:color w:val="auto"/>
              </w:rPr>
            </w:pP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continue"/>
          </w:tcPr>
          <w:p>
            <w:pPr>
              <w:spacing w:after="0"/>
              <w:rPr>
                <w:sz w:val="21"/>
                <w:szCs w:val="21"/>
                <w:color w:val="auto"/>
              </w:rPr>
            </w:pP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060" w:type="dxa"/>
            <w:vAlign w:val="bottom"/>
          </w:tcPr>
          <w:p>
            <w:pPr>
              <w:spacing w:after="0"/>
              <w:rPr>
                <w:sz w:val="20"/>
                <w:szCs w:val="20"/>
                <w:color w:val="auto"/>
              </w:rPr>
            </w:pPr>
            <w:r>
              <w:rPr>
                <w:rFonts w:ascii="Courier New" w:cs="Courier New" w:eastAsia="Courier New" w:hAnsi="Courier New"/>
                <w:sz w:val="15"/>
                <w:szCs w:val="15"/>
                <w:color w:val="auto"/>
              </w:rPr>
              <w:t>DEDUCTIONS FROM NET</w:t>
            </w:r>
          </w:p>
        </w:tc>
        <w:tc>
          <w:tcPr>
            <w:tcW w:w="5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160"/>
              <w:spacing w:after="0"/>
              <w:rPr>
                <w:sz w:val="20"/>
                <w:szCs w:val="20"/>
                <w:color w:val="auto"/>
              </w:rPr>
            </w:pPr>
            <w:r>
              <w:rPr>
                <w:rFonts w:ascii="Courier New" w:cs="Courier New" w:eastAsia="Courier New" w:hAnsi="Courier New"/>
                <w:sz w:val="15"/>
                <w:szCs w:val="15"/>
                <w:color w:val="auto"/>
              </w:rPr>
              <w:t>ASSETS ATTRIBUTED TO:</w:t>
            </w:r>
          </w:p>
        </w:tc>
        <w:tc>
          <w:tcPr>
            <w:tcW w:w="5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ind w:left="260"/>
              <w:spacing w:after="0"/>
              <w:rPr>
                <w:sz w:val="20"/>
                <w:szCs w:val="20"/>
                <w:color w:val="auto"/>
              </w:rPr>
            </w:pPr>
            <w:r>
              <w:rPr>
                <w:rFonts w:ascii="Courier New" w:cs="Courier New" w:eastAsia="Courier New" w:hAnsi="Courier New"/>
                <w:sz w:val="15"/>
                <w:szCs w:val="15"/>
                <w:color w:val="auto"/>
              </w:rPr>
              <w:t>Benefits paid to participants</w:t>
            </w:r>
          </w:p>
        </w:tc>
        <w:tc>
          <w:tcPr>
            <w:tcW w:w="560" w:type="dxa"/>
            <w:vAlign w:val="bottom"/>
          </w:tcPr>
          <w:p>
            <w:pPr>
              <w:spacing w:after="0"/>
              <w:rPr>
                <w:sz w:val="14"/>
                <w:szCs w:val="14"/>
                <w:color w:val="auto"/>
              </w:rPr>
            </w:pPr>
          </w:p>
        </w:tc>
        <w:tc>
          <w:tcPr>
            <w:tcW w:w="112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w w:val="96"/>
              </w:rPr>
              <w:t>1,890,472</w:t>
            </w:r>
          </w:p>
        </w:tc>
        <w:tc>
          <w:tcPr>
            <w:tcW w:w="164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4,208,171</w:t>
            </w:r>
          </w:p>
        </w:tc>
        <w:tc>
          <w:tcPr>
            <w:tcW w:w="168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9,664,798</w:t>
            </w:r>
          </w:p>
        </w:tc>
        <w:tc>
          <w:tcPr>
            <w:tcW w:w="170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273,827</w:t>
            </w:r>
          </w:p>
        </w:tc>
        <w:tc>
          <w:tcPr>
            <w:tcW w:w="44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9,938,625</w:t>
            </w:r>
          </w:p>
        </w:tc>
        <w:tc>
          <w:tcPr>
            <w:tcW w:w="0" w:type="dxa"/>
            <w:vAlign w:val="bottom"/>
          </w:tcPr>
          <w:p>
            <w:pPr>
              <w:spacing w:after="0"/>
              <w:rPr>
                <w:sz w:val="1"/>
                <w:szCs w:val="1"/>
                <w:color w:val="auto"/>
              </w:rPr>
            </w:pPr>
          </w:p>
        </w:tc>
      </w:tr>
      <w:tr>
        <w:trPr>
          <w:trHeight w:val="171"/>
        </w:trPr>
        <w:tc>
          <w:tcPr>
            <w:tcW w:w="3060" w:type="dxa"/>
            <w:vAlign w:val="bottom"/>
          </w:tcPr>
          <w:p>
            <w:pPr>
              <w:ind w:left="520"/>
              <w:spacing w:after="0"/>
              <w:rPr>
                <w:sz w:val="20"/>
                <w:szCs w:val="20"/>
                <w:color w:val="auto"/>
              </w:rPr>
            </w:pPr>
            <w:r>
              <w:rPr>
                <w:rFonts w:ascii="Courier New" w:cs="Courier New" w:eastAsia="Courier New" w:hAnsi="Courier New"/>
                <w:sz w:val="15"/>
                <w:szCs w:val="15"/>
                <w:color w:val="auto"/>
              </w:rPr>
              <w:t>or beneficiaries</w:t>
            </w:r>
          </w:p>
        </w:tc>
        <w:tc>
          <w:tcPr>
            <w:tcW w:w="5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64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560" w:type="dxa"/>
            <w:vAlign w:val="bottom"/>
          </w:tcPr>
          <w:p>
            <w:pPr>
              <w:ind w:left="220"/>
              <w:spacing w:after="0"/>
              <w:rPr>
                <w:sz w:val="20"/>
                <w:szCs w:val="20"/>
                <w:color w:val="auto"/>
              </w:rPr>
            </w:pPr>
            <w:r>
              <w:rPr>
                <w:rFonts w:ascii="Courier New" w:cs="Courier New" w:eastAsia="Courier New" w:hAnsi="Courier New"/>
                <w:sz w:val="5"/>
                <w:szCs w:val="5"/>
                <w:color w:val="auto"/>
                <w:w w:val="81"/>
              </w:rPr>
              <w:t>-------------</w:t>
            </w:r>
          </w:p>
        </w:tc>
        <w:tc>
          <w:tcPr>
            <w:tcW w:w="112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w w:val="96"/>
              </w:rPr>
              <w:t>1,890,472</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4,208,171</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9,664,798</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273,827</w:t>
            </w:r>
          </w:p>
        </w:tc>
        <w:tc>
          <w:tcPr>
            <w:tcW w:w="44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9,938,625</w:t>
            </w:r>
          </w:p>
        </w:tc>
        <w:tc>
          <w:tcPr>
            <w:tcW w:w="0" w:type="dxa"/>
            <w:vAlign w:val="bottom"/>
          </w:tcPr>
          <w:p>
            <w:pPr>
              <w:spacing w:after="0"/>
              <w:rPr>
                <w:sz w:val="1"/>
                <w:szCs w:val="1"/>
                <w:color w:val="auto"/>
              </w:rPr>
            </w:pPr>
          </w:p>
        </w:tc>
      </w:tr>
      <w:tr>
        <w:trPr>
          <w:trHeight w:val="249"/>
        </w:trPr>
        <w:tc>
          <w:tcPr>
            <w:tcW w:w="3060" w:type="dxa"/>
            <w:vAlign w:val="bottom"/>
          </w:tcPr>
          <w:p>
            <w:pPr>
              <w:spacing w:after="0"/>
              <w:rPr>
                <w:sz w:val="21"/>
                <w:szCs w:val="21"/>
                <w:color w:val="auto"/>
              </w:rPr>
            </w:pP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4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18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w:t>
            </w:r>
          </w:p>
        </w:tc>
        <w:tc>
          <w:tcPr>
            <w:tcW w:w="14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increase (decrease) prior to</w:t>
      </w:r>
    </w:p>
    <w:p>
      <w:pPr>
        <w:sectPr>
          <w:pgSz w:w="11900" w:h="16847" w:orient="portrait"/>
          <w:cols w:equalWidth="0" w:num="1">
            <w:col w:w="11440"/>
          </w:cols>
          <w:pgMar w:left="240" w:top="434" w:right="219" w:bottom="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interfund transfers</w:t>
            </w:r>
          </w:p>
        </w:tc>
        <w:tc>
          <w:tcPr>
            <w:tcW w:w="19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2,069,204</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2,257,279</w:t>
            </w:r>
          </w:p>
        </w:tc>
        <w:tc>
          <w:tcPr>
            <w:tcW w:w="17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14,810,887</w:t>
            </w:r>
          </w:p>
        </w:tc>
        <w:tc>
          <w:tcPr>
            <w:tcW w:w="40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(273,827)</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14,537,060</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Loan repayments--principal</w:t>
            </w:r>
          </w:p>
        </w:tc>
        <w:tc>
          <w:tcPr>
            <w:tcW w:w="19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361,764</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574,028</w:t>
            </w:r>
          </w:p>
        </w:tc>
        <w:tc>
          <w:tcPr>
            <w:tcW w:w="17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1,624,664</w:t>
            </w:r>
          </w:p>
        </w:tc>
        <w:tc>
          <w:tcPr>
            <w:tcW w:w="400" w:type="dxa"/>
            <w:vAlign w:val="bottom"/>
          </w:tcPr>
          <w:p>
            <w:pPr>
              <w:spacing w:after="0"/>
              <w:rPr>
                <w:sz w:val="14"/>
                <w:szCs w:val="14"/>
                <w:color w:val="auto"/>
              </w:rPr>
            </w:pPr>
          </w:p>
        </w:tc>
        <w:tc>
          <w:tcPr>
            <w:tcW w:w="12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(1,624,664)</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Loan withdrawals</w:t>
            </w:r>
          </w:p>
        </w:tc>
        <w:tc>
          <w:tcPr>
            <w:tcW w:w="196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(801,711)</w:t>
            </w:r>
          </w:p>
        </w:tc>
        <w:tc>
          <w:tcPr>
            <w:tcW w:w="16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(1,598,338)</w:t>
            </w:r>
          </w:p>
        </w:tc>
        <w:tc>
          <w:tcPr>
            <w:tcW w:w="1700" w:type="dxa"/>
            <w:vAlign w:val="bottom"/>
          </w:tcPr>
          <w:p>
            <w:pPr>
              <w:jc w:val="right"/>
              <w:ind w:right="166"/>
              <w:spacing w:after="0"/>
              <w:rPr>
                <w:sz w:val="20"/>
                <w:szCs w:val="20"/>
                <w:color w:val="auto"/>
              </w:rPr>
            </w:pPr>
            <w:r>
              <w:rPr>
                <w:rFonts w:ascii="Courier New" w:cs="Courier New" w:eastAsia="Courier New" w:hAnsi="Courier New"/>
                <w:sz w:val="15"/>
                <w:szCs w:val="15"/>
                <w:color w:val="auto"/>
              </w:rPr>
              <w:t>(4,141,099)</w:t>
            </w:r>
          </w:p>
        </w:tc>
        <w:tc>
          <w:tcPr>
            <w:tcW w:w="40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4,141,099</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Other interfund transfers</w:t>
            </w:r>
          </w:p>
        </w:tc>
        <w:tc>
          <w:tcPr>
            <w:tcW w:w="19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570,166</w:t>
            </w:r>
          </w:p>
        </w:tc>
        <w:tc>
          <w:tcPr>
            <w:tcW w:w="16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(3,105,166)</w:t>
            </w:r>
          </w:p>
        </w:tc>
        <w:tc>
          <w:tcPr>
            <w:tcW w:w="170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vMerge w:val="restart"/>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780" w:type="dxa"/>
            <w:vAlign w:val="bottom"/>
            <w:vMerge w:val="restart"/>
          </w:tcPr>
          <w:p>
            <w:pPr>
              <w:spacing w:after="0"/>
              <w:rPr>
                <w:sz w:val="20"/>
                <w:szCs w:val="20"/>
                <w:color w:val="auto"/>
              </w:rPr>
            </w:pPr>
            <w:r>
              <w:rPr>
                <w:rFonts w:ascii="Courier New" w:cs="Courier New" w:eastAsia="Courier New" w:hAnsi="Courier New"/>
                <w:sz w:val="15"/>
                <w:szCs w:val="15"/>
                <w:color w:val="auto"/>
              </w:rPr>
              <w:t>Net increase (decrease)</w:t>
            </w:r>
          </w:p>
        </w:tc>
        <w:tc>
          <w:tcPr>
            <w:tcW w:w="19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00" w:type="dxa"/>
            <w:vAlign w:val="bottom"/>
            <w:vMerge w:val="continue"/>
          </w:tcPr>
          <w:p>
            <w:pPr>
              <w:spacing w:after="0"/>
              <w:rPr>
                <w:sz w:val="14"/>
                <w:szCs w:val="14"/>
                <w:color w:val="auto"/>
              </w:rPr>
            </w:pPr>
          </w:p>
        </w:tc>
        <w:tc>
          <w:tcPr>
            <w:tcW w:w="1680" w:type="dxa"/>
            <w:vAlign w:val="bottom"/>
            <w:gridSpan w:val="2"/>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vMerge w:val="continue"/>
          </w:tcPr>
          <w:p>
            <w:pPr>
              <w:spacing w:after="0"/>
              <w:rPr>
                <w:sz w:val="14"/>
                <w:szCs w:val="14"/>
                <w:color w:val="auto"/>
              </w:rPr>
            </w:pPr>
          </w:p>
        </w:tc>
        <w:tc>
          <w:tcPr>
            <w:tcW w:w="19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2,199,423</w:t>
            </w:r>
          </w:p>
        </w:tc>
        <w:tc>
          <w:tcPr>
            <w:tcW w:w="168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(1,872,197)</w:t>
            </w:r>
          </w:p>
        </w:tc>
        <w:tc>
          <w:tcPr>
            <w:tcW w:w="17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12,294,452</w:t>
            </w:r>
          </w:p>
        </w:tc>
        <w:tc>
          <w:tcPr>
            <w:tcW w:w="400" w:type="dxa"/>
            <w:vAlign w:val="bottom"/>
          </w:tcPr>
          <w:p>
            <w:pPr>
              <w:spacing w:after="0"/>
              <w:rPr>
                <w:sz w:val="14"/>
                <w:szCs w:val="14"/>
                <w:color w:val="auto"/>
              </w:rPr>
            </w:pP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2,242,608</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14,537,060</w:t>
            </w:r>
          </w:p>
        </w:tc>
        <w:tc>
          <w:tcPr>
            <w:tcW w:w="0" w:type="dxa"/>
            <w:vAlign w:val="bottom"/>
          </w:tcPr>
          <w:p>
            <w:pPr>
              <w:spacing w:after="0"/>
              <w:rPr>
                <w:sz w:val="1"/>
                <w:szCs w:val="1"/>
                <w:color w:val="auto"/>
              </w:rPr>
            </w:pPr>
          </w:p>
        </w:tc>
      </w:tr>
      <w:tr>
        <w:trPr>
          <w:trHeight w:val="171"/>
        </w:trPr>
        <w:tc>
          <w:tcPr>
            <w:tcW w:w="2780" w:type="dxa"/>
            <w:vAlign w:val="bottom"/>
          </w:tcPr>
          <w:p>
            <w:pPr>
              <w:spacing w:after="0"/>
              <w:rPr>
                <w:sz w:val="20"/>
                <w:szCs w:val="20"/>
                <w:color w:val="auto"/>
              </w:rPr>
            </w:pPr>
            <w:r>
              <w:rPr>
                <w:rFonts w:ascii="Courier New" w:cs="Courier New" w:eastAsia="Courier New" w:hAnsi="Courier New"/>
                <w:sz w:val="15"/>
                <w:szCs w:val="15"/>
                <w:color w:val="auto"/>
              </w:rPr>
              <w:t>NET ASSETS AVAILABLE</w:t>
            </w:r>
          </w:p>
        </w:tc>
        <w:tc>
          <w:tcPr>
            <w:tcW w:w="196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tcPr>
          <w:p>
            <w:pPr>
              <w:ind w:left="160"/>
              <w:spacing w:after="0"/>
              <w:rPr>
                <w:sz w:val="20"/>
                <w:szCs w:val="20"/>
                <w:color w:val="auto"/>
              </w:rPr>
            </w:pPr>
            <w:r>
              <w:rPr>
                <w:rFonts w:ascii="Courier New" w:cs="Courier New" w:eastAsia="Courier New" w:hAnsi="Courier New"/>
                <w:sz w:val="15"/>
                <w:szCs w:val="15"/>
                <w:color w:val="auto"/>
              </w:rPr>
              <w:t>FOR BENEFITS:</w:t>
            </w:r>
          </w:p>
        </w:tc>
        <w:tc>
          <w:tcPr>
            <w:tcW w:w="196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21,351,557</w:t>
            </w:r>
          </w:p>
        </w:tc>
        <w:tc>
          <w:tcPr>
            <w:tcW w:w="1680" w:type="dxa"/>
            <w:vAlign w:val="bottom"/>
            <w:vMerge w:val="restart"/>
          </w:tcPr>
          <w:p>
            <w:pPr>
              <w:jc w:val="right"/>
              <w:ind w:right="226"/>
              <w:spacing w:after="0"/>
              <w:rPr>
                <w:sz w:val="20"/>
                <w:szCs w:val="20"/>
                <w:color w:val="auto"/>
              </w:rPr>
            </w:pPr>
            <w:r>
              <w:rPr>
                <w:rFonts w:ascii="Courier New" w:cs="Courier New" w:eastAsia="Courier New" w:hAnsi="Courier New"/>
                <w:sz w:val="15"/>
                <w:szCs w:val="15"/>
                <w:color w:val="auto"/>
              </w:rPr>
              <w:t>33,077,270</w:t>
            </w:r>
          </w:p>
        </w:tc>
        <w:tc>
          <w:tcPr>
            <w:tcW w:w="170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88,212,947</w:t>
            </w:r>
          </w:p>
        </w:tc>
        <w:tc>
          <w:tcPr>
            <w:tcW w:w="400" w:type="dxa"/>
            <w:vAlign w:val="bottom"/>
          </w:tcPr>
          <w:p>
            <w:pPr>
              <w:spacing w:after="0"/>
              <w:rPr>
                <w:sz w:val="14"/>
                <w:szCs w:val="14"/>
                <w:color w:val="auto"/>
              </w:rPr>
            </w:pPr>
          </w:p>
        </w:tc>
        <w:tc>
          <w:tcPr>
            <w:tcW w:w="1280" w:type="dxa"/>
            <w:vAlign w:val="bottom"/>
            <w:vMerge w:val="restart"/>
          </w:tcPr>
          <w:p>
            <w:pPr>
              <w:jc w:val="right"/>
              <w:ind w:right="246"/>
              <w:spacing w:after="0"/>
              <w:rPr>
                <w:sz w:val="20"/>
                <w:szCs w:val="20"/>
                <w:color w:val="auto"/>
              </w:rPr>
            </w:pPr>
            <w:r>
              <w:rPr>
                <w:rFonts w:ascii="Courier New" w:cs="Courier New" w:eastAsia="Courier New" w:hAnsi="Courier New"/>
                <w:sz w:val="15"/>
                <w:szCs w:val="15"/>
                <w:color w:val="auto"/>
              </w:rPr>
              <w:t>2,416,382</w:t>
            </w:r>
          </w:p>
        </w:tc>
        <w:tc>
          <w:tcPr>
            <w:tcW w:w="138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90,629,329</w:t>
            </w:r>
          </w:p>
        </w:tc>
        <w:tc>
          <w:tcPr>
            <w:tcW w:w="0" w:type="dxa"/>
            <w:vAlign w:val="bottom"/>
          </w:tcPr>
          <w:p>
            <w:pPr>
              <w:spacing w:after="0"/>
              <w:rPr>
                <w:sz w:val="1"/>
                <w:szCs w:val="1"/>
                <w:color w:val="auto"/>
              </w:rPr>
            </w:pPr>
          </w:p>
        </w:tc>
      </w:tr>
      <w:tr>
        <w:trPr>
          <w:trHeight w:val="171"/>
        </w:trPr>
        <w:tc>
          <w:tcPr>
            <w:tcW w:w="2780" w:type="dxa"/>
            <w:vAlign w:val="bottom"/>
          </w:tcPr>
          <w:p>
            <w:pPr>
              <w:ind w:left="260"/>
              <w:spacing w:after="0"/>
              <w:rPr>
                <w:sz w:val="20"/>
                <w:szCs w:val="20"/>
                <w:color w:val="auto"/>
              </w:rPr>
            </w:pPr>
            <w:r>
              <w:rPr>
                <w:rFonts w:ascii="Courier New" w:cs="Courier New" w:eastAsia="Courier New" w:hAnsi="Courier New"/>
                <w:sz w:val="15"/>
                <w:szCs w:val="15"/>
                <w:color w:val="auto"/>
              </w:rPr>
              <w:t>Beginning of year</w:t>
            </w:r>
          </w:p>
        </w:tc>
        <w:tc>
          <w:tcPr>
            <w:tcW w:w="1960" w:type="dxa"/>
            <w:vAlign w:val="bottom"/>
            <w:vMerge w:val="continue"/>
          </w:tcPr>
          <w:p>
            <w:pPr>
              <w:spacing w:after="0"/>
              <w:rPr>
                <w:sz w:val="14"/>
                <w:szCs w:val="14"/>
                <w:color w:val="auto"/>
              </w:rPr>
            </w:pPr>
          </w:p>
        </w:tc>
        <w:tc>
          <w:tcPr>
            <w:tcW w:w="16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1280" w:type="dxa"/>
            <w:vAlign w:val="bottom"/>
            <w:vMerge w:val="continue"/>
          </w:tcPr>
          <w:p>
            <w:pPr>
              <w:spacing w:after="0"/>
              <w:rPr>
                <w:sz w:val="14"/>
                <w:szCs w:val="14"/>
                <w:color w:val="auto"/>
              </w:rPr>
            </w:pPr>
          </w:p>
        </w:tc>
        <w:tc>
          <w:tcPr>
            <w:tcW w:w="13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780" w:type="dxa"/>
            <w:vAlign w:val="bottom"/>
            <w:vMerge w:val="restart"/>
          </w:tcPr>
          <w:p>
            <w:pPr>
              <w:ind w:left="260"/>
              <w:spacing w:after="0"/>
              <w:rPr>
                <w:sz w:val="20"/>
                <w:szCs w:val="20"/>
                <w:color w:val="auto"/>
              </w:rPr>
            </w:pPr>
            <w:r>
              <w:rPr>
                <w:rFonts w:ascii="Courier New" w:cs="Courier New" w:eastAsia="Courier New" w:hAnsi="Courier New"/>
                <w:sz w:val="15"/>
                <w:szCs w:val="15"/>
                <w:color w:val="auto"/>
              </w:rPr>
              <w:t>End of year</w:t>
            </w:r>
          </w:p>
        </w:tc>
        <w:tc>
          <w:tcPr>
            <w:tcW w:w="19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2780" w:type="dxa"/>
            <w:vAlign w:val="bottom"/>
            <w:vMerge w:val="continue"/>
          </w:tcPr>
          <w:p>
            <w:pPr>
              <w:spacing w:after="0"/>
              <w:rPr>
                <w:sz w:val="14"/>
                <w:szCs w:val="14"/>
                <w:color w:val="auto"/>
              </w:rPr>
            </w:pPr>
          </w:p>
        </w:tc>
        <w:tc>
          <w:tcPr>
            <w:tcW w:w="19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23,550,980</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  31,205,073</w:t>
            </w:r>
          </w:p>
        </w:tc>
        <w:tc>
          <w:tcPr>
            <w:tcW w:w="17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$ 100,507,399</w:t>
            </w:r>
          </w:p>
        </w:tc>
        <w:tc>
          <w:tcPr>
            <w:tcW w:w="4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4,658,990</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$ 105,166,389</w:t>
            </w:r>
          </w:p>
        </w:tc>
        <w:tc>
          <w:tcPr>
            <w:tcW w:w="0" w:type="dxa"/>
            <w:vAlign w:val="bottom"/>
          </w:tcPr>
          <w:p>
            <w:pPr>
              <w:spacing w:after="0"/>
              <w:rPr>
                <w:sz w:val="1"/>
                <w:szCs w:val="1"/>
                <w:color w:val="auto"/>
              </w:rPr>
            </w:pPr>
          </w:p>
        </w:tc>
      </w:tr>
      <w:tr>
        <w:trPr>
          <w:trHeight w:val="249"/>
        </w:trPr>
        <w:tc>
          <w:tcPr>
            <w:tcW w:w="2780" w:type="dxa"/>
            <w:vAlign w:val="bottom"/>
          </w:tcPr>
          <w:p>
            <w:pPr>
              <w:spacing w:after="0"/>
              <w:rPr>
                <w:sz w:val="21"/>
                <w:szCs w:val="21"/>
                <w:color w:val="auto"/>
              </w:rPr>
            </w:pPr>
          </w:p>
        </w:tc>
        <w:tc>
          <w:tcPr>
            <w:tcW w:w="196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80" w:type="dxa"/>
            <w:vAlign w:val="bottom"/>
          </w:tcPr>
          <w:p>
            <w:pPr>
              <w:jc w:val="right"/>
              <w:ind w:right="22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680" w:type="dxa"/>
            <w:vAlign w:val="bottom"/>
            <w:gridSpan w:val="2"/>
          </w:tcPr>
          <w:p>
            <w:pPr>
              <w:jc w:val="right"/>
              <w:ind w:right="246"/>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notes to financial statements.</w:t>
      </w:r>
    </w:p>
    <w:p>
      <w:pPr>
        <w:spacing w:after="0" w:line="171" w:lineRule="exact"/>
        <w:rPr>
          <w:sz w:val="20"/>
          <w:szCs w:val="20"/>
          <w:color w:val="auto"/>
        </w:rPr>
      </w:pPr>
    </w:p>
    <w:p>
      <w:pPr>
        <w:ind w:left="3360"/>
        <w:spacing w:after="0"/>
        <w:rPr>
          <w:sz w:val="20"/>
          <w:szCs w:val="20"/>
          <w:color w:val="auto"/>
        </w:rPr>
      </w:pPr>
      <w:r>
        <w:rPr>
          <w:rFonts w:ascii="Courier New" w:cs="Courier New" w:eastAsia="Courier New" w:hAnsi="Courier New"/>
          <w:sz w:val="15"/>
          <w:szCs w:val="15"/>
          <w:color w:val="auto"/>
        </w:rPr>
        <w:t>- 5 -</w:t>
      </w:r>
    </w:p>
    <w:p>
      <w:pPr>
        <w:sectPr>
          <w:pgSz w:w="11900" w:h="16838" w:orient="portrait"/>
          <w:cols w:equalWidth="0" w:num="1">
            <w:col w:w="11180"/>
          </w:cols>
          <w:pgMar w:left="240" w:top="115" w:right="479" w:bottom="1440" w:gutter="0" w:footer="0" w:header="0"/>
        </w:sectPr>
      </w:pPr>
    </w:p>
    <w:bookmarkStart w:id="10" w:name="page11"/>
    <w:bookmarkEnd w:id="10"/>
    <w:p>
      <w:pPr>
        <w:ind w:left="9"/>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FINANCIAL STATEMENTS</w:t>
      </w:r>
    </w:p>
    <w:p>
      <w:pPr>
        <w:spacing w:after="0" w:line="2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1998, 1997 AND 1996</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327" w:lineRule="exact"/>
        <w:rPr>
          <w:sz w:val="20"/>
          <w:szCs w:val="20"/>
          <w:color w:val="auto"/>
        </w:rPr>
      </w:pPr>
    </w:p>
    <w:p>
      <w:pPr>
        <w:ind w:left="529" w:hanging="529"/>
        <w:spacing w:after="0"/>
        <w:tabs>
          <w:tab w:leader="none" w:pos="52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w:t>
      </w:r>
    </w:p>
    <w:p>
      <w:pPr>
        <w:spacing w:after="0" w:line="171" w:lineRule="exact"/>
        <w:rPr>
          <w:rFonts w:ascii="Courier New" w:cs="Courier New" w:eastAsia="Courier New" w:hAnsi="Courier New"/>
          <w:sz w:val="15"/>
          <w:szCs w:val="15"/>
          <w:color w:val="auto"/>
        </w:rPr>
      </w:pPr>
    </w:p>
    <w:p>
      <w:pPr>
        <w:jc w:val="both"/>
        <w:ind w:left="529" w:right="3119"/>
        <w:spacing w:after="0" w:line="266"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financial statements of the Comcast Corporation Retirement-Investment Plan (the "Plan") are presented using the accrual basis of accounting. Investments in mutual funds and the Comcast Stock Fund are carried at fair value. Fair value is determined by the last sale or closing price as of the last trading day of the Plan year for investments in securities traded on a matured securities exchange or the Nasdaq National Market. Investment contracts which are included in the Stable Value Fund are fully benefit-responsive and are carried at contract value. Contract value represents contributions made, plus interest at the contract rate and transfers, less distributions. Loans receivable from participants are valued at cost which approximates fair value. Net unrealized appreciation or depreciation in the financial statements reflects changes in fair value of investments held at year end, while net realized gains and losses associated with the disposition of investments are recorded as of the trade date and calculated based on fair value as of such date. All costs associated with administering the Plan are paid or absorbed by Comcast Corporation ("Comcast," the "Company" or the "Plan Administrator").</w:t>
      </w:r>
    </w:p>
    <w:p>
      <w:pPr>
        <w:spacing w:after="0" w:line="259" w:lineRule="exact"/>
        <w:rPr>
          <w:rFonts w:ascii="Courier New" w:cs="Courier New" w:eastAsia="Courier New" w:hAnsi="Courier New"/>
          <w:sz w:val="15"/>
          <w:szCs w:val="15"/>
          <w:color w:val="auto"/>
        </w:rPr>
      </w:pPr>
    </w:p>
    <w:p>
      <w:pPr>
        <w:jc w:val="both"/>
        <w:ind w:left="529" w:right="3119"/>
        <w:spacing w:after="0" w:line="27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w:t>
      </w:r>
    </w:p>
    <w:p>
      <w:pPr>
        <w:spacing w:after="0" w:line="66" w:lineRule="exact"/>
        <w:rPr>
          <w:rFonts w:ascii="Courier New" w:cs="Courier New" w:eastAsia="Courier New" w:hAnsi="Courier New"/>
          <w:sz w:val="15"/>
          <w:szCs w:val="15"/>
          <w:color w:val="auto"/>
        </w:rPr>
      </w:pPr>
    </w:p>
    <w:p>
      <w:pPr>
        <w:ind w:left="529" w:hanging="529"/>
        <w:spacing w:after="0"/>
        <w:tabs>
          <w:tab w:leader="none" w:pos="529"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DESCRIPTION</w:t>
      </w:r>
    </w:p>
    <w:p>
      <w:pPr>
        <w:spacing w:after="0" w:line="171" w:lineRule="exact"/>
        <w:rPr>
          <w:rFonts w:ascii="Courier New" w:cs="Courier New" w:eastAsia="Courier New" w:hAnsi="Courier New"/>
          <w:sz w:val="15"/>
          <w:szCs w:val="15"/>
          <w:color w:val="auto"/>
        </w:rPr>
      </w:pPr>
    </w:p>
    <w:p>
      <w:pPr>
        <w:jc w:val="both"/>
        <w:ind w:left="529" w:right="3119"/>
        <w:spacing w:after="0" w:line="27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description of the Plan provides only general information. Plan participants should refer to the Plan document and applicable amendments for a more complete description of the Plan's provisions. Copies of these documents are available from the Plan Administrator.</w:t>
      </w:r>
    </w:p>
    <w:p>
      <w:pPr>
        <w:spacing w:after="0" w:line="66" w:lineRule="exact"/>
        <w:rPr>
          <w:rFonts w:ascii="Courier New" w:cs="Courier New" w:eastAsia="Courier New" w:hAnsi="Courier New"/>
          <w:sz w:val="15"/>
          <w:szCs w:val="15"/>
          <w:color w:val="auto"/>
        </w:rPr>
      </w:pPr>
    </w:p>
    <w:p>
      <w:pPr>
        <w:jc w:val="both"/>
        <w:ind w:left="529" w:right="3119"/>
        <w:spacing w:after="0" w:line="263"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is a defined contribution plan qualified under Internal Revenue Code (the "Code") Sections 401(k), 401(a) and 401(m). The original Plan has been amended and restated to reflect mergers of other plans with and into the Plan and to make certain other technical, compliance and design changes. The Plan is subject to the provisions of the Employee Retirement Income Security Act of 1974 ("ERISA").</w:t>
      </w:r>
    </w:p>
    <w:p>
      <w:pPr>
        <w:spacing w:after="0" w:line="77" w:lineRule="exact"/>
        <w:rPr>
          <w:rFonts w:ascii="Courier New" w:cs="Courier New" w:eastAsia="Courier New" w:hAnsi="Courier New"/>
          <w:sz w:val="15"/>
          <w:szCs w:val="15"/>
          <w:color w:val="auto"/>
        </w:rPr>
      </w:pPr>
    </w:p>
    <w:p>
      <w:pPr>
        <w:jc w:val="both"/>
        <w:ind w:left="529" w:right="3119"/>
        <w:spacing w:after="0" w:line="250"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 employee is eligible for participation in the Plan upon completion of one year of service, as defined in the Plan (see Note 9). Each eligible employee may direct the Company to make contributions to the Plan of any whole percentage from 1% through 17% of their compensation, subject to certain limits imposed by the Code. The Company matches 100% of the participant's contribution up to 1% of the participant's compensation for such payroll period, and 50% of the participant's contribution in excess of 1% of the participant's compensation for such payroll period, up to a maximum total matching contribution of 3.5% of the participant's compensation (see Note 9). Each participant has at all times a 100% nonforfeitable interest in the participant's contributions and earnings attributable thereto. Contributions by the Company and earnings thereon vest according to the following schedule:</w:t>
      </w:r>
    </w:p>
    <w:p>
      <w:pPr>
        <w:spacing w:after="0" w:line="88" w:lineRule="exact"/>
        <w:rPr>
          <w:sz w:val="20"/>
          <w:szCs w:val="20"/>
          <w:color w:val="auto"/>
        </w:rPr>
      </w:pPr>
    </w:p>
    <w:tbl>
      <w:tblPr>
        <w:tblLayout w:type="fixed"/>
        <w:tblInd w:w="1249" w:type="dxa"/>
        <w:tblCellMar>
          <w:top w:w="0" w:type="dxa"/>
          <w:left w:w="0" w:type="dxa"/>
          <w:bottom w:w="0" w:type="dxa"/>
          <w:right w:w="0" w:type="dxa"/>
        </w:tblCellMar>
      </w:tblPr>
      <w:tr>
        <w:trPr>
          <w:trHeight w:val="249"/>
        </w:trPr>
        <w:tc>
          <w:tcPr>
            <w:tcW w:w="2080" w:type="dxa"/>
            <w:vAlign w:val="bottom"/>
            <w:gridSpan w:val="2"/>
          </w:tcPr>
          <w:p>
            <w:pPr>
              <w:spacing w:after="0"/>
              <w:rPr>
                <w:sz w:val="20"/>
                <w:szCs w:val="20"/>
                <w:color w:val="auto"/>
              </w:rPr>
            </w:pPr>
            <w:r>
              <w:rPr>
                <w:rFonts w:ascii="Courier New" w:cs="Courier New" w:eastAsia="Courier New" w:hAnsi="Courier New"/>
                <w:sz w:val="15"/>
                <w:szCs w:val="15"/>
                <w:color w:val="auto"/>
              </w:rPr>
              <w:t>Years of Service</w:t>
            </w:r>
          </w:p>
        </w:tc>
        <w:tc>
          <w:tcPr>
            <w:tcW w:w="1380" w:type="dxa"/>
            <w:vAlign w:val="bottom"/>
          </w:tcPr>
          <w:p>
            <w:pPr>
              <w:spacing w:after="0"/>
              <w:rPr>
                <w:sz w:val="21"/>
                <w:szCs w:val="21"/>
                <w:color w:val="auto"/>
              </w:rPr>
            </w:pPr>
          </w:p>
        </w:tc>
        <w:tc>
          <w:tcPr>
            <w:tcW w:w="2400" w:type="dxa"/>
            <w:vAlign w:val="bottom"/>
          </w:tcPr>
          <w:p>
            <w:pPr>
              <w:jc w:val="right"/>
              <w:spacing w:after="0"/>
              <w:rPr>
                <w:sz w:val="20"/>
                <w:szCs w:val="20"/>
                <w:color w:val="auto"/>
              </w:rPr>
            </w:pPr>
            <w:r>
              <w:rPr>
                <w:rFonts w:ascii="Courier New" w:cs="Courier New" w:eastAsia="Courier New" w:hAnsi="Courier New"/>
                <w:sz w:val="15"/>
                <w:szCs w:val="15"/>
                <w:color w:val="auto"/>
              </w:rPr>
              <w:t>Vested Percentage</w:t>
            </w:r>
          </w:p>
        </w:tc>
      </w:tr>
      <w:tr>
        <w:trPr>
          <w:trHeight w:val="263"/>
        </w:trPr>
        <w:tc>
          <w:tcPr>
            <w:tcW w:w="120" w:type="dxa"/>
            <w:vAlign w:val="bottom"/>
          </w:tcPr>
          <w:p>
            <w:pPr>
              <w:spacing w:after="0"/>
              <w:rPr>
                <w:sz w:val="20"/>
                <w:szCs w:val="20"/>
                <w:color w:val="auto"/>
              </w:rPr>
            </w:pPr>
            <w:r>
              <w:rPr>
                <w:rFonts w:ascii="Courier New" w:cs="Courier New" w:eastAsia="Courier New" w:hAnsi="Courier New"/>
                <w:sz w:val="15"/>
                <w:szCs w:val="15"/>
                <w:color w:val="auto"/>
              </w:rPr>
              <w:t>1</w:t>
            </w:r>
          </w:p>
        </w:tc>
        <w:tc>
          <w:tcPr>
            <w:tcW w:w="33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year but less than 2 years</w:t>
            </w:r>
          </w:p>
        </w:tc>
        <w:tc>
          <w:tcPr>
            <w:tcW w:w="2400" w:type="dxa"/>
            <w:vAlign w:val="bottom"/>
          </w:tcPr>
          <w:p>
            <w:pPr>
              <w:jc w:val="right"/>
              <w:ind w:right="566"/>
              <w:spacing w:after="0"/>
              <w:rPr>
                <w:sz w:val="20"/>
                <w:szCs w:val="20"/>
                <w:color w:val="auto"/>
              </w:rPr>
            </w:pPr>
            <w:r>
              <w:rPr>
                <w:rFonts w:ascii="Courier New" w:cs="Courier New" w:eastAsia="Courier New" w:hAnsi="Courier New"/>
                <w:sz w:val="15"/>
                <w:szCs w:val="15"/>
                <w:color w:val="auto"/>
              </w:rPr>
              <w:t>20%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2</w:t>
            </w:r>
          </w:p>
        </w:tc>
        <w:tc>
          <w:tcPr>
            <w:tcW w:w="33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years but less than 3 years</w:t>
            </w:r>
          </w:p>
        </w:tc>
        <w:tc>
          <w:tcPr>
            <w:tcW w:w="24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40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3</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w w:val="99"/>
              </w:rPr>
              <w:t>years but less than 4</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24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60</w:t>
            </w:r>
          </w:p>
        </w:tc>
      </w:tr>
      <w:tr>
        <w:trPr>
          <w:trHeight w:val="171"/>
        </w:trPr>
        <w:tc>
          <w:tcPr>
            <w:tcW w:w="120" w:type="dxa"/>
            <w:vAlign w:val="bottom"/>
          </w:tcPr>
          <w:p>
            <w:pPr>
              <w:spacing w:after="0"/>
              <w:rPr>
                <w:sz w:val="20"/>
                <w:szCs w:val="20"/>
                <w:color w:val="auto"/>
              </w:rPr>
            </w:pPr>
            <w:r>
              <w:rPr>
                <w:rFonts w:ascii="Courier New" w:cs="Courier New" w:eastAsia="Courier New" w:hAnsi="Courier New"/>
                <w:sz w:val="15"/>
                <w:szCs w:val="15"/>
                <w:color w:val="auto"/>
              </w:rPr>
              <w:t>4</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w w:val="99"/>
              </w:rPr>
              <w:t>years but less than 5</w:t>
            </w:r>
          </w:p>
        </w:tc>
        <w:tc>
          <w:tcPr>
            <w:tcW w:w="138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24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80</w:t>
            </w:r>
          </w:p>
        </w:tc>
      </w:tr>
      <w:tr>
        <w:trPr>
          <w:trHeight w:val="249"/>
        </w:trPr>
        <w:tc>
          <w:tcPr>
            <w:tcW w:w="120" w:type="dxa"/>
            <w:vAlign w:val="bottom"/>
          </w:tcPr>
          <w:p>
            <w:pPr>
              <w:spacing w:after="0"/>
              <w:rPr>
                <w:sz w:val="20"/>
                <w:szCs w:val="20"/>
                <w:color w:val="auto"/>
              </w:rPr>
            </w:pPr>
            <w:r>
              <w:rPr>
                <w:rFonts w:ascii="Courier New" w:cs="Courier New" w:eastAsia="Courier New" w:hAnsi="Courier New"/>
                <w:sz w:val="15"/>
                <w:szCs w:val="15"/>
                <w:color w:val="auto"/>
              </w:rPr>
              <w:t>5</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years or more</w:t>
            </w:r>
          </w:p>
        </w:tc>
        <w:tc>
          <w:tcPr>
            <w:tcW w:w="1380" w:type="dxa"/>
            <w:vAlign w:val="bottom"/>
          </w:tcPr>
          <w:p>
            <w:pPr>
              <w:spacing w:after="0"/>
              <w:rPr>
                <w:sz w:val="21"/>
                <w:szCs w:val="21"/>
                <w:color w:val="auto"/>
              </w:rPr>
            </w:pPr>
          </w:p>
        </w:tc>
        <w:tc>
          <w:tcPr>
            <w:tcW w:w="2400" w:type="dxa"/>
            <w:vAlign w:val="bottom"/>
          </w:tcPr>
          <w:p>
            <w:pPr>
              <w:jc w:val="right"/>
              <w:ind w:right="646"/>
              <w:spacing w:after="0"/>
              <w:rPr>
                <w:sz w:val="20"/>
                <w:szCs w:val="20"/>
                <w:color w:val="auto"/>
              </w:rPr>
            </w:pPr>
            <w:r>
              <w:rPr>
                <w:rFonts w:ascii="Courier New" w:cs="Courier New" w:eastAsia="Courier New" w:hAnsi="Courier New"/>
                <w:sz w:val="15"/>
                <w:szCs w:val="15"/>
                <w:color w:val="auto"/>
              </w:rPr>
              <w:t>100</w:t>
            </w:r>
          </w:p>
        </w:tc>
      </w:tr>
    </w:tbl>
    <w:p>
      <w:pPr>
        <w:spacing w:after="0" w:line="92" w:lineRule="exact"/>
        <w:rPr>
          <w:sz w:val="20"/>
          <w:szCs w:val="20"/>
          <w:color w:val="auto"/>
        </w:rPr>
      </w:pPr>
    </w:p>
    <w:p>
      <w:pPr>
        <w:jc w:val="both"/>
        <w:ind w:left="529" w:right="3119"/>
        <w:spacing w:after="0" w:line="278" w:lineRule="auto"/>
        <w:rPr>
          <w:sz w:val="20"/>
          <w:szCs w:val="20"/>
          <w:color w:val="auto"/>
        </w:rPr>
      </w:pPr>
      <w:r>
        <w:rPr>
          <w:rFonts w:ascii="Courier New" w:cs="Courier New" w:eastAsia="Courier New" w:hAnsi="Courier New"/>
          <w:sz w:val="15"/>
          <w:szCs w:val="15"/>
          <w:color w:val="auto"/>
        </w:rPr>
        <w:t>The Company contributes cash to purchase 10 shares of the Company's Class A Special Common Stock for the account of each newly eligible participant (see Note 9). These contributions are recorded at the market value of the shares at the date contributed.</w:t>
      </w:r>
    </w:p>
    <w:p>
      <w:pPr>
        <w:spacing w:after="0" w:line="66"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- 6 -</w:t>
      </w:r>
    </w:p>
    <w:p>
      <w:pPr>
        <w:sectPr>
          <w:pgSz w:w="11900" w:h="16838" w:orient="portrait"/>
          <w:cols w:equalWidth="0" w:num="1">
            <w:col w:w="10228"/>
          </w:cols>
          <w:pgMar w:left="231" w:top="434" w:right="1440" w:bottom="1440" w:gutter="0" w:footer="0" w:header="0"/>
        </w:sectPr>
      </w:pPr>
    </w:p>
    <w:bookmarkStart w:id="11" w:name="page12"/>
    <w:bookmarkEnd w:id="11"/>
    <w:p>
      <w:pPr>
        <w:ind w:left="9"/>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FINANCIAL STATEMENTS</w:t>
      </w:r>
    </w:p>
    <w:p>
      <w:pPr>
        <w:spacing w:after="0" w:line="2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4"/>
          <w:szCs w:val="14"/>
          <w:color w:val="auto"/>
        </w:rPr>
        <w:t>- --------------------------------------------------------------------------------</w:t>
      </w:r>
    </w:p>
    <w:p>
      <w:pPr>
        <w:spacing w:after="0" w:line="157" w:lineRule="exact"/>
        <w:rPr>
          <w:sz w:val="20"/>
          <w:szCs w:val="20"/>
          <w:color w:val="auto"/>
        </w:rPr>
      </w:pPr>
    </w:p>
    <w:p>
      <w:pPr>
        <w:jc w:val="both"/>
        <w:ind w:left="529" w:right="3119"/>
        <w:spacing w:after="0" w:line="263" w:lineRule="auto"/>
        <w:rPr>
          <w:sz w:val="20"/>
          <w:szCs w:val="20"/>
          <w:color w:val="auto"/>
        </w:rPr>
      </w:pPr>
      <w:r>
        <w:rPr>
          <w:rFonts w:ascii="Courier New" w:cs="Courier New" w:eastAsia="Courier New" w:hAnsi="Courier New"/>
          <w:sz w:val="15"/>
          <w:szCs w:val="15"/>
          <w:color w:val="auto"/>
        </w:rPr>
        <w:t>Each participant has the right, in accordance with the provisions of the Plan, to direct the investment by the trustee of the Plan (the "Trustee") (see Note 9) of all amounts allocated to the separate accounts of the participant under the Plan among any one or more of the investment fund options (see Note 3). The Trustee pays benefits and expenses upon the written direction of the Plan Administrator.</w:t>
      </w:r>
    </w:p>
    <w:p>
      <w:pPr>
        <w:spacing w:after="0" w:line="77" w:lineRule="exact"/>
        <w:rPr>
          <w:sz w:val="20"/>
          <w:szCs w:val="20"/>
          <w:color w:val="auto"/>
        </w:rPr>
      </w:pPr>
    </w:p>
    <w:p>
      <w:pPr>
        <w:jc w:val="both"/>
        <w:ind w:left="529" w:right="3119"/>
        <w:spacing w:after="0" w:line="275" w:lineRule="auto"/>
        <w:rPr>
          <w:sz w:val="20"/>
          <w:szCs w:val="20"/>
          <w:color w:val="auto"/>
        </w:rPr>
      </w:pPr>
      <w:r>
        <w:rPr>
          <w:rFonts w:ascii="Courier New" w:cs="Courier New" w:eastAsia="Courier New" w:hAnsi="Courier New"/>
          <w:sz w:val="14"/>
          <w:szCs w:val="14"/>
          <w:color w:val="auto"/>
        </w:rPr>
        <w:t>Amounts contributed by the Company which are forfeited by participants as a result of the participants' separation from service prior to becoming 100% vested may be used to reduce the Company's required contributions. Pending application of the forfeitures, the Company may direct the Trustee to hold the forfeitures in cash or under investment in a suspense account. If the Plan should terminate with any forfeitures not applied against Company contributions, they will be allocated to then current participants in the proportion that each participant's compensation for that Plan year bears to the compensation for all such participants for the Plan year.</w:t>
      </w:r>
    </w:p>
    <w:p>
      <w:pPr>
        <w:spacing w:after="0" w:line="71" w:lineRule="exact"/>
        <w:rPr>
          <w:sz w:val="20"/>
          <w:szCs w:val="20"/>
          <w:color w:val="auto"/>
        </w:rPr>
      </w:pPr>
    </w:p>
    <w:p>
      <w:pPr>
        <w:jc w:val="both"/>
        <w:ind w:left="529" w:right="3119"/>
        <w:spacing w:after="0" w:line="253" w:lineRule="auto"/>
        <w:rPr>
          <w:sz w:val="20"/>
          <w:szCs w:val="20"/>
          <w:color w:val="auto"/>
        </w:rPr>
      </w:pPr>
      <w:r>
        <w:rPr>
          <w:rFonts w:ascii="Courier New" w:cs="Courier New" w:eastAsia="Courier New" w:hAnsi="Courier New"/>
          <w:sz w:val="15"/>
          <w:szCs w:val="15"/>
          <w:color w:val="auto"/>
        </w:rPr>
        <w:t>Any participant who has a separation from service for any reason except death, disability or attainment of age 65 shall be entitled to receive his vested account balance. Upon death, disability or attainment of age 65, a participant's account becomes fully vested in all Company contributions regardless of the participant's years of service. Generally, distribution will start no later than 60 days after the close of the Plan year in which the participant's separation from service occurs, subject to certain deferral rights under the Plan. The distribution alternatives permitted are a lump sum payment, an annuity, installments over a period of time or any combination of the foregoing.</w:t>
      </w:r>
    </w:p>
    <w:p>
      <w:pPr>
        <w:spacing w:after="0" w:line="86" w:lineRule="exact"/>
        <w:rPr>
          <w:sz w:val="20"/>
          <w:szCs w:val="20"/>
          <w:color w:val="auto"/>
        </w:rPr>
      </w:pPr>
    </w:p>
    <w:p>
      <w:pPr>
        <w:jc w:val="both"/>
        <w:ind w:left="529" w:right="3119"/>
        <w:spacing w:after="0" w:line="269" w:lineRule="auto"/>
        <w:rPr>
          <w:sz w:val="20"/>
          <w:szCs w:val="20"/>
          <w:color w:val="auto"/>
        </w:rPr>
      </w:pPr>
      <w:r>
        <w:rPr>
          <w:rFonts w:ascii="Courier New" w:cs="Courier New" w:eastAsia="Courier New" w:hAnsi="Courier New"/>
          <w:sz w:val="15"/>
          <w:szCs w:val="15"/>
          <w:color w:val="auto"/>
        </w:rPr>
        <w:t>Although it has not expressed any intent to do so, the Company has the right under the Plan to discontinue its contributions at any time and to terminate the Plan subject to the provisions of ERISA. In the event of Plan termination, each participant's account balance will become fully vested.</w:t>
      </w:r>
    </w:p>
    <w:p>
      <w:pPr>
        <w:spacing w:after="0" w:line="72" w:lineRule="exact"/>
        <w:rPr>
          <w:sz w:val="20"/>
          <w:szCs w:val="20"/>
          <w:color w:val="auto"/>
        </w:rPr>
      </w:pPr>
    </w:p>
    <w:p>
      <w:pPr>
        <w:ind w:left="529" w:hanging="529"/>
        <w:spacing w:after="0"/>
        <w:tabs>
          <w:tab w:leader="none" w:pos="529"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OPTIONS</w:t>
      </w:r>
    </w:p>
    <w:p>
      <w:pPr>
        <w:spacing w:after="0" w:line="171" w:lineRule="exact"/>
        <w:rPr>
          <w:rFonts w:ascii="Courier New" w:cs="Courier New" w:eastAsia="Courier New" w:hAnsi="Courier New"/>
          <w:sz w:val="15"/>
          <w:szCs w:val="15"/>
          <w:color w:val="auto"/>
        </w:rPr>
      </w:pPr>
    </w:p>
    <w:p>
      <w:pPr>
        <w:jc w:val="both"/>
        <w:ind w:left="529" w:right="3119"/>
        <w:spacing w:after="0" w:line="27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Upon enrollment in the Plan, a participant may direct employer and employee contributions in whole percentage increments among one or more of the funds listed below (see Note 9). A brief summary of the Funds, as described in each Fund's prospectus (where applicable), is as follows:</w:t>
      </w:r>
    </w:p>
    <w:p>
      <w:pPr>
        <w:spacing w:after="0" w:line="66" w:lineRule="exact"/>
        <w:rPr>
          <w:rFonts w:ascii="Courier New" w:cs="Courier New" w:eastAsia="Courier New" w:hAnsi="Courier New"/>
          <w:sz w:val="15"/>
          <w:szCs w:val="15"/>
          <w:color w:val="auto"/>
        </w:rPr>
      </w:pPr>
    </w:p>
    <w:p>
      <w:pPr>
        <w:jc w:val="both"/>
        <w:ind w:left="789" w:right="3119" w:hanging="257"/>
        <w:spacing w:after="0" w:line="269" w:lineRule="auto"/>
        <w:tabs>
          <w:tab w:leader="none" w:pos="78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Dodge and Cox Balanced Fund - The assets of the Dodge and Cox Balanced Fund are invested in equity securities and fixed income obligations issued by corporations. The returns on these investments vary as the stock and bond markets fluctuate and there is no guarantee of principal or rate of return.</w:t>
      </w:r>
    </w:p>
    <w:p>
      <w:pPr>
        <w:spacing w:after="0" w:line="71" w:lineRule="exact"/>
        <w:rPr>
          <w:rFonts w:ascii="Courier New" w:cs="Courier New" w:eastAsia="Courier New" w:hAnsi="Courier New"/>
          <w:sz w:val="15"/>
          <w:szCs w:val="15"/>
          <w:color w:val="auto"/>
        </w:rPr>
      </w:pPr>
    </w:p>
    <w:p>
      <w:pPr>
        <w:jc w:val="both"/>
        <w:ind w:left="789" w:right="3119" w:hanging="257"/>
        <w:spacing w:after="0" w:line="278" w:lineRule="auto"/>
        <w:tabs>
          <w:tab w:leader="none" w:pos="78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Fidelity Blue Chip Growth Fund - The assets of the Fidelity Blue Chip Growth Fund are invested in equity securities of well-established companies. The returns on these investments vary as the stock markets fluctuate and there is no guarantee of principal or rate of return.</w:t>
      </w:r>
    </w:p>
    <w:p>
      <w:pPr>
        <w:spacing w:after="0" w:line="66" w:lineRule="exact"/>
        <w:rPr>
          <w:rFonts w:ascii="Courier New" w:cs="Courier New" w:eastAsia="Courier New" w:hAnsi="Courier New"/>
          <w:sz w:val="15"/>
          <w:szCs w:val="15"/>
          <w:color w:val="auto"/>
        </w:rPr>
      </w:pPr>
    </w:p>
    <w:p>
      <w:pPr>
        <w:jc w:val="both"/>
        <w:ind w:left="789" w:right="3119" w:hanging="257"/>
        <w:spacing w:after="0" w:line="269" w:lineRule="auto"/>
        <w:tabs>
          <w:tab w:leader="none" w:pos="78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PBHG Growth Fund - The assets of the PBHG Growth Fund are invested primarily in equity securities of mid-sized companies. The returns on these investments vary as the stock markets fluctuate and there is no guarantee of principal or rate of return. The PBHG Growth Fund replaced the Crabbe Huson Fund effective December 31, 1996.</w:t>
      </w:r>
    </w:p>
    <w:p>
      <w:pPr>
        <w:spacing w:after="0" w:line="71" w:lineRule="exact"/>
        <w:rPr>
          <w:rFonts w:ascii="Courier New" w:cs="Courier New" w:eastAsia="Courier New" w:hAnsi="Courier New"/>
          <w:sz w:val="15"/>
          <w:szCs w:val="15"/>
          <w:color w:val="auto"/>
        </w:rPr>
      </w:pPr>
    </w:p>
    <w:p>
      <w:pPr>
        <w:jc w:val="both"/>
        <w:ind w:left="789" w:right="3119" w:hanging="257"/>
        <w:spacing w:after="0" w:line="269" w:lineRule="auto"/>
        <w:tabs>
          <w:tab w:leader="none" w:pos="78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Ivy International Fund - The assets of the Ivy International Fund are invested in equity securities which are principally traded in European, Pacific Basin and Latin American markets. The returns on these investments vary as the stock markets fluctuate and there is no guarantee of principal or rate of return.</w:t>
      </w:r>
    </w:p>
    <w:p>
      <w:pPr>
        <w:spacing w:after="0" w:line="71" w:lineRule="exact"/>
        <w:rPr>
          <w:rFonts w:ascii="Courier New" w:cs="Courier New" w:eastAsia="Courier New" w:hAnsi="Courier New"/>
          <w:sz w:val="15"/>
          <w:szCs w:val="15"/>
          <w:color w:val="auto"/>
        </w:rPr>
      </w:pPr>
    </w:p>
    <w:p>
      <w:pPr>
        <w:jc w:val="both"/>
        <w:ind w:left="789" w:right="3119" w:hanging="257"/>
        <w:spacing w:after="0" w:line="259" w:lineRule="auto"/>
        <w:tabs>
          <w:tab w:leader="none" w:pos="789"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Stock Fund - The assets of the Comcast Stock Fund, including earnings thereon, are invested in the Company's Class A Special Common Stock. The Trustee purchases the stock at prevailing rates in the open market and, in the normal course of business, sells such stock to meet the distribution requirements of the Plan. The value of the Comcast Stock Fund fluctuates and there is no guarantee of principal or rate of return.</w:t>
      </w:r>
    </w:p>
    <w:p>
      <w:pPr>
        <w:spacing w:after="0" w:line="81" w:lineRule="exact"/>
        <w:rPr>
          <w:rFonts w:ascii="Courier New" w:cs="Courier New" w:eastAsia="Courier New" w:hAnsi="Courier New"/>
          <w:sz w:val="15"/>
          <w:szCs w:val="15"/>
          <w:color w:val="auto"/>
        </w:rPr>
      </w:pPr>
    </w:p>
    <w:p>
      <w:pPr>
        <w:ind w:left="3549" w:hanging="177"/>
        <w:spacing w:after="0"/>
        <w:tabs>
          <w:tab w:leader="none" w:pos="3549" w:val="left"/>
        </w:tabs>
        <w:numPr>
          <w:ilvl w:val="2"/>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7 -</w:t>
      </w:r>
    </w:p>
    <w:p>
      <w:pPr>
        <w:sectPr>
          <w:pgSz w:w="11900" w:h="16838" w:orient="portrait"/>
          <w:cols w:equalWidth="0" w:num="1">
            <w:col w:w="10228"/>
          </w:cols>
          <w:pgMar w:left="231" w:top="434" w:right="1440" w:bottom="1440" w:gutter="0" w:footer="0" w:header="0"/>
        </w:sectPr>
      </w:pPr>
    </w:p>
    <w:bookmarkStart w:id="12" w:name="page13"/>
    <w:bookmarkEnd w:id="12"/>
    <w:p>
      <w:pPr>
        <w:ind w:left="9"/>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FINANCIAL STATEMENTS</w:t>
      </w:r>
    </w:p>
    <w:p>
      <w:pPr>
        <w:spacing w:after="0" w:line="2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16" w:lineRule="exact"/>
        <w:rPr>
          <w:sz w:val="20"/>
          <w:szCs w:val="20"/>
          <w:color w:val="auto"/>
        </w:rPr>
      </w:pPr>
    </w:p>
    <w:p>
      <w:pPr>
        <w:jc w:val="both"/>
        <w:ind w:left="789" w:right="3119" w:hanging="259"/>
        <w:spacing w:after="0" w:line="252" w:lineRule="auto"/>
        <w:tabs>
          <w:tab w:leader="none" w:pos="769" w:val="left"/>
        </w:tabs>
        <w:rPr>
          <w:sz w:val="20"/>
          <w:szCs w:val="20"/>
          <w:color w:val="auto"/>
        </w:rPr>
      </w:pPr>
      <w:r>
        <w:rPr>
          <w:rFonts w:ascii="Courier New" w:cs="Courier New" w:eastAsia="Courier New" w:hAnsi="Courier New"/>
          <w:sz w:val="15"/>
          <w:szCs w:val="15"/>
          <w:color w:val="auto"/>
        </w:rPr>
        <w:t>f.</w:t>
        <w:tab/>
        <w:t>Stable Value Fund - The assets of the Stable Value Fund are invested in a diversified group of high-quality, fixed-income investments consisting of investment contracts which are obligations of creditworthy life insurance companies and commercial banks, high-quality debt securities which are held by the Plan within contracts that are intended to minimize market volatility, and short-term money market instruments. The Fund's investment return typically fluctuates within a narrow range as interest rates rise and fall. Although the Fund's objective is to preserve the principal investment, there is a potential for loss if the issuing institutions suffer insolvency.</w:t>
      </w:r>
    </w:p>
    <w:p>
      <w:pPr>
        <w:spacing w:after="0" w:line="264" w:lineRule="exact"/>
        <w:rPr>
          <w:sz w:val="20"/>
          <w:szCs w:val="20"/>
          <w:color w:val="auto"/>
        </w:rPr>
      </w:pPr>
    </w:p>
    <w:p>
      <w:pPr>
        <w:jc w:val="both"/>
        <w:ind w:left="529" w:right="3119"/>
        <w:spacing w:after="0" w:line="259" w:lineRule="auto"/>
        <w:rPr>
          <w:sz w:val="20"/>
          <w:szCs w:val="20"/>
          <w:color w:val="auto"/>
        </w:rPr>
      </w:pPr>
      <w:r>
        <w:rPr>
          <w:rFonts w:ascii="Courier New" w:cs="Courier New" w:eastAsia="Courier New" w:hAnsi="Courier New"/>
          <w:sz w:val="15"/>
          <w:szCs w:val="15"/>
          <w:color w:val="auto"/>
        </w:rPr>
        <w:t>The selection of investments from the options listed above is the sole responsibility of each participant. Each participant assumes all risks connected with any decrease in the market value of any securities in these funds, and such funds are the sole source of payments under the Plan. If no investment direction is made by a participant, the participant's account is invested in the Stable Value Fund at the direction of the Plan Administrator.</w:t>
      </w:r>
    </w:p>
    <w:p>
      <w:pPr>
        <w:spacing w:after="0" w:line="82" w:lineRule="exact"/>
        <w:rPr>
          <w:sz w:val="20"/>
          <w:szCs w:val="20"/>
          <w:color w:val="auto"/>
        </w:rPr>
      </w:pPr>
    </w:p>
    <w:p>
      <w:pPr>
        <w:ind w:left="529" w:hanging="529"/>
        <w:spacing w:after="0"/>
        <w:tabs>
          <w:tab w:leader="none" w:pos="529"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w:t>
      </w:r>
    </w:p>
    <w:p>
      <w:pPr>
        <w:spacing w:after="0" w:line="171" w:lineRule="exact"/>
        <w:rPr>
          <w:rFonts w:ascii="Courier New" w:cs="Courier New" w:eastAsia="Courier New" w:hAnsi="Courier New"/>
          <w:sz w:val="15"/>
          <w:szCs w:val="15"/>
          <w:color w:val="auto"/>
        </w:rPr>
      </w:pPr>
    </w:p>
    <w:p>
      <w:pPr>
        <w:jc w:val="both"/>
        <w:ind w:left="529" w:right="3119"/>
        <w:spacing w:after="0" w:line="26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Plan's investments are held by a bank-administered trust fund and are presented in the following table. Investments that represent 5% or more of the Plan's net assets available for benefits as of December 31, 1998 and 1997 are separately identified (number of shares/units are rounded to the nearest whole share or unit).</w:t>
      </w:r>
    </w:p>
    <w:p>
      <w:pPr>
        <w:spacing w:after="0" w:line="71" w:lineRule="exact"/>
        <w:rPr>
          <w:rFonts w:ascii="Courier New" w:cs="Courier New" w:eastAsia="Courier New" w:hAnsi="Courier New"/>
          <w:sz w:val="15"/>
          <w:szCs w:val="15"/>
          <w:color w:val="auto"/>
        </w:rPr>
      </w:pPr>
    </w:p>
    <w:p>
      <w:pPr>
        <w:jc w:val="both"/>
        <w:ind w:left="529" w:right="3119"/>
        <w:spacing w:after="0" w:line="26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Class A Special Common Stock (Comcast Stock Fund) share amounts have been adjusted retroactively to reflect the stock split in the form of a dividend of one share of Class A Special Common Stock for each share of Class A Special Common Stock paid on May 5, 1999 to shareholders of record as of the close of business on April 20, 1999.</w:t>
      </w:r>
    </w:p>
    <w:p>
      <w:pPr>
        <w:spacing w:after="0" w:line="200" w:lineRule="exact"/>
        <w:rPr>
          <w:sz w:val="20"/>
          <w:szCs w:val="20"/>
          <w:color w:val="auto"/>
        </w:rPr>
      </w:pPr>
    </w:p>
    <w:p>
      <w:pPr>
        <w:spacing w:after="0" w:line="213"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408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December 31, 1998</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4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vMerge w:val="restart"/>
          </w:tcPr>
          <w:p>
            <w:pPr>
              <w:jc w:val="right"/>
              <w:ind w:right="626"/>
              <w:spacing w:after="0"/>
              <w:rPr>
                <w:sz w:val="20"/>
                <w:szCs w:val="20"/>
                <w:color w:val="auto"/>
              </w:rPr>
            </w:pPr>
            <w:r>
              <w:rPr>
                <w:rFonts w:ascii="Courier New" w:cs="Courier New" w:eastAsia="Courier New" w:hAnsi="Courier New"/>
                <w:sz w:val="15"/>
                <w:szCs w:val="15"/>
                <w:color w:val="auto"/>
              </w:rPr>
              <w:t>Number of</w:t>
            </w:r>
          </w:p>
        </w:tc>
        <w:tc>
          <w:tcPr>
            <w:tcW w:w="1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Fair or</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Contract</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Shares/Units</w:t>
            </w:r>
          </w:p>
        </w:tc>
        <w:tc>
          <w:tcPr>
            <w:tcW w:w="17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23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Courier New" w:cs="Courier New" w:eastAsia="Courier New" w:hAnsi="Courier New"/>
                <w:sz w:val="15"/>
                <w:szCs w:val="15"/>
                <w:color w:val="auto"/>
              </w:rPr>
              <w:t>Mutual Funds</w:t>
            </w:r>
          </w:p>
        </w:tc>
        <w:tc>
          <w:tcPr>
            <w:tcW w:w="2380" w:type="dxa"/>
            <w:vAlign w:val="bottom"/>
            <w:vMerge w:val="restart"/>
          </w:tcPr>
          <w:p>
            <w:pPr>
              <w:jc w:val="right"/>
              <w:ind w:right="626"/>
              <w:spacing w:after="0"/>
              <w:rPr>
                <w:sz w:val="20"/>
                <w:szCs w:val="20"/>
                <w:color w:val="auto"/>
              </w:rPr>
            </w:pPr>
            <w:r>
              <w:rPr>
                <w:rFonts w:ascii="Courier New" w:cs="Courier New" w:eastAsia="Courier New" w:hAnsi="Courier New"/>
                <w:sz w:val="15"/>
                <w:szCs w:val="15"/>
                <w:color w:val="auto"/>
              </w:rPr>
              <w:t>261,878</w:t>
            </w:r>
          </w:p>
        </w:tc>
        <w:tc>
          <w:tcPr>
            <w:tcW w:w="1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$21,852,109</w:t>
            </w: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Dodge and Cox Balanced Fund</w:t>
            </w:r>
          </w:p>
        </w:tc>
        <w:tc>
          <w:tcPr>
            <w:tcW w:w="23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Fidelity Blue Chip Growth Fund</w:t>
            </w:r>
          </w:p>
        </w:tc>
        <w:tc>
          <w:tcPr>
            <w:tcW w:w="23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898,714</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54,561,445</w:t>
            </w: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PBHG Growth Fund</w:t>
            </w:r>
          </w:p>
        </w:tc>
        <w:tc>
          <w:tcPr>
            <w:tcW w:w="23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423,336</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6,036,037</w:t>
            </w: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Ivy International Fund</w:t>
            </w:r>
          </w:p>
        </w:tc>
        <w:tc>
          <w:tcPr>
            <w:tcW w:w="23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128,900</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5,601,842</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88,051,433</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2380" w:type="dxa"/>
            <w:vAlign w:val="bottom"/>
            <w:vMerge w:val="restart"/>
          </w:tcPr>
          <w:p>
            <w:pPr>
              <w:jc w:val="right"/>
              <w:ind w:right="626"/>
              <w:spacing w:after="0"/>
              <w:rPr>
                <w:sz w:val="20"/>
                <w:szCs w:val="20"/>
                <w:color w:val="auto"/>
              </w:rPr>
            </w:pPr>
            <w:r>
              <w:rPr>
                <w:rFonts w:ascii="Courier New" w:cs="Courier New" w:eastAsia="Courier New" w:hAnsi="Courier New"/>
                <w:sz w:val="15"/>
                <w:szCs w:val="15"/>
                <w:color w:val="auto"/>
              </w:rPr>
              <w:t>2,345,352</w:t>
            </w:r>
          </w:p>
        </w:tc>
        <w:tc>
          <w:tcPr>
            <w:tcW w:w="1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68,821,432</w:t>
            </w: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Class A Special Common Stock</w:t>
            </w:r>
          </w:p>
        </w:tc>
        <w:tc>
          <w:tcPr>
            <w:tcW w:w="23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Cash</w:t>
            </w:r>
          </w:p>
        </w:tc>
        <w:tc>
          <w:tcPr>
            <w:tcW w:w="23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7,509,536</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76,330,968</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Courier New" w:cs="Courier New" w:eastAsia="Courier New" w:hAnsi="Courier New"/>
                <w:sz w:val="15"/>
                <w:szCs w:val="15"/>
                <w:color w:val="auto"/>
              </w:rPr>
              <w:t>Stable Value Fund</w:t>
            </w:r>
          </w:p>
        </w:tc>
        <w:tc>
          <w:tcPr>
            <w:tcW w:w="2380" w:type="dxa"/>
            <w:vAlign w:val="bottom"/>
            <w:vMerge w:val="restart"/>
          </w:tcPr>
          <w:p>
            <w:pPr>
              <w:jc w:val="right"/>
              <w:ind w:right="626"/>
              <w:spacing w:after="0"/>
              <w:rPr>
                <w:sz w:val="20"/>
                <w:szCs w:val="20"/>
                <w:color w:val="auto"/>
              </w:rPr>
            </w:pPr>
            <w:r>
              <w:rPr>
                <w:rFonts w:ascii="Courier New" w:cs="Courier New" w:eastAsia="Courier New" w:hAnsi="Courier New"/>
                <w:sz w:val="15"/>
                <w:szCs w:val="15"/>
                <w:color w:val="auto"/>
              </w:rPr>
              <w:t>3,374,145</w:t>
            </w:r>
          </w:p>
        </w:tc>
        <w:tc>
          <w:tcPr>
            <w:tcW w:w="1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34,741,046</w:t>
            </w: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Investment Contracts</w:t>
            </w:r>
          </w:p>
        </w:tc>
        <w:tc>
          <w:tcPr>
            <w:tcW w:w="23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Cash</w:t>
            </w:r>
          </w:p>
        </w:tc>
        <w:tc>
          <w:tcPr>
            <w:tcW w:w="23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5,793,376</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40,534,422</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Courier New" w:cs="Courier New" w:eastAsia="Courier New" w:hAnsi="Courier New"/>
                <w:sz w:val="15"/>
                <w:szCs w:val="15"/>
                <w:color w:val="auto"/>
              </w:rPr>
              <w:t>Participant Loan Fund</w:t>
            </w:r>
          </w:p>
        </w:tc>
        <w:tc>
          <w:tcPr>
            <w:tcW w:w="23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(interest rates from 7.00% to 10.00%;</w:t>
            </w:r>
          </w:p>
        </w:tc>
        <w:tc>
          <w:tcPr>
            <w:tcW w:w="238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6,338,905</w:t>
            </w: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maturities from 1999 to 2003)</w:t>
            </w:r>
          </w:p>
        </w:tc>
        <w:tc>
          <w:tcPr>
            <w:tcW w:w="238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7"/>
        </w:trPr>
        <w:tc>
          <w:tcPr>
            <w:tcW w:w="426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jc w:val="right"/>
        <w:ind w:right="1879"/>
        <w:spacing w:after="0"/>
        <w:rPr>
          <w:sz w:val="20"/>
          <w:szCs w:val="20"/>
          <w:color w:val="auto"/>
        </w:rPr>
      </w:pPr>
      <w:r>
        <w:rPr>
          <w:rFonts w:ascii="Courier New" w:cs="Courier New" w:eastAsia="Courier New" w:hAnsi="Courier New"/>
          <w:sz w:val="15"/>
          <w:szCs w:val="15"/>
          <w:color w:val="auto"/>
        </w:rPr>
        <w:t>$211,255,728</w:t>
      </w:r>
    </w:p>
    <w:p>
      <w:pPr>
        <w:spacing w:after="0" w:line="1"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5"/>
          <w:szCs w:val="15"/>
          <w:color w:val="auto"/>
        </w:rPr>
        <w:t>============</w:t>
      </w:r>
    </w:p>
    <w:p>
      <w:pPr>
        <w:spacing w:after="0" w:line="316" w:lineRule="exact"/>
        <w:rPr>
          <w:sz w:val="20"/>
          <w:szCs w:val="20"/>
          <w:color w:val="auto"/>
        </w:rPr>
      </w:pPr>
    </w:p>
    <w:p>
      <w:pPr>
        <w:ind w:left="3369"/>
        <w:spacing w:after="0"/>
        <w:rPr>
          <w:sz w:val="20"/>
          <w:szCs w:val="20"/>
          <w:color w:val="auto"/>
        </w:rPr>
      </w:pPr>
      <w:r>
        <w:rPr>
          <w:rFonts w:ascii="Courier New" w:cs="Courier New" w:eastAsia="Courier New" w:hAnsi="Courier New"/>
          <w:sz w:val="15"/>
          <w:szCs w:val="15"/>
          <w:color w:val="auto"/>
        </w:rPr>
        <w:t>- 8 -</w:t>
      </w:r>
    </w:p>
    <w:p>
      <w:pPr>
        <w:sectPr>
          <w:pgSz w:w="11900" w:h="16838" w:orient="portrait"/>
          <w:cols w:equalWidth="0" w:num="1">
            <w:col w:w="10228"/>
          </w:cols>
          <w:pgMar w:left="231" w:top="434" w:right="1440" w:bottom="1440" w:gutter="0" w:footer="0" w:header="0"/>
        </w:sectPr>
      </w:pPr>
    </w:p>
    <w:bookmarkStart w:id="13" w:name="page14"/>
    <w:bookmarkEnd w:id="13"/>
    <w:p>
      <w:pPr>
        <w:ind w:left="9"/>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FINANCIAL STATEMENTS</w:t>
      </w:r>
    </w:p>
    <w:p>
      <w:pPr>
        <w:spacing w:after="0" w:line="2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1998, 1997 AND 1996 (Continued)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87"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4260" w:type="dxa"/>
            <w:vAlign w:val="bottom"/>
          </w:tcPr>
          <w:p>
            <w:pPr>
              <w:spacing w:after="0"/>
              <w:rPr>
                <w:sz w:val="14"/>
                <w:szCs w:val="14"/>
                <w:color w:val="auto"/>
              </w:rPr>
            </w:pPr>
          </w:p>
        </w:tc>
        <w:tc>
          <w:tcPr>
            <w:tcW w:w="4080" w:type="dxa"/>
            <w:vAlign w:val="bottom"/>
            <w:gridSpan w:val="2"/>
          </w:tcPr>
          <w:p>
            <w:pPr>
              <w:jc w:val="right"/>
              <w:ind w:right="906"/>
              <w:spacing w:after="0"/>
              <w:rPr>
                <w:sz w:val="20"/>
                <w:szCs w:val="20"/>
                <w:color w:val="auto"/>
              </w:rPr>
            </w:pPr>
            <w:r>
              <w:rPr>
                <w:rFonts w:ascii="Courier New" w:cs="Courier New" w:eastAsia="Courier New" w:hAnsi="Courier New"/>
                <w:sz w:val="15"/>
                <w:szCs w:val="15"/>
                <w:color w:val="auto"/>
              </w:rPr>
              <w:t>December 31, 1997</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4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vMerge w:val="restart"/>
          </w:tcPr>
          <w:p>
            <w:pPr>
              <w:jc w:val="right"/>
              <w:ind w:right="626"/>
              <w:spacing w:after="0"/>
              <w:rPr>
                <w:sz w:val="20"/>
                <w:szCs w:val="20"/>
                <w:color w:val="auto"/>
              </w:rPr>
            </w:pPr>
            <w:r>
              <w:rPr>
                <w:rFonts w:ascii="Courier New" w:cs="Courier New" w:eastAsia="Courier New" w:hAnsi="Courier New"/>
                <w:sz w:val="15"/>
                <w:szCs w:val="15"/>
                <w:color w:val="auto"/>
              </w:rPr>
              <w:t>Number of</w:t>
            </w:r>
          </w:p>
        </w:tc>
        <w:tc>
          <w:tcPr>
            <w:tcW w:w="1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Fair or</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vMerge w:val="continue"/>
          </w:tcPr>
          <w:p>
            <w:pPr>
              <w:spacing w:after="0"/>
              <w:rPr>
                <w:sz w:val="14"/>
                <w:szCs w:val="14"/>
                <w:color w:val="auto"/>
              </w:rPr>
            </w:pPr>
          </w:p>
        </w:tc>
        <w:tc>
          <w:tcPr>
            <w:tcW w:w="1700" w:type="dxa"/>
            <w:vAlign w:val="bottom"/>
          </w:tcPr>
          <w:p>
            <w:pPr>
              <w:jc w:val="right"/>
              <w:ind w:right="286"/>
              <w:spacing w:after="0"/>
              <w:rPr>
                <w:sz w:val="20"/>
                <w:szCs w:val="20"/>
                <w:color w:val="auto"/>
              </w:rPr>
            </w:pPr>
            <w:r>
              <w:rPr>
                <w:rFonts w:ascii="Courier New" w:cs="Courier New" w:eastAsia="Courier New" w:hAnsi="Courier New"/>
                <w:sz w:val="15"/>
                <w:szCs w:val="15"/>
                <w:color w:val="auto"/>
              </w:rPr>
              <w:t>Contract</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Shares/Units</w:t>
            </w:r>
          </w:p>
        </w:tc>
        <w:tc>
          <w:tcPr>
            <w:tcW w:w="1700" w:type="dxa"/>
            <w:vAlign w:val="bottom"/>
          </w:tcPr>
          <w:p>
            <w:pPr>
              <w:jc w:val="right"/>
              <w:ind w:right="386"/>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2380" w:type="dxa"/>
            <w:vAlign w:val="bottom"/>
          </w:tcPr>
          <w:p>
            <w:pPr>
              <w:jc w:val="right"/>
              <w:ind w:right="266"/>
              <w:spacing w:after="0"/>
              <w:rPr>
                <w:sz w:val="20"/>
                <w:szCs w:val="20"/>
                <w:color w:val="auto"/>
              </w:rPr>
            </w:pPr>
            <w:r>
              <w:rPr>
                <w:rFonts w:ascii="Courier New" w:cs="Courier New" w:eastAsia="Courier New" w:hAnsi="Courier New"/>
                <w:sz w:val="15"/>
                <w:szCs w:val="15"/>
                <w:color w:val="auto"/>
              </w:rPr>
              <w:t>----------------</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Courier New" w:cs="Courier New" w:eastAsia="Courier New" w:hAnsi="Courier New"/>
                <w:sz w:val="15"/>
                <w:szCs w:val="15"/>
                <w:color w:val="auto"/>
              </w:rPr>
              <w:t>Mutual Funds</w:t>
            </w:r>
          </w:p>
        </w:tc>
        <w:tc>
          <w:tcPr>
            <w:tcW w:w="2380" w:type="dxa"/>
            <w:vAlign w:val="bottom"/>
            <w:vMerge w:val="restart"/>
          </w:tcPr>
          <w:p>
            <w:pPr>
              <w:jc w:val="right"/>
              <w:ind w:right="626"/>
              <w:spacing w:after="0"/>
              <w:rPr>
                <w:sz w:val="20"/>
                <w:szCs w:val="20"/>
                <w:color w:val="auto"/>
              </w:rPr>
            </w:pPr>
            <w:r>
              <w:rPr>
                <w:rFonts w:ascii="Courier New" w:cs="Courier New" w:eastAsia="Courier New" w:hAnsi="Courier New"/>
                <w:sz w:val="15"/>
                <w:szCs w:val="15"/>
                <w:color w:val="auto"/>
              </w:rPr>
              <w:t>258,527</w:t>
            </w:r>
          </w:p>
        </w:tc>
        <w:tc>
          <w:tcPr>
            <w:tcW w:w="1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   20,218,907</w:t>
            </w: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Dodge and Cox Balanced Fund</w:t>
            </w:r>
          </w:p>
        </w:tc>
        <w:tc>
          <w:tcPr>
            <w:tcW w:w="23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Fidelity Blue Chip Growth Fund</w:t>
            </w:r>
          </w:p>
        </w:tc>
        <w:tc>
          <w:tcPr>
            <w:tcW w:w="23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866,413</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39,071,781</w:t>
            </w: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PBHG Growth Fund</w:t>
            </w:r>
          </w:p>
        </w:tc>
        <w:tc>
          <w:tcPr>
            <w:tcW w:w="23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401,843</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5,695,881</w:t>
            </w: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Ivy International Fund</w:t>
            </w:r>
          </w:p>
        </w:tc>
        <w:tc>
          <w:tcPr>
            <w:tcW w:w="2380" w:type="dxa"/>
            <w:vAlign w:val="bottom"/>
          </w:tcPr>
          <w:p>
            <w:pPr>
              <w:jc w:val="right"/>
              <w:ind w:right="626"/>
              <w:spacing w:after="0"/>
              <w:rPr>
                <w:sz w:val="20"/>
                <w:szCs w:val="20"/>
                <w:color w:val="auto"/>
              </w:rPr>
            </w:pPr>
            <w:r>
              <w:rPr>
                <w:rFonts w:ascii="Courier New" w:cs="Courier New" w:eastAsia="Courier New" w:hAnsi="Courier New"/>
                <w:sz w:val="15"/>
                <w:szCs w:val="15"/>
                <w:color w:val="auto"/>
              </w:rPr>
              <w:t>140,506</w:t>
            </w: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5,688,630</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70,675,199</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2380" w:type="dxa"/>
            <w:vAlign w:val="bottom"/>
            <w:vMerge w:val="restart"/>
          </w:tcPr>
          <w:p>
            <w:pPr>
              <w:jc w:val="right"/>
              <w:ind w:right="626"/>
              <w:spacing w:after="0"/>
              <w:rPr>
                <w:sz w:val="20"/>
                <w:szCs w:val="20"/>
                <w:color w:val="auto"/>
              </w:rPr>
            </w:pPr>
            <w:r>
              <w:rPr>
                <w:rFonts w:ascii="Courier New" w:cs="Courier New" w:eastAsia="Courier New" w:hAnsi="Courier New"/>
                <w:sz w:val="15"/>
                <w:szCs w:val="15"/>
                <w:color w:val="auto"/>
              </w:rPr>
              <w:t>2,388,552</w:t>
            </w:r>
          </w:p>
        </w:tc>
        <w:tc>
          <w:tcPr>
            <w:tcW w:w="1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37,694,328</w:t>
            </w: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Class A Special Common Stock</w:t>
            </w:r>
          </w:p>
        </w:tc>
        <w:tc>
          <w:tcPr>
            <w:tcW w:w="23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Cash</w:t>
            </w:r>
          </w:p>
        </w:tc>
        <w:tc>
          <w:tcPr>
            <w:tcW w:w="23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1,450,289</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39,144,617</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Courier New" w:cs="Courier New" w:eastAsia="Courier New" w:hAnsi="Courier New"/>
                <w:sz w:val="15"/>
                <w:szCs w:val="15"/>
                <w:color w:val="auto"/>
              </w:rPr>
              <w:t>Stable Value Fund</w:t>
            </w:r>
          </w:p>
        </w:tc>
        <w:tc>
          <w:tcPr>
            <w:tcW w:w="2380" w:type="dxa"/>
            <w:vAlign w:val="bottom"/>
            <w:vMerge w:val="restart"/>
          </w:tcPr>
          <w:p>
            <w:pPr>
              <w:jc w:val="right"/>
              <w:ind w:right="626"/>
              <w:spacing w:after="0"/>
              <w:rPr>
                <w:sz w:val="20"/>
                <w:szCs w:val="20"/>
                <w:color w:val="auto"/>
              </w:rPr>
            </w:pPr>
            <w:r>
              <w:rPr>
                <w:rFonts w:ascii="Courier New" w:cs="Courier New" w:eastAsia="Courier New" w:hAnsi="Courier New"/>
                <w:sz w:val="15"/>
                <w:szCs w:val="15"/>
                <w:color w:val="auto"/>
              </w:rPr>
              <w:t>3,031,265</w:t>
            </w:r>
          </w:p>
        </w:tc>
        <w:tc>
          <w:tcPr>
            <w:tcW w:w="1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29,194,986</w:t>
            </w: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Investment Contracts</w:t>
            </w:r>
          </w:p>
        </w:tc>
        <w:tc>
          <w:tcPr>
            <w:tcW w:w="2380" w:type="dxa"/>
            <w:vAlign w:val="bottom"/>
            <w:vMerge w:val="continue"/>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Cash</w:t>
            </w:r>
          </w:p>
        </w:tc>
        <w:tc>
          <w:tcPr>
            <w:tcW w:w="23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5,079,040</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34,274,026</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0"/>
                <w:szCs w:val="20"/>
                <w:color w:val="auto"/>
              </w:rPr>
            </w:pPr>
            <w:r>
              <w:rPr>
                <w:rFonts w:ascii="Courier New" w:cs="Courier New" w:eastAsia="Courier New" w:hAnsi="Courier New"/>
                <w:sz w:val="15"/>
                <w:szCs w:val="15"/>
                <w:color w:val="auto"/>
              </w:rPr>
              <w:t>Participant Loan Fund</w:t>
            </w:r>
          </w:p>
        </w:tc>
        <w:tc>
          <w:tcPr>
            <w:tcW w:w="2380" w:type="dxa"/>
            <w:vAlign w:val="bottom"/>
          </w:tcPr>
          <w:p>
            <w:pPr>
              <w:spacing w:after="0"/>
              <w:rPr>
                <w:sz w:val="22"/>
                <w:szCs w:val="22"/>
                <w:color w:val="auto"/>
              </w:rPr>
            </w:pPr>
          </w:p>
        </w:tc>
        <w:tc>
          <w:tcPr>
            <w:tcW w:w="1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(interest rates from 7.00% to 10.00%;</w:t>
            </w:r>
          </w:p>
        </w:tc>
        <w:tc>
          <w:tcPr>
            <w:tcW w:w="2380" w:type="dxa"/>
            <w:vAlign w:val="bottom"/>
          </w:tcPr>
          <w:p>
            <w:pPr>
              <w:spacing w:after="0"/>
              <w:rPr>
                <w:sz w:val="14"/>
                <w:szCs w:val="14"/>
                <w:color w:val="auto"/>
              </w:rPr>
            </w:pPr>
          </w:p>
        </w:tc>
        <w:tc>
          <w:tcPr>
            <w:tcW w:w="170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6,174,371</w:t>
            </w:r>
          </w:p>
        </w:tc>
        <w:tc>
          <w:tcPr>
            <w:tcW w:w="0" w:type="dxa"/>
            <w:vAlign w:val="bottom"/>
          </w:tcPr>
          <w:p>
            <w:pPr>
              <w:spacing w:after="0"/>
              <w:rPr>
                <w:sz w:val="1"/>
                <w:szCs w:val="1"/>
                <w:color w:val="auto"/>
              </w:rPr>
            </w:pPr>
          </w:p>
        </w:tc>
      </w:tr>
      <w:tr>
        <w:trPr>
          <w:trHeight w:val="171"/>
        </w:trPr>
        <w:tc>
          <w:tcPr>
            <w:tcW w:w="4260" w:type="dxa"/>
            <w:vAlign w:val="bottom"/>
          </w:tcPr>
          <w:p>
            <w:pPr>
              <w:ind w:left="340"/>
              <w:spacing w:after="0"/>
              <w:rPr>
                <w:sz w:val="20"/>
                <w:szCs w:val="20"/>
                <w:color w:val="auto"/>
              </w:rPr>
            </w:pPr>
            <w:r>
              <w:rPr>
                <w:rFonts w:ascii="Courier New" w:cs="Courier New" w:eastAsia="Courier New" w:hAnsi="Courier New"/>
                <w:sz w:val="15"/>
                <w:szCs w:val="15"/>
                <w:color w:val="auto"/>
              </w:rPr>
              <w:t>maturities from 1998 to 2002)</w:t>
            </w:r>
          </w:p>
        </w:tc>
        <w:tc>
          <w:tcPr>
            <w:tcW w:w="2380" w:type="dxa"/>
            <w:vAlign w:val="bottom"/>
          </w:tcPr>
          <w:p>
            <w:pPr>
              <w:spacing w:after="0"/>
              <w:rPr>
                <w:sz w:val="14"/>
                <w:szCs w:val="14"/>
                <w:color w:val="auto"/>
              </w:rPr>
            </w:pPr>
          </w:p>
        </w:tc>
        <w:tc>
          <w:tcPr>
            <w:tcW w:w="17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$ 150,268,213</w:t>
            </w:r>
          </w:p>
        </w:tc>
        <w:tc>
          <w:tcPr>
            <w:tcW w:w="0" w:type="dxa"/>
            <w:vAlign w:val="bottom"/>
          </w:tcPr>
          <w:p>
            <w:pPr>
              <w:spacing w:after="0"/>
              <w:rPr>
                <w:sz w:val="1"/>
                <w:szCs w:val="1"/>
                <w:color w:val="auto"/>
              </w:rPr>
            </w:pPr>
          </w:p>
        </w:tc>
      </w:tr>
      <w:tr>
        <w:trPr>
          <w:trHeight w:val="249"/>
        </w:trPr>
        <w:tc>
          <w:tcPr>
            <w:tcW w:w="4260" w:type="dxa"/>
            <w:vAlign w:val="bottom"/>
          </w:tcPr>
          <w:p>
            <w:pPr>
              <w:spacing w:after="0"/>
              <w:rPr>
                <w:sz w:val="21"/>
                <w:szCs w:val="21"/>
                <w:color w:val="auto"/>
              </w:rPr>
            </w:pPr>
          </w:p>
        </w:tc>
        <w:tc>
          <w:tcPr>
            <w:tcW w:w="23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jc w:val="both"/>
        <w:ind w:left="529" w:right="3119"/>
        <w:spacing w:after="0" w:line="259" w:lineRule="auto"/>
        <w:rPr>
          <w:sz w:val="20"/>
          <w:szCs w:val="20"/>
          <w:color w:val="auto"/>
        </w:rPr>
      </w:pPr>
      <w:r>
        <w:rPr>
          <w:rFonts w:ascii="Courier New" w:cs="Courier New" w:eastAsia="Courier New" w:hAnsi="Courier New"/>
          <w:sz w:val="15"/>
          <w:szCs w:val="15"/>
          <w:color w:val="auto"/>
        </w:rPr>
        <w:t>The contract and fair values of assets included in the Stable Value Fund were $40,534,422 and $41,082,726, respectively, as of December 31, 1998, and $34,274,026 and $34,327,825, respectively, as of December 31, 1997. The average yield of investment contracts held as of December 31, 1998 and 1997 was 5.97% and 6.18%, respectively. The average yield on investment contracts for the years ended December 31, 1998 and 1997 was 6.14% and 6.16%, respectively.</w:t>
      </w:r>
    </w:p>
    <w:p>
      <w:pPr>
        <w:spacing w:after="0" w:line="82" w:lineRule="exact"/>
        <w:rPr>
          <w:sz w:val="20"/>
          <w:szCs w:val="20"/>
          <w:color w:val="auto"/>
        </w:rPr>
      </w:pPr>
    </w:p>
    <w:p>
      <w:pPr>
        <w:ind w:left="529" w:hanging="529"/>
        <w:spacing w:after="0"/>
        <w:tabs>
          <w:tab w:leader="none" w:pos="52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LOANS AND HARDSHIP WITHDRAWALS</w:t>
      </w:r>
    </w:p>
    <w:p>
      <w:pPr>
        <w:spacing w:after="0" w:line="171" w:lineRule="exact"/>
        <w:rPr>
          <w:rFonts w:ascii="Courier New" w:cs="Courier New" w:eastAsia="Courier New" w:hAnsi="Courier New"/>
          <w:sz w:val="15"/>
          <w:szCs w:val="15"/>
          <w:color w:val="auto"/>
        </w:rPr>
      </w:pPr>
    </w:p>
    <w:p>
      <w:pPr>
        <w:jc w:val="both"/>
        <w:ind w:left="529" w:right="3119"/>
        <w:spacing w:after="0" w:line="271"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Participants may borrow from their Plan account subject to the approval of the Plan Administrator in accordance with applicable regulations issued by the Internal Revenue Service ("IRS") and the Department of Labor. In general, participants may borrow a minimum of $500 up to a maximum of the lesser of $50,000 or 50% of the participant's nonforfeitable accrued benefit on the valuation date (as defined by the Plan) last preceding the date on which the loan request is processed by the Plan Administrator. The maximum term of a loan is five years. Interest accrues at a rate charged by commercial lenders for comparable loans on the date the loan application is approved. Loan transactions are treated as a transfer from (to) the investment fund to (from) the participant loan fund.</w:t>
      </w:r>
    </w:p>
    <w:p>
      <w:pPr>
        <w:spacing w:after="0" w:line="78" w:lineRule="exact"/>
        <w:rPr>
          <w:rFonts w:ascii="Courier New" w:cs="Courier New" w:eastAsia="Courier New" w:hAnsi="Courier New"/>
          <w:sz w:val="15"/>
          <w:szCs w:val="15"/>
          <w:color w:val="auto"/>
        </w:rPr>
      </w:pPr>
    </w:p>
    <w:p>
      <w:pPr>
        <w:jc w:val="both"/>
        <w:ind w:left="529" w:right="311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may withdraw all or a portion of their benefits derived from salary reduction, rollovers or the vested portion of their employer contributions, and earnings thereon, on account of hardship, as defined by the Plan and applicable IRS regulations. Under these rules, the participant must exhaust the possibilities of all other distributions, loans, etc. available under the Plan and meet certain other requirements. Upon receiving a hardship withdrawal, the participant's elective contributions are suspended for twelve full calendar months.</w:t>
      </w:r>
    </w:p>
    <w:p>
      <w:pPr>
        <w:spacing w:after="0" w:line="80" w:lineRule="exact"/>
        <w:rPr>
          <w:rFonts w:ascii="Courier New" w:cs="Courier New" w:eastAsia="Courier New" w:hAnsi="Courier New"/>
          <w:sz w:val="15"/>
          <w:szCs w:val="15"/>
          <w:color w:val="auto"/>
        </w:rPr>
      </w:pPr>
    </w:p>
    <w:p>
      <w:pPr>
        <w:ind w:left="3549" w:hanging="177"/>
        <w:spacing w:after="0"/>
        <w:tabs>
          <w:tab w:leader="none" w:pos="3549" w:val="left"/>
        </w:tabs>
        <w:numPr>
          <w:ilvl w:val="1"/>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9 -</w:t>
      </w:r>
    </w:p>
    <w:p>
      <w:pPr>
        <w:sectPr>
          <w:pgSz w:w="11900" w:h="16838" w:orient="portrait"/>
          <w:cols w:equalWidth="0" w:num="1">
            <w:col w:w="10228"/>
          </w:cols>
          <w:pgMar w:left="231" w:top="434" w:right="1440" w:bottom="1440" w:gutter="0" w:footer="0" w:header="0"/>
        </w:sectPr>
      </w:pPr>
    </w:p>
    <w:bookmarkStart w:id="14" w:name="page15"/>
    <w:bookmarkEnd w:id="14"/>
    <w:p>
      <w:pPr>
        <w:ind w:left="9"/>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NOTES TO FINANCIAL STATEMENTS</w:t>
      </w:r>
    </w:p>
    <w:p>
      <w:pPr>
        <w:spacing w:after="0" w:line="2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YEARS ENDED DECEMBER 31, 1998, 1997 AND 1996 (Concluded)</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316" w:lineRule="exact"/>
        <w:rPr>
          <w:sz w:val="20"/>
          <w:szCs w:val="20"/>
          <w:color w:val="auto"/>
        </w:rPr>
      </w:pPr>
    </w:p>
    <w:p>
      <w:pPr>
        <w:ind w:left="529" w:hanging="529"/>
        <w:spacing w:after="0"/>
        <w:tabs>
          <w:tab w:leader="none" w:pos="529"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BENEFITS PAYABLE</w:t>
      </w:r>
    </w:p>
    <w:p>
      <w:pPr>
        <w:spacing w:after="0" w:line="171" w:lineRule="exact"/>
        <w:rPr>
          <w:rFonts w:ascii="Courier New" w:cs="Courier New" w:eastAsia="Courier New" w:hAnsi="Courier New"/>
          <w:sz w:val="15"/>
          <w:szCs w:val="15"/>
          <w:color w:val="auto"/>
        </w:rPr>
      </w:pPr>
    </w:p>
    <w:p>
      <w:pPr>
        <w:jc w:val="both"/>
        <w:ind w:left="529" w:right="3119"/>
        <w:spacing w:after="0" w:line="39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The following is a reconciliation of benefits paid to participants or beneficiaries per the Plan's financial statements to the Plan's Form 5500:</w:t>
      </w:r>
    </w:p>
    <w:p>
      <w:pPr>
        <w:spacing w:after="0" w:line="200" w:lineRule="exact"/>
        <w:rPr>
          <w:sz w:val="20"/>
          <w:szCs w:val="20"/>
          <w:color w:val="auto"/>
        </w:rPr>
      </w:pPr>
    </w:p>
    <w:p>
      <w:pPr>
        <w:spacing w:after="0" w:line="302"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1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60" w:type="dxa"/>
            <w:vAlign w:val="bottom"/>
            <w:vMerge w:val="restart"/>
          </w:tcPr>
          <w:p>
            <w:pPr>
              <w:jc w:val="right"/>
              <w:ind w:right="466"/>
              <w:spacing w:after="0"/>
              <w:rPr>
                <w:sz w:val="20"/>
                <w:szCs w:val="20"/>
                <w:color w:val="auto"/>
              </w:rPr>
            </w:pPr>
            <w:r>
              <w:rPr>
                <w:rFonts w:ascii="Courier New" w:cs="Courier New" w:eastAsia="Courier New" w:hAnsi="Courier New"/>
                <w:sz w:val="15"/>
                <w:szCs w:val="15"/>
                <w:color w:val="auto"/>
              </w:rPr>
              <w:t>1998</w:t>
            </w:r>
          </w:p>
        </w:tc>
        <w:tc>
          <w:tcPr>
            <w:tcW w:w="23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Year Ended December 31,</w:t>
            </w:r>
          </w:p>
        </w:tc>
        <w:tc>
          <w:tcPr>
            <w:tcW w:w="1240" w:type="dxa"/>
            <w:vAlign w:val="bottom"/>
            <w:vMerge w:val="restart"/>
          </w:tcPr>
          <w:p>
            <w:pPr>
              <w:jc w:val="right"/>
              <w:ind w:right="266"/>
              <w:spacing w:after="0"/>
              <w:rPr>
                <w:sz w:val="20"/>
                <w:szCs w:val="20"/>
                <w:color w:val="auto"/>
              </w:rPr>
            </w:pPr>
            <w:r>
              <w:rPr>
                <w:rFonts w:ascii="Courier New" w:cs="Courier New" w:eastAsia="Courier New" w:hAnsi="Courier New"/>
                <w:sz w:val="15"/>
                <w:szCs w:val="15"/>
                <w:color w:val="auto"/>
              </w:rPr>
              <w:t>1996</w:t>
            </w:r>
          </w:p>
        </w:tc>
        <w:tc>
          <w:tcPr>
            <w:tcW w:w="0" w:type="dxa"/>
            <w:vAlign w:val="bottom"/>
          </w:tcPr>
          <w:p>
            <w:pPr>
              <w:spacing w:after="0"/>
              <w:rPr>
                <w:sz w:val="1"/>
                <w:szCs w:val="1"/>
                <w:color w:val="auto"/>
              </w:rPr>
            </w:pPr>
          </w:p>
        </w:tc>
      </w:tr>
      <w:tr>
        <w:trPr>
          <w:trHeight w:val="171"/>
        </w:trPr>
        <w:tc>
          <w:tcPr>
            <w:tcW w:w="146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2300" w:type="dxa"/>
            <w:vAlign w:val="bottom"/>
          </w:tcPr>
          <w:p>
            <w:pPr>
              <w:jc w:val="right"/>
              <w:ind w:right="886"/>
              <w:spacing w:after="0"/>
              <w:rPr>
                <w:sz w:val="20"/>
                <w:szCs w:val="20"/>
                <w:color w:val="auto"/>
              </w:rPr>
            </w:pPr>
            <w:r>
              <w:rPr>
                <w:rFonts w:ascii="Courier New" w:cs="Courier New" w:eastAsia="Courier New" w:hAnsi="Courier New"/>
                <w:sz w:val="15"/>
                <w:szCs w:val="15"/>
                <w:color w:val="auto"/>
              </w:rPr>
              <w:t>1997</w:t>
            </w: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4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4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w w:val="97"/>
              </w:rPr>
              <w:t>Benefits paid to</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participants or beneficiaries</w:t>
            </w:r>
          </w:p>
        </w:tc>
        <w:tc>
          <w:tcPr>
            <w:tcW w:w="14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$13,575,986</w:t>
            </w:r>
          </w:p>
        </w:tc>
        <w:tc>
          <w:tcPr>
            <w:tcW w:w="2300" w:type="dxa"/>
            <w:vAlign w:val="bottom"/>
            <w:vMerge w:val="restart"/>
          </w:tcPr>
          <w:p>
            <w:pPr>
              <w:jc w:val="right"/>
              <w:ind w:right="546"/>
              <w:spacing w:after="0"/>
              <w:rPr>
                <w:sz w:val="20"/>
                <w:szCs w:val="20"/>
                <w:color w:val="auto"/>
              </w:rPr>
            </w:pPr>
            <w:r>
              <w:rPr>
                <w:rFonts w:ascii="Courier New" w:cs="Courier New" w:eastAsia="Courier New" w:hAnsi="Courier New"/>
                <w:sz w:val="15"/>
                <w:szCs w:val="15"/>
                <w:color w:val="auto"/>
              </w:rPr>
              <w:t>$8,976,434</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$9,938,625</w:t>
            </w:r>
          </w:p>
        </w:tc>
        <w:tc>
          <w:tcPr>
            <w:tcW w:w="0" w:type="dxa"/>
            <w:vAlign w:val="bottom"/>
          </w:tcPr>
          <w:p>
            <w:pPr>
              <w:spacing w:after="0"/>
              <w:rPr>
                <w:sz w:val="1"/>
                <w:szCs w:val="1"/>
                <w:color w:val="auto"/>
              </w:rPr>
            </w:pPr>
          </w:p>
        </w:tc>
      </w:tr>
      <w:tr>
        <w:trPr>
          <w:trHeight w:val="171"/>
        </w:trPr>
        <w:tc>
          <w:tcPr>
            <w:tcW w:w="430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per the financial statements</w:t>
            </w:r>
          </w:p>
        </w:tc>
        <w:tc>
          <w:tcPr>
            <w:tcW w:w="1460" w:type="dxa"/>
            <w:vAlign w:val="bottom"/>
            <w:vMerge w:val="continue"/>
          </w:tcPr>
          <w:p>
            <w:pPr>
              <w:spacing w:after="0"/>
              <w:rPr>
                <w:sz w:val="14"/>
                <w:szCs w:val="14"/>
                <w:color w:val="auto"/>
              </w:rPr>
            </w:pPr>
          </w:p>
        </w:tc>
        <w:tc>
          <w:tcPr>
            <w:tcW w:w="23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Add: amounts allocated to withdrawing</w:t>
            </w:r>
          </w:p>
        </w:tc>
        <w:tc>
          <w:tcPr>
            <w:tcW w:w="14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57,268</w:t>
            </w:r>
          </w:p>
        </w:tc>
        <w:tc>
          <w:tcPr>
            <w:tcW w:w="0" w:type="dxa"/>
            <w:vAlign w:val="bottom"/>
          </w:tcPr>
          <w:p>
            <w:pPr>
              <w:spacing w:after="0"/>
              <w:rPr>
                <w:sz w:val="1"/>
                <w:szCs w:val="1"/>
                <w:color w:val="auto"/>
              </w:rPr>
            </w:pPr>
          </w:p>
        </w:tc>
      </w:tr>
      <w:tr>
        <w:trPr>
          <w:trHeight w:val="171"/>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participants</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at end of year</w:t>
            </w:r>
          </w:p>
        </w:tc>
        <w:tc>
          <w:tcPr>
            <w:tcW w:w="146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300" w:type="dxa"/>
            <w:vAlign w:val="bottom"/>
            <w:gridSpan w:val="2"/>
          </w:tcPr>
          <w:p>
            <w:pPr>
              <w:spacing w:after="0"/>
              <w:rPr>
                <w:sz w:val="20"/>
                <w:szCs w:val="20"/>
                <w:color w:val="auto"/>
              </w:rPr>
            </w:pPr>
            <w:r>
              <w:rPr>
                <w:rFonts w:ascii="Courier New" w:cs="Courier New" w:eastAsia="Courier New" w:hAnsi="Courier New"/>
                <w:sz w:val="15"/>
                <w:szCs w:val="15"/>
                <w:color w:val="auto"/>
              </w:rPr>
              <w:t>Less: amounts allocated to withdrawing</w:t>
            </w:r>
          </w:p>
        </w:tc>
        <w:tc>
          <w:tcPr>
            <w:tcW w:w="1460" w:type="dxa"/>
            <w:vAlign w:val="bottom"/>
          </w:tcPr>
          <w:p>
            <w:pPr>
              <w:spacing w:after="0"/>
              <w:rPr>
                <w:sz w:val="14"/>
                <w:szCs w:val="14"/>
                <w:color w:val="auto"/>
              </w:rPr>
            </w:pPr>
          </w:p>
        </w:tc>
        <w:tc>
          <w:tcPr>
            <w:tcW w:w="2300" w:type="dxa"/>
            <w:vAlign w:val="bottom"/>
            <w:vMerge w:val="restart"/>
          </w:tcPr>
          <w:p>
            <w:pPr>
              <w:jc w:val="right"/>
              <w:ind w:right="446"/>
              <w:spacing w:after="0"/>
              <w:rPr>
                <w:sz w:val="20"/>
                <w:szCs w:val="20"/>
                <w:color w:val="auto"/>
              </w:rPr>
            </w:pPr>
            <w:r>
              <w:rPr>
                <w:rFonts w:ascii="Courier New" w:cs="Courier New" w:eastAsia="Courier New" w:hAnsi="Courier New"/>
                <w:sz w:val="15"/>
                <w:szCs w:val="15"/>
                <w:color w:val="auto"/>
              </w:rPr>
              <w:t>(57,268)</w:t>
            </w: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participants</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at beginning of year</w:t>
            </w:r>
          </w:p>
        </w:tc>
        <w:tc>
          <w:tcPr>
            <w:tcW w:w="14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300" w:type="dxa"/>
            <w:vAlign w:val="bottom"/>
            <w:vMerge w:val="continue"/>
          </w:tcPr>
          <w:p>
            <w:pPr>
              <w:spacing w:after="0"/>
              <w:rPr>
                <w:sz w:val="14"/>
                <w:szCs w:val="14"/>
                <w:color w:val="auto"/>
              </w:rPr>
            </w:pP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49"/>
        </w:trPr>
        <w:tc>
          <w:tcPr>
            <w:tcW w:w="1460" w:type="dxa"/>
            <w:vAlign w:val="bottom"/>
            <w:vMerge w:val="restart"/>
          </w:tcPr>
          <w:p>
            <w:pPr>
              <w:jc w:val="right"/>
              <w:spacing w:after="0"/>
              <w:rPr>
                <w:sz w:val="20"/>
                <w:szCs w:val="20"/>
                <w:color w:val="auto"/>
              </w:rPr>
            </w:pPr>
            <w:r>
              <w:rPr>
                <w:rFonts w:ascii="Courier New" w:cs="Courier New" w:eastAsia="Courier New" w:hAnsi="Courier New"/>
                <w:sz w:val="15"/>
                <w:szCs w:val="15"/>
                <w:color w:val="auto"/>
                <w:w w:val="97"/>
              </w:rPr>
              <w:t>Benefits paid to</w:t>
            </w:r>
          </w:p>
        </w:tc>
        <w:tc>
          <w:tcPr>
            <w:tcW w:w="2840" w:type="dxa"/>
            <w:vAlign w:val="bottom"/>
            <w:vMerge w:val="restart"/>
          </w:tcPr>
          <w:p>
            <w:pPr>
              <w:ind w:left="40"/>
              <w:spacing w:after="0"/>
              <w:rPr>
                <w:sz w:val="20"/>
                <w:szCs w:val="20"/>
                <w:color w:val="auto"/>
              </w:rPr>
            </w:pPr>
            <w:r>
              <w:rPr>
                <w:rFonts w:ascii="Courier New" w:cs="Courier New" w:eastAsia="Courier New" w:hAnsi="Courier New"/>
                <w:sz w:val="15"/>
                <w:szCs w:val="15"/>
                <w:color w:val="auto"/>
              </w:rPr>
              <w:t>participants or beneficiaries</w:t>
            </w:r>
          </w:p>
        </w:tc>
        <w:tc>
          <w:tcPr>
            <w:tcW w:w="1460" w:type="dxa"/>
            <w:vAlign w:val="bottom"/>
            <w:vMerge w:val="continue"/>
          </w:tcPr>
          <w:p>
            <w:pPr>
              <w:spacing w:after="0"/>
              <w:rPr>
                <w:sz w:val="21"/>
                <w:szCs w:val="21"/>
                <w:color w:val="auto"/>
              </w:rPr>
            </w:pPr>
          </w:p>
        </w:tc>
        <w:tc>
          <w:tcPr>
            <w:tcW w:w="23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92"/>
        </w:trPr>
        <w:tc>
          <w:tcPr>
            <w:tcW w:w="1460" w:type="dxa"/>
            <w:vAlign w:val="bottom"/>
            <w:vMerge w:val="continue"/>
          </w:tcPr>
          <w:p>
            <w:pPr>
              <w:spacing w:after="0"/>
              <w:rPr>
                <w:sz w:val="8"/>
                <w:szCs w:val="8"/>
                <w:color w:val="auto"/>
              </w:rPr>
            </w:pPr>
          </w:p>
        </w:tc>
        <w:tc>
          <w:tcPr>
            <w:tcW w:w="2840" w:type="dxa"/>
            <w:vAlign w:val="bottom"/>
            <w:vMerge w:val="continue"/>
          </w:tcPr>
          <w:p>
            <w:pPr>
              <w:spacing w:after="0"/>
              <w:rPr>
                <w:sz w:val="8"/>
                <w:szCs w:val="8"/>
                <w:color w:val="auto"/>
              </w:rPr>
            </w:pPr>
          </w:p>
        </w:tc>
        <w:tc>
          <w:tcPr>
            <w:tcW w:w="1460" w:type="dxa"/>
            <w:vAlign w:val="bottom"/>
            <w:vMerge w:val="restart"/>
          </w:tcPr>
          <w:p>
            <w:pPr>
              <w:jc w:val="right"/>
              <w:ind w:right="6"/>
              <w:spacing w:after="0"/>
              <w:rPr>
                <w:sz w:val="20"/>
                <w:szCs w:val="20"/>
                <w:color w:val="auto"/>
              </w:rPr>
            </w:pPr>
            <w:r>
              <w:rPr>
                <w:rFonts w:ascii="Courier New" w:cs="Courier New" w:eastAsia="Courier New" w:hAnsi="Courier New"/>
                <w:sz w:val="15"/>
                <w:szCs w:val="15"/>
                <w:color w:val="auto"/>
              </w:rPr>
              <w:t>$13,575,986</w:t>
            </w:r>
          </w:p>
        </w:tc>
        <w:tc>
          <w:tcPr>
            <w:tcW w:w="2300" w:type="dxa"/>
            <w:vAlign w:val="bottom"/>
            <w:vMerge w:val="restart"/>
          </w:tcPr>
          <w:p>
            <w:pPr>
              <w:jc w:val="right"/>
              <w:ind w:right="546"/>
              <w:spacing w:after="0"/>
              <w:rPr>
                <w:sz w:val="20"/>
                <w:szCs w:val="20"/>
                <w:color w:val="auto"/>
              </w:rPr>
            </w:pPr>
            <w:r>
              <w:rPr>
                <w:rFonts w:ascii="Courier New" w:cs="Courier New" w:eastAsia="Courier New" w:hAnsi="Courier New"/>
                <w:sz w:val="15"/>
                <w:szCs w:val="15"/>
                <w:color w:val="auto"/>
              </w:rPr>
              <w:t>$8,919,166</w:t>
            </w:r>
          </w:p>
        </w:tc>
        <w:tc>
          <w:tcPr>
            <w:tcW w:w="12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$9,995,893</w:t>
            </w:r>
          </w:p>
        </w:tc>
        <w:tc>
          <w:tcPr>
            <w:tcW w:w="0" w:type="dxa"/>
            <w:vAlign w:val="bottom"/>
          </w:tcPr>
          <w:p>
            <w:pPr>
              <w:spacing w:after="0"/>
              <w:rPr>
                <w:sz w:val="1"/>
                <w:szCs w:val="1"/>
                <w:color w:val="auto"/>
              </w:rPr>
            </w:pPr>
          </w:p>
        </w:tc>
      </w:tr>
      <w:tr>
        <w:trPr>
          <w:trHeight w:val="171"/>
        </w:trPr>
        <w:tc>
          <w:tcPr>
            <w:tcW w:w="1460" w:type="dxa"/>
            <w:vAlign w:val="bottom"/>
          </w:tcPr>
          <w:p>
            <w:pPr>
              <w:jc w:val="right"/>
              <w:spacing w:after="0"/>
              <w:rPr>
                <w:sz w:val="20"/>
                <w:szCs w:val="20"/>
                <w:color w:val="auto"/>
              </w:rPr>
            </w:pPr>
            <w:r>
              <w:rPr>
                <w:rFonts w:ascii="Courier New" w:cs="Courier New" w:eastAsia="Courier New" w:hAnsi="Courier New"/>
                <w:sz w:val="15"/>
                <w:szCs w:val="15"/>
                <w:color w:val="auto"/>
              </w:rPr>
              <w:t>per the Form</w:t>
            </w:r>
          </w:p>
        </w:tc>
        <w:tc>
          <w:tcPr>
            <w:tcW w:w="2840" w:type="dxa"/>
            <w:vAlign w:val="bottom"/>
          </w:tcPr>
          <w:p>
            <w:pPr>
              <w:ind w:left="40"/>
              <w:spacing w:after="0"/>
              <w:rPr>
                <w:sz w:val="20"/>
                <w:szCs w:val="20"/>
                <w:color w:val="auto"/>
              </w:rPr>
            </w:pPr>
            <w:r>
              <w:rPr>
                <w:rFonts w:ascii="Courier New" w:cs="Courier New" w:eastAsia="Courier New" w:hAnsi="Courier New"/>
                <w:sz w:val="15"/>
                <w:szCs w:val="15"/>
                <w:color w:val="auto"/>
              </w:rPr>
              <w:t>5500</w:t>
            </w:r>
          </w:p>
        </w:tc>
        <w:tc>
          <w:tcPr>
            <w:tcW w:w="1460" w:type="dxa"/>
            <w:vAlign w:val="bottom"/>
            <w:vMerge w:val="continue"/>
          </w:tcPr>
          <w:p>
            <w:pPr>
              <w:spacing w:after="0"/>
              <w:rPr>
                <w:sz w:val="14"/>
                <w:szCs w:val="14"/>
                <w:color w:val="auto"/>
              </w:rPr>
            </w:pPr>
          </w:p>
        </w:tc>
        <w:tc>
          <w:tcPr>
            <w:tcW w:w="230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1460" w:type="dxa"/>
            <w:vAlign w:val="bottom"/>
          </w:tcPr>
          <w:p>
            <w:pPr>
              <w:spacing w:after="0"/>
              <w:rPr>
                <w:sz w:val="21"/>
                <w:szCs w:val="21"/>
                <w:color w:val="auto"/>
              </w:rPr>
            </w:pPr>
          </w:p>
        </w:tc>
        <w:tc>
          <w:tcPr>
            <w:tcW w:w="2840" w:type="dxa"/>
            <w:vAlign w:val="bottom"/>
          </w:tcPr>
          <w:p>
            <w:pPr>
              <w:spacing w:after="0"/>
              <w:rPr>
                <w:sz w:val="21"/>
                <w:szCs w:val="21"/>
                <w:color w:val="auto"/>
              </w:rPr>
            </w:pPr>
          </w:p>
        </w:tc>
        <w:tc>
          <w:tcPr>
            <w:tcW w:w="1460" w:type="dxa"/>
            <w:vAlign w:val="bottom"/>
          </w:tcPr>
          <w:p>
            <w:pPr>
              <w:jc w:val="right"/>
              <w:ind w:right="6"/>
              <w:spacing w:after="0"/>
              <w:rPr>
                <w:sz w:val="20"/>
                <w:szCs w:val="20"/>
                <w:color w:val="auto"/>
              </w:rPr>
            </w:pPr>
            <w:r>
              <w:rPr>
                <w:rFonts w:ascii="Courier New" w:cs="Courier New" w:eastAsia="Courier New" w:hAnsi="Courier New"/>
                <w:sz w:val="15"/>
                <w:szCs w:val="15"/>
                <w:color w:val="auto"/>
              </w:rPr>
              <w:t>=============</w:t>
            </w:r>
          </w:p>
        </w:tc>
        <w:tc>
          <w:tcPr>
            <w:tcW w:w="23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529" w:hanging="529"/>
        <w:spacing w:after="0"/>
        <w:tabs>
          <w:tab w:leader="none" w:pos="52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OF THE PLAN</w:t>
      </w:r>
    </w:p>
    <w:p>
      <w:pPr>
        <w:spacing w:after="0" w:line="171" w:lineRule="exact"/>
        <w:rPr>
          <w:rFonts w:ascii="Courier New" w:cs="Courier New" w:eastAsia="Courier New" w:hAnsi="Courier New"/>
          <w:sz w:val="15"/>
          <w:szCs w:val="15"/>
          <w:color w:val="auto"/>
        </w:rPr>
      </w:pPr>
    </w:p>
    <w:p>
      <w:pPr>
        <w:jc w:val="both"/>
        <w:ind w:left="529" w:right="3119"/>
        <w:spacing w:after="0" w:line="278"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as Plan Administrator, has the authority to control and manage the operation and administration of the Plan and may delegate all or a portion of the responsibilities of controlling and managing the operation and administration of the Plan to one or more persons.</w:t>
      </w:r>
    </w:p>
    <w:p>
      <w:pPr>
        <w:spacing w:after="0" w:line="66" w:lineRule="exact"/>
        <w:rPr>
          <w:rFonts w:ascii="Courier New" w:cs="Courier New" w:eastAsia="Courier New" w:hAnsi="Courier New"/>
          <w:sz w:val="15"/>
          <w:szCs w:val="15"/>
          <w:color w:val="auto"/>
        </w:rPr>
      </w:pPr>
    </w:p>
    <w:p>
      <w:pPr>
        <w:ind w:left="529" w:hanging="529"/>
        <w:spacing w:after="0"/>
        <w:tabs>
          <w:tab w:leader="none" w:pos="52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FEDERAL TAX CONSIDERATIONS</w:t>
      </w:r>
    </w:p>
    <w:p>
      <w:pPr>
        <w:spacing w:after="0" w:line="171" w:lineRule="exact"/>
        <w:rPr>
          <w:rFonts w:ascii="Courier New" w:cs="Courier New" w:eastAsia="Courier New" w:hAnsi="Courier New"/>
          <w:sz w:val="15"/>
          <w:szCs w:val="15"/>
          <w:color w:val="auto"/>
        </w:rPr>
      </w:pPr>
    </w:p>
    <w:p>
      <w:pPr>
        <w:jc w:val="both"/>
        <w:ind w:left="789" w:right="3119" w:hanging="257"/>
        <w:spacing w:after="0" w:line="253" w:lineRule="auto"/>
        <w:tabs>
          <w:tab w:leader="none" w:pos="789"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 Status of the Plan - The Plan received a determination letter dated December 19, 1995 in which the IRS stated that the Plan, as amended and restated effective January 1, 1993, is qualified and that the trust established under the Plan is tax-exempt. The Plan has been amended since receiving the determination letter (see Notes 2 and 9). The Company believes that the Plan continues to comply in form and operation with the applicable requirements of the Code. Therefore, the Company believes that the Plan was qualified and the related trust was tax-exempt as of December 31, 1998. Therefore, no provision for income taxes has been included in the Plan's financial statements.</w:t>
      </w:r>
    </w:p>
    <w:p>
      <w:pPr>
        <w:spacing w:after="0" w:line="86" w:lineRule="exact"/>
        <w:rPr>
          <w:rFonts w:ascii="Courier New" w:cs="Courier New" w:eastAsia="Courier New" w:hAnsi="Courier New"/>
          <w:sz w:val="15"/>
          <w:szCs w:val="15"/>
          <w:color w:val="auto"/>
        </w:rPr>
      </w:pPr>
    </w:p>
    <w:p>
      <w:pPr>
        <w:jc w:val="both"/>
        <w:ind w:left="789" w:right="3119" w:hanging="257"/>
        <w:spacing w:after="0" w:line="269" w:lineRule="auto"/>
        <w:tabs>
          <w:tab w:leader="none" w:pos="789"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Impact on Plan Participants - Matching contributions and salary reduction contributions, as well as earnings on Plan assets, are generally not subject to federal income tax until distributed from a qualified plan that meets the requirements of Sections 401(a), 401(k) and 401(m) of the Code.</w:t>
      </w:r>
    </w:p>
    <w:p>
      <w:pPr>
        <w:spacing w:after="0" w:line="71" w:lineRule="exact"/>
        <w:rPr>
          <w:rFonts w:ascii="Courier New" w:cs="Courier New" w:eastAsia="Courier New" w:hAnsi="Courier New"/>
          <w:sz w:val="15"/>
          <w:szCs w:val="15"/>
          <w:color w:val="auto"/>
        </w:rPr>
      </w:pPr>
    </w:p>
    <w:p>
      <w:pPr>
        <w:ind w:left="529" w:hanging="529"/>
        <w:spacing w:after="0"/>
        <w:tabs>
          <w:tab w:leader="none" w:pos="52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71" w:lineRule="exact"/>
        <w:rPr>
          <w:rFonts w:ascii="Courier New" w:cs="Courier New" w:eastAsia="Courier New" w:hAnsi="Courier New"/>
          <w:sz w:val="15"/>
          <w:szCs w:val="15"/>
          <w:color w:val="auto"/>
        </w:rPr>
      </w:pPr>
    </w:p>
    <w:p>
      <w:pPr>
        <w:jc w:val="both"/>
        <w:ind w:left="529" w:right="3119"/>
        <w:spacing w:after="0" w:line="29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for employees hired after January 15, 1999, the Company no longer contributes cash to purchase 10 shares of Class A Special Common Stock for the account of each newly eligible participant.</w:t>
      </w:r>
    </w:p>
    <w:p>
      <w:pPr>
        <w:spacing w:after="0" w:line="51" w:lineRule="exact"/>
        <w:rPr>
          <w:rFonts w:ascii="Courier New" w:cs="Courier New" w:eastAsia="Courier New" w:hAnsi="Courier New"/>
          <w:sz w:val="15"/>
          <w:szCs w:val="15"/>
          <w:color w:val="auto"/>
        </w:rPr>
      </w:pPr>
    </w:p>
    <w:p>
      <w:pPr>
        <w:jc w:val="both"/>
        <w:ind w:left="529" w:right="3119"/>
        <w:spacing w:after="0" w:line="259"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April 1, 1999, State Street Bank and Trust Company was removed as Trustee of the trust established under the Plan and Putnam Fiduciary Trust Company, a Massachusetts trust company, was appointed Trustee of the trust established under the Plan. Concurrent with the change in Trustee, four of the five mutual funds previously provided as investment options under the Plan were replaced with five new mutual funds with similar investment objectives.</w:t>
      </w:r>
    </w:p>
    <w:p>
      <w:pPr>
        <w:spacing w:after="0" w:line="81" w:lineRule="exact"/>
        <w:rPr>
          <w:rFonts w:ascii="Courier New" w:cs="Courier New" w:eastAsia="Courier New" w:hAnsi="Courier New"/>
          <w:sz w:val="15"/>
          <w:szCs w:val="15"/>
          <w:color w:val="auto"/>
        </w:rPr>
      </w:pPr>
    </w:p>
    <w:p>
      <w:pPr>
        <w:jc w:val="both"/>
        <w:ind w:left="529" w:right="3119"/>
        <w:spacing w:after="0" w:line="25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to the Plan year ended December 31, 1998, the Plan Administrator approved changes to the eligibility requirements of the Plan such that an employee is eligible for participation in the Plan upon completion of 91 days of service, as defined in the Plan, provided that eligible employees shall not be entitled to participate in allocations of employer matching contributions under the Plan until after they complete one year of service. The effective date of this change is expected to be during the fourth quarter of 1999.</w:t>
      </w:r>
    </w:p>
    <w:p>
      <w:pPr>
        <w:spacing w:after="0" w:line="80" w:lineRule="exact"/>
        <w:rPr>
          <w:rFonts w:ascii="Courier New" w:cs="Courier New" w:eastAsia="Courier New" w:hAnsi="Courier New"/>
          <w:sz w:val="15"/>
          <w:szCs w:val="15"/>
          <w:color w:val="auto"/>
        </w:rPr>
      </w:pPr>
    </w:p>
    <w:p>
      <w:pPr>
        <w:ind w:left="3469" w:hanging="185"/>
        <w:spacing w:after="0"/>
        <w:tabs>
          <w:tab w:leader="none" w:pos="3469" w:val="left"/>
        </w:tabs>
        <w:numPr>
          <w:ilvl w:val="2"/>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10 -</w:t>
      </w:r>
    </w:p>
    <w:p>
      <w:pPr>
        <w:sectPr>
          <w:pgSz w:w="11900" w:h="16838" w:orient="portrait"/>
          <w:cols w:equalWidth="0" w:num="1">
            <w:col w:w="10228"/>
          </w:cols>
          <w:pgMar w:left="231" w:top="434" w:right="1440" w:bottom="1440" w:gutter="0" w:footer="0" w:header="0"/>
        </w:sectPr>
      </w:pPr>
    </w:p>
    <w:bookmarkStart w:id="15" w:name="page16"/>
    <w:bookmarkEnd w:id="15"/>
    <w:p>
      <w:pPr>
        <w:ind w:left="9"/>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7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LINE 27a - SCHEDULE OF ASSETS HELD FOR INVESTMENT PURPOSES</w:t>
      </w:r>
    </w:p>
    <w:p>
      <w:pPr>
        <w:spacing w:after="0" w:line="27"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DECEMBER 31, 1998</w:t>
      </w:r>
    </w:p>
    <w:p>
      <w:pPr>
        <w:spacing w:after="0" w:line="1" w:lineRule="exact"/>
        <w:rPr>
          <w:sz w:val="20"/>
          <w:szCs w:val="20"/>
          <w:color w:val="auto"/>
        </w:rPr>
      </w:pPr>
    </w:p>
    <w:p>
      <w:pPr>
        <w:ind w:left="9"/>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287" w:lineRule="exact"/>
        <w:rPr>
          <w:sz w:val="20"/>
          <w:szCs w:val="20"/>
          <w:color w:val="auto"/>
        </w:rPr>
      </w:pPr>
    </w:p>
    <w:tbl>
      <w:tblPr>
        <w:tblLayout w:type="fixed"/>
        <w:tblInd w:w="9"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600" w:type="dxa"/>
            <w:vAlign w:val="bottom"/>
          </w:tcPr>
          <w:p>
            <w:pPr>
              <w:ind w:left="100"/>
              <w:spacing w:after="0"/>
              <w:rPr>
                <w:sz w:val="20"/>
                <w:szCs w:val="20"/>
                <w:color w:val="auto"/>
              </w:rPr>
            </w:pPr>
            <w:r>
              <w:rPr>
                <w:rFonts w:ascii="Courier New" w:cs="Courier New" w:eastAsia="Courier New" w:hAnsi="Courier New"/>
                <w:sz w:val="15"/>
                <w:szCs w:val="15"/>
                <w:color w:val="auto"/>
              </w:rPr>
              <w:t>FEIN #23-1709202</w:t>
            </w:r>
          </w:p>
        </w:tc>
        <w:tc>
          <w:tcPr>
            <w:tcW w:w="0" w:type="dxa"/>
            <w:vAlign w:val="bottom"/>
          </w:tcPr>
          <w:p>
            <w:pPr>
              <w:spacing w:after="0"/>
              <w:rPr>
                <w:sz w:val="1"/>
                <w:szCs w:val="1"/>
                <w:color w:val="auto"/>
              </w:rPr>
            </w:pPr>
          </w:p>
        </w:tc>
      </w:tr>
      <w:tr>
        <w:trPr>
          <w:trHeight w:val="249"/>
        </w:trPr>
        <w:tc>
          <w:tcPr>
            <w:tcW w:w="42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600" w:type="dxa"/>
            <w:vAlign w:val="bottom"/>
          </w:tcPr>
          <w:p>
            <w:pPr>
              <w:ind w:left="100"/>
              <w:spacing w:after="0"/>
              <w:rPr>
                <w:sz w:val="20"/>
                <w:szCs w:val="20"/>
                <w:color w:val="auto"/>
              </w:rPr>
            </w:pPr>
            <w:r>
              <w:rPr>
                <w:rFonts w:ascii="Courier New" w:cs="Courier New" w:eastAsia="Courier New" w:hAnsi="Courier New"/>
                <w:sz w:val="15"/>
                <w:szCs w:val="15"/>
                <w:color w:val="auto"/>
              </w:rPr>
              <w:t>PLAN #001</w:t>
            </w:r>
          </w:p>
        </w:tc>
        <w:tc>
          <w:tcPr>
            <w:tcW w:w="0" w:type="dxa"/>
            <w:vAlign w:val="bottom"/>
          </w:tcPr>
          <w:p>
            <w:pPr>
              <w:spacing w:after="0"/>
              <w:rPr>
                <w:sz w:val="1"/>
                <w:szCs w:val="1"/>
                <w:color w:val="auto"/>
              </w:rPr>
            </w:pPr>
          </w:p>
        </w:tc>
      </w:tr>
      <w:tr>
        <w:trPr>
          <w:trHeight w:val="433"/>
        </w:trPr>
        <w:tc>
          <w:tcPr>
            <w:tcW w:w="4200" w:type="dxa"/>
            <w:vAlign w:val="bottom"/>
            <w:vMerge w:val="restart"/>
          </w:tcPr>
          <w:p>
            <w:pPr>
              <w:ind w:left="1420"/>
              <w:spacing w:after="0"/>
              <w:rPr>
                <w:sz w:val="20"/>
                <w:szCs w:val="20"/>
                <w:color w:val="auto"/>
              </w:rPr>
            </w:pPr>
            <w:r>
              <w:rPr>
                <w:rFonts w:ascii="Courier New" w:cs="Courier New" w:eastAsia="Courier New" w:hAnsi="Courier New"/>
                <w:sz w:val="15"/>
                <w:szCs w:val="15"/>
                <w:color w:val="auto"/>
              </w:rPr>
              <w:t>Identity of</w:t>
            </w:r>
          </w:p>
        </w:tc>
        <w:tc>
          <w:tcPr>
            <w:tcW w:w="290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Description of Investment,</w:t>
            </w:r>
          </w:p>
        </w:tc>
        <w:tc>
          <w:tcPr>
            <w:tcW w:w="1580" w:type="dxa"/>
            <w:vAlign w:val="bottom"/>
          </w:tcPr>
          <w:p>
            <w:pPr>
              <w:spacing w:after="0"/>
              <w:rPr>
                <w:sz w:val="24"/>
                <w:szCs w:val="24"/>
                <w:color w:val="auto"/>
              </w:rPr>
            </w:pPr>
          </w:p>
        </w:tc>
        <w:tc>
          <w:tcPr>
            <w:tcW w:w="1600" w:type="dxa"/>
            <w:vAlign w:val="bottom"/>
            <w:vMerge w:val="restart"/>
          </w:tcPr>
          <w:p>
            <w:pPr>
              <w:jc w:val="right"/>
              <w:ind w:right="446"/>
              <w:spacing w:after="0"/>
              <w:rPr>
                <w:sz w:val="20"/>
                <w:szCs w:val="20"/>
                <w:color w:val="auto"/>
              </w:rPr>
            </w:pPr>
            <w:r>
              <w:rPr>
                <w:rFonts w:ascii="Courier New" w:cs="Courier New" w:eastAsia="Courier New" w:hAnsi="Courier New"/>
                <w:sz w:val="15"/>
                <w:szCs w:val="15"/>
                <w:color w:val="auto"/>
              </w:rPr>
              <w:t>Fair or</w:t>
            </w:r>
          </w:p>
        </w:tc>
        <w:tc>
          <w:tcPr>
            <w:tcW w:w="0" w:type="dxa"/>
            <w:vAlign w:val="bottom"/>
          </w:tcPr>
          <w:p>
            <w:pPr>
              <w:spacing w:after="0"/>
              <w:rPr>
                <w:sz w:val="1"/>
                <w:szCs w:val="1"/>
                <w:color w:val="auto"/>
              </w:rPr>
            </w:pPr>
          </w:p>
        </w:tc>
      </w:tr>
      <w:tr>
        <w:trPr>
          <w:trHeight w:val="171"/>
        </w:trPr>
        <w:tc>
          <w:tcPr>
            <w:tcW w:w="4200" w:type="dxa"/>
            <w:vAlign w:val="bottom"/>
            <w:vMerge w:val="continue"/>
          </w:tcPr>
          <w:p>
            <w:pPr>
              <w:spacing w:after="0"/>
              <w:rPr>
                <w:sz w:val="14"/>
                <w:szCs w:val="14"/>
                <w:color w:val="auto"/>
              </w:rPr>
            </w:pPr>
          </w:p>
        </w:tc>
        <w:tc>
          <w:tcPr>
            <w:tcW w:w="290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Including Maturity Date,</w:t>
            </w:r>
          </w:p>
        </w:tc>
        <w:tc>
          <w:tcPr>
            <w:tcW w:w="1580" w:type="dxa"/>
            <w:vAlign w:val="bottom"/>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Pr>
          <w:p>
            <w:pPr>
              <w:ind w:left="880"/>
              <w:spacing w:after="0"/>
              <w:rPr>
                <w:sz w:val="20"/>
                <w:szCs w:val="20"/>
                <w:color w:val="auto"/>
              </w:rPr>
            </w:pPr>
            <w:r>
              <w:rPr>
                <w:rFonts w:ascii="Courier New" w:cs="Courier New" w:eastAsia="Courier New" w:hAnsi="Courier New"/>
                <w:sz w:val="15"/>
                <w:szCs w:val="15"/>
                <w:color w:val="auto"/>
              </w:rPr>
              <w:t>Issue, Borrower, Lessor</w:t>
            </w:r>
          </w:p>
        </w:tc>
        <w:tc>
          <w:tcPr>
            <w:tcW w:w="290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9"/>
              </w:rPr>
              <w:t>Rate of Interest, Par or</w:t>
            </w:r>
          </w:p>
        </w:tc>
        <w:tc>
          <w:tcPr>
            <w:tcW w:w="1580" w:type="dxa"/>
            <w:vAlign w:val="bottom"/>
            <w:vMerge w:val="restart"/>
          </w:tcPr>
          <w:p>
            <w:pPr>
              <w:jc w:val="right"/>
              <w:ind w:right="629"/>
              <w:spacing w:after="0"/>
              <w:rPr>
                <w:sz w:val="20"/>
                <w:szCs w:val="20"/>
                <w:color w:val="auto"/>
              </w:rPr>
            </w:pPr>
            <w:r>
              <w:rPr>
                <w:rFonts w:ascii="Courier New" w:cs="Courier New" w:eastAsia="Courier New" w:hAnsi="Courier New"/>
                <w:sz w:val="15"/>
                <w:szCs w:val="15"/>
                <w:color w:val="auto"/>
              </w:rPr>
              <w:t>Cost</w:t>
            </w:r>
          </w:p>
        </w:tc>
        <w:tc>
          <w:tcPr>
            <w:tcW w:w="1600" w:type="dxa"/>
            <w:vAlign w:val="bottom"/>
          </w:tcPr>
          <w:p>
            <w:pPr>
              <w:jc w:val="right"/>
              <w:ind w:right="446"/>
              <w:spacing w:after="0"/>
              <w:rPr>
                <w:sz w:val="20"/>
                <w:szCs w:val="20"/>
                <w:color w:val="auto"/>
              </w:rPr>
            </w:pPr>
            <w:r>
              <w:rPr>
                <w:rFonts w:ascii="Courier New" w:cs="Courier New" w:eastAsia="Courier New" w:hAnsi="Courier New"/>
                <w:sz w:val="15"/>
                <w:szCs w:val="15"/>
                <w:color w:val="auto"/>
              </w:rPr>
              <w:t>Contract</w:t>
            </w:r>
          </w:p>
        </w:tc>
        <w:tc>
          <w:tcPr>
            <w:tcW w:w="0" w:type="dxa"/>
            <w:vAlign w:val="bottom"/>
          </w:tcPr>
          <w:p>
            <w:pPr>
              <w:spacing w:after="0"/>
              <w:rPr>
                <w:sz w:val="1"/>
                <w:szCs w:val="1"/>
                <w:color w:val="auto"/>
              </w:rPr>
            </w:pPr>
          </w:p>
        </w:tc>
      </w:tr>
      <w:tr>
        <w:trPr>
          <w:trHeight w:val="171"/>
        </w:trPr>
        <w:tc>
          <w:tcPr>
            <w:tcW w:w="4200" w:type="dxa"/>
            <w:vAlign w:val="bottom"/>
          </w:tcPr>
          <w:p>
            <w:pPr>
              <w:ind w:left="1240"/>
              <w:spacing w:after="0"/>
              <w:rPr>
                <w:sz w:val="20"/>
                <w:szCs w:val="20"/>
                <w:color w:val="auto"/>
              </w:rPr>
            </w:pPr>
            <w:r>
              <w:rPr>
                <w:rFonts w:ascii="Courier New" w:cs="Courier New" w:eastAsia="Courier New" w:hAnsi="Courier New"/>
                <w:sz w:val="15"/>
                <w:szCs w:val="15"/>
                <w:color w:val="auto"/>
              </w:rPr>
              <w:t>or Similar Party</w:t>
            </w:r>
          </w:p>
        </w:tc>
        <w:tc>
          <w:tcPr>
            <w:tcW w:w="2900" w:type="dxa"/>
            <w:vAlign w:val="bottom"/>
          </w:tcPr>
          <w:p>
            <w:pPr>
              <w:jc w:val="center"/>
              <w:ind w:right="226"/>
              <w:spacing w:after="0"/>
              <w:rPr>
                <w:sz w:val="20"/>
                <w:szCs w:val="20"/>
                <w:color w:val="auto"/>
              </w:rPr>
            </w:pPr>
            <w:r>
              <w:rPr>
                <w:rFonts w:ascii="Courier New" w:cs="Courier New" w:eastAsia="Courier New" w:hAnsi="Courier New"/>
                <w:sz w:val="15"/>
                <w:szCs w:val="15"/>
                <w:color w:val="auto"/>
                <w:w w:val="98"/>
              </w:rPr>
              <w:t>Maturity Value</w:t>
            </w:r>
          </w:p>
        </w:tc>
        <w:tc>
          <w:tcPr>
            <w:tcW w:w="1580" w:type="dxa"/>
            <w:vAlign w:val="bottom"/>
            <w:vMerge w:val="continue"/>
          </w:tcPr>
          <w:p>
            <w:pPr>
              <w:spacing w:after="0"/>
              <w:rPr>
                <w:sz w:val="14"/>
                <w:szCs w:val="14"/>
                <w:color w:val="auto"/>
              </w:rPr>
            </w:pPr>
          </w:p>
        </w:tc>
        <w:tc>
          <w:tcPr>
            <w:tcW w:w="1600" w:type="dxa"/>
            <w:vAlign w:val="bottom"/>
          </w:tcPr>
          <w:p>
            <w:pPr>
              <w:jc w:val="right"/>
              <w:ind w:right="546"/>
              <w:spacing w:after="0"/>
              <w:rPr>
                <w:sz w:val="20"/>
                <w:szCs w:val="20"/>
                <w:color w:val="auto"/>
              </w:rPr>
            </w:pPr>
            <w:r>
              <w:rPr>
                <w:rFonts w:ascii="Courier New" w:cs="Courier New" w:eastAsia="Courier New" w:hAnsi="Courier New"/>
                <w:sz w:val="15"/>
                <w:szCs w:val="15"/>
                <w:color w:val="auto"/>
              </w:rPr>
              <w:t>Value</w:t>
            </w:r>
          </w:p>
        </w:tc>
        <w:tc>
          <w:tcPr>
            <w:tcW w:w="0" w:type="dxa"/>
            <w:vAlign w:val="bottom"/>
          </w:tcPr>
          <w:p>
            <w:pPr>
              <w:spacing w:after="0"/>
              <w:rPr>
                <w:sz w:val="1"/>
                <w:szCs w:val="1"/>
                <w:color w:val="auto"/>
              </w:rPr>
            </w:pPr>
          </w:p>
        </w:tc>
      </w:tr>
      <w:tr>
        <w:trPr>
          <w:trHeight w:val="249"/>
        </w:trPr>
        <w:tc>
          <w:tcPr>
            <w:tcW w:w="42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900" w:type="dxa"/>
            <w:vAlign w:val="bottom"/>
          </w:tcPr>
          <w:p>
            <w:pPr>
              <w:jc w:val="right"/>
              <w:ind w:right="26"/>
              <w:spacing w:after="0"/>
              <w:rPr>
                <w:sz w:val="20"/>
                <w:szCs w:val="20"/>
                <w:color w:val="auto"/>
              </w:rPr>
            </w:pPr>
            <w:r>
              <w:rPr>
                <w:rFonts w:ascii="Courier New" w:cs="Courier New" w:eastAsia="Courier New" w:hAnsi="Courier New"/>
                <w:sz w:val="15"/>
                <w:szCs w:val="15"/>
                <w:color w:val="auto"/>
              </w:rPr>
              <w:t>-----------------------------</w:t>
            </w:r>
          </w:p>
        </w:tc>
        <w:tc>
          <w:tcPr>
            <w:tcW w:w="1580" w:type="dxa"/>
            <w:vAlign w:val="bottom"/>
          </w:tcPr>
          <w:p>
            <w:pPr>
              <w:jc w:val="right"/>
              <w:ind w:right="9"/>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200" w:type="dxa"/>
            <w:vAlign w:val="bottom"/>
          </w:tcPr>
          <w:p>
            <w:pPr>
              <w:spacing w:after="0"/>
              <w:rPr>
                <w:sz w:val="20"/>
                <w:szCs w:val="20"/>
                <w:color w:val="auto"/>
              </w:rPr>
            </w:pPr>
            <w:r>
              <w:rPr>
                <w:rFonts w:ascii="Courier New" w:cs="Courier New" w:eastAsia="Courier New" w:hAnsi="Courier New"/>
                <w:sz w:val="15"/>
                <w:szCs w:val="15"/>
                <w:color w:val="auto"/>
              </w:rPr>
              <w:t>Mutual Funds</w:t>
            </w:r>
          </w:p>
        </w:tc>
        <w:tc>
          <w:tcPr>
            <w:tcW w:w="2900" w:type="dxa"/>
            <w:vAlign w:val="bottom"/>
            <w:vMerge w:val="restart"/>
          </w:tcPr>
          <w:p>
            <w:pPr>
              <w:jc w:val="center"/>
              <w:ind w:right="246"/>
              <w:spacing w:after="0"/>
              <w:rPr>
                <w:sz w:val="20"/>
                <w:szCs w:val="20"/>
                <w:color w:val="auto"/>
              </w:rPr>
            </w:pPr>
            <w:r>
              <w:rPr>
                <w:rFonts w:ascii="Courier New" w:cs="Courier New" w:eastAsia="Courier New" w:hAnsi="Courier New"/>
                <w:sz w:val="15"/>
                <w:szCs w:val="15"/>
                <w:color w:val="auto"/>
                <w:w w:val="98"/>
              </w:rPr>
              <w:t>261,878 shares/units</w:t>
            </w:r>
          </w:p>
        </w:tc>
        <w:tc>
          <w:tcPr>
            <w:tcW w:w="1580" w:type="dxa"/>
            <w:vAlign w:val="bottom"/>
            <w:vMerge w:val="restart"/>
          </w:tcPr>
          <w:p>
            <w:pPr>
              <w:jc w:val="right"/>
              <w:ind w:right="189"/>
              <w:spacing w:after="0"/>
              <w:rPr>
                <w:sz w:val="20"/>
                <w:szCs w:val="20"/>
                <w:color w:val="auto"/>
              </w:rPr>
            </w:pPr>
            <w:r>
              <w:rPr>
                <w:rFonts w:ascii="Courier New" w:cs="Courier New" w:eastAsia="Courier New" w:hAnsi="Courier New"/>
                <w:sz w:val="15"/>
                <w:szCs w:val="15"/>
                <w:color w:val="auto"/>
              </w:rPr>
              <w:t>$20,341,393</w:t>
            </w:r>
          </w:p>
        </w:tc>
        <w:tc>
          <w:tcPr>
            <w:tcW w:w="16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$21,852,109</w:t>
            </w:r>
          </w:p>
        </w:tc>
        <w:tc>
          <w:tcPr>
            <w:tcW w:w="0" w:type="dxa"/>
            <w:vAlign w:val="bottom"/>
          </w:tcPr>
          <w:p>
            <w:pPr>
              <w:spacing w:after="0"/>
              <w:rPr>
                <w:sz w:val="1"/>
                <w:szCs w:val="1"/>
                <w:color w:val="auto"/>
              </w:rPr>
            </w:pPr>
          </w:p>
        </w:tc>
      </w:tr>
      <w:tr>
        <w:trPr>
          <w:trHeight w:val="17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Dodge and Cox Balanced Fund</w:t>
            </w:r>
          </w:p>
        </w:tc>
        <w:tc>
          <w:tcPr>
            <w:tcW w:w="29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Fidelity Blue Chip Growth Fund</w:t>
            </w:r>
          </w:p>
        </w:tc>
        <w:tc>
          <w:tcPr>
            <w:tcW w:w="290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898,714 shares/units</w:t>
            </w:r>
          </w:p>
        </w:tc>
        <w:tc>
          <w:tcPr>
            <w:tcW w:w="15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38,858,188</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54,561,445</w:t>
            </w:r>
          </w:p>
        </w:tc>
        <w:tc>
          <w:tcPr>
            <w:tcW w:w="0" w:type="dxa"/>
            <w:vAlign w:val="bottom"/>
          </w:tcPr>
          <w:p>
            <w:pPr>
              <w:spacing w:after="0"/>
              <w:rPr>
                <w:sz w:val="1"/>
                <w:szCs w:val="1"/>
                <w:color w:val="auto"/>
              </w:rPr>
            </w:pPr>
          </w:p>
        </w:tc>
      </w:tr>
      <w:tr>
        <w:trPr>
          <w:trHeight w:val="17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PBHG Fund</w:t>
            </w:r>
          </w:p>
        </w:tc>
        <w:tc>
          <w:tcPr>
            <w:tcW w:w="290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423,336 shares/units</w:t>
            </w:r>
          </w:p>
        </w:tc>
        <w:tc>
          <w:tcPr>
            <w:tcW w:w="15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5,902,967</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6,036,037</w:t>
            </w:r>
          </w:p>
        </w:tc>
        <w:tc>
          <w:tcPr>
            <w:tcW w:w="0" w:type="dxa"/>
            <w:vAlign w:val="bottom"/>
          </w:tcPr>
          <w:p>
            <w:pPr>
              <w:spacing w:after="0"/>
              <w:rPr>
                <w:sz w:val="1"/>
                <w:szCs w:val="1"/>
                <w:color w:val="auto"/>
              </w:rPr>
            </w:pPr>
          </w:p>
        </w:tc>
      </w:tr>
      <w:tr>
        <w:trPr>
          <w:trHeight w:val="17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Ivy International Fund</w:t>
            </w:r>
          </w:p>
        </w:tc>
        <w:tc>
          <w:tcPr>
            <w:tcW w:w="2900" w:type="dxa"/>
            <w:vAlign w:val="bottom"/>
          </w:tcPr>
          <w:p>
            <w:pPr>
              <w:jc w:val="center"/>
              <w:ind w:right="246"/>
              <w:spacing w:after="0"/>
              <w:rPr>
                <w:sz w:val="20"/>
                <w:szCs w:val="20"/>
                <w:color w:val="auto"/>
              </w:rPr>
            </w:pPr>
            <w:r>
              <w:rPr>
                <w:rFonts w:ascii="Courier New" w:cs="Courier New" w:eastAsia="Courier New" w:hAnsi="Courier New"/>
                <w:sz w:val="15"/>
                <w:szCs w:val="15"/>
                <w:color w:val="auto"/>
                <w:w w:val="98"/>
              </w:rPr>
              <w:t>128,900 shares/units</w:t>
            </w:r>
          </w:p>
        </w:tc>
        <w:tc>
          <w:tcPr>
            <w:tcW w:w="15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5,210,982</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5,601,842</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vMerge w:val="restart"/>
          </w:tcPr>
          <w:p>
            <w:pPr>
              <w:jc w:val="right"/>
              <w:ind w:right="18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70,313,530</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88,051,433</w:t>
            </w:r>
          </w:p>
        </w:tc>
        <w:tc>
          <w:tcPr>
            <w:tcW w:w="0" w:type="dxa"/>
            <w:vAlign w:val="bottom"/>
          </w:tcPr>
          <w:p>
            <w:pPr>
              <w:spacing w:after="0"/>
              <w:rPr>
                <w:sz w:val="1"/>
                <w:szCs w:val="1"/>
                <w:color w:val="auto"/>
              </w:rPr>
            </w:pPr>
          </w:p>
        </w:tc>
      </w:tr>
      <w:tr>
        <w:trPr>
          <w:trHeight w:val="249"/>
        </w:trPr>
        <w:tc>
          <w:tcPr>
            <w:tcW w:w="42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5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20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2900" w:type="dxa"/>
            <w:vAlign w:val="bottom"/>
            <w:vMerge w:val="restart"/>
          </w:tcPr>
          <w:p>
            <w:pPr>
              <w:jc w:val="center"/>
              <w:ind w:right="246"/>
              <w:spacing w:after="0"/>
              <w:rPr>
                <w:sz w:val="20"/>
                <w:szCs w:val="20"/>
                <w:color w:val="auto"/>
              </w:rPr>
            </w:pPr>
            <w:r>
              <w:rPr>
                <w:rFonts w:ascii="Courier New" w:cs="Courier New" w:eastAsia="Courier New" w:hAnsi="Courier New"/>
                <w:sz w:val="15"/>
                <w:szCs w:val="15"/>
                <w:color w:val="auto"/>
                <w:w w:val="99"/>
              </w:rPr>
              <w:t>2,345,352 shares/units**</w:t>
            </w:r>
          </w:p>
        </w:tc>
        <w:tc>
          <w:tcPr>
            <w:tcW w:w="1580" w:type="dxa"/>
            <w:vAlign w:val="bottom"/>
            <w:vMerge w:val="restart"/>
          </w:tcPr>
          <w:p>
            <w:pPr>
              <w:jc w:val="right"/>
              <w:ind w:right="189"/>
              <w:spacing w:after="0"/>
              <w:rPr>
                <w:sz w:val="20"/>
                <w:szCs w:val="20"/>
                <w:color w:val="auto"/>
              </w:rPr>
            </w:pPr>
            <w:r>
              <w:rPr>
                <w:rFonts w:ascii="Courier New" w:cs="Courier New" w:eastAsia="Courier New" w:hAnsi="Courier New"/>
                <w:sz w:val="15"/>
                <w:szCs w:val="15"/>
                <w:color w:val="auto"/>
              </w:rPr>
              <w:t>22,306,926</w:t>
            </w:r>
          </w:p>
        </w:tc>
        <w:tc>
          <w:tcPr>
            <w:tcW w:w="16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68,821,432</w:t>
            </w:r>
          </w:p>
        </w:tc>
        <w:tc>
          <w:tcPr>
            <w:tcW w:w="0" w:type="dxa"/>
            <w:vAlign w:val="bottom"/>
          </w:tcPr>
          <w:p>
            <w:pPr>
              <w:spacing w:after="0"/>
              <w:rPr>
                <w:sz w:val="1"/>
                <w:szCs w:val="1"/>
                <w:color w:val="auto"/>
              </w:rPr>
            </w:pPr>
          </w:p>
        </w:tc>
      </w:tr>
      <w:tr>
        <w:trPr>
          <w:trHeight w:val="17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Class A Special Common Stock</w:t>
            </w:r>
          </w:p>
        </w:tc>
        <w:tc>
          <w:tcPr>
            <w:tcW w:w="29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Cash</w:t>
            </w:r>
          </w:p>
        </w:tc>
        <w:tc>
          <w:tcPr>
            <w:tcW w:w="2900" w:type="dxa"/>
            <w:vAlign w:val="bottom"/>
          </w:tcPr>
          <w:p>
            <w:pPr>
              <w:spacing w:after="0"/>
              <w:rPr>
                <w:sz w:val="14"/>
                <w:szCs w:val="14"/>
                <w:color w:val="auto"/>
              </w:rPr>
            </w:pPr>
          </w:p>
        </w:tc>
        <w:tc>
          <w:tcPr>
            <w:tcW w:w="15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7,509,536</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7,509,536</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vMerge w:val="restart"/>
          </w:tcPr>
          <w:p>
            <w:pPr>
              <w:jc w:val="right"/>
              <w:ind w:right="18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29,816,462</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76,330,968</w:t>
            </w:r>
          </w:p>
        </w:tc>
        <w:tc>
          <w:tcPr>
            <w:tcW w:w="0" w:type="dxa"/>
            <w:vAlign w:val="bottom"/>
          </w:tcPr>
          <w:p>
            <w:pPr>
              <w:spacing w:after="0"/>
              <w:rPr>
                <w:sz w:val="1"/>
                <w:szCs w:val="1"/>
                <w:color w:val="auto"/>
              </w:rPr>
            </w:pPr>
          </w:p>
        </w:tc>
      </w:tr>
      <w:tr>
        <w:trPr>
          <w:trHeight w:val="249"/>
        </w:trPr>
        <w:tc>
          <w:tcPr>
            <w:tcW w:w="42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5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200" w:type="dxa"/>
            <w:vAlign w:val="bottom"/>
          </w:tcPr>
          <w:p>
            <w:pPr>
              <w:spacing w:after="0"/>
              <w:rPr>
                <w:sz w:val="20"/>
                <w:szCs w:val="20"/>
                <w:color w:val="auto"/>
              </w:rPr>
            </w:pPr>
            <w:r>
              <w:rPr>
                <w:rFonts w:ascii="Courier New" w:cs="Courier New" w:eastAsia="Courier New" w:hAnsi="Courier New"/>
                <w:sz w:val="15"/>
                <w:szCs w:val="15"/>
                <w:color w:val="auto"/>
              </w:rPr>
              <w:t>Stable Value Fund</w:t>
            </w:r>
          </w:p>
        </w:tc>
        <w:tc>
          <w:tcPr>
            <w:tcW w:w="2900" w:type="dxa"/>
            <w:vAlign w:val="bottom"/>
            <w:vMerge w:val="restart"/>
          </w:tcPr>
          <w:p>
            <w:pPr>
              <w:jc w:val="center"/>
              <w:ind w:right="246"/>
              <w:spacing w:after="0"/>
              <w:rPr>
                <w:sz w:val="20"/>
                <w:szCs w:val="20"/>
                <w:color w:val="auto"/>
              </w:rPr>
            </w:pPr>
            <w:r>
              <w:rPr>
                <w:rFonts w:ascii="Courier New" w:cs="Courier New" w:eastAsia="Courier New" w:hAnsi="Courier New"/>
                <w:sz w:val="15"/>
                <w:szCs w:val="15"/>
                <w:color w:val="auto"/>
                <w:w w:val="97"/>
              </w:rPr>
              <w:t>3,374,145 shares/units</w:t>
            </w:r>
          </w:p>
        </w:tc>
        <w:tc>
          <w:tcPr>
            <w:tcW w:w="1580" w:type="dxa"/>
            <w:vAlign w:val="bottom"/>
            <w:vMerge w:val="restart"/>
          </w:tcPr>
          <w:p>
            <w:pPr>
              <w:jc w:val="right"/>
              <w:ind w:right="189"/>
              <w:spacing w:after="0"/>
              <w:rPr>
                <w:sz w:val="20"/>
                <w:szCs w:val="20"/>
                <w:color w:val="auto"/>
              </w:rPr>
            </w:pPr>
            <w:r>
              <w:rPr>
                <w:rFonts w:ascii="Courier New" w:cs="Courier New" w:eastAsia="Courier New" w:hAnsi="Courier New"/>
                <w:sz w:val="15"/>
                <w:szCs w:val="15"/>
                <w:color w:val="auto"/>
              </w:rPr>
              <w:t>34,741,046</w:t>
            </w:r>
          </w:p>
        </w:tc>
        <w:tc>
          <w:tcPr>
            <w:tcW w:w="16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34,741,046</w:t>
            </w:r>
          </w:p>
        </w:tc>
        <w:tc>
          <w:tcPr>
            <w:tcW w:w="0" w:type="dxa"/>
            <w:vAlign w:val="bottom"/>
          </w:tcPr>
          <w:p>
            <w:pPr>
              <w:spacing w:after="0"/>
              <w:rPr>
                <w:sz w:val="1"/>
                <w:szCs w:val="1"/>
                <w:color w:val="auto"/>
              </w:rPr>
            </w:pPr>
          </w:p>
        </w:tc>
      </w:tr>
      <w:tr>
        <w:trPr>
          <w:trHeight w:val="17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Investment Contracts</w:t>
            </w:r>
          </w:p>
        </w:tc>
        <w:tc>
          <w:tcPr>
            <w:tcW w:w="2900" w:type="dxa"/>
            <w:vAlign w:val="bottom"/>
            <w:vMerge w:val="continue"/>
          </w:tcPr>
          <w:p>
            <w:pPr>
              <w:spacing w:after="0"/>
              <w:rPr>
                <w:sz w:val="14"/>
                <w:szCs w:val="14"/>
                <w:color w:val="auto"/>
              </w:rPr>
            </w:pPr>
          </w:p>
        </w:tc>
        <w:tc>
          <w:tcPr>
            <w:tcW w:w="15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Cash</w:t>
            </w:r>
          </w:p>
        </w:tc>
        <w:tc>
          <w:tcPr>
            <w:tcW w:w="2900" w:type="dxa"/>
            <w:vAlign w:val="bottom"/>
          </w:tcPr>
          <w:p>
            <w:pPr>
              <w:spacing w:after="0"/>
              <w:rPr>
                <w:sz w:val="14"/>
                <w:szCs w:val="14"/>
                <w:color w:val="auto"/>
              </w:rPr>
            </w:pPr>
          </w:p>
        </w:tc>
        <w:tc>
          <w:tcPr>
            <w:tcW w:w="15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5,793,376</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5,793,376</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vMerge w:val="restart"/>
          </w:tcPr>
          <w:p>
            <w:pPr>
              <w:jc w:val="right"/>
              <w:ind w:right="189"/>
              <w:spacing w:after="0"/>
              <w:rPr>
                <w:sz w:val="20"/>
                <w:szCs w:val="20"/>
                <w:color w:val="auto"/>
              </w:rPr>
            </w:pPr>
            <w:r>
              <w:rPr>
                <w:rFonts w:ascii="Courier New" w:cs="Courier New" w:eastAsia="Courier New" w:hAnsi="Courier New"/>
                <w:sz w:val="12"/>
                <w:szCs w:val="12"/>
                <w:color w:val="auto"/>
                <w:w w:val="70"/>
              </w:rPr>
              <w:t>--------------</w:t>
            </w:r>
            <w:r>
              <w:rPr>
                <w:rFonts w:ascii="Courier New" w:cs="Courier New" w:eastAsia="Courier New" w:hAnsi="Courier New"/>
                <w:sz w:val="21"/>
                <w:szCs w:val="21"/>
                <w:color w:val="auto"/>
                <w:w w:val="70"/>
                <w:vertAlign w:val="subscript"/>
              </w:rPr>
              <w:t>40,534,422</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40,534,422</w:t>
            </w:r>
          </w:p>
        </w:tc>
        <w:tc>
          <w:tcPr>
            <w:tcW w:w="0" w:type="dxa"/>
            <w:vAlign w:val="bottom"/>
          </w:tcPr>
          <w:p>
            <w:pPr>
              <w:spacing w:after="0"/>
              <w:rPr>
                <w:sz w:val="1"/>
                <w:szCs w:val="1"/>
                <w:color w:val="auto"/>
              </w:rPr>
            </w:pPr>
          </w:p>
        </w:tc>
      </w:tr>
      <w:tr>
        <w:trPr>
          <w:trHeight w:val="249"/>
        </w:trPr>
        <w:tc>
          <w:tcPr>
            <w:tcW w:w="42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5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4200" w:type="dxa"/>
            <w:vAlign w:val="bottom"/>
          </w:tcPr>
          <w:p>
            <w:pPr>
              <w:spacing w:after="0"/>
              <w:rPr>
                <w:sz w:val="20"/>
                <w:szCs w:val="20"/>
                <w:color w:val="auto"/>
              </w:rPr>
            </w:pPr>
            <w:r>
              <w:rPr>
                <w:rFonts w:ascii="Courier New" w:cs="Courier New" w:eastAsia="Courier New" w:hAnsi="Courier New"/>
                <w:sz w:val="15"/>
                <w:szCs w:val="15"/>
                <w:color w:val="auto"/>
              </w:rPr>
              <w:t>Participant Loan Fund</w:t>
            </w:r>
          </w:p>
        </w:tc>
        <w:tc>
          <w:tcPr>
            <w:tcW w:w="29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(Interest rates from 7.00% to 10.00%;</w:t>
            </w:r>
          </w:p>
        </w:tc>
        <w:tc>
          <w:tcPr>
            <w:tcW w:w="2900" w:type="dxa"/>
            <w:vAlign w:val="bottom"/>
          </w:tcPr>
          <w:p>
            <w:pPr>
              <w:spacing w:after="0"/>
              <w:rPr>
                <w:sz w:val="14"/>
                <w:szCs w:val="14"/>
                <w:color w:val="auto"/>
              </w:rPr>
            </w:pPr>
          </w:p>
        </w:tc>
        <w:tc>
          <w:tcPr>
            <w:tcW w:w="1580" w:type="dxa"/>
            <w:vAlign w:val="bottom"/>
            <w:vMerge w:val="restart"/>
          </w:tcPr>
          <w:p>
            <w:pPr>
              <w:jc w:val="right"/>
              <w:ind w:right="189"/>
              <w:spacing w:after="0"/>
              <w:rPr>
                <w:sz w:val="20"/>
                <w:szCs w:val="20"/>
                <w:color w:val="auto"/>
              </w:rPr>
            </w:pPr>
            <w:r>
              <w:rPr>
                <w:rFonts w:ascii="Courier New" w:cs="Courier New" w:eastAsia="Courier New" w:hAnsi="Courier New"/>
                <w:sz w:val="15"/>
                <w:szCs w:val="15"/>
                <w:color w:val="auto"/>
              </w:rPr>
              <w:t>6,338,905</w:t>
            </w:r>
          </w:p>
        </w:tc>
        <w:tc>
          <w:tcPr>
            <w:tcW w:w="160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6,338,905</w:t>
            </w:r>
          </w:p>
        </w:tc>
        <w:tc>
          <w:tcPr>
            <w:tcW w:w="0" w:type="dxa"/>
            <w:vAlign w:val="bottom"/>
          </w:tcPr>
          <w:p>
            <w:pPr>
              <w:spacing w:after="0"/>
              <w:rPr>
                <w:sz w:val="1"/>
                <w:szCs w:val="1"/>
                <w:color w:val="auto"/>
              </w:rPr>
            </w:pPr>
          </w:p>
        </w:tc>
      </w:tr>
      <w:tr>
        <w:trPr>
          <w:trHeight w:val="171"/>
        </w:trPr>
        <w:tc>
          <w:tcPr>
            <w:tcW w:w="4200" w:type="dxa"/>
            <w:vAlign w:val="bottom"/>
          </w:tcPr>
          <w:p>
            <w:pPr>
              <w:ind w:left="440"/>
              <w:spacing w:after="0"/>
              <w:rPr>
                <w:sz w:val="20"/>
                <w:szCs w:val="20"/>
                <w:color w:val="auto"/>
              </w:rPr>
            </w:pPr>
            <w:r>
              <w:rPr>
                <w:rFonts w:ascii="Courier New" w:cs="Courier New" w:eastAsia="Courier New" w:hAnsi="Courier New"/>
                <w:sz w:val="15"/>
                <w:szCs w:val="15"/>
                <w:color w:val="auto"/>
              </w:rPr>
              <w:t>maturities from 1999 to 2003)</w:t>
            </w:r>
          </w:p>
        </w:tc>
        <w:tc>
          <w:tcPr>
            <w:tcW w:w="29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6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vMerge w:val="restart"/>
          </w:tcPr>
          <w:p>
            <w:pPr>
              <w:jc w:val="right"/>
              <w:ind w:right="189"/>
              <w:spacing w:after="0"/>
              <w:rPr>
                <w:sz w:val="20"/>
                <w:szCs w:val="20"/>
                <w:color w:val="auto"/>
              </w:rPr>
            </w:pPr>
            <w:r>
              <w:rPr>
                <w:rFonts w:ascii="Courier New" w:cs="Courier New" w:eastAsia="Courier New" w:hAnsi="Courier New"/>
                <w:sz w:val="11"/>
                <w:szCs w:val="11"/>
                <w:color w:val="auto"/>
                <w:w w:val="70"/>
              </w:rPr>
              <w:t>--------------</w:t>
            </w:r>
            <w:r>
              <w:rPr>
                <w:rFonts w:ascii="Courier New" w:cs="Courier New" w:eastAsia="Courier New" w:hAnsi="Courier New"/>
                <w:sz w:val="19"/>
                <w:szCs w:val="19"/>
                <w:color w:val="auto"/>
                <w:w w:val="70"/>
                <w:vertAlign w:val="subscript"/>
              </w:rPr>
              <w:t>$147,003,319</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1"/>
        </w:trPr>
        <w:tc>
          <w:tcPr>
            <w:tcW w:w="420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1580" w:type="dxa"/>
            <w:vAlign w:val="bottom"/>
            <w:vMerge w:val="continue"/>
          </w:tcPr>
          <w:p>
            <w:pPr>
              <w:spacing w:after="0"/>
              <w:rPr>
                <w:sz w:val="14"/>
                <w:szCs w:val="14"/>
                <w:color w:val="auto"/>
              </w:rPr>
            </w:pP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$211,255,728</w:t>
            </w:r>
          </w:p>
        </w:tc>
        <w:tc>
          <w:tcPr>
            <w:tcW w:w="0" w:type="dxa"/>
            <w:vAlign w:val="bottom"/>
          </w:tcPr>
          <w:p>
            <w:pPr>
              <w:spacing w:after="0"/>
              <w:rPr>
                <w:sz w:val="1"/>
                <w:szCs w:val="1"/>
                <w:color w:val="auto"/>
              </w:rPr>
            </w:pPr>
          </w:p>
        </w:tc>
      </w:tr>
      <w:tr>
        <w:trPr>
          <w:trHeight w:val="249"/>
        </w:trPr>
        <w:tc>
          <w:tcPr>
            <w:tcW w:w="4200" w:type="dxa"/>
            <w:vAlign w:val="bottom"/>
          </w:tcPr>
          <w:p>
            <w:pPr>
              <w:spacing w:after="0"/>
              <w:rPr>
                <w:sz w:val="21"/>
                <w:szCs w:val="21"/>
                <w:color w:val="auto"/>
              </w:rPr>
            </w:pPr>
          </w:p>
        </w:tc>
        <w:tc>
          <w:tcPr>
            <w:tcW w:w="2900" w:type="dxa"/>
            <w:vAlign w:val="bottom"/>
          </w:tcPr>
          <w:p>
            <w:pPr>
              <w:spacing w:after="0"/>
              <w:rPr>
                <w:sz w:val="21"/>
                <w:szCs w:val="21"/>
                <w:color w:val="auto"/>
              </w:rPr>
            </w:pPr>
          </w:p>
        </w:tc>
        <w:tc>
          <w:tcPr>
            <w:tcW w:w="158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106"/>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bl>
    <w:p>
      <w:pPr>
        <w:spacing w:after="0" w:line="263" w:lineRule="exact"/>
        <w:rPr>
          <w:sz w:val="20"/>
          <w:szCs w:val="20"/>
          <w:color w:val="auto"/>
        </w:rPr>
      </w:pPr>
    </w:p>
    <w:p>
      <w:pPr>
        <w:ind w:left="449" w:hanging="449"/>
        <w:spacing w:after="0"/>
        <w:tabs>
          <w:tab w:leader="none" w:pos="449"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Comcast is a party-in-interest to the Plan.</w:t>
      </w:r>
    </w:p>
    <w:p>
      <w:pPr>
        <w:spacing w:after="0" w:line="27" w:lineRule="exact"/>
        <w:rPr>
          <w:sz w:val="20"/>
          <w:szCs w:val="20"/>
          <w:color w:val="auto"/>
        </w:rPr>
      </w:pPr>
    </w:p>
    <w:p>
      <w:pPr>
        <w:jc w:val="both"/>
        <w:ind w:left="449" w:right="3180" w:hanging="449"/>
        <w:spacing w:after="0" w:line="259" w:lineRule="auto"/>
        <w:tabs>
          <w:tab w:leader="none" w:pos="449"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Class A Special Common Stock (Comcast Stock Fund) share amounts have been adjusted retroactively to reflect the stock split in the form of a dividend of one share of Class A Special Common Stock for each share of Class A Special Common Stock paid on May 5, 1999 to shareholders of record as of the close of business on April 20, 1999.</w:t>
      </w:r>
    </w:p>
    <w:p>
      <w:pPr>
        <w:spacing w:after="0" w:line="200" w:lineRule="exact"/>
        <w:rPr>
          <w:rFonts w:ascii="Courier New" w:cs="Courier New" w:eastAsia="Courier New" w:hAnsi="Courier New"/>
          <w:sz w:val="15"/>
          <w:szCs w:val="15"/>
          <w:color w:val="auto"/>
        </w:rPr>
      </w:pPr>
    </w:p>
    <w:p>
      <w:pPr>
        <w:spacing w:after="0" w:line="222" w:lineRule="exact"/>
        <w:rPr>
          <w:rFonts w:ascii="Courier New" w:cs="Courier New" w:eastAsia="Courier New" w:hAnsi="Courier New"/>
          <w:sz w:val="15"/>
          <w:szCs w:val="15"/>
          <w:color w:val="auto"/>
        </w:rPr>
      </w:pPr>
    </w:p>
    <w:p>
      <w:pPr>
        <w:ind w:left="3469" w:hanging="185"/>
        <w:spacing w:after="0"/>
        <w:tabs>
          <w:tab w:leader="none" w:pos="3469"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11 -</w:t>
      </w:r>
    </w:p>
    <w:p>
      <w:pPr>
        <w:sectPr>
          <w:pgSz w:w="11900" w:h="16838" w:orient="portrait"/>
          <w:cols w:equalWidth="0" w:num="1">
            <w:col w:w="10289"/>
          </w:cols>
          <w:pgMar w:left="231" w:top="434" w:right="1379" w:bottom="1440" w:gutter="0" w:footer="0" w:header="0"/>
        </w:sectPr>
      </w:pPr>
    </w:p>
    <w:bookmarkStart w:id="16" w:name="page17"/>
    <w:bookmarkEnd w:id="16"/>
    <w:p>
      <w:pPr>
        <w:spacing w:after="0"/>
        <w:rPr>
          <w:sz w:val="20"/>
          <w:szCs w:val="20"/>
          <w:color w:val="auto"/>
        </w:rPr>
      </w:pPr>
      <w:r>
        <w:rPr>
          <w:rFonts w:ascii="Courier New" w:cs="Courier New" w:eastAsia="Courier New" w:hAnsi="Courier New"/>
          <w:sz w:val="15"/>
          <w:szCs w:val="15"/>
          <w:color w:val="auto"/>
        </w:rPr>
        <w:t>COMCAST CORPORATION RETIREMENT-INVESTMENT PLAN</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 27d - SCHEDULE OF REPORTABLE TRANSACTIONS</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YEAR ENDED DECEMBER 31, 1998</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380" w:type="dxa"/>
            <w:vAlign w:val="bottom"/>
            <w:gridSpan w:val="3"/>
          </w:tcPr>
          <w:p>
            <w:pPr>
              <w:ind w:left="960"/>
              <w:spacing w:after="0"/>
              <w:rPr>
                <w:sz w:val="20"/>
                <w:szCs w:val="20"/>
                <w:color w:val="auto"/>
              </w:rPr>
            </w:pPr>
            <w:r>
              <w:rPr>
                <w:rFonts w:ascii="Courier New" w:cs="Courier New" w:eastAsia="Courier New" w:hAnsi="Courier New"/>
                <w:sz w:val="15"/>
                <w:szCs w:val="15"/>
                <w:color w:val="auto"/>
                <w:w w:val="97"/>
              </w:rPr>
              <w:t>FEIN #23-1709202</w:t>
            </w: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380" w:type="dxa"/>
            <w:vAlign w:val="bottom"/>
            <w:gridSpan w:val="3"/>
          </w:tcPr>
          <w:p>
            <w:pPr>
              <w:ind w:left="960"/>
              <w:spacing w:after="0"/>
              <w:rPr>
                <w:sz w:val="20"/>
                <w:szCs w:val="20"/>
                <w:color w:val="auto"/>
              </w:rPr>
            </w:pPr>
            <w:r>
              <w:rPr>
                <w:rFonts w:ascii="Courier New" w:cs="Courier New" w:eastAsia="Courier New" w:hAnsi="Courier New"/>
                <w:sz w:val="15"/>
                <w:szCs w:val="15"/>
                <w:color w:val="auto"/>
              </w:rPr>
              <w:t>PLAN #001</w:t>
            </w:r>
          </w:p>
        </w:tc>
        <w:tc>
          <w:tcPr>
            <w:tcW w:w="0" w:type="dxa"/>
            <w:vAlign w:val="bottom"/>
          </w:tcPr>
          <w:p>
            <w:pPr>
              <w:spacing w:after="0"/>
              <w:rPr>
                <w:sz w:val="1"/>
                <w:szCs w:val="1"/>
                <w:color w:val="auto"/>
              </w:rPr>
            </w:pPr>
          </w:p>
        </w:tc>
      </w:tr>
      <w:tr>
        <w:trPr>
          <w:trHeight w:val="263"/>
        </w:trPr>
        <w:tc>
          <w:tcPr>
            <w:tcW w:w="36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20" w:type="dxa"/>
            <w:vAlign w:val="bottom"/>
            <w:vMerge w:val="restart"/>
          </w:tcPr>
          <w:p>
            <w:pPr>
              <w:jc w:val="right"/>
              <w:ind w:right="146"/>
              <w:spacing w:after="0"/>
              <w:rPr>
                <w:sz w:val="20"/>
                <w:szCs w:val="20"/>
                <w:color w:val="auto"/>
              </w:rPr>
            </w:pPr>
            <w:r>
              <w:rPr>
                <w:rFonts w:ascii="Courier New" w:cs="Courier New" w:eastAsia="Courier New" w:hAnsi="Courier New"/>
                <w:sz w:val="15"/>
                <w:szCs w:val="15"/>
                <w:color w:val="auto"/>
              </w:rPr>
              <w:t>Expense</w:t>
            </w:r>
          </w:p>
        </w:tc>
        <w:tc>
          <w:tcPr>
            <w:tcW w:w="1120" w:type="dxa"/>
            <w:vAlign w:val="bottom"/>
          </w:tcPr>
          <w:p>
            <w:pPr>
              <w:spacing w:after="0"/>
              <w:rPr>
                <w:sz w:val="22"/>
                <w:szCs w:val="22"/>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5"/>
                <w:szCs w:val="15"/>
                <w:color w:val="auto"/>
              </w:rPr>
              <w:t>Current</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ind w:left="340"/>
              <w:spacing w:after="0"/>
              <w:rPr>
                <w:sz w:val="20"/>
                <w:szCs w:val="20"/>
                <w:color w:val="auto"/>
              </w:rPr>
            </w:pPr>
            <w:r>
              <w:rPr>
                <w:rFonts w:ascii="Courier New" w:cs="Courier New" w:eastAsia="Courier New" w:hAnsi="Courier New"/>
                <w:sz w:val="15"/>
                <w:szCs w:val="15"/>
                <w:color w:val="auto"/>
              </w:rPr>
              <w:t>Value of</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vMerge w:val="restart"/>
          </w:tcPr>
          <w:p>
            <w:pPr>
              <w:spacing w:after="0"/>
              <w:rPr>
                <w:sz w:val="20"/>
                <w:szCs w:val="20"/>
                <w:color w:val="auto"/>
              </w:rPr>
            </w:pPr>
            <w:r>
              <w:rPr>
                <w:rFonts w:ascii="Courier New" w:cs="Courier New" w:eastAsia="Courier New" w:hAnsi="Courier New"/>
                <w:sz w:val="15"/>
                <w:szCs w:val="15"/>
                <w:color w:val="auto"/>
              </w:rPr>
              <w:t>Identity of Party Involved/</w:t>
            </w:r>
          </w:p>
        </w:tc>
        <w:tc>
          <w:tcPr>
            <w:tcW w:w="126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Purchase</w:t>
            </w:r>
          </w:p>
        </w:tc>
        <w:tc>
          <w:tcPr>
            <w:tcW w:w="1240" w:type="dxa"/>
            <w:vAlign w:val="bottom"/>
            <w:vMerge w:val="restart"/>
          </w:tcPr>
          <w:p>
            <w:pPr>
              <w:ind w:left="160"/>
              <w:spacing w:after="0"/>
              <w:rPr>
                <w:sz w:val="20"/>
                <w:szCs w:val="20"/>
                <w:color w:val="auto"/>
              </w:rPr>
            </w:pPr>
            <w:r>
              <w:rPr>
                <w:rFonts w:ascii="Courier New" w:cs="Courier New" w:eastAsia="Courier New" w:hAnsi="Courier New"/>
                <w:sz w:val="15"/>
                <w:szCs w:val="15"/>
                <w:color w:val="auto"/>
              </w:rPr>
              <w:t>Selling</w:t>
            </w:r>
          </w:p>
        </w:tc>
        <w:tc>
          <w:tcPr>
            <w:tcW w:w="80" w:type="dxa"/>
            <w:vAlign w:val="bottom"/>
          </w:tcPr>
          <w:p>
            <w:pPr>
              <w:spacing w:after="0"/>
              <w:rPr>
                <w:sz w:val="14"/>
                <w:szCs w:val="14"/>
                <w:color w:val="auto"/>
              </w:rPr>
            </w:pPr>
          </w:p>
        </w:tc>
        <w:tc>
          <w:tcPr>
            <w:tcW w:w="800" w:type="dxa"/>
            <w:vAlign w:val="bottom"/>
            <w:vMerge w:val="restart"/>
          </w:tcPr>
          <w:p>
            <w:pPr>
              <w:spacing w:after="0"/>
              <w:rPr>
                <w:sz w:val="20"/>
                <w:szCs w:val="20"/>
                <w:color w:val="auto"/>
              </w:rPr>
            </w:pPr>
            <w:r>
              <w:rPr>
                <w:rFonts w:ascii="Courier New" w:cs="Courier New" w:eastAsia="Courier New" w:hAnsi="Courier New"/>
                <w:sz w:val="15"/>
                <w:szCs w:val="15"/>
                <w:color w:val="auto"/>
              </w:rPr>
              <w:t>Lease</w:t>
            </w:r>
          </w:p>
        </w:tc>
        <w:tc>
          <w:tcPr>
            <w:tcW w:w="1020" w:type="dxa"/>
            <w:vAlign w:val="bottom"/>
          </w:tcPr>
          <w:p>
            <w:pPr>
              <w:jc w:val="right"/>
              <w:ind w:right="146"/>
              <w:spacing w:after="0"/>
              <w:rPr>
                <w:sz w:val="20"/>
                <w:szCs w:val="20"/>
                <w:color w:val="auto"/>
              </w:rPr>
            </w:pPr>
            <w:r>
              <w:rPr>
                <w:rFonts w:ascii="Courier New" w:cs="Courier New" w:eastAsia="Courier New" w:hAnsi="Courier New"/>
                <w:sz w:val="15"/>
                <w:szCs w:val="15"/>
                <w:color w:val="auto"/>
              </w:rPr>
              <w:t>Incurred</w:t>
            </w:r>
          </w:p>
        </w:tc>
        <w:tc>
          <w:tcPr>
            <w:tcW w:w="1120" w:type="dxa"/>
            <w:vAlign w:val="bottom"/>
            <w:vMerge w:val="restart"/>
          </w:tcPr>
          <w:p>
            <w:pPr>
              <w:jc w:val="right"/>
              <w:ind w:right="106"/>
              <w:spacing w:after="0"/>
              <w:rPr>
                <w:sz w:val="20"/>
                <w:szCs w:val="20"/>
                <w:color w:val="auto"/>
              </w:rPr>
            </w:pPr>
            <w:r>
              <w:rPr>
                <w:rFonts w:ascii="Courier New" w:cs="Courier New" w:eastAsia="Courier New" w:hAnsi="Courier New"/>
                <w:sz w:val="15"/>
                <w:szCs w:val="15"/>
                <w:color w:val="auto"/>
              </w:rPr>
              <w:t>Cost of</w:t>
            </w:r>
          </w:p>
        </w:tc>
        <w:tc>
          <w:tcPr>
            <w:tcW w:w="1200" w:type="dxa"/>
            <w:vAlign w:val="bottom"/>
          </w:tcPr>
          <w:p>
            <w:pPr>
              <w:ind w:left="340"/>
              <w:spacing w:after="0"/>
              <w:rPr>
                <w:sz w:val="20"/>
                <w:szCs w:val="20"/>
                <w:color w:val="auto"/>
              </w:rPr>
            </w:pPr>
            <w:r>
              <w:rPr>
                <w:rFonts w:ascii="Courier New" w:cs="Courier New" w:eastAsia="Courier New" w:hAnsi="Courier New"/>
                <w:sz w:val="15"/>
                <w:szCs w:val="15"/>
                <w:color w:val="auto"/>
              </w:rPr>
              <w:t>Asset on</w:t>
            </w: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620" w:type="dxa"/>
            <w:vAlign w:val="bottom"/>
            <w:vMerge w:val="continue"/>
          </w:tcPr>
          <w:p>
            <w:pPr>
              <w:spacing w:after="0"/>
              <w:rPr>
                <w:sz w:val="14"/>
                <w:szCs w:val="14"/>
                <w:color w:val="auto"/>
              </w:rPr>
            </w:pPr>
          </w:p>
        </w:tc>
        <w:tc>
          <w:tcPr>
            <w:tcW w:w="1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1020" w:type="dxa"/>
            <w:vAlign w:val="bottom"/>
          </w:tcPr>
          <w:p>
            <w:pPr>
              <w:jc w:val="right"/>
              <w:ind w:right="326"/>
              <w:spacing w:after="0"/>
              <w:rPr>
                <w:sz w:val="20"/>
                <w:szCs w:val="20"/>
                <w:color w:val="auto"/>
              </w:rPr>
            </w:pPr>
            <w:r>
              <w:rPr>
                <w:rFonts w:ascii="Courier New" w:cs="Courier New" w:eastAsia="Courier New" w:hAnsi="Courier New"/>
                <w:sz w:val="15"/>
                <w:szCs w:val="15"/>
                <w:color w:val="auto"/>
              </w:rPr>
              <w:t>with</w:t>
            </w:r>
          </w:p>
        </w:tc>
        <w:tc>
          <w:tcPr>
            <w:tcW w:w="1120" w:type="dxa"/>
            <w:vAlign w:val="bottom"/>
            <w:vMerge w:val="continue"/>
          </w:tcPr>
          <w:p>
            <w:pPr>
              <w:spacing w:after="0"/>
              <w:rPr>
                <w:sz w:val="14"/>
                <w:szCs w:val="14"/>
                <w:color w:val="auto"/>
              </w:rPr>
            </w:pPr>
          </w:p>
        </w:tc>
        <w:tc>
          <w:tcPr>
            <w:tcW w:w="1200" w:type="dxa"/>
            <w:vAlign w:val="bottom"/>
          </w:tcPr>
          <w:p>
            <w:pPr>
              <w:ind w:left="160"/>
              <w:spacing w:after="0"/>
              <w:rPr>
                <w:sz w:val="20"/>
                <w:szCs w:val="20"/>
                <w:color w:val="auto"/>
              </w:rPr>
            </w:pPr>
            <w:r>
              <w:rPr>
                <w:rFonts w:ascii="Courier New" w:cs="Courier New" w:eastAsia="Courier New" w:hAnsi="Courier New"/>
                <w:sz w:val="15"/>
                <w:szCs w:val="15"/>
                <w:color w:val="auto"/>
              </w:rPr>
              <w:t>Transaction</w:t>
            </w:r>
          </w:p>
        </w:tc>
        <w:tc>
          <w:tcPr>
            <w:tcW w:w="120" w:type="dxa"/>
            <w:vAlign w:val="bottom"/>
          </w:tcPr>
          <w:p>
            <w:pPr>
              <w:spacing w:after="0"/>
              <w:rPr>
                <w:sz w:val="14"/>
                <w:szCs w:val="14"/>
                <w:color w:val="auto"/>
              </w:rPr>
            </w:pPr>
          </w:p>
        </w:tc>
        <w:tc>
          <w:tcPr>
            <w:tcW w:w="1060" w:type="dxa"/>
            <w:vAlign w:val="bottom"/>
            <w:vMerge w:val="restart"/>
          </w:tcPr>
          <w:p>
            <w:pPr>
              <w:jc w:val="right"/>
              <w:ind w:right="86"/>
              <w:spacing w:after="0"/>
              <w:rPr>
                <w:sz w:val="20"/>
                <w:szCs w:val="20"/>
                <w:color w:val="auto"/>
              </w:rPr>
            </w:pPr>
            <w:r>
              <w:rPr>
                <w:rFonts w:ascii="Courier New" w:cs="Courier New" w:eastAsia="Courier New" w:hAnsi="Courier New"/>
                <w:sz w:val="15"/>
                <w:szCs w:val="15"/>
                <w:color w:val="auto"/>
              </w:rPr>
              <w:t>Net Gain</w:t>
            </w: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Description of Asset</w:t>
            </w:r>
          </w:p>
        </w:tc>
        <w:tc>
          <w:tcPr>
            <w:tcW w:w="126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Price</w:t>
            </w:r>
          </w:p>
        </w:tc>
        <w:tc>
          <w:tcPr>
            <w:tcW w:w="1240" w:type="dxa"/>
            <w:vAlign w:val="bottom"/>
          </w:tcPr>
          <w:p>
            <w:pPr>
              <w:jc w:val="right"/>
              <w:ind w:right="466"/>
              <w:spacing w:after="0"/>
              <w:rPr>
                <w:sz w:val="20"/>
                <w:szCs w:val="20"/>
                <w:color w:val="auto"/>
              </w:rPr>
            </w:pPr>
            <w:r>
              <w:rPr>
                <w:rFonts w:ascii="Courier New" w:cs="Courier New" w:eastAsia="Courier New" w:hAnsi="Courier New"/>
                <w:sz w:val="15"/>
                <w:szCs w:val="15"/>
                <w:color w:val="auto"/>
              </w:rPr>
              <w:t>Price</w:t>
            </w:r>
          </w:p>
        </w:tc>
        <w:tc>
          <w:tcPr>
            <w:tcW w:w="80" w:type="dxa"/>
            <w:vAlign w:val="bottom"/>
          </w:tcPr>
          <w:p>
            <w:pPr>
              <w:spacing w:after="0"/>
              <w:rPr>
                <w:sz w:val="14"/>
                <w:szCs w:val="14"/>
                <w:color w:val="auto"/>
              </w:rPr>
            </w:pPr>
          </w:p>
        </w:tc>
        <w:tc>
          <w:tcPr>
            <w:tcW w:w="800" w:type="dxa"/>
            <w:vAlign w:val="bottom"/>
          </w:tcPr>
          <w:p>
            <w:pPr>
              <w:spacing w:after="0"/>
              <w:rPr>
                <w:sz w:val="20"/>
                <w:szCs w:val="20"/>
                <w:color w:val="auto"/>
              </w:rPr>
            </w:pPr>
            <w:r>
              <w:rPr>
                <w:rFonts w:ascii="Courier New" w:cs="Courier New" w:eastAsia="Courier New" w:hAnsi="Courier New"/>
                <w:sz w:val="15"/>
                <w:szCs w:val="15"/>
                <w:color w:val="auto"/>
              </w:rPr>
              <w:t>Rental</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w w:val="96"/>
              </w:rPr>
              <w:t>Transaction</w:t>
            </w:r>
          </w:p>
        </w:tc>
        <w:tc>
          <w:tcPr>
            <w:tcW w:w="112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Asset</w:t>
            </w:r>
          </w:p>
        </w:tc>
        <w:tc>
          <w:tcPr>
            <w:tcW w:w="1200" w:type="dxa"/>
            <w:vAlign w:val="bottom"/>
          </w:tcPr>
          <w:p>
            <w:pPr>
              <w:ind w:left="520"/>
              <w:spacing w:after="0"/>
              <w:rPr>
                <w:sz w:val="20"/>
                <w:szCs w:val="20"/>
                <w:color w:val="auto"/>
              </w:rPr>
            </w:pPr>
            <w:r>
              <w:rPr>
                <w:rFonts w:ascii="Courier New" w:cs="Courier New" w:eastAsia="Courier New" w:hAnsi="Courier New"/>
                <w:sz w:val="15"/>
                <w:szCs w:val="15"/>
                <w:color w:val="auto"/>
              </w:rPr>
              <w:t>Date</w:t>
            </w:r>
          </w:p>
        </w:tc>
        <w:tc>
          <w:tcPr>
            <w:tcW w:w="12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260" w:type="dxa"/>
            <w:vAlign w:val="bottom"/>
          </w:tcPr>
          <w:p>
            <w:pPr>
              <w:ind w:left="180"/>
              <w:spacing w:after="0"/>
              <w:rPr>
                <w:sz w:val="20"/>
                <w:szCs w:val="20"/>
                <w:color w:val="auto"/>
              </w:rPr>
            </w:pPr>
            <w:r>
              <w:rPr>
                <w:rFonts w:ascii="Courier New" w:cs="Courier New" w:eastAsia="Courier New" w:hAnsi="Courier New"/>
                <w:sz w:val="15"/>
                <w:szCs w:val="15"/>
                <w:color w:val="auto"/>
                <w:w w:val="98"/>
              </w:rPr>
              <w:t>------------</w:t>
            </w:r>
          </w:p>
        </w:tc>
        <w:tc>
          <w:tcPr>
            <w:tcW w:w="1240" w:type="dxa"/>
            <w:vAlign w:val="bottom"/>
          </w:tcPr>
          <w:p>
            <w:pPr>
              <w:ind w:left="160"/>
              <w:spacing w:after="0"/>
              <w:rPr>
                <w:sz w:val="20"/>
                <w:szCs w:val="20"/>
                <w:color w:val="auto"/>
              </w:rPr>
            </w:pPr>
            <w:r>
              <w:rPr>
                <w:rFonts w:ascii="Courier New" w:cs="Courier New" w:eastAsia="Courier New" w:hAnsi="Courier New"/>
                <w:sz w:val="15"/>
                <w:szCs w:val="15"/>
                <w:color w:val="auto"/>
                <w:w w:val="98"/>
              </w:rPr>
              <w:t>------------</w:t>
            </w:r>
          </w:p>
        </w:tc>
        <w:tc>
          <w:tcPr>
            <w:tcW w:w="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34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   ----------  -----------</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63"/>
        </w:trPr>
        <w:tc>
          <w:tcPr>
            <w:tcW w:w="3620" w:type="dxa"/>
            <w:vAlign w:val="bottom"/>
          </w:tcPr>
          <w:p>
            <w:pPr>
              <w:spacing w:after="0"/>
              <w:rPr>
                <w:sz w:val="20"/>
                <w:szCs w:val="20"/>
                <w:color w:val="auto"/>
              </w:rPr>
            </w:pPr>
            <w:r>
              <w:rPr>
                <w:rFonts w:ascii="Courier New" w:cs="Courier New" w:eastAsia="Courier New" w:hAnsi="Courier New"/>
                <w:sz w:val="15"/>
                <w:szCs w:val="15"/>
                <w:color w:val="auto"/>
              </w:rPr>
              <w:t>Category (iii)--Series of Transactions</w:t>
            </w:r>
          </w:p>
        </w:tc>
        <w:tc>
          <w:tcPr>
            <w:tcW w:w="12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1"/>
        </w:trPr>
        <w:tc>
          <w:tcPr>
            <w:tcW w:w="3620" w:type="dxa"/>
            <w:vAlign w:val="bottom"/>
          </w:tcPr>
          <w:p>
            <w:pPr>
              <w:spacing w:after="0"/>
              <w:rPr>
                <w:sz w:val="20"/>
                <w:szCs w:val="20"/>
                <w:color w:val="auto"/>
              </w:rPr>
            </w:pPr>
            <w:r>
              <w:rPr>
                <w:rFonts w:ascii="Courier New" w:cs="Courier New" w:eastAsia="Courier New" w:hAnsi="Courier New"/>
                <w:sz w:val="15"/>
                <w:szCs w:val="15"/>
                <w:color w:val="auto"/>
              </w:rPr>
              <w:t>in Excess of 5% of Plan Assets</w:t>
            </w:r>
          </w:p>
        </w:tc>
        <w:tc>
          <w:tcPr>
            <w:tcW w:w="1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620" w:type="dxa"/>
            <w:vAlign w:val="bottom"/>
          </w:tcPr>
          <w:p>
            <w:pPr>
              <w:spacing w:after="0"/>
              <w:rPr>
                <w:sz w:val="20"/>
                <w:szCs w:val="20"/>
                <w:color w:val="auto"/>
              </w:rPr>
            </w:pPr>
            <w:r>
              <w:rPr>
                <w:rFonts w:ascii="Courier New" w:cs="Courier New" w:eastAsia="Courier New" w:hAnsi="Courier New"/>
                <w:sz w:val="15"/>
                <w:szCs w:val="15"/>
                <w:color w:val="auto"/>
                <w:w w:val="97"/>
              </w:rPr>
              <w:t>- ---------------------------------------</w:t>
            </w:r>
          </w:p>
        </w:tc>
        <w:tc>
          <w:tcPr>
            <w:tcW w:w="12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20" w:type="dxa"/>
            <w:vAlign w:val="bottom"/>
          </w:tcPr>
          <w:p>
            <w:pPr>
              <w:spacing w:after="0"/>
              <w:rPr>
                <w:sz w:val="20"/>
                <w:szCs w:val="20"/>
                <w:color w:val="auto"/>
              </w:rPr>
            </w:pPr>
            <w:r>
              <w:rPr>
                <w:rFonts w:ascii="Courier New" w:cs="Courier New" w:eastAsia="Courier New" w:hAnsi="Courier New"/>
                <w:sz w:val="15"/>
                <w:szCs w:val="15"/>
                <w:color w:val="auto"/>
              </w:rPr>
              <w:t>Mutual Funds</w:t>
            </w:r>
          </w:p>
        </w:tc>
        <w:tc>
          <w:tcPr>
            <w:tcW w:w="126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w w:val="96"/>
              </w:rPr>
              <w:t>$ 6,110,520</w:t>
            </w:r>
          </w:p>
        </w:tc>
        <w:tc>
          <w:tcPr>
            <w:tcW w:w="124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w w:val="94"/>
              </w:rPr>
              <w:t>$ 3,932,381</w:t>
            </w:r>
          </w:p>
        </w:tc>
        <w:tc>
          <w:tcPr>
            <w:tcW w:w="80" w:type="dxa"/>
            <w:vAlign w:val="bottom"/>
            <w:vMerge w:val="restart"/>
          </w:tcPr>
          <w:p>
            <w:pPr>
              <w:jc w:val="right"/>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spacing w:after="0"/>
              <w:rPr>
                <w:sz w:val="22"/>
                <w:szCs w:val="22"/>
                <w:color w:val="auto"/>
              </w:rPr>
            </w:pPr>
          </w:p>
        </w:tc>
        <w:tc>
          <w:tcPr>
            <w:tcW w:w="1020" w:type="dxa"/>
            <w:vAlign w:val="bottom"/>
            <w:vMerge w:val="restart"/>
          </w:tcPr>
          <w:p>
            <w:pPr>
              <w:jc w:val="right"/>
              <w:ind w:right="766"/>
              <w:spacing w:after="0"/>
              <w:rPr>
                <w:sz w:val="20"/>
                <w:szCs w:val="20"/>
                <w:color w:val="auto"/>
              </w:rPr>
            </w:pPr>
            <w:r>
              <w:rPr>
                <w:rFonts w:ascii="Courier New" w:cs="Courier New" w:eastAsia="Courier New" w:hAnsi="Courier New"/>
                <w:sz w:val="15"/>
                <w:szCs w:val="15"/>
                <w:color w:val="auto"/>
              </w:rPr>
              <w:t>$</w:t>
            </w:r>
          </w:p>
        </w:tc>
        <w:tc>
          <w:tcPr>
            <w:tcW w:w="11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$ 3,490,780</w:t>
            </w:r>
          </w:p>
        </w:tc>
        <w:tc>
          <w:tcPr>
            <w:tcW w:w="120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$ 3,932,381</w:t>
            </w:r>
          </w:p>
        </w:tc>
        <w:tc>
          <w:tcPr>
            <w:tcW w:w="12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441,601</w:t>
            </w:r>
          </w:p>
        </w:tc>
        <w:tc>
          <w:tcPr>
            <w:tcW w:w="0" w:type="dxa"/>
            <w:vAlign w:val="bottom"/>
          </w:tcPr>
          <w:p>
            <w:pPr>
              <w:spacing w:after="0"/>
              <w:rPr>
                <w:sz w:val="1"/>
                <w:szCs w:val="1"/>
                <w:color w:val="auto"/>
              </w:rPr>
            </w:pPr>
          </w:p>
        </w:tc>
      </w:tr>
      <w:tr>
        <w:trPr>
          <w:trHeight w:val="171"/>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Dodge and Cox Balanced Fund</w:t>
            </w:r>
          </w:p>
        </w:tc>
        <w:tc>
          <w:tcPr>
            <w:tcW w:w="1260" w:type="dxa"/>
            <w:vAlign w:val="bottom"/>
            <w:vMerge w:val="continue"/>
          </w:tcPr>
          <w:p>
            <w:pPr>
              <w:spacing w:after="0"/>
              <w:rPr>
                <w:sz w:val="14"/>
                <w:szCs w:val="14"/>
                <w:color w:val="auto"/>
              </w:rPr>
            </w:pPr>
          </w:p>
        </w:tc>
        <w:tc>
          <w:tcPr>
            <w:tcW w:w="1240" w:type="dxa"/>
            <w:vAlign w:val="bottom"/>
            <w:vMerge w:val="continue"/>
          </w:tcPr>
          <w:p>
            <w:pPr>
              <w:spacing w:after="0"/>
              <w:rPr>
                <w:sz w:val="14"/>
                <w:szCs w:val="14"/>
                <w:color w:val="auto"/>
              </w:rPr>
            </w:pPr>
          </w:p>
        </w:tc>
        <w:tc>
          <w:tcPr>
            <w:tcW w:w="80" w:type="dxa"/>
            <w:vAlign w:val="bottom"/>
            <w:vMerge w:val="continue"/>
          </w:tcPr>
          <w:p>
            <w:pPr>
              <w:spacing w:after="0"/>
              <w:rPr>
                <w:sz w:val="14"/>
                <w:szCs w:val="14"/>
                <w:color w:val="auto"/>
              </w:rPr>
            </w:pPr>
          </w:p>
        </w:tc>
        <w:tc>
          <w:tcPr>
            <w:tcW w:w="80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120" w:type="dxa"/>
            <w:vAlign w:val="bottom"/>
            <w:vMerge w:val="continue"/>
          </w:tcPr>
          <w:p>
            <w:pPr>
              <w:spacing w:after="0"/>
              <w:rPr>
                <w:sz w:val="14"/>
                <w:szCs w:val="14"/>
                <w:color w:val="auto"/>
              </w:rPr>
            </w:pPr>
          </w:p>
        </w:tc>
        <w:tc>
          <w:tcPr>
            <w:tcW w:w="1200" w:type="dxa"/>
            <w:vAlign w:val="bottom"/>
            <w:vMerge w:val="continue"/>
          </w:tcPr>
          <w:p>
            <w:pPr>
              <w:spacing w:after="0"/>
              <w:rPr>
                <w:sz w:val="14"/>
                <w:szCs w:val="14"/>
                <w:color w:val="auto"/>
              </w:rPr>
            </w:pPr>
          </w:p>
        </w:tc>
        <w:tc>
          <w:tcPr>
            <w:tcW w:w="120" w:type="dxa"/>
            <w:vAlign w:val="bottom"/>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Fidelity Blue Chip Growth Fund</w:t>
            </w:r>
          </w:p>
        </w:tc>
        <w:tc>
          <w:tcPr>
            <w:tcW w:w="126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13,695,007</w:t>
            </w:r>
          </w:p>
        </w:tc>
        <w:tc>
          <w:tcPr>
            <w:tcW w:w="1240" w:type="dxa"/>
            <w:vAlign w:val="bottom"/>
          </w:tcPr>
          <w:p>
            <w:pPr>
              <w:jc w:val="right"/>
              <w:ind w:right="206"/>
              <w:spacing w:after="0"/>
              <w:rPr>
                <w:sz w:val="20"/>
                <w:szCs w:val="20"/>
                <w:color w:val="auto"/>
              </w:rPr>
            </w:pPr>
            <w:r>
              <w:rPr>
                <w:rFonts w:ascii="Courier New" w:cs="Courier New" w:eastAsia="Courier New" w:hAnsi="Courier New"/>
                <w:sz w:val="15"/>
                <w:szCs w:val="15"/>
                <w:color w:val="auto"/>
              </w:rPr>
              <w:t>9,600,100</w:t>
            </w: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20" w:type="dxa"/>
            <w:vAlign w:val="bottom"/>
          </w:tcPr>
          <w:p>
            <w:pPr>
              <w:jc w:val="right"/>
              <w:ind w:right="26"/>
              <w:spacing w:after="0"/>
              <w:rPr>
                <w:sz w:val="20"/>
                <w:szCs w:val="20"/>
                <w:color w:val="auto"/>
              </w:rPr>
            </w:pPr>
            <w:r>
              <w:rPr>
                <w:rFonts w:ascii="Courier New" w:cs="Courier New" w:eastAsia="Courier New" w:hAnsi="Courier New"/>
                <w:sz w:val="15"/>
                <w:szCs w:val="15"/>
                <w:color w:val="auto"/>
              </w:rPr>
              <w:t>7,554,011</w:t>
            </w:r>
          </w:p>
        </w:tc>
        <w:tc>
          <w:tcPr>
            <w:tcW w:w="1200" w:type="dxa"/>
            <w:vAlign w:val="bottom"/>
          </w:tcPr>
          <w:p>
            <w:pPr>
              <w:jc w:val="right"/>
              <w:ind w:right="66"/>
              <w:spacing w:after="0"/>
              <w:rPr>
                <w:sz w:val="20"/>
                <w:szCs w:val="20"/>
                <w:color w:val="auto"/>
              </w:rPr>
            </w:pPr>
            <w:r>
              <w:rPr>
                <w:rFonts w:ascii="Courier New" w:cs="Courier New" w:eastAsia="Courier New" w:hAnsi="Courier New"/>
                <w:sz w:val="15"/>
                <w:szCs w:val="15"/>
                <w:color w:val="auto"/>
              </w:rPr>
              <w:t>9,600,100</w:t>
            </w:r>
          </w:p>
        </w:tc>
        <w:tc>
          <w:tcPr>
            <w:tcW w:w="120" w:type="dxa"/>
            <w:vAlign w:val="bottom"/>
          </w:tcPr>
          <w:p>
            <w:pPr>
              <w:spacing w:after="0"/>
              <w:rPr>
                <w:sz w:val="21"/>
                <w:szCs w:val="21"/>
                <w:color w:val="auto"/>
              </w:rPr>
            </w:pPr>
          </w:p>
        </w:tc>
        <w:tc>
          <w:tcPr>
            <w:tcW w:w="1060" w:type="dxa"/>
            <w:vAlign w:val="bottom"/>
          </w:tcPr>
          <w:p>
            <w:pPr>
              <w:jc w:val="right"/>
              <w:ind w:right="186"/>
              <w:spacing w:after="0"/>
              <w:rPr>
                <w:sz w:val="20"/>
                <w:szCs w:val="20"/>
                <w:color w:val="auto"/>
              </w:rPr>
            </w:pPr>
            <w:r>
              <w:rPr>
                <w:rFonts w:ascii="Courier New" w:cs="Courier New" w:eastAsia="Courier New" w:hAnsi="Courier New"/>
                <w:sz w:val="15"/>
                <w:szCs w:val="15"/>
                <w:color w:val="auto"/>
                <w:w w:val="96"/>
              </w:rPr>
              <w:t>2,046,089</w:t>
            </w:r>
          </w:p>
        </w:tc>
        <w:tc>
          <w:tcPr>
            <w:tcW w:w="0" w:type="dxa"/>
            <w:vAlign w:val="bottom"/>
          </w:tcPr>
          <w:p>
            <w:pPr>
              <w:spacing w:after="0"/>
              <w:rPr>
                <w:sz w:val="1"/>
                <w:szCs w:val="1"/>
                <w:color w:val="auto"/>
              </w:rPr>
            </w:pPr>
          </w:p>
        </w:tc>
      </w:tr>
      <w:tr>
        <w:trPr>
          <w:trHeight w:val="263"/>
        </w:trPr>
        <w:tc>
          <w:tcPr>
            <w:tcW w:w="3620" w:type="dxa"/>
            <w:vAlign w:val="bottom"/>
          </w:tcPr>
          <w:p>
            <w:pPr>
              <w:spacing w:after="0"/>
              <w:rPr>
                <w:sz w:val="20"/>
                <w:szCs w:val="20"/>
                <w:color w:val="auto"/>
              </w:rPr>
            </w:pPr>
            <w:r>
              <w:rPr>
                <w:rFonts w:ascii="Courier New" w:cs="Courier New" w:eastAsia="Courier New" w:hAnsi="Courier New"/>
                <w:sz w:val="15"/>
                <w:szCs w:val="15"/>
                <w:color w:val="auto"/>
              </w:rPr>
              <w:t>Comcast Stock Fund</w:t>
            </w:r>
          </w:p>
        </w:tc>
        <w:tc>
          <w:tcPr>
            <w:tcW w:w="126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20,654,291</w:t>
            </w:r>
          </w:p>
        </w:tc>
        <w:tc>
          <w:tcPr>
            <w:tcW w:w="124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15,542,555</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15,034,785</w:t>
            </w:r>
          </w:p>
        </w:tc>
        <w:tc>
          <w:tcPr>
            <w:tcW w:w="120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15,542,555</w:t>
            </w:r>
          </w:p>
        </w:tc>
        <w:tc>
          <w:tcPr>
            <w:tcW w:w="120" w:type="dxa"/>
            <w:vAlign w:val="bottom"/>
          </w:tcPr>
          <w:p>
            <w:pPr>
              <w:spacing w:after="0"/>
              <w:rPr>
                <w:sz w:val="22"/>
                <w:szCs w:val="22"/>
                <w:color w:val="auto"/>
              </w:rPr>
            </w:pPr>
          </w:p>
        </w:tc>
        <w:tc>
          <w:tcPr>
            <w:tcW w:w="1060" w:type="dxa"/>
            <w:vAlign w:val="bottom"/>
            <w:vMerge w:val="restart"/>
          </w:tcPr>
          <w:p>
            <w:pPr>
              <w:jc w:val="right"/>
              <w:ind w:right="186"/>
              <w:spacing w:after="0"/>
              <w:rPr>
                <w:sz w:val="20"/>
                <w:szCs w:val="20"/>
                <w:color w:val="auto"/>
              </w:rPr>
            </w:pPr>
            <w:r>
              <w:rPr>
                <w:rFonts w:ascii="Courier New" w:cs="Courier New" w:eastAsia="Courier New" w:hAnsi="Courier New"/>
                <w:sz w:val="15"/>
                <w:szCs w:val="15"/>
                <w:color w:val="auto"/>
              </w:rPr>
              <w:t>507,770</w:t>
            </w:r>
          </w:p>
        </w:tc>
        <w:tc>
          <w:tcPr>
            <w:tcW w:w="0" w:type="dxa"/>
            <w:vAlign w:val="bottom"/>
          </w:tcPr>
          <w:p>
            <w:pPr>
              <w:spacing w:after="0"/>
              <w:rPr>
                <w:sz w:val="1"/>
                <w:szCs w:val="1"/>
                <w:color w:val="auto"/>
              </w:rPr>
            </w:pPr>
          </w:p>
        </w:tc>
      </w:tr>
      <w:tr>
        <w:trPr>
          <w:trHeight w:val="249"/>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Class A Special Common Stock</w:t>
            </w:r>
          </w:p>
        </w:tc>
        <w:tc>
          <w:tcPr>
            <w:tcW w:w="126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620" w:type="dxa"/>
            <w:vAlign w:val="bottom"/>
          </w:tcPr>
          <w:p>
            <w:pPr>
              <w:spacing w:after="0"/>
              <w:rPr>
                <w:sz w:val="20"/>
                <w:szCs w:val="20"/>
                <w:color w:val="auto"/>
              </w:rPr>
            </w:pPr>
            <w:r>
              <w:rPr>
                <w:rFonts w:ascii="Courier New" w:cs="Courier New" w:eastAsia="Courier New" w:hAnsi="Courier New"/>
                <w:sz w:val="15"/>
                <w:szCs w:val="15"/>
                <w:color w:val="auto"/>
              </w:rPr>
              <w:t>Stable Value Fund</w:t>
            </w:r>
          </w:p>
        </w:tc>
        <w:tc>
          <w:tcPr>
            <w:tcW w:w="126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30,145,619</w:t>
            </w:r>
          </w:p>
        </w:tc>
        <w:tc>
          <w:tcPr>
            <w:tcW w:w="1240" w:type="dxa"/>
            <w:vAlign w:val="bottom"/>
            <w:vMerge w:val="restart"/>
          </w:tcPr>
          <w:p>
            <w:pPr>
              <w:jc w:val="right"/>
              <w:ind w:right="206"/>
              <w:spacing w:after="0"/>
              <w:rPr>
                <w:sz w:val="20"/>
                <w:szCs w:val="20"/>
                <w:color w:val="auto"/>
              </w:rPr>
            </w:pPr>
            <w:r>
              <w:rPr>
                <w:rFonts w:ascii="Courier New" w:cs="Courier New" w:eastAsia="Courier New" w:hAnsi="Courier New"/>
                <w:sz w:val="15"/>
                <w:szCs w:val="15"/>
                <w:color w:val="auto"/>
              </w:rPr>
              <w:t>23,145,344</w:t>
            </w:r>
          </w:p>
        </w:tc>
        <w:tc>
          <w:tcPr>
            <w:tcW w:w="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120" w:type="dxa"/>
            <w:vAlign w:val="bottom"/>
            <w:vMerge w:val="restart"/>
          </w:tcPr>
          <w:p>
            <w:pPr>
              <w:jc w:val="right"/>
              <w:ind w:right="26"/>
              <w:spacing w:after="0"/>
              <w:rPr>
                <w:sz w:val="20"/>
                <w:szCs w:val="20"/>
                <w:color w:val="auto"/>
              </w:rPr>
            </w:pPr>
            <w:r>
              <w:rPr>
                <w:rFonts w:ascii="Courier New" w:cs="Courier New" w:eastAsia="Courier New" w:hAnsi="Courier New"/>
                <w:sz w:val="15"/>
                <w:szCs w:val="15"/>
                <w:color w:val="auto"/>
              </w:rPr>
              <w:t>23,145,344</w:t>
            </w:r>
          </w:p>
        </w:tc>
        <w:tc>
          <w:tcPr>
            <w:tcW w:w="1200" w:type="dxa"/>
            <w:vAlign w:val="bottom"/>
            <w:vMerge w:val="restart"/>
          </w:tcPr>
          <w:p>
            <w:pPr>
              <w:jc w:val="right"/>
              <w:ind w:right="66"/>
              <w:spacing w:after="0"/>
              <w:rPr>
                <w:sz w:val="20"/>
                <w:szCs w:val="20"/>
                <w:color w:val="auto"/>
              </w:rPr>
            </w:pPr>
            <w:r>
              <w:rPr>
                <w:rFonts w:ascii="Courier New" w:cs="Courier New" w:eastAsia="Courier New" w:hAnsi="Courier New"/>
                <w:sz w:val="15"/>
                <w:szCs w:val="15"/>
                <w:color w:val="auto"/>
              </w:rPr>
              <w:t>23,145,344</w:t>
            </w:r>
          </w:p>
        </w:tc>
        <w:tc>
          <w:tcPr>
            <w:tcW w:w="1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3620" w:type="dxa"/>
            <w:vAlign w:val="bottom"/>
          </w:tcPr>
          <w:p>
            <w:pPr>
              <w:ind w:left="440"/>
              <w:spacing w:after="0"/>
              <w:rPr>
                <w:sz w:val="20"/>
                <w:szCs w:val="20"/>
                <w:color w:val="auto"/>
              </w:rPr>
            </w:pPr>
            <w:r>
              <w:rPr>
                <w:rFonts w:ascii="Courier New" w:cs="Courier New" w:eastAsia="Courier New" w:hAnsi="Courier New"/>
                <w:sz w:val="15"/>
                <w:szCs w:val="15"/>
                <w:color w:val="auto"/>
              </w:rPr>
              <w:t>Investment Contracts</w:t>
            </w:r>
          </w:p>
        </w:tc>
        <w:tc>
          <w:tcPr>
            <w:tcW w:w="1260" w:type="dxa"/>
            <w:vAlign w:val="bottom"/>
            <w:vMerge w:val="continue"/>
          </w:tcPr>
          <w:p>
            <w:pPr>
              <w:spacing w:after="0"/>
              <w:rPr>
                <w:sz w:val="21"/>
                <w:szCs w:val="21"/>
                <w:color w:val="auto"/>
              </w:rPr>
            </w:pPr>
          </w:p>
        </w:tc>
        <w:tc>
          <w:tcPr>
            <w:tcW w:w="12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120" w:type="dxa"/>
            <w:vAlign w:val="bottom"/>
            <w:vMerge w:val="continue"/>
          </w:tcPr>
          <w:p>
            <w:pPr>
              <w:spacing w:after="0"/>
              <w:rPr>
                <w:sz w:val="21"/>
                <w:szCs w:val="21"/>
                <w:color w:val="auto"/>
              </w:rPr>
            </w:pPr>
          </w:p>
        </w:tc>
        <w:tc>
          <w:tcPr>
            <w:tcW w:w="1200" w:type="dxa"/>
            <w:vAlign w:val="bottom"/>
            <w:vMerge w:val="continue"/>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There were no category (i), (ii) or (iv) reportable transactions during 1998.</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- 12 -</w:t>
      </w:r>
    </w:p>
    <w:p>
      <w:pPr>
        <w:sectPr>
          <w:pgSz w:w="11900" w:h="16838" w:orient="portrait"/>
          <w:cols w:equalWidth="0" w:num="1">
            <w:col w:w="11520"/>
          </w:cols>
          <w:pgMar w:left="240" w:top="434" w:right="139" w:bottom="1440" w:gutter="0" w:footer="0" w:header="0"/>
        </w:sectPr>
      </w:pPr>
    </w:p>
    <w:bookmarkStart w:id="17" w:name="page18"/>
    <w:bookmarkEnd w:id="17"/>
    <w:p>
      <w:pPr>
        <w:spacing w:after="0"/>
        <w:rPr>
          <w:sz w:val="20"/>
          <w:szCs w:val="20"/>
          <w:color w:val="auto"/>
        </w:rPr>
      </w:pPr>
      <w:r>
        <w:rPr>
          <w:rFonts w:ascii="Courier New" w:cs="Courier New" w:eastAsia="Courier New" w:hAnsi="Courier New"/>
          <w:sz w:val="15"/>
          <w:szCs w:val="15"/>
          <w:color w:val="auto"/>
        </w:rPr>
        <w:t>INDEPENDENT AUDITORS' CONSENT</w:t>
      </w:r>
    </w:p>
    <w:p>
      <w:pPr>
        <w:spacing w:after="0" w:line="171" w:lineRule="exact"/>
        <w:rPr>
          <w:sz w:val="20"/>
          <w:szCs w:val="20"/>
          <w:color w:val="auto"/>
        </w:rPr>
      </w:pPr>
    </w:p>
    <w:p>
      <w:pPr>
        <w:jc w:val="both"/>
        <w:ind w:right="3119"/>
        <w:spacing w:after="0" w:line="278" w:lineRule="auto"/>
        <w:rPr>
          <w:sz w:val="20"/>
          <w:szCs w:val="20"/>
          <w:color w:val="auto"/>
        </w:rPr>
      </w:pPr>
      <w:r>
        <w:rPr>
          <w:rFonts w:ascii="Courier New" w:cs="Courier New" w:eastAsia="Courier New" w:hAnsi="Courier New"/>
          <w:sz w:val="15"/>
          <w:szCs w:val="15"/>
          <w:color w:val="auto"/>
        </w:rPr>
        <w:t>We consent to the incorporation by reference in Registration Statement Nos. 33-41440 and 33-63223 of Comcast Corporation on Form S-8 of our report dated June 24, 1999 appearing in the Annual Report on Form 11-K of the Comcast Corporation Retirement-Investment Plan for the year ended December 31, 1998.</w:t>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29, 1999</w:t>
      </w:r>
    </w:p>
    <w:p>
      <w:pPr>
        <w:spacing w:after="0" w:line="200" w:lineRule="exact"/>
        <w:rPr>
          <w:sz w:val="20"/>
          <w:szCs w:val="20"/>
          <w:color w:val="auto"/>
        </w:rPr>
      </w:pPr>
    </w:p>
    <w:p>
      <w:pPr>
        <w:spacing w:after="0" w:line="28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- 13 -</w:t>
      </w:r>
    </w:p>
    <w:p>
      <w:pPr>
        <w:sectPr>
          <w:pgSz w:w="11900" w:h="16838" w:orient="portrait"/>
          <w:cols w:equalWidth="0" w:num="1">
            <w:col w:w="10219"/>
          </w:cols>
          <w:pgMar w:left="240" w:top="775" w:right="1440" w:bottom="1440" w:gutter="0" w:footer="0" w:header="0"/>
        </w:sectPr>
      </w:pPr>
    </w:p>
    <w:bookmarkStart w:id="18" w:name="page19"/>
    <w:bookmarkEnd w:id="18"/>
    <w:p>
      <w:pPr>
        <w:ind w:left="3180"/>
        <w:spacing w:after="0"/>
        <w:rPr>
          <w:sz w:val="20"/>
          <w:szCs w:val="20"/>
          <w:color w:val="auto"/>
        </w:rPr>
      </w:pPr>
      <w:r>
        <w:rPr>
          <w:rFonts w:ascii="Courier New" w:cs="Courier New" w:eastAsia="Courier New" w:hAnsi="Courier New"/>
          <w:sz w:val="15"/>
          <w:szCs w:val="15"/>
          <w:color w:val="auto"/>
        </w:rPr>
        <w:t>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both"/>
        <w:ind w:right="3119"/>
        <w:spacing w:after="0" w:line="278" w:lineRule="auto"/>
        <w:rPr>
          <w:sz w:val="20"/>
          <w:szCs w:val="20"/>
          <w:color w:val="auto"/>
        </w:rPr>
      </w:pPr>
      <w:r>
        <w:rPr>
          <w:rFonts w:ascii="Courier New" w:cs="Courier New" w:eastAsia="Courier New" w:hAnsi="Courier New"/>
          <w:sz w:val="15"/>
          <w:szCs w:val="15"/>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THE COMCAST CORPORATION</w:t>
      </w:r>
    </w:p>
    <w:p>
      <w:pPr>
        <w:spacing w:after="0" w:line="27"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RETIREMENT-INVESTMENT PLAN</w:t>
      </w:r>
    </w:p>
    <w:p>
      <w:pPr>
        <w:sectPr>
          <w:pgSz w:w="11900" w:h="16838" w:orient="portrait"/>
          <w:cols w:equalWidth="0" w:num="1">
            <w:col w:w="10219"/>
          </w:cols>
          <w:pgMar w:left="240" w:top="775" w:right="1440" w:bottom="1440" w:gutter="0" w:footer="0" w:header="0"/>
        </w:sectPr>
      </w:pPr>
    </w:p>
    <w:p>
      <w:pPr>
        <w:spacing w:after="0" w:line="200" w:lineRule="exact"/>
        <w:rPr>
          <w:sz w:val="20"/>
          <w:szCs w:val="20"/>
          <w:color w:val="auto"/>
        </w:rPr>
      </w:pPr>
    </w:p>
    <w:p>
      <w:pPr>
        <w:spacing w:after="0" w:line="287"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Comcast Corporation</w:t>
      </w:r>
    </w:p>
    <w:p>
      <w:pPr>
        <w:spacing w:after="0" w:line="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Plan Administrator</w:t>
      </w:r>
    </w:p>
    <w:p>
      <w:pPr>
        <w:spacing w:after="0" w:line="200" w:lineRule="exact"/>
        <w:rPr>
          <w:sz w:val="20"/>
          <w:szCs w:val="20"/>
          <w:color w:val="auto"/>
        </w:rPr>
      </w:pPr>
    </w:p>
    <w:p>
      <w:pPr>
        <w:sectPr>
          <w:pgSz w:w="11900" w:h="16838" w:orient="portrait"/>
          <w:cols w:equalWidth="0" w:num="2">
            <w:col w:w="3280" w:space="180"/>
            <w:col w:w="6759"/>
          </w:cols>
          <w:pgMar w:left="240" w:top="775" w:right="1440" w:bottom="1440" w:gutter="0" w:footer="0" w:header="0"/>
          <w:type w:val="continuous"/>
        </w:sectPr>
      </w:pPr>
    </w:p>
    <w:p>
      <w:pPr>
        <w:spacing w:after="0" w:line="28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29, 1999</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2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Joseph J. Euteneuer</w:t>
      </w:r>
    </w:p>
    <w:p>
      <w:pPr>
        <w:spacing w:after="0" w:line="2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Joseph J. Euteneuer</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and Corporate Controller</w:t>
      </w:r>
    </w:p>
    <w:p>
      <w:pPr>
        <w:spacing w:after="0" w:line="200" w:lineRule="exact"/>
        <w:rPr>
          <w:sz w:val="20"/>
          <w:szCs w:val="20"/>
          <w:color w:val="auto"/>
        </w:rPr>
      </w:pPr>
    </w:p>
    <w:p>
      <w:pPr>
        <w:sectPr>
          <w:pgSz w:w="11900" w:h="16838" w:orient="portrait"/>
          <w:cols w:equalWidth="0" w:num="3">
            <w:col w:w="2280" w:space="720"/>
            <w:col w:w="280" w:space="180"/>
            <w:col w:w="6759"/>
          </w:cols>
          <w:pgMar w:left="240" w:top="775" w:right="1440" w:bottom="1440" w:gutter="0" w:footer="0" w:header="0"/>
          <w:type w:val="continuous"/>
        </w:sectPr>
      </w:pPr>
    </w:p>
    <w:p>
      <w:pPr>
        <w:spacing w:after="0" w:line="116" w:lineRule="exact"/>
        <w:rPr>
          <w:sz w:val="20"/>
          <w:szCs w:val="20"/>
          <w:color w:val="auto"/>
        </w:rPr>
      </w:pPr>
    </w:p>
    <w:p>
      <w:pPr>
        <w:ind w:left="3280"/>
        <w:spacing w:after="0"/>
        <w:rPr>
          <w:sz w:val="20"/>
          <w:szCs w:val="20"/>
          <w:color w:val="auto"/>
        </w:rPr>
      </w:pPr>
      <w:r>
        <w:rPr>
          <w:rFonts w:ascii="Courier New" w:cs="Courier New" w:eastAsia="Courier New" w:hAnsi="Courier New"/>
          <w:sz w:val="14"/>
          <w:szCs w:val="14"/>
          <w:color w:val="auto"/>
        </w:rPr>
        <w:t>- 14 -</w:t>
      </w:r>
    </w:p>
    <w:sectPr>
      <w:pgSz w:w="11900" w:h="16838" w:orient="portrait"/>
      <w:cols w:equalWidth="0" w:num="1">
        <w:col w:w="10219"/>
      </w:cols>
      <w:pgMar w:left="240" w:top="77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3"/>
    </w:lvl>
    <w:lvl w:ilvl="1">
      <w:lvlJc w:val="left"/>
      <w:lvlText w:val="%2."/>
      <w:numFmt w:val="lowerLetter"/>
      <w:start w:val="1"/>
    </w:lvl>
    <w:lvl w:ilvl="2">
      <w:lvlJc w:val="left"/>
      <w:lvlText w:val="-"/>
      <w:numFmt w:val="bullet"/>
      <w:start w:val="1"/>
    </w:lvl>
  </w:abstractNum>
  <w:abstractNum w:abstractNumId="2">
    <w:nsid w:val="3D1B58BA"/>
    <w:multiLevelType w:val="hybridMultilevel"/>
    <w:lvl w:ilvl="0">
      <w:lvlJc w:val="left"/>
      <w:lvlText w:val="%1."/>
      <w:numFmt w:val="decimal"/>
      <w:start w:val="4"/>
    </w:lvl>
  </w:abstractNum>
  <w:abstractNum w:abstractNumId="3">
    <w:nsid w:val="507ED7AB"/>
    <w:multiLevelType w:val="hybridMultilevel"/>
    <w:lvl w:ilvl="0">
      <w:lvlJc w:val="left"/>
      <w:lvlText w:val="%1."/>
      <w:numFmt w:val="decimal"/>
      <w:start w:val="5"/>
    </w:lvl>
    <w:lvl w:ilvl="1">
      <w:lvlJc w:val="left"/>
      <w:lvlText w:val="-"/>
      <w:numFmt w:val="bullet"/>
      <w:start w:val="1"/>
    </w:lvl>
  </w:abstractNum>
  <w:abstractNum w:abstractNumId="4">
    <w:nsid w:val="2EB141F2"/>
    <w:multiLevelType w:val="hybridMultilevel"/>
    <w:lvl w:ilvl="0">
      <w:lvlJc w:val="left"/>
      <w:lvlText w:val="%1."/>
      <w:numFmt w:val="decimal"/>
      <w:start w:val="6"/>
    </w:lvl>
  </w:abstractNum>
  <w:abstractNum w:abstractNumId="5">
    <w:nsid w:val="41B71EFB"/>
    <w:multiLevelType w:val="hybridMultilevel"/>
    <w:lvl w:ilvl="0">
      <w:lvlJc w:val="left"/>
      <w:lvlText w:val="%1."/>
      <w:numFmt w:val="decimal"/>
      <w:start w:val="7"/>
    </w:lvl>
    <w:lvl w:ilvl="1">
      <w:lvlJc w:val="left"/>
      <w:lvlText w:val="%2."/>
      <w:numFmt w:val="lowerLetter"/>
      <w:start w:val="1"/>
    </w:lvl>
    <w:lvl w:ilvl="2">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2020-02-22T12:53:25Z</dcterms:created>
  <dcterms:modified xsi:type="dcterms:W3CDTF">2020-02-22T12:53:25Z</dcterms:modified>
</cp:coreProperties>
</file>