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7"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3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-2230120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-2015490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-1706880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-1492885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-1226820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Exercise Your Right to Vote ***</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Annual Meeting of Shareholder Meeting to Be Held on May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175895</wp:posOffset>
            </wp:positionV>
            <wp:extent cx="3481705" cy="184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1705" cy="1844040"/>
                    </a:xfrm>
                    <a:prstGeom prst="rect">
                      <a:avLst/>
                    </a:prstGeom>
                    <a:noFill/>
                  </pic:spPr>
                </pic:pic>
              </a:graphicData>
            </a:graphic>
          </wp:anchor>
        </w:drawing>
      </w:r>
    </w:p>
    <w:p>
      <w:pPr>
        <w:sectPr>
          <w:pgSz w:w="11900" w:h="16838" w:orient="portrait"/>
          <w:cols w:equalWidth="0" w:num="1">
            <w:col w:w="10760"/>
          </w:cols>
          <w:pgMar w:left="620" w:top="274" w:right="51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889635</wp:posOffset>
            </wp:positionV>
            <wp:extent cx="149225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22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ATTN: BERNADETTE MAFFEI</w:t>
      </w:r>
    </w:p>
    <w:p>
      <w:pPr>
        <w:spacing w:after="0" w:line="9" w:lineRule="exact"/>
        <w:rPr>
          <w:sz w:val="20"/>
          <w:szCs w:val="20"/>
          <w:color w:val="auto"/>
        </w:rPr>
      </w:pPr>
    </w:p>
    <w:p>
      <w:pPr>
        <w:ind w:right="1820"/>
        <w:spacing w:after="0" w:line="261" w:lineRule="auto"/>
        <w:rPr>
          <w:sz w:val="20"/>
          <w:szCs w:val="20"/>
          <w:color w:val="auto"/>
        </w:rPr>
      </w:pPr>
      <w:r>
        <w:rPr>
          <w:rFonts w:ascii="Arial" w:cs="Arial" w:eastAsia="Arial" w:hAnsi="Arial"/>
          <w:sz w:val="18"/>
          <w:szCs w:val="18"/>
          <w:i w:val="1"/>
          <w:iCs w:val="1"/>
          <w:color w:val="auto"/>
        </w:rPr>
        <w:t>ONE COMCAST CENTER 51ST FLOOR 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1122045</wp:posOffset>
            </wp:positionV>
            <wp:extent cx="85725" cy="746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746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Meeting Information</w:t>
            </w:r>
          </w:p>
        </w:tc>
        <w:tc>
          <w:tcPr>
            <w:tcW w:w="680" w:type="dxa"/>
            <w:vAlign w:val="bottom"/>
          </w:tcPr>
          <w:p>
            <w:pPr>
              <w:spacing w:after="0"/>
              <w:rPr>
                <w:sz w:val="17"/>
                <w:szCs w:val="17"/>
                <w:color w:val="auto"/>
              </w:rPr>
            </w:pPr>
          </w:p>
        </w:tc>
      </w:tr>
      <w:tr>
        <w:trPr>
          <w:trHeight w:val="317"/>
        </w:trPr>
        <w:tc>
          <w:tcPr>
            <w:tcW w:w="162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w w:val="88"/>
              </w:rPr>
              <w:t>Annual Meeting of Shareholders</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March 6, 2013</w:t>
            </w:r>
          </w:p>
        </w:tc>
      </w:t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15, 2013</w:t>
            </w:r>
          </w:p>
        </w:tc>
        <w:tc>
          <w:tcPr>
            <w:tcW w:w="2480" w:type="dxa"/>
            <w:vAlign w:val="bottom"/>
            <w:gridSpan w:val="3"/>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ET</w:t>
            </w:r>
          </w:p>
        </w:tc>
      </w:tr>
      <w:tr>
        <w:trPr>
          <w:trHeight w:val="222"/>
        </w:trPr>
        <w:tc>
          <w:tcPr>
            <w:tcW w:w="1620" w:type="dxa"/>
            <w:vAlign w:val="bottom"/>
          </w:tcPr>
          <w:p>
            <w:pPr>
              <w:spacing w:after="0"/>
              <w:rPr>
                <w:sz w:val="19"/>
                <w:szCs w:val="19"/>
                <w:color w:val="auto"/>
              </w:rPr>
            </w:pPr>
          </w:p>
        </w:tc>
        <w:tc>
          <w:tcPr>
            <w:tcW w:w="2480" w:type="dxa"/>
            <w:vAlign w:val="bottom"/>
            <w:gridSpan w:val="3"/>
          </w:tcPr>
          <w:p>
            <w:pPr>
              <w:ind w:left="180"/>
              <w:spacing w:after="0"/>
              <w:rPr>
                <w:sz w:val="20"/>
                <w:szCs w:val="20"/>
                <w:color w:val="auto"/>
              </w:rPr>
            </w:pPr>
            <w:r>
              <w:rPr>
                <w:rFonts w:ascii="Arial" w:cs="Arial" w:eastAsia="Arial" w:hAnsi="Arial"/>
                <w:sz w:val="18"/>
                <w:szCs w:val="18"/>
                <w:color w:val="auto"/>
              </w:rPr>
              <w:t>(Doors Open at 8:00 a.m.)</w:t>
            </w:r>
          </w:p>
        </w:tc>
      </w:tr>
    </w:tbl>
    <w:p>
      <w:pPr>
        <w:ind w:left="1060" w:right="1160" w:hanging="939"/>
        <w:spacing w:after="0" w:line="250" w:lineRule="auto"/>
        <w:tabs>
          <w:tab w:leader="none" w:pos="10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Kimmel Center for the Performing Arts Perelman Theater</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300 S. Broad Street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Philadelphia, PA 19102</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Meeting Directions:</w:t>
      </w:r>
    </w:p>
    <w:p>
      <w:pPr>
        <w:spacing w:after="0" w:line="29" w:lineRule="exact"/>
        <w:rPr>
          <w:sz w:val="20"/>
          <w:szCs w:val="20"/>
          <w:color w:val="auto"/>
        </w:rPr>
      </w:pPr>
    </w:p>
    <w:p>
      <w:pPr>
        <w:jc w:val="center"/>
        <w:ind w:right="1740"/>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i w:val="1"/>
          <w:iCs w:val="1"/>
          <w:color w:val="auto"/>
        </w:rPr>
        <w:t>www.cmcsa.com/annual-proxy.cfm</w:t>
      </w:r>
    </w:p>
    <w:p>
      <w:pPr>
        <w:spacing w:after="0" w:line="208"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You are receiving this communication because you hold Class A common stock in Comcast Corporation, which entitles you to vote at the annual meeting, and the proxy materials you should review are now available.</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This is not a ballot. You cannot use this notice to vote these shares.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presents only an overview of the more complete proxy materials that contain important information and are available to you on the Internet or by mail. You may view the proxy materials online at www.proxyvote.com or request a paper copy (see reverse side).</w:t>
      </w:r>
    </w:p>
    <w:p>
      <w:pPr>
        <w:spacing w:after="0" w:line="3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26" w:lineRule="exact"/>
        <w:rPr>
          <w:sz w:val="20"/>
          <w:szCs w:val="20"/>
          <w:color w:val="auto"/>
        </w:rPr>
      </w:pPr>
    </w:p>
    <w:p>
      <w:pPr>
        <w:ind w:left="40" w:right="4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347345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274320"/>
                    </a:xfrm>
                    <a:prstGeom prst="rect">
                      <a:avLst/>
                    </a:prstGeom>
                    <a:noFill/>
                  </pic:spPr>
                </pic:pic>
              </a:graphicData>
            </a:graphic>
          </wp:anchor>
        </w:drawing>
      </w:r>
    </w:p>
    <w:p>
      <w:pPr>
        <w:sectPr>
          <w:pgSz w:w="11900" w:h="16838" w:orient="portrait"/>
          <w:cols w:equalWidth="0" w:num="2">
            <w:col w:w="4720" w:space="720"/>
            <w:col w:w="5320"/>
          </w:cols>
          <w:pgMar w:left="620" w:top="274" w:right="51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How to Access the Proxy Materials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-130175</wp:posOffset>
            </wp:positionV>
            <wp:extent cx="5814695" cy="253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4695" cy="2538730"/>
                    </a:xfrm>
                    <a:prstGeom prst="rect">
                      <a:avLst/>
                    </a:prstGeom>
                    <a:noFill/>
                  </pic:spPr>
                </pic:pic>
              </a:graphicData>
            </a:graphic>
          </wp:anchor>
        </w:drawing>
      </w:r>
    </w:p>
    <w:p>
      <w:pPr>
        <w:spacing w:after="0" w:line="1" w:lineRule="exact"/>
        <w:rPr>
          <w:sz w:val="20"/>
          <w:szCs w:val="20"/>
          <w:color w:val="auto"/>
        </w:rPr>
      </w:pPr>
    </w:p>
    <w:p>
      <w:pPr>
        <w:ind w:left="60"/>
        <w:spacing w:after="0"/>
        <w:tabs>
          <w:tab w:leader="none" w:pos="2020" w:val="left"/>
        </w:tabs>
        <w:rPr>
          <w:sz w:val="20"/>
          <w:szCs w:val="20"/>
          <w:color w:val="auto"/>
        </w:rPr>
      </w:pPr>
      <w:r>
        <w:rPr>
          <w:rFonts w:ascii="Arial" w:cs="Arial" w:eastAsia="Arial" w:hAnsi="Arial"/>
          <w:sz w:val="18"/>
          <w:szCs w:val="18"/>
          <w:color w:val="auto"/>
        </w:rPr>
        <w:t>PROXY STATEMENT</w:t>
      </w:r>
      <w:r>
        <w:rPr>
          <w:sz w:val="20"/>
          <w:szCs w:val="20"/>
          <w:color w:val="auto"/>
        </w:rPr>
        <w:tab/>
      </w:r>
      <w:r>
        <w:rPr>
          <w:rFonts w:ascii="Arial" w:cs="Arial" w:eastAsia="Arial" w:hAnsi="Arial"/>
          <w:sz w:val="16"/>
          <w:szCs w:val="16"/>
          <w:color w:val="auto"/>
        </w:rPr>
        <w:t>ANNUAL REPORT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View Online: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363345" cy="146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3345" cy="146050"/>
                    </a:xfrm>
                    <a:prstGeom prst="rect">
                      <a:avLst/>
                    </a:prstGeom>
                    <a:noFill/>
                    <a:ln>
                      <a:noFill/>
                    </a:ln>
                  </pic:spPr>
                </pic:pic>
              </a:graphicData>
            </a:graphic>
          </wp:inline>
        </w:drawing>
      </w:r>
      <w:r>
        <w:rPr>
          <w:rFonts w:ascii="Arial" w:cs="Arial" w:eastAsia="Arial" w:hAnsi="Arial"/>
          <w:sz w:val="16"/>
          <w:szCs w:val="16"/>
          <w:color w:val="auto"/>
        </w:rPr>
        <w:t xml:space="preserve"> (located on the following</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page) and visit: </w:t>
      </w:r>
      <w:r>
        <w:rPr>
          <w:rFonts w:ascii="Arial" w:cs="Arial" w:eastAsia="Arial" w:hAnsi="Arial"/>
          <w:sz w:val="18"/>
          <w:szCs w:val="18"/>
          <w:i w:val="1"/>
          <w:iCs w:val="1"/>
          <w:color w:val="auto"/>
        </w:rPr>
        <w:t>www.proxyvote.com.</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38"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8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60" w:type="dxa"/>
            <w:vAlign w:val="bottom"/>
          </w:tcPr>
          <w:p>
            <w:pPr>
              <w:ind w:left="540"/>
              <w:spacing w:after="0"/>
              <w:rPr>
                <w:sz w:val="20"/>
                <w:szCs w:val="20"/>
                <w:color w:val="auto"/>
              </w:rPr>
            </w:pPr>
            <w:r>
              <w:rPr>
                <w:rFonts w:ascii="Arial" w:cs="Arial" w:eastAsia="Arial" w:hAnsi="Arial"/>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87"/>
              </w:rPr>
              <w:t>2)</w:t>
            </w:r>
          </w:p>
        </w:tc>
        <w:tc>
          <w:tcPr>
            <w:tcW w:w="186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60" w:type="dxa"/>
            <w:vAlign w:val="bottom"/>
          </w:tcPr>
          <w:p>
            <w:pPr>
              <w:ind w:left="540"/>
              <w:spacing w:after="0"/>
              <w:rPr>
                <w:sz w:val="20"/>
                <w:szCs w:val="20"/>
                <w:color w:val="auto"/>
              </w:rPr>
            </w:pPr>
            <w:r>
              <w:rPr>
                <w:rFonts w:ascii="Arial" w:cs="Arial" w:eastAsia="Arial" w:hAnsi="Arial"/>
                <w:sz w:val="18"/>
                <w:szCs w:val="18"/>
                <w:color w:val="auto"/>
              </w:rPr>
              <w:t>1-800-579-1639</w:t>
            </w:r>
          </w:p>
        </w:tc>
      </w:tr>
      <w:tr>
        <w:trPr>
          <w:trHeight w:val="222"/>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8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60" w:type="dxa"/>
            <w:vAlign w:val="bottom"/>
          </w:tcPr>
          <w:p>
            <w:pPr>
              <w:ind w:left="540"/>
              <w:spacing w:after="0"/>
              <w:rPr>
                <w:sz w:val="20"/>
                <w:szCs w:val="20"/>
                <w:color w:val="auto"/>
              </w:rPr>
            </w:pPr>
            <w:r>
              <w:rPr>
                <w:rFonts w:ascii="Arial" w:cs="Arial" w:eastAsia="Arial" w:hAnsi="Arial"/>
                <w:sz w:val="18"/>
                <w:szCs w:val="18"/>
                <w:color w:val="auto"/>
                <w:w w:val="88"/>
              </w:rPr>
              <w:t>sendmaterial@proxyvote.com</w:t>
            </w: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If requesting materials by e-mail, please send a blank e-mail with the information that is printed in the box marked by the</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63345" cy="146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334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Requests, instructions and other inquiries sent to this e-mail address will NOT be forwarded to your investment advisor.</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make the request as instructed above on or before May 1, 2013 to facilitate timely delivery.</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Choose One of the Following Voting Methods</w:t>
      </w:r>
    </w:p>
    <w:p>
      <w:pPr>
        <w:spacing w:after="0" w:line="105" w:lineRule="exact"/>
        <w:rPr>
          <w:sz w:val="20"/>
          <w:szCs w:val="20"/>
          <w:color w:val="auto"/>
        </w:rPr>
      </w:pPr>
    </w:p>
    <w:p>
      <w:pPr>
        <w:ind w:left="60" w:right="99"/>
        <w:spacing w:after="0" w:line="316" w:lineRule="auto"/>
        <w:rPr>
          <w:sz w:val="20"/>
          <w:szCs w:val="20"/>
          <w:color w:val="auto"/>
        </w:rPr>
      </w:pPr>
      <w:r>
        <w:rPr>
          <w:rFonts w:ascii="Arial" w:cs="Arial" w:eastAsia="Arial" w:hAnsi="Arial"/>
          <w:sz w:val="15"/>
          <w:szCs w:val="15"/>
          <w:b w:val="1"/>
          <w:bCs w:val="1"/>
          <w:color w:val="auto"/>
        </w:rPr>
        <w:t xml:space="preserve">Vote In Person: </w:t>
      </w:r>
      <w:r>
        <w:rPr>
          <w:rFonts w:ascii="Arial" w:cs="Arial" w:eastAsia="Arial" w:hAnsi="Arial"/>
          <w:sz w:val="15"/>
          <w:szCs w:val="15"/>
          <w:color w:val="auto"/>
        </w:rPr>
        <w:t>This notice serves as an admission ticket for each shareholder and one guest per shareholder. All</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must bring an admission ticket to the annual meeting. Without an admission ticket, shareholders will be admitted only upon verification of ownership. At the annual meeting, you will need to request a ballot to vote these shares. You may be asked to present a valid government-issued photo identification before entering the annual meeting. Video and audio recording devices will not be permitted at the annual meeting, and attendees will be subject to security inspections. Please check the proxy materials for additional requirements for, and information on, annual meeting admission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-864235</wp:posOffset>
            </wp:positionV>
            <wp:extent cx="6260465" cy="1595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0465" cy="15951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 marked</w:t>
      </w:r>
    </w:p>
    <w:p>
      <w:pPr>
        <w:spacing w:after="0" w:line="46" w:lineRule="exact"/>
        <w:rPr>
          <w:sz w:val="20"/>
          <w:szCs w:val="20"/>
          <w:color w:val="auto"/>
        </w:rPr>
      </w:pPr>
    </w:p>
    <w:p>
      <w:pPr>
        <w:ind w:left="60" w:right="419"/>
        <w:spacing w:after="0" w:line="270" w:lineRule="auto"/>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363345" cy="146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6334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 Proxies submitted by Internet must be received by 11:59 p.m. Eastern Time on May 14, 2013.</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proxy card.</w:t>
      </w:r>
    </w:p>
    <w:p>
      <w:pPr>
        <w:sectPr>
          <w:pgSz w:w="11900" w:h="16838" w:orient="portrait"/>
          <w:cols w:equalWidth="0" w:num="1">
            <w:col w:w="9019"/>
          </w:cols>
          <w:pgMar w:left="1440" w:top="274" w:right="1440" w:bottom="1440" w:gutter="0" w:footer="0" w:header="0"/>
        </w:sectPr>
      </w:pPr>
    </w:p>
    <w:bookmarkStart w:id="3" w:name="page4"/>
    <w:bookmarkEnd w:id="3"/>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208915</wp:posOffset>
            </wp:positionV>
            <wp:extent cx="3378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78835" cy="17145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Voting Items</w:t>
      </w:r>
    </w:p>
    <w:p>
      <w:pPr>
        <w:spacing w:after="0" w:line="185" w:lineRule="exact"/>
        <w:rPr>
          <w:sz w:val="20"/>
          <w:szCs w:val="20"/>
          <w:color w:val="auto"/>
        </w:rPr>
      </w:pPr>
    </w:p>
    <w:p>
      <w:pPr>
        <w:ind w:left="500" w:hanging="456"/>
        <w:spacing w:after="0" w:line="339" w:lineRule="auto"/>
        <w:tabs>
          <w:tab w:leader="none" w:pos="500" w:val="left"/>
        </w:tabs>
        <w:numPr>
          <w:ilvl w:val="1"/>
          <w:numId w:val="6"/>
        </w:numPr>
        <w:rPr>
          <w:rFonts w:ascii="Arial" w:cs="Arial" w:eastAsia="Arial" w:hAnsi="Arial"/>
          <w:sz w:val="16"/>
          <w:szCs w:val="16"/>
          <w:b w:val="1"/>
          <w:bCs w:val="1"/>
          <w:color w:val="FFFFFF"/>
        </w:rPr>
      </w:pPr>
      <w:r>
        <w:rPr>
          <w:rFonts w:ascii="Arial" w:cs="Arial" w:eastAsia="Arial" w:hAnsi="Arial"/>
          <w:sz w:val="16"/>
          <w:szCs w:val="16"/>
          <w:b w:val="1"/>
          <w:bCs w:val="1"/>
          <w:color w:val="auto"/>
        </w:rPr>
        <w:t>Company Proposals — The Board of Directors recommends a vote “FOR” all the nominees listed in Proposal 1:</w:t>
      </w:r>
    </w:p>
    <w:p>
      <w:pPr>
        <w:spacing w:after="0" w:line="80" w:lineRule="exact"/>
        <w:rPr>
          <w:rFonts w:ascii="Arial" w:cs="Arial" w:eastAsia="Arial" w:hAnsi="Arial"/>
          <w:sz w:val="16"/>
          <w:szCs w:val="16"/>
          <w:b w:val="1"/>
          <w:bCs w:val="1"/>
          <w:color w:val="FFFFFF"/>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1885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pacing w:after="0" w:line="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01 -</w:t>
            </w:r>
          </w:p>
        </w:tc>
        <w:tc>
          <w:tcPr>
            <w:tcW w:w="1760" w:type="dxa"/>
            <w:vAlign w:val="bottom"/>
          </w:tcPr>
          <w:p>
            <w:pPr>
              <w:ind w:left="40"/>
              <w:spacing w:after="0"/>
              <w:rPr>
                <w:sz w:val="20"/>
                <w:szCs w:val="20"/>
                <w:color w:val="auto"/>
              </w:rPr>
            </w:pPr>
            <w:r>
              <w:rPr>
                <w:rFonts w:ascii="Arial" w:cs="Arial" w:eastAsia="Arial" w:hAnsi="Arial"/>
                <w:sz w:val="18"/>
                <w:szCs w:val="18"/>
                <w:color w:val="auto"/>
              </w:rPr>
              <w:t>Kenneth J. Bacon</w:t>
            </w:r>
          </w:p>
        </w:tc>
        <w:tc>
          <w:tcPr>
            <w:tcW w:w="520" w:type="dxa"/>
            <w:vAlign w:val="bottom"/>
          </w:tcPr>
          <w:p>
            <w:pPr>
              <w:jc w:val="right"/>
              <w:spacing w:after="0"/>
              <w:rPr>
                <w:sz w:val="20"/>
                <w:szCs w:val="20"/>
                <w:color w:val="auto"/>
              </w:rPr>
            </w:pPr>
            <w:r>
              <w:rPr>
                <w:rFonts w:ascii="Arial" w:cs="Arial" w:eastAsia="Arial" w:hAnsi="Arial"/>
                <w:sz w:val="18"/>
                <w:szCs w:val="18"/>
                <w:color w:val="auto"/>
              </w:rPr>
              <w:t>07 -</w:t>
            </w:r>
          </w:p>
        </w:tc>
        <w:tc>
          <w:tcPr>
            <w:tcW w:w="1600" w:type="dxa"/>
            <w:vAlign w:val="bottom"/>
          </w:tcPr>
          <w:p>
            <w:pPr>
              <w:ind w:left="40"/>
              <w:spacing w:after="0"/>
              <w:rPr>
                <w:sz w:val="20"/>
                <w:szCs w:val="20"/>
                <w:color w:val="auto"/>
              </w:rPr>
            </w:pPr>
            <w:r>
              <w:rPr>
                <w:rFonts w:ascii="Arial" w:cs="Arial" w:eastAsia="Arial" w:hAnsi="Arial"/>
                <w:sz w:val="18"/>
                <w:szCs w:val="18"/>
                <w:color w:val="auto"/>
              </w:rPr>
              <w:t>Eduardo G. Mestre</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02 -</w:t>
            </w:r>
          </w:p>
        </w:tc>
        <w:tc>
          <w:tcPr>
            <w:tcW w:w="1760" w:type="dxa"/>
            <w:vAlign w:val="bottom"/>
          </w:tcPr>
          <w:p>
            <w:pPr>
              <w:ind w:left="40"/>
              <w:spacing w:after="0"/>
              <w:rPr>
                <w:sz w:val="20"/>
                <w:szCs w:val="20"/>
                <w:color w:val="auto"/>
              </w:rPr>
            </w:pPr>
            <w:r>
              <w:rPr>
                <w:rFonts w:ascii="Arial" w:cs="Arial" w:eastAsia="Arial" w:hAnsi="Arial"/>
                <w:sz w:val="18"/>
                <w:szCs w:val="18"/>
                <w:color w:val="auto"/>
              </w:rPr>
              <w:t>Sheldon M. Bonovitz</w:t>
            </w:r>
          </w:p>
        </w:tc>
        <w:tc>
          <w:tcPr>
            <w:tcW w:w="520" w:type="dxa"/>
            <w:vAlign w:val="bottom"/>
          </w:tcPr>
          <w:p>
            <w:pPr>
              <w:jc w:val="right"/>
              <w:spacing w:after="0"/>
              <w:rPr>
                <w:sz w:val="20"/>
                <w:szCs w:val="20"/>
                <w:color w:val="auto"/>
              </w:rPr>
            </w:pPr>
            <w:r>
              <w:rPr>
                <w:rFonts w:ascii="Arial" w:cs="Arial" w:eastAsia="Arial" w:hAnsi="Arial"/>
                <w:sz w:val="18"/>
                <w:szCs w:val="18"/>
                <w:color w:val="auto"/>
              </w:rPr>
              <w:t>08 -</w:t>
            </w:r>
          </w:p>
        </w:tc>
        <w:tc>
          <w:tcPr>
            <w:tcW w:w="1600" w:type="dxa"/>
            <w:vAlign w:val="bottom"/>
          </w:tcPr>
          <w:p>
            <w:pPr>
              <w:ind w:left="40"/>
              <w:spacing w:after="0"/>
              <w:rPr>
                <w:sz w:val="20"/>
                <w:szCs w:val="20"/>
                <w:color w:val="auto"/>
              </w:rPr>
            </w:pPr>
            <w:r>
              <w:rPr>
                <w:rFonts w:ascii="Arial" w:cs="Arial" w:eastAsia="Arial" w:hAnsi="Arial"/>
                <w:sz w:val="18"/>
                <w:szCs w:val="18"/>
                <w:color w:val="auto"/>
              </w:rPr>
              <w:t>Brian L. Roberts</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03 -</w:t>
            </w:r>
          </w:p>
        </w:tc>
        <w:tc>
          <w:tcPr>
            <w:tcW w:w="1760" w:type="dxa"/>
            <w:vAlign w:val="bottom"/>
          </w:tcPr>
          <w:p>
            <w:pPr>
              <w:ind w:left="40"/>
              <w:spacing w:after="0"/>
              <w:rPr>
                <w:sz w:val="20"/>
                <w:szCs w:val="20"/>
                <w:color w:val="auto"/>
              </w:rPr>
            </w:pPr>
            <w:r>
              <w:rPr>
                <w:rFonts w:ascii="Arial" w:cs="Arial" w:eastAsia="Arial" w:hAnsi="Arial"/>
                <w:sz w:val="18"/>
                <w:szCs w:val="18"/>
                <w:color w:val="auto"/>
              </w:rPr>
              <w:t>Joseph J. Collins</w:t>
            </w:r>
          </w:p>
        </w:tc>
        <w:tc>
          <w:tcPr>
            <w:tcW w:w="520" w:type="dxa"/>
            <w:vAlign w:val="bottom"/>
          </w:tcPr>
          <w:p>
            <w:pPr>
              <w:jc w:val="right"/>
              <w:spacing w:after="0"/>
              <w:rPr>
                <w:sz w:val="20"/>
                <w:szCs w:val="20"/>
                <w:color w:val="auto"/>
              </w:rPr>
            </w:pPr>
            <w:r>
              <w:rPr>
                <w:rFonts w:ascii="Arial" w:cs="Arial" w:eastAsia="Arial" w:hAnsi="Arial"/>
                <w:sz w:val="18"/>
                <w:szCs w:val="18"/>
                <w:color w:val="auto"/>
              </w:rPr>
              <w:t>09 -</w:t>
            </w:r>
          </w:p>
        </w:tc>
        <w:tc>
          <w:tcPr>
            <w:tcW w:w="1600" w:type="dxa"/>
            <w:vAlign w:val="bottom"/>
          </w:tcPr>
          <w:p>
            <w:pPr>
              <w:ind w:left="40"/>
              <w:spacing w:after="0"/>
              <w:rPr>
                <w:sz w:val="20"/>
                <w:szCs w:val="20"/>
                <w:color w:val="auto"/>
              </w:rPr>
            </w:pPr>
            <w:r>
              <w:rPr>
                <w:rFonts w:ascii="Arial" w:cs="Arial" w:eastAsia="Arial" w:hAnsi="Arial"/>
                <w:sz w:val="18"/>
                <w:szCs w:val="18"/>
                <w:color w:val="auto"/>
              </w:rPr>
              <w:t>Ralph J. Roberts</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04 -</w:t>
            </w:r>
          </w:p>
        </w:tc>
        <w:tc>
          <w:tcPr>
            <w:tcW w:w="1760" w:type="dxa"/>
            <w:vAlign w:val="bottom"/>
          </w:tcPr>
          <w:p>
            <w:pPr>
              <w:ind w:left="40"/>
              <w:spacing w:after="0"/>
              <w:rPr>
                <w:sz w:val="20"/>
                <w:szCs w:val="20"/>
                <w:color w:val="auto"/>
              </w:rPr>
            </w:pPr>
            <w:r>
              <w:rPr>
                <w:rFonts w:ascii="Arial" w:cs="Arial" w:eastAsia="Arial" w:hAnsi="Arial"/>
                <w:sz w:val="18"/>
                <w:szCs w:val="18"/>
                <w:color w:val="auto"/>
              </w:rPr>
              <w:t>J. Michael Cook</w:t>
            </w:r>
          </w:p>
        </w:tc>
        <w:tc>
          <w:tcPr>
            <w:tcW w:w="520" w:type="dxa"/>
            <w:vAlign w:val="bottom"/>
          </w:tcPr>
          <w:p>
            <w:pPr>
              <w:jc w:val="right"/>
              <w:spacing w:after="0"/>
              <w:rPr>
                <w:sz w:val="20"/>
                <w:szCs w:val="20"/>
                <w:color w:val="auto"/>
              </w:rPr>
            </w:pPr>
            <w:r>
              <w:rPr>
                <w:rFonts w:ascii="Arial" w:cs="Arial" w:eastAsia="Arial" w:hAnsi="Arial"/>
                <w:sz w:val="18"/>
                <w:szCs w:val="18"/>
                <w:color w:val="auto"/>
              </w:rPr>
              <w:t>10 -</w:t>
            </w:r>
          </w:p>
        </w:tc>
        <w:tc>
          <w:tcPr>
            <w:tcW w:w="1600" w:type="dxa"/>
            <w:vAlign w:val="bottom"/>
          </w:tcPr>
          <w:p>
            <w:pPr>
              <w:ind w:left="40"/>
              <w:spacing w:after="0"/>
              <w:rPr>
                <w:sz w:val="20"/>
                <w:szCs w:val="20"/>
                <w:color w:val="auto"/>
              </w:rPr>
            </w:pPr>
            <w:r>
              <w:rPr>
                <w:rFonts w:ascii="Arial" w:cs="Arial" w:eastAsia="Arial" w:hAnsi="Arial"/>
                <w:sz w:val="18"/>
                <w:szCs w:val="18"/>
                <w:color w:val="auto"/>
                <w:w w:val="85"/>
              </w:rPr>
              <w:t>Johnathan A. Rodgers</w:t>
            </w:r>
          </w:p>
        </w:tc>
      </w:tr>
      <w:tr>
        <w:trPr>
          <w:trHeight w:val="222"/>
        </w:trPr>
        <w:tc>
          <w:tcPr>
            <w:tcW w:w="340" w:type="dxa"/>
            <w:vAlign w:val="bottom"/>
          </w:tcPr>
          <w:p>
            <w:pPr>
              <w:jc w:val="right"/>
              <w:spacing w:after="0"/>
              <w:rPr>
                <w:sz w:val="20"/>
                <w:szCs w:val="20"/>
                <w:color w:val="auto"/>
              </w:rPr>
            </w:pPr>
            <w:r>
              <w:rPr>
                <w:rFonts w:ascii="Arial" w:cs="Arial" w:eastAsia="Arial" w:hAnsi="Arial"/>
                <w:sz w:val="18"/>
                <w:szCs w:val="18"/>
                <w:color w:val="auto"/>
                <w:w w:val="83"/>
              </w:rPr>
              <w:t>05 -</w:t>
            </w:r>
          </w:p>
        </w:tc>
        <w:tc>
          <w:tcPr>
            <w:tcW w:w="1760" w:type="dxa"/>
            <w:vAlign w:val="bottom"/>
          </w:tcPr>
          <w:p>
            <w:pPr>
              <w:ind w:left="40"/>
              <w:spacing w:after="0"/>
              <w:rPr>
                <w:sz w:val="20"/>
                <w:szCs w:val="20"/>
                <w:color w:val="auto"/>
              </w:rPr>
            </w:pPr>
            <w:r>
              <w:rPr>
                <w:rFonts w:ascii="Arial" w:cs="Arial" w:eastAsia="Arial" w:hAnsi="Arial"/>
                <w:sz w:val="18"/>
                <w:szCs w:val="18"/>
                <w:color w:val="auto"/>
              </w:rPr>
              <w:t>Gerald L. Hassell</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600" w:type="dxa"/>
            <w:vAlign w:val="bottom"/>
          </w:tcPr>
          <w:p>
            <w:pPr>
              <w:ind w:left="40"/>
              <w:spacing w:after="0"/>
              <w:rPr>
                <w:sz w:val="20"/>
                <w:szCs w:val="20"/>
                <w:color w:val="auto"/>
              </w:rPr>
            </w:pPr>
            <w:r>
              <w:rPr>
                <w:rFonts w:ascii="Arial" w:cs="Arial" w:eastAsia="Arial" w:hAnsi="Arial"/>
                <w:sz w:val="18"/>
                <w:szCs w:val="18"/>
                <w:color w:val="auto"/>
              </w:rPr>
              <w:t>Dr. Judith Rodin</w:t>
            </w:r>
          </w:p>
        </w:tc>
      </w:tr>
    </w:tbl>
    <w:p>
      <w:pPr>
        <w:ind w:left="500"/>
        <w:spacing w:after="0"/>
        <w:rPr>
          <w:sz w:val="20"/>
          <w:szCs w:val="20"/>
          <w:color w:val="auto"/>
        </w:rPr>
      </w:pPr>
      <w:r>
        <w:rPr>
          <w:rFonts w:ascii="Arial" w:cs="Arial" w:eastAsia="Arial" w:hAnsi="Arial"/>
          <w:sz w:val="18"/>
          <w:szCs w:val="18"/>
          <w:color w:val="auto"/>
        </w:rPr>
        <w:t>06 - Jeffrey A. Honickman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a vote “FOR” Proposal 2:</w:t>
      </w:r>
    </w:p>
    <w:p>
      <w:pPr>
        <w:spacing w:after="0" w:line="11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the appointment of our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1337945</wp:posOffset>
            </wp:positionV>
            <wp:extent cx="85725" cy="771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771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2540</wp:posOffset>
            </wp:positionV>
            <wp:extent cx="38608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080" cy="248920"/>
                    </a:xfrm>
                    <a:prstGeom prst="rect">
                      <a:avLst/>
                    </a:prstGeom>
                    <a:noFill/>
                  </pic:spPr>
                </pic:pic>
              </a:graphicData>
            </a:graphic>
          </wp:anchor>
        </w:drawing>
      </w:r>
    </w:p>
    <w:p>
      <w:pPr>
        <w:spacing w:after="0" w:line="145" w:lineRule="exact"/>
        <w:rPr>
          <w:sz w:val="20"/>
          <w:szCs w:val="20"/>
          <w:color w:val="auto"/>
        </w:rPr>
      </w:pPr>
    </w:p>
    <w:p>
      <w:pPr>
        <w:jc w:val="both"/>
        <w:ind w:left="500" w:right="199" w:hanging="405"/>
        <w:spacing w:after="0" w:line="309" w:lineRule="auto"/>
        <w:tabs>
          <w:tab w:leader="none" w:pos="500" w:val="left"/>
        </w:tabs>
        <w:numPr>
          <w:ilvl w:val="1"/>
          <w:numId w:val="8"/>
        </w:numPr>
        <w:rPr>
          <w:rFonts w:ascii="Arial" w:cs="Arial" w:eastAsia="Arial" w:hAnsi="Arial"/>
          <w:sz w:val="15"/>
          <w:szCs w:val="15"/>
          <w:b w:val="1"/>
          <w:bCs w:val="1"/>
          <w:color w:val="FFFFFF"/>
          <w:highlight w:val="black"/>
        </w:rPr>
      </w:pPr>
      <w:r>
        <w:rPr>
          <w:rFonts w:ascii="Arial" w:cs="Arial" w:eastAsia="Arial" w:hAnsi="Arial"/>
          <w:sz w:val="15"/>
          <w:szCs w:val="15"/>
          <w:b w:val="1"/>
          <w:bCs w:val="1"/>
          <w:color w:val="auto"/>
        </w:rPr>
        <w:t>Shareholder Proposals — The Board of Directors recommends a vote “AGAINST” Proposals 3 and</w:t>
      </w:r>
    </w:p>
    <w:p>
      <w:pPr>
        <w:ind w:left="500"/>
        <w:spacing w:after="0"/>
        <w:rPr>
          <w:rFonts w:ascii="Arial" w:cs="Arial" w:eastAsia="Arial" w:hAnsi="Arial"/>
          <w:sz w:val="15"/>
          <w:szCs w:val="15"/>
          <w:b w:val="1"/>
          <w:bCs w:val="1"/>
          <w:color w:val="FFFFFF"/>
          <w:highlight w:val="black"/>
        </w:rPr>
      </w:pPr>
      <w:r>
        <w:rPr>
          <w:rFonts w:ascii="Arial" w:cs="Arial" w:eastAsia="Arial" w:hAnsi="Arial"/>
          <w:sz w:val="16"/>
          <w:szCs w:val="16"/>
          <w:b w:val="1"/>
          <w:bCs w:val="1"/>
          <w:color w:val="auto"/>
        </w:rPr>
        <w:t>4 if properly presented at the annual meeting:</w:t>
      </w:r>
    </w:p>
    <w:p>
      <w:pPr>
        <w:spacing w:after="0" w:line="268" w:lineRule="exact"/>
        <w:rPr>
          <w:rFonts w:ascii="Arial" w:cs="Arial" w:eastAsia="Arial" w:hAnsi="Arial"/>
          <w:sz w:val="15"/>
          <w:szCs w:val="15"/>
          <w:b w:val="1"/>
          <w:bCs w:val="1"/>
          <w:color w:val="FFFFFF"/>
          <w:highlight w:val="black"/>
        </w:rPr>
      </w:pPr>
    </w:p>
    <w:p>
      <w:pPr>
        <w:ind w:left="500" w:right="479" w:hanging="495"/>
        <w:spacing w:after="0" w:line="26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prohibit accelerated vesting upon a change in control</w:t>
      </w:r>
    </w:p>
    <w:p>
      <w:pPr>
        <w:spacing w:after="0" w:line="172" w:lineRule="exact"/>
        <w:rPr>
          <w:rFonts w:ascii="Arial" w:cs="Arial" w:eastAsia="Arial" w:hAnsi="Arial"/>
          <w:sz w:val="18"/>
          <w:szCs w:val="18"/>
          <w:color w:val="auto"/>
        </w:rPr>
      </w:pPr>
    </w:p>
    <w:p>
      <w:pPr>
        <w:ind w:left="500" w:hanging="495"/>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adopt a recapitalization plan</w:t>
      </w:r>
    </w:p>
    <w:p>
      <w:pPr>
        <w:spacing w:after="0" w:line="200" w:lineRule="exact"/>
        <w:rPr>
          <w:sz w:val="20"/>
          <w:szCs w:val="20"/>
          <w:color w:val="auto"/>
        </w:rPr>
      </w:pPr>
    </w:p>
    <w:p>
      <w:pPr>
        <w:spacing w:after="0" w:line="208" w:lineRule="exact"/>
        <w:rPr>
          <w:sz w:val="20"/>
          <w:szCs w:val="20"/>
          <w:color w:val="auto"/>
        </w:rPr>
      </w:pPr>
    </w:p>
    <w:p>
      <w:pPr>
        <w:ind w:right="219"/>
        <w:spacing w:after="0" w:line="262" w:lineRule="auto"/>
        <w:rPr>
          <w:sz w:val="20"/>
          <w:szCs w:val="20"/>
          <w:color w:val="auto"/>
        </w:rPr>
      </w:pPr>
      <w:r>
        <w:rPr>
          <w:rFonts w:ascii="Arial" w:cs="Arial" w:eastAsia="Arial" w:hAnsi="Arial"/>
          <w:sz w:val="18"/>
          <w:szCs w:val="18"/>
          <w:b w:val="1"/>
          <w:bCs w:val="1"/>
          <w:color w:val="auto"/>
        </w:rPr>
        <w:t>Please do not submit this card. Please refer to the “How To Vote” section of this notice to view the voting instructions.</w:t>
      </w:r>
    </w:p>
    <w:p>
      <w:pPr>
        <w:sectPr>
          <w:pgSz w:w="11900" w:h="16838" w:orient="portrait"/>
          <w:cols w:equalWidth="0" w:num="2">
            <w:col w:w="5140" w:space="460"/>
            <w:col w:w="4399"/>
          </w:cols>
          <w:pgMar w:left="460" w:top="320" w:right="1440" w:bottom="1440" w:gutter="0" w:footer="0" w:header="0"/>
        </w:sectPr>
      </w:pPr>
    </w:p>
    <w:bookmarkStart w:id="4" w:name="page5"/>
    <w:bookmarkEnd w:id="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1615440</wp:posOffset>
            </wp:positionV>
            <wp:extent cx="66636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1666875</wp:posOffset>
            </wp:positionV>
            <wp:extent cx="6663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183515</wp:posOffset>
            </wp:positionV>
            <wp:extent cx="403225"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225" cy="2660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2275840</wp:posOffset>
            </wp:positionV>
            <wp:extent cx="85725" cy="780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5725" cy="780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lvl>
    <w:lvl w:ilvl="1">
      <w:lvlJc w:val="left"/>
      <w:lvlText w:val="A"/>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2"/>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2019-12-07T03:18:36Z</dcterms:created>
  <dcterms:modified xsi:type="dcterms:W3CDTF">2019-12-07T03:18:36Z</dcterms:modified>
</cp:coreProperties>
</file>