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13d-102)</w:t>
      </w:r>
    </w:p>
    <w:p>
      <w:pPr>
        <w:spacing w:after="0" w:line="193" w:lineRule="exact"/>
        <w:rPr>
          <w:sz w:val="24"/>
          <w:szCs w:val="24"/>
          <w:color w:val="auto"/>
        </w:rPr>
      </w:pPr>
    </w:p>
    <w:p>
      <w:pPr>
        <w:jc w:val="center"/>
        <w:ind w:left="260" w:right="152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__)*</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Liberty Media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Series A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530719103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93" w:lineRule="exact"/>
        <w:rPr>
          <w:sz w:val="24"/>
          <w:szCs w:val="24"/>
          <w:color w:val="auto"/>
        </w:rPr>
      </w:pPr>
    </w:p>
    <w:p>
      <w:pPr>
        <w:jc w:val="both"/>
        <w:ind w:left="740" w:right="9320" w:hanging="6"/>
        <w:spacing w:after="0" w:line="458" w:lineRule="auto"/>
        <w:tabs>
          <w:tab w:leader="none" w:pos="1094"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ind w:left="1080" w:hanging="346"/>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180" w:firstLine="270"/>
        <w:spacing w:after="0" w:line="268"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46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3" w:lineRule="exact"/>
        <w:rPr>
          <w:sz w:val="24"/>
          <w:szCs w:val="24"/>
          <w:color w:val="auto"/>
        </w:rPr>
      </w:pPr>
    </w:p>
    <w:p>
      <w:pPr>
        <w:ind w:firstLine="27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530719103</w:t>
            </w:r>
          </w:p>
        </w:tc>
        <w:tc>
          <w:tcPr>
            <w:tcW w:w="1920" w:type="dxa"/>
            <w:vAlign w:val="bottom"/>
          </w:tcPr>
          <w:p>
            <w:pPr>
              <w:ind w:left="154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2880" w:type="dxa"/>
            <w:vAlign w:val="bottom"/>
            <w:tcBorders>
              <w:left w:val="single" w:sz="8" w:color="auto"/>
              <w:bottom w:val="single" w:sz="8" w:color="auto"/>
              <w:right w:val="single" w:sz="8" w:color="auto"/>
            </w:tcBorders>
          </w:tcPr>
          <w:p>
            <w:pPr>
              <w:spacing w:after="0"/>
              <w:rPr>
                <w:sz w:val="10"/>
                <w:szCs w:val="10"/>
                <w:color w:val="auto"/>
              </w:rPr>
            </w:pPr>
          </w:p>
        </w:tc>
        <w:tc>
          <w:tcPr>
            <w:tcW w:w="19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2782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782570"/>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QVC, Inc.</w:t>
      </w:r>
    </w:p>
    <w:p>
      <w:pPr>
        <w:spacing w:after="0" w:line="171" w:lineRule="exact"/>
        <w:rPr>
          <w:sz w:val="24"/>
          <w:szCs w:val="24"/>
          <w:color w:val="auto"/>
        </w:rPr>
      </w:pPr>
    </w:p>
    <w:p>
      <w:pPr>
        <w:ind w:left="2020" w:hanging="793"/>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14" w:lineRule="exact"/>
        <w:rPr>
          <w:sz w:val="24"/>
          <w:szCs w:val="24"/>
          <w:color w:val="auto"/>
        </w:rPr>
      </w:pPr>
    </w:p>
    <w:p>
      <w:pPr>
        <w:ind w:left="2020" w:hanging="793"/>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Delaware</w:t>
      </w:r>
    </w:p>
    <w:p>
      <w:pPr>
        <w:spacing w:after="0" w:line="62" w:lineRule="exact"/>
        <w:rPr>
          <w:sz w:val="24"/>
          <w:szCs w:val="24"/>
          <w:color w:val="auto"/>
        </w:rPr>
      </w:pPr>
    </w:p>
    <w:tbl>
      <w:tblPr>
        <w:tblLayout w:type="fixed"/>
        <w:tblInd w:w="580" w:type="dxa"/>
        <w:tblCellMar>
          <w:top w:w="0" w:type="dxa"/>
          <w:left w:w="0" w:type="dxa"/>
          <w:bottom w:w="0" w:type="dxa"/>
          <w:right w:w="0" w:type="dxa"/>
        </w:tblCellMar>
      </w:tblPr>
      <w:tr>
        <w:trPr>
          <w:trHeight w:val="305"/>
        </w:trPr>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NUMBER OF SHARES</w:t>
            </w:r>
          </w:p>
        </w:tc>
        <w:tc>
          <w:tcPr>
            <w:tcW w:w="6360" w:type="dxa"/>
            <w:vAlign w:val="bottom"/>
            <w:tcBorders>
              <w:top w:val="single" w:sz="8" w:color="auto"/>
            </w:tcBorders>
          </w:tcPr>
          <w:p>
            <w:pPr>
              <w:jc w:val="right"/>
              <w:ind w:right="3872"/>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 OWNED BY</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EACH REPORTING PERSON</w:t>
            </w:r>
          </w:p>
        </w:tc>
        <w:tc>
          <w:tcPr>
            <w:tcW w:w="6360" w:type="dxa"/>
            <w:vAlign w:val="bottom"/>
          </w:tcPr>
          <w:p>
            <w:pPr>
              <w:jc w:val="right"/>
              <w:ind w:right="54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6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6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920" w:type="dxa"/>
            <w:vAlign w:val="bottom"/>
            <w:tcBorders>
              <w:right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449" w:right="259" w:bottom="0" w:gutter="0" w:footer="0" w:header="0"/>
        </w:sectPr>
      </w:pPr>
    </w:p>
    <w:bookmarkStart w:id="1" w:name="page2"/>
    <w:bookmarkEnd w:id="1"/>
    <w:p>
      <w:pPr>
        <w:ind w:left="4500" w:hanging="376"/>
        <w:spacing w:after="0"/>
        <w:tabs>
          <w:tab w:leader="none" w:pos="4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6521450" cy="3561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3561080"/>
                    </a:xfrm>
                    <a:prstGeom prst="rect">
                      <a:avLst/>
                    </a:prstGeom>
                    <a:noFill/>
                  </pic:spPr>
                </pic:pic>
              </a:graphicData>
            </a:graphic>
          </wp:anchor>
        </w:drawing>
      </w:r>
    </w:p>
    <w:p>
      <w:pPr>
        <w:spacing w:after="0" w:line="205"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-10,785,489-</w:t>
      </w:r>
    </w:p>
    <w:p>
      <w:pPr>
        <w:spacing w:after="0" w:line="171" w:lineRule="exact"/>
        <w:rPr>
          <w:sz w:val="20"/>
          <w:szCs w:val="20"/>
          <w:color w:val="auto"/>
        </w:rPr>
      </w:pPr>
    </w:p>
    <w:p>
      <w:pPr>
        <w:ind w:left="4500" w:hanging="376"/>
        <w:spacing w:after="0"/>
        <w:tabs>
          <w:tab w:leader="none" w:pos="4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4500" w:hanging="376"/>
        <w:spacing w:after="0"/>
        <w:tabs>
          <w:tab w:leader="none" w:pos="4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-10,785,489-</w:t>
      </w:r>
    </w:p>
    <w:p>
      <w:pPr>
        <w:spacing w:after="0" w:line="171" w:lineRule="exact"/>
        <w:rPr>
          <w:sz w:val="20"/>
          <w:szCs w:val="20"/>
          <w:color w:val="auto"/>
        </w:rPr>
      </w:pPr>
    </w:p>
    <w:p>
      <w:pPr>
        <w:ind w:left="1440" w:hanging="79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-10,785,489-</w:t>
            </w:r>
          </w:p>
        </w:tc>
      </w:tr>
      <w:tr>
        <w:trPr>
          <w:trHeight w:val="378"/>
        </w:trPr>
        <w:tc>
          <w:tcPr>
            <w:tcW w:w="520" w:type="dxa"/>
            <w:vAlign w:val="bottom"/>
          </w:tcPr>
          <w:p>
            <w:pPr>
              <w:jc w:val="right"/>
              <w:ind w:right="252"/>
              <w:spacing w:after="0"/>
              <w:rPr>
                <w:sz w:val="20"/>
                <w:szCs w:val="20"/>
                <w:color w:val="auto"/>
              </w:rPr>
            </w:pPr>
            <w:r>
              <w:rPr>
                <w:rFonts w:ascii="Arial" w:cs="Arial" w:eastAsia="Arial" w:hAnsi="Arial"/>
                <w:sz w:val="18"/>
                <w:szCs w:val="18"/>
                <w:color w:val="auto"/>
                <w:w w:val="79"/>
              </w:rPr>
              <w:t>10</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CHECK BOX IF THE AGGREGATE AMOUNT IN ROW (9) EXCLUDES CERTAIN SHARES</w:t>
            </w:r>
          </w:p>
        </w:tc>
      </w:tr>
    </w:tbl>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7.7%</w:t>
      </w:r>
    </w:p>
    <w:p>
      <w:pPr>
        <w:spacing w:after="0" w:line="1" w:lineRule="exact"/>
        <w:rPr>
          <w:rFonts w:ascii="Arial" w:cs="Arial" w:eastAsia="Arial" w:hAnsi="Arial"/>
          <w:sz w:val="18"/>
          <w:szCs w:val="18"/>
          <w:color w:val="auto"/>
        </w:rPr>
      </w:pPr>
    </w:p>
    <w:p>
      <w:pPr>
        <w:ind w:left="1440" w:right="6300" w:hanging="837"/>
        <w:spacing w:after="0" w:line="519"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421005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530719103</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96"/>
              </w:rPr>
              <w:t>NAME OF REPORTING PERSON</w:t>
            </w:r>
          </w:p>
        </w:tc>
        <w:tc>
          <w:tcPr>
            <w:tcW w:w="3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w w:val="89"/>
              </w:rPr>
              <w:t>Comcast Programming Holdings, Inc.</w:t>
            </w: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tcPr>
          <w:p>
            <w:pPr>
              <w:ind w:left="536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tcPr>
          <w:p>
            <w:pPr>
              <w:ind w:left="53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5</w:t>
            </w:r>
          </w:p>
        </w:tc>
        <w:tc>
          <w:tcPr>
            <w:tcW w:w="58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6</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3140" w:type="dxa"/>
            <w:vAlign w:val="bottom"/>
            <w:tcBorders>
              <w:right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3"/>
              </w:rPr>
              <w:t>NUMBER OF SHARES</w:t>
            </w: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-10,785,489*-</w:t>
            </w: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140" w:type="dxa"/>
            <w:vAlign w:val="bottom"/>
            <w:tcBorders>
              <w:right w:val="single" w:sz="8" w:color="auto"/>
            </w:tcBorders>
            <w:gridSpan w:val="3"/>
            <w:vMerge w:val="restart"/>
          </w:tcPr>
          <w:p>
            <w:pPr>
              <w:jc w:val="center"/>
              <w:ind w:right="800"/>
              <w:spacing w:after="0"/>
              <w:rPr>
                <w:sz w:val="20"/>
                <w:szCs w:val="20"/>
                <w:color w:val="auto"/>
              </w:rPr>
            </w:pPr>
            <w:r>
              <w:rPr>
                <w:rFonts w:ascii="Arial" w:cs="Arial" w:eastAsia="Arial" w:hAnsi="Arial"/>
                <w:sz w:val="18"/>
                <w:szCs w:val="18"/>
                <w:color w:val="auto"/>
                <w:w w:val="96"/>
              </w:rPr>
              <w:t>BENEFICIALLY OWNED BY</w:t>
            </w:r>
          </w:p>
        </w:tc>
        <w:tc>
          <w:tcPr>
            <w:tcW w:w="1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3140" w:type="dxa"/>
            <w:vAlign w:val="bottom"/>
            <w:tcBorders>
              <w:right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140" w:type="dxa"/>
            <w:vAlign w:val="bottom"/>
            <w:tcBorders>
              <w:right w:val="single" w:sz="8" w:color="auto"/>
            </w:tcBorders>
            <w:gridSpan w:val="3"/>
          </w:tcPr>
          <w:p>
            <w:pPr>
              <w:jc w:val="center"/>
              <w:ind w:right="800"/>
              <w:spacing w:after="0" w:line="191" w:lineRule="exact"/>
              <w:rPr>
                <w:sz w:val="20"/>
                <w:szCs w:val="20"/>
                <w:color w:val="auto"/>
              </w:rPr>
            </w:pPr>
            <w:r>
              <w:rPr>
                <w:rFonts w:ascii="Arial" w:cs="Arial" w:eastAsia="Arial" w:hAnsi="Arial"/>
                <w:sz w:val="18"/>
                <w:szCs w:val="18"/>
                <w:color w:val="auto"/>
                <w:w w:val="91"/>
              </w:rPr>
              <w:t>EACH REPORTING PERSON</w:t>
            </w:r>
          </w:p>
        </w:tc>
        <w:tc>
          <w:tcPr>
            <w:tcW w:w="180" w:type="dxa"/>
            <w:vAlign w:val="bottom"/>
          </w:tcPr>
          <w:p>
            <w:pPr>
              <w:spacing w:after="0"/>
              <w:rPr>
                <w:sz w:val="16"/>
                <w:szCs w:val="16"/>
                <w:color w:val="auto"/>
              </w:rPr>
            </w:pPr>
          </w:p>
        </w:tc>
        <w:tc>
          <w:tcPr>
            <w:tcW w:w="32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79"/>
              </w:rPr>
              <w:t>7</w:t>
            </w: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79"/>
              </w:rPr>
              <w:t>8</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-10,785,489*-</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-4188460</wp:posOffset>
            </wp:positionV>
            <wp:extent cx="6521450" cy="5243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1450" cy="5243830"/>
                    </a:xfrm>
                    <a:prstGeom prst="rect">
                      <a:avLst/>
                    </a:prstGeom>
                    <a:noFill/>
                  </pic:spPr>
                </pic:pic>
              </a:graphicData>
            </a:graphic>
          </wp:anchor>
        </w:drawing>
      </w:r>
    </w:p>
    <w:p>
      <w:pPr>
        <w:spacing w:after="0" w:line="36" w:lineRule="exact"/>
        <w:rPr>
          <w:sz w:val="20"/>
          <w:szCs w:val="20"/>
          <w:color w:val="auto"/>
        </w:rPr>
      </w:pPr>
    </w:p>
    <w:p>
      <w:pPr>
        <w:ind w:left="1440" w:hanging="7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-10,785,489*-</w:t>
            </w:r>
          </w:p>
        </w:tc>
      </w:tr>
      <w:tr>
        <w:trPr>
          <w:trHeight w:val="378"/>
        </w:trPr>
        <w:tc>
          <w:tcPr>
            <w:tcW w:w="520" w:type="dxa"/>
            <w:vAlign w:val="bottom"/>
          </w:tcPr>
          <w:p>
            <w:pPr>
              <w:jc w:val="right"/>
              <w:ind w:right="252"/>
              <w:spacing w:after="0"/>
              <w:rPr>
                <w:sz w:val="20"/>
                <w:szCs w:val="20"/>
                <w:color w:val="auto"/>
              </w:rPr>
            </w:pPr>
            <w:r>
              <w:rPr>
                <w:rFonts w:ascii="Arial" w:cs="Arial" w:eastAsia="Arial" w:hAnsi="Arial"/>
                <w:sz w:val="18"/>
                <w:szCs w:val="18"/>
                <w:color w:val="auto"/>
                <w:w w:val="79"/>
              </w:rPr>
              <w:t>10</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CHECK BOX IF THE AGGREGATE AMOUNT IN ROW (9) EXCLUDES CERTAIN SHARES</w:t>
            </w:r>
          </w:p>
        </w:tc>
      </w:tr>
    </w:tbl>
    <w:p>
      <w:pPr>
        <w:ind w:left="10040"/>
        <w:spacing w:after="0"/>
        <w:rPr>
          <w:sz w:val="20"/>
          <w:szCs w:val="20"/>
          <w:color w:val="auto"/>
        </w:rPr>
      </w:pPr>
      <w:r>
        <w:rPr>
          <w:rFonts w:ascii="Arial" w:cs="Arial" w:eastAsia="Arial" w:hAnsi="Arial"/>
          <w:sz w:val="18"/>
          <w:szCs w:val="18"/>
          <w:color w:val="auto"/>
        </w:rPr>
        <w:t>o</w:t>
      </w:r>
    </w:p>
    <w:p>
      <w:pPr>
        <w:sectPr>
          <w:pgSz w:w="11900" w:h="16838" w:orient="portrait"/>
          <w:cols w:equalWidth="0" w:num="1">
            <w:col w:w="10280"/>
          </w:cols>
          <w:pgMar w:left="820" w:top="131" w:right="799" w:bottom="0" w:gutter="0" w:footer="0" w:header="0"/>
        </w:sectPr>
      </w:pPr>
    </w:p>
    <w:bookmarkStart w:id="2" w:name="page3"/>
    <w:bookmarkEnd w:id="2"/>
    <w:p>
      <w:pPr>
        <w:ind w:left="1440" w:right="4020" w:hanging="834"/>
        <w:spacing w:after="0" w:line="469"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996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1450" cy="996950"/>
                    </a:xfrm>
                    <a:prstGeom prst="rect">
                      <a:avLst/>
                    </a:prstGeom>
                    <a:noFill/>
                  </pic:spPr>
                </pic:pic>
              </a:graphicData>
            </a:graphic>
          </wp:anchor>
        </w:drawing>
        <w:t>PERCENT OF CLASS REPRESENTED BY AMOUNT IN ROW 9 7.7%</w:t>
      </w:r>
    </w:p>
    <w:p>
      <w:pPr>
        <w:spacing w:after="0" w:line="1" w:lineRule="exact"/>
        <w:rPr>
          <w:rFonts w:ascii="Arial" w:cs="Arial" w:eastAsia="Arial" w:hAnsi="Arial"/>
          <w:sz w:val="18"/>
          <w:szCs w:val="18"/>
          <w:color w:val="auto"/>
        </w:rPr>
      </w:pPr>
    </w:p>
    <w:p>
      <w:pPr>
        <w:ind w:left="1440" w:right="6300" w:hanging="837"/>
        <w:spacing w:after="0" w:line="519"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90" w:lineRule="exact"/>
        <w:rPr>
          <w:rFonts w:ascii="Arial" w:cs="Arial" w:eastAsia="Arial" w:hAnsi="Arial"/>
          <w:sz w:val="18"/>
          <w:szCs w:val="18"/>
          <w:color w:val="auto"/>
        </w:rPr>
      </w:pPr>
    </w:p>
    <w:p>
      <w:pPr>
        <w:ind w:left="520" w:right="500" w:hanging="314"/>
        <w:spacing w:after="0" w:line="268" w:lineRule="auto"/>
        <w:rPr>
          <w:rFonts w:ascii="Arial" w:cs="Arial" w:eastAsia="Arial" w:hAnsi="Arial"/>
          <w:sz w:val="18"/>
          <w:szCs w:val="18"/>
          <w:color w:val="auto"/>
        </w:rPr>
      </w:pPr>
      <w:r>
        <w:rPr>
          <w:rFonts w:ascii="Arial" w:cs="Arial" w:eastAsia="Arial" w:hAnsi="Arial"/>
          <w:sz w:val="18"/>
          <w:szCs w:val="18"/>
          <w:color w:val="auto"/>
        </w:rPr>
        <w:t>* All of the shares of Series A Common Stock, par value $.01 per share (“Series A Common Stock”), that are reported as beneficially owned by the Reporting Person are owned by Comcast QVC, Inc.</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523875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530719103</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94"/>
              </w:rPr>
              <w:t>NAME OF REPORTING PERSON</w:t>
            </w:r>
          </w:p>
        </w:tc>
        <w:tc>
          <w:tcPr>
            <w:tcW w:w="38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Comcast Holdings Corporation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Pennsylvania</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-10,959,891*-</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20" w:type="dxa"/>
            <w:vAlign w:val="bottom"/>
          </w:tcPr>
          <w:p>
            <w:pPr>
              <w:spacing w:after="0"/>
              <w:rPr>
                <w:sz w:val="16"/>
                <w:szCs w:val="16"/>
                <w:color w:val="auto"/>
              </w:rPr>
            </w:pPr>
          </w:p>
        </w:tc>
        <w:tc>
          <w:tcPr>
            <w:tcW w:w="38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-10,959,891*-</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-10,959,891*-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7.8%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3"/>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93"/>
              </w:rPr>
              <w:t>TYPE OF REPORTING PERSON*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20" w:top="145" w:right="799" w:bottom="22" w:gutter="0" w:footer="0" w:header="0"/>
        </w:sectPr>
      </w:pPr>
    </w:p>
    <w:p>
      <w:pPr>
        <w:spacing w:after="0" w:line="31" w:lineRule="exact"/>
        <w:rPr>
          <w:sz w:val="20"/>
          <w:szCs w:val="20"/>
          <w:color w:val="auto"/>
        </w:rPr>
      </w:pPr>
    </w:p>
    <w:p>
      <w:pPr>
        <w:ind w:left="520" w:right="80" w:hanging="312"/>
        <w:spacing w:after="0" w:line="259"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10,959,891 shares of Series A Common Stock that are reported as beneficially owned by the Reporting Person, 10,785,489 shares of Series A Common Stock are owned by Comcast QVC, Inc. and 174,402 shares of Series A Common Stock are owned by Comcast LM Investment, Inc.</w:t>
      </w:r>
    </w:p>
    <w:p>
      <w:pPr>
        <w:sectPr>
          <w:pgSz w:w="11900" w:h="16838" w:orient="portrait"/>
          <w:cols w:equalWidth="0" w:num="1">
            <w:col w:w="10280"/>
          </w:cols>
          <w:pgMar w:left="820" w:top="145" w:right="799" w:bottom="22" w:gutter="0" w:footer="0" w:header="0"/>
          <w:type w:val="continuous"/>
        </w:sectPr>
      </w:pPr>
    </w:p>
    <w:bookmarkStart w:id="3" w:name="page4"/>
    <w:bookmarkEnd w:id="3"/>
    <w:p>
      <w:pPr>
        <w:ind w:left="5280"/>
        <w:spacing w:after="0"/>
        <w:rPr>
          <w:sz w:val="20"/>
          <w:szCs w:val="20"/>
          <w:color w:val="auto"/>
        </w:rPr>
      </w:pPr>
      <w:r>
        <w:rPr>
          <w:rFonts w:ascii="Arial" w:cs="Arial" w:eastAsia="Arial" w:hAnsi="Arial"/>
          <w:sz w:val="15"/>
          <w:szCs w:val="15"/>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60"/>
          </w:cols>
          <w:pgMar w:left="240" w:top="131" w:right="799"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530719103</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94"/>
              </w:rPr>
              <w:t>NAME OF REPORTING PERSON</w:t>
            </w:r>
          </w:p>
        </w:tc>
        <w:tc>
          <w:tcPr>
            <w:tcW w:w="38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26"/>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Comcast Corporation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27-0000798</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Pennsylvania</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-10,960,313*-</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20" w:type="dxa"/>
            <w:vAlign w:val="bottom"/>
          </w:tcPr>
          <w:p>
            <w:pPr>
              <w:spacing w:after="0"/>
              <w:rPr>
                <w:sz w:val="16"/>
                <w:szCs w:val="16"/>
                <w:color w:val="auto"/>
              </w:rPr>
            </w:pPr>
          </w:p>
        </w:tc>
        <w:tc>
          <w:tcPr>
            <w:tcW w:w="38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-10,960,313*-</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-10,960,313*-</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7.8%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80" w:type="dxa"/>
            <w:vAlign w:val="bottom"/>
            <w:tcBorders>
              <w:bottom w:val="single" w:sz="8" w:color="auto"/>
            </w:tcBorders>
            <w:gridSpan w:val="3"/>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w w:val="93"/>
              </w:rPr>
              <w:t>TYPE OF REPORTING PERSON*</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8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1100" w:right="140" w:hanging="312"/>
        <w:spacing w:after="0" w:line="306" w:lineRule="auto"/>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the 10,960,313 shares of Series A Common Stock that are reported as beneficially owned by the Reporting Person, 10,785,489 shares of Series A Common Stock are owned by Comcast QVC, Inc., 174,402 shares of Series A Common Stock are owned by Comcast LM Investment, Inc. and 422 shares of Series A Common Stock are owned by Comcast MO Interactive Services, Inc.</w:t>
      </w:r>
    </w:p>
    <w:p>
      <w:pPr>
        <w:spacing w:after="0" w:line="1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60"/>
          </w:cols>
          <w:pgMar w:left="240" w:top="131" w:right="799" w:bottom="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Name of Issuer:</w:t>
      </w:r>
    </w:p>
    <w:p>
      <w:pPr>
        <w:sectPr>
          <w:pgSz w:w="11900" w:h="16838" w:orient="portrait"/>
          <w:cols w:equalWidth="0" w:num="1">
            <w:col w:w="10860"/>
          </w:cols>
          <w:pgMar w:left="240" w:top="131" w:right="799" w:bottom="15" w:gutter="0" w:footer="0" w:header="0"/>
          <w:type w:val="continuous"/>
        </w:sectPr>
      </w:pPr>
    </w:p>
    <w:bookmarkStart w:id="4" w:name="page5"/>
    <w:bookmarkEnd w:id="4"/>
    <w:p>
      <w:pPr>
        <w:ind w:left="280"/>
        <w:spacing w:after="0"/>
        <w:rPr>
          <w:sz w:val="20"/>
          <w:szCs w:val="20"/>
          <w:color w:val="auto"/>
        </w:rPr>
      </w:pPr>
      <w:r>
        <w:rPr>
          <w:rFonts w:ascii="Arial" w:cs="Arial" w:eastAsia="Arial" w:hAnsi="Arial"/>
          <w:sz w:val="18"/>
          <w:szCs w:val="18"/>
          <w:color w:val="auto"/>
        </w:rPr>
        <w:t>Liberty Media International,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12300 Liberty Boulevard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Englewood, Colorado 80112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QVC, Inc. and Comcast Programming Holdings, Inc. is 1201 N. Market Street, Suite 1000, Wilmington, Delaware 19801.</w:t>
      </w:r>
    </w:p>
    <w:p>
      <w:pPr>
        <w:spacing w:after="0" w:line="213"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Holdings Corporation and Comcast Corporation is 1500 Market Street, Philadelphia, PA 19102.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 Delaware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 – Delaware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 – Pennsylvania</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 – Pennsylvania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Series A Common Stock, par value $.01 per share (“Series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530719103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99" w:lineRule="exact"/>
        <w:rPr>
          <w:sz w:val="20"/>
          <w:szCs w:val="20"/>
          <w:color w:val="auto"/>
        </w:rPr>
      </w:pPr>
    </w:p>
    <w:p>
      <w:pPr>
        <w:ind w:left="1220" w:hanging="577"/>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Exchange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Bank as defined in Section 3(a)(6) of the Exchange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Exchange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20" w:hanging="57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13d-1(b)(1)(ii)(J).</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ectPr>
          <w:pgSz w:w="11900" w:h="16838" w:orient="portrait"/>
          <w:cols w:equalWidth="0" w:num="1">
            <w:col w:w="11180"/>
          </w:cols>
          <w:pgMar w:left="240" w:top="131" w:right="479" w:bottom="0" w:gutter="0" w:footer="0" w:header="0"/>
        </w:sectPr>
      </w:pPr>
    </w:p>
    <w:bookmarkStart w:id="5" w:name="page6"/>
    <w:bookmarkEnd w:id="5"/>
    <w:p>
      <w:pPr>
        <w:ind w:left="1220" w:hanging="57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10,960,313</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7.8%</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44" w:lineRule="exact"/>
        <w:rPr>
          <w:rFonts w:ascii="Arial" w:cs="Arial" w:eastAsia="Arial" w:hAnsi="Arial"/>
          <w:sz w:val="18"/>
          <w:szCs w:val="18"/>
          <w:color w:val="auto"/>
        </w:rPr>
      </w:pPr>
    </w:p>
    <w:p>
      <w:pPr>
        <w:ind w:left="1780" w:hanging="570"/>
        <w:spacing w:after="0"/>
        <w:tabs>
          <w:tab w:leader="none" w:pos="1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44" w:lineRule="exact"/>
        <w:rPr>
          <w:rFonts w:ascii="Arial" w:cs="Arial" w:eastAsia="Arial" w:hAnsi="Arial"/>
          <w:sz w:val="18"/>
          <w:szCs w:val="18"/>
          <w:color w:val="auto"/>
        </w:rPr>
      </w:pPr>
    </w:p>
    <w:p>
      <w:pPr>
        <w:ind w:left="1780" w:hanging="570"/>
        <w:spacing w:after="0"/>
        <w:tabs>
          <w:tab w:leader="none" w:pos="1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10,960,313</w:t>
      </w:r>
    </w:p>
    <w:p>
      <w:pPr>
        <w:spacing w:after="0" w:line="144" w:lineRule="exact"/>
        <w:rPr>
          <w:rFonts w:ascii="Arial" w:cs="Arial" w:eastAsia="Arial" w:hAnsi="Arial"/>
          <w:sz w:val="18"/>
          <w:szCs w:val="18"/>
          <w:color w:val="auto"/>
        </w:rPr>
      </w:pPr>
    </w:p>
    <w:p>
      <w:pPr>
        <w:ind w:left="1780" w:hanging="570"/>
        <w:spacing w:after="0"/>
        <w:tabs>
          <w:tab w:leader="none" w:pos="1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44" w:lineRule="exact"/>
        <w:rPr>
          <w:rFonts w:ascii="Arial" w:cs="Arial" w:eastAsia="Arial" w:hAnsi="Arial"/>
          <w:sz w:val="18"/>
          <w:szCs w:val="18"/>
          <w:color w:val="auto"/>
        </w:rPr>
      </w:pPr>
    </w:p>
    <w:p>
      <w:pPr>
        <w:ind w:left="1780" w:hanging="570"/>
        <w:spacing w:after="0"/>
        <w:tabs>
          <w:tab w:leader="none" w:pos="1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10,960,313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Subsidiaries Which Acquired the Security Being Reported on by the Parent Holding Company.</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owns 10,785,489 shares of Series A Common Stock.</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QVC, Inc. is a direct, wholly owned subsidiary of Comcast Programming Holdings,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Programming Holdings, Inc. is a direct, wholly owned subsidiary of Comcast Holdings Corporation.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pacing w:after="0" w:line="252" w:lineRule="exact"/>
        <w:rPr>
          <w:sz w:val="20"/>
          <w:szCs w:val="20"/>
          <w:color w:val="auto"/>
        </w:rPr>
      </w:pPr>
    </w:p>
    <w:p>
      <w:pPr>
        <w:ind w:right="360" w:firstLine="270"/>
        <w:spacing w:after="0" w:line="268" w:lineRule="auto"/>
        <w:rPr>
          <w:sz w:val="20"/>
          <w:szCs w:val="20"/>
          <w:color w:val="auto"/>
        </w:rPr>
      </w:pPr>
      <w:r>
        <w:rPr>
          <w:rFonts w:ascii="Arial" w:cs="Arial" w:eastAsia="Arial" w:hAnsi="Arial"/>
          <w:sz w:val="18"/>
          <w:szCs w:val="18"/>
          <w:color w:val="auto"/>
        </w:rPr>
        <w:t>Comcast LM Investment, Inc. owns 174,402 shares of Series A Common Stock. Comcast LM Investment, Inc. is an indirect, wholly owned subsidiary of Comcast Holdings Corporation.</w:t>
      </w:r>
    </w:p>
    <w:p>
      <w:pPr>
        <w:spacing w:after="0" w:line="213" w:lineRule="exact"/>
        <w:rPr>
          <w:sz w:val="20"/>
          <w:szCs w:val="20"/>
          <w:color w:val="auto"/>
        </w:rPr>
      </w:pPr>
    </w:p>
    <w:p>
      <w:pPr>
        <w:ind w:right="360" w:firstLine="270"/>
        <w:spacing w:after="0" w:line="268" w:lineRule="auto"/>
        <w:rPr>
          <w:sz w:val="20"/>
          <w:szCs w:val="20"/>
          <w:color w:val="auto"/>
        </w:rPr>
      </w:pPr>
      <w:r>
        <w:rPr>
          <w:rFonts w:ascii="Arial" w:cs="Arial" w:eastAsia="Arial" w:hAnsi="Arial"/>
          <w:sz w:val="18"/>
          <w:szCs w:val="18"/>
          <w:color w:val="auto"/>
        </w:rPr>
        <w:t>Comcast MO Interactive Services, Inc. owns 422 shares of Series A Common Stock. Comcast MO Interactive Services, Inc. is an indirect, wholly owned subsidiary of 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2004</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COMCAST QVC, INC.</w:t>
      </w:r>
    </w:p>
    <w:p>
      <w:pPr>
        <w:sectPr>
          <w:pgSz w:w="11900" w:h="16838" w:orient="portrait"/>
          <w:cols w:equalWidth="0" w:num="1">
            <w:col w:w="11400"/>
          </w:cols>
          <w:pgMar w:left="240" w:top="185" w:right="259" w:bottom="0" w:gutter="0" w:footer="0" w:header="0"/>
        </w:sectPr>
      </w:pPr>
    </w:p>
    <w:bookmarkStart w:id="6" w:name="page7"/>
    <w:bookmarkEnd w:id="6"/>
    <w:p>
      <w:pPr>
        <w:ind w:left="5720"/>
        <w:spacing w:after="0"/>
        <w:rPr>
          <w:sz w:val="20"/>
          <w:szCs w:val="20"/>
          <w:color w:val="auto"/>
        </w:rPr>
      </w:pPr>
      <w:r>
        <w:rPr>
          <w:rFonts w:ascii="Arial" w:cs="Arial" w:eastAsia="Arial" w:hAnsi="Arial"/>
          <w:sz w:val="18"/>
          <w:szCs w:val="18"/>
          <w:color w:val="auto"/>
        </w:rPr>
        <w:t>By: /s/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058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Name:Rosemarie S. Teta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PROGRAMMING HOLDINGS, INC.</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058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Name:Rosemarie S. Teta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058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Name:Arthur R. Block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058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Name:Arthur R. Block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ind w:left="920" w:right="160" w:hanging="917"/>
        <w:spacing w:after="0" w:line="268" w:lineRule="auto"/>
        <w:tabs>
          <w:tab w:leader="none" w:pos="900" w:val="left"/>
        </w:tabs>
        <w:rPr>
          <w:sz w:val="20"/>
          <w:szCs w:val="20"/>
          <w:color w:val="auto"/>
        </w:rPr>
      </w:pPr>
      <w:r>
        <w:rPr>
          <w:rFonts w:ascii="Arial" w:cs="Arial" w:eastAsia="Arial" w:hAnsi="Arial"/>
          <w:sz w:val="18"/>
          <w:szCs w:val="18"/>
          <w:color w:val="auto"/>
        </w:rPr>
        <w:t>Schedule I</w:t>
        <w:tab/>
        <w:t>Joint Filing Agreement dated July 29, 2004 among Comcast QVC, Inc., Comcast Programming Holdings, Inc., Comcast Holdings Corporation and 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0" w:firstLine="263"/>
        <w:spacing w:after="0" w:line="318" w:lineRule="auto"/>
        <w:rPr>
          <w:sz w:val="20"/>
          <w:szCs w:val="20"/>
          <w:color w:val="auto"/>
        </w:rPr>
      </w:pPr>
      <w:r>
        <w:rPr>
          <w:rFonts w:ascii="Arial" w:cs="Arial" w:eastAsia="Arial" w:hAnsi="Arial"/>
          <w:sz w:val="15"/>
          <w:szCs w:val="15"/>
          <w:color w:val="auto"/>
        </w:rPr>
        <w:t>In accordance with Rule 13d-1(k)(1) under the Securities Exchange Act of 1934, as amended, each of the undersigned acknowledges and agrees that Schedule 13G, and any amendments thereto, with respect to the Series A Common Stock, par value $.01 per share, of Liberty Media International, Inc. shall be filed on behalf of each of the undersigned and acknowledges that as contemplated by Section 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2004</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Rosemarie S. Teta</w:t>
      </w:r>
    </w:p>
    <w:p>
      <w:pPr>
        <w:sectPr>
          <w:pgSz w:w="11900" w:h="16838" w:orient="portrait"/>
          <w:cols w:equalWidth="0" w:num="1">
            <w:col w:w="11420"/>
          </w:cols>
          <w:pgMar w:left="240" w:top="347" w:right="239" w:bottom="0" w:gutter="0" w:footer="0" w:header="0"/>
        </w:sectPr>
      </w:pPr>
    </w:p>
    <w:bookmarkStart w:id="7" w:name="page8"/>
    <w:bookmarkEnd w:id="7"/>
    <w:p>
      <w:pPr>
        <w:ind w:left="4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3999230</wp:posOffset>
            </wp:positionH>
            <wp:positionV relativeFrom="page">
              <wp:posOffset>88900</wp:posOffset>
            </wp:positionV>
            <wp:extent cx="2058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8035" cy="8890"/>
                    </a:xfrm>
                    <a:prstGeom prst="rect">
                      <a:avLst/>
                    </a:prstGeom>
                    <a:noFill/>
                  </pic:spPr>
                </pic:pic>
              </a:graphicData>
            </a:graphic>
          </wp:anchor>
        </w:drawing>
        <w:t>Name:Rosemarie S. Teta</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COMCAST PROGRAMMING HOLDINGS, INC.</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2058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Name:Rosemarie S. Teta</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COMCAST HOLDINGS CORPORATION</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2058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Name:Arthur R. Block</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80010</wp:posOffset>
            </wp:positionV>
            <wp:extent cx="2058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Name:Arthur R. Block</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11 of 11</w:t>
      </w:r>
    </w:p>
    <w:sectPr>
      <w:pgSz w:w="11900" w:h="16838" w:orient="portrait"/>
      <w:cols w:equalWidth="0" w:num="1">
        <w:col w:w="9019"/>
      </w:cols>
      <w:pgMar w:left="144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o"/>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6"/>
      <w:numFmt w:val="bullet"/>
      <w:start w:val="1"/>
    </w:lvl>
  </w:abstractNum>
  <w:abstractNum w:abstractNumId="6">
    <w:nsid w:val="66EF438D"/>
    <w:multiLevelType w:val="hybridMultilevel"/>
    <w:lvl w:ilvl="0">
      <w:lvlJc w:val="left"/>
      <w:lvlText w:val="7"/>
      <w:numFmt w:val="bullet"/>
      <w:start w:val="1"/>
    </w:lvl>
  </w:abstractNum>
  <w:abstractNum w:abstractNumId="7">
    <w:nsid w:val="140E0F76"/>
    <w:multiLevelType w:val="hybridMultilevel"/>
    <w:lvl w:ilvl="0">
      <w:lvlJc w:val="left"/>
      <w:lvlText w:val="8"/>
      <w:numFmt w:val="bullet"/>
      <w:start w:val="1"/>
    </w:lvl>
  </w:abstractNum>
  <w:abstractNum w:abstractNumId="8">
    <w:nsid w:val="3352255A"/>
    <w:multiLevelType w:val="hybridMultilevel"/>
    <w:lvl w:ilvl="0">
      <w:lvlJc w:val="left"/>
      <w:lvlText w:val="9"/>
      <w:numFmt w:val="bullet"/>
      <w:start w:val="1"/>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9"/>
      <w:numFmt w:val="bullet"/>
      <w:start w:val="1"/>
    </w:lvl>
  </w:abstractNum>
  <w:abstractNum w:abstractNumId="11">
    <w:nsid w:val="7FDCC233"/>
    <w:multiLevelType w:val="hybridMultilevel"/>
    <w:lvl w:ilvl="0">
      <w:lvlJc w:val="left"/>
      <w:lvlText w:val="*"/>
      <w:numFmt w:val="bullet"/>
      <w:start w:val="1"/>
    </w:lvl>
    <w:lvl w:ilvl="1">
      <w:lvlJc w:val="left"/>
      <w:lvlText w:val="%2"/>
      <w:numFmt w:val="decimal"/>
      <w:start w:val="1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6"/>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2019-12-15T09:44:17Z</dcterms:created>
  <dcterms:modified xsi:type="dcterms:W3CDTF">2019-12-15T09:44:17Z</dcterms:modified>
</cp:coreProperties>
</file>