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Courier New" w:cs="Courier New" w:eastAsia="Courier New" w:hAnsi="Courier New"/>
          <w:sz w:val="16"/>
          <w:szCs w:val="16"/>
          <w:color w:val="auto"/>
        </w:rPr>
        <w:t>As Filed with the Securities and Exchange Commission on September 9, 2002</w:t>
      </w:r>
    </w:p>
    <w:p>
      <w:pPr>
        <w:spacing w:after="0" w:line="185" w:lineRule="exact"/>
        <w:rPr>
          <w:sz w:val="24"/>
          <w:szCs w:val="24"/>
          <w:color w:val="auto"/>
        </w:rPr>
      </w:pPr>
    </w:p>
    <w:p>
      <w:pPr>
        <w:jc w:val="center"/>
        <w:ind w:right="3376"/>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3376"/>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3376"/>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ind w:left="3384"/>
        <w:spacing w:after="0"/>
        <w:rPr>
          <w:sz w:val="20"/>
          <w:szCs w:val="20"/>
          <w:color w:val="auto"/>
        </w:rPr>
      </w:pPr>
      <w:r>
        <w:rPr>
          <w:rFonts w:ascii="Courier New" w:cs="Courier New" w:eastAsia="Courier New" w:hAnsi="Courier New"/>
          <w:sz w:val="16"/>
          <w:szCs w:val="16"/>
          <w:color w:val="auto"/>
        </w:rPr>
        <w:t>FORM S-8</w:t>
      </w:r>
    </w:p>
    <w:p>
      <w:pPr>
        <w:ind w:left="2724"/>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64"/>
        <w:spacing w:after="0"/>
        <w:rPr>
          <w:sz w:val="20"/>
          <w:szCs w:val="20"/>
          <w:color w:val="auto"/>
        </w:rPr>
      </w:pPr>
      <w:r>
        <w:rPr>
          <w:rFonts w:ascii="Courier New" w:cs="Courier New" w:eastAsia="Courier New" w:hAnsi="Courier New"/>
          <w:sz w:val="16"/>
          <w:szCs w:val="16"/>
          <w:color w:val="auto"/>
        </w:rPr>
        <w:t>UNDER</w:t>
      </w:r>
    </w:p>
    <w:p>
      <w:pPr>
        <w:ind w:left="2524"/>
        <w:spacing w:after="0" w:line="238" w:lineRule="auto"/>
        <w:rPr>
          <w:sz w:val="20"/>
          <w:szCs w:val="20"/>
          <w:color w:val="auto"/>
        </w:rPr>
      </w:pPr>
      <w:r>
        <w:rPr>
          <w:rFonts w:ascii="Courier New" w:cs="Courier New" w:eastAsia="Courier New" w:hAnsi="Courier New"/>
          <w:sz w:val="16"/>
          <w:szCs w:val="16"/>
          <w:color w:val="auto"/>
        </w:rPr>
        <w:t>THE SECURITIES ACT OF 1933</w:t>
      </w:r>
    </w:p>
    <w:p>
      <w:pPr>
        <w:spacing w:after="0" w:line="180"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ind w:left="2904"/>
        <w:spacing w:after="0"/>
        <w:rPr>
          <w:sz w:val="20"/>
          <w:szCs w:val="20"/>
          <w:color w:val="auto"/>
        </w:rPr>
      </w:pPr>
      <w:r>
        <w:rPr>
          <w:rFonts w:ascii="Courier New" w:cs="Courier New" w:eastAsia="Courier New" w:hAnsi="Courier New"/>
          <w:sz w:val="16"/>
          <w:szCs w:val="16"/>
          <w:color w:val="auto"/>
        </w:rPr>
        <w:t>COMCAST CORPORATION</w:t>
      </w:r>
    </w:p>
    <w:p>
      <w:pPr>
        <w:ind w:left="1404"/>
        <w:spacing w:after="0" w:line="237" w:lineRule="auto"/>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884"/>
          </w:cols>
          <w:pgMar w:left="236" w:top="593" w:right="779" w:bottom="1440" w:gutter="0" w:footer="0" w:header="0"/>
        </w:sectPr>
      </w:pPr>
    </w:p>
    <w:p>
      <w:pPr>
        <w:spacing w:after="0" w:line="180" w:lineRule="exact"/>
        <w:rPr>
          <w:sz w:val="24"/>
          <w:szCs w:val="24"/>
          <w:color w:val="auto"/>
        </w:rPr>
      </w:pPr>
    </w:p>
    <w:p>
      <w:pPr>
        <w:ind w:left="1404"/>
        <w:spacing w:after="0"/>
        <w:rPr>
          <w:sz w:val="20"/>
          <w:szCs w:val="20"/>
          <w:color w:val="auto"/>
        </w:rPr>
      </w:pPr>
      <w:r>
        <w:rPr>
          <w:rFonts w:ascii="Courier New" w:cs="Courier New" w:eastAsia="Courier New" w:hAnsi="Courier New"/>
          <w:sz w:val="16"/>
          <w:szCs w:val="16"/>
          <w:color w:val="auto"/>
        </w:rPr>
        <w:t>Pennsylvania</w:t>
      </w:r>
    </w:p>
    <w:p>
      <w:pPr>
        <w:spacing w:after="0" w:line="4" w:lineRule="exact"/>
        <w:rPr>
          <w:sz w:val="24"/>
          <w:szCs w:val="24"/>
          <w:color w:val="auto"/>
        </w:rPr>
      </w:pPr>
    </w:p>
    <w:p>
      <w:pPr>
        <w:ind w:left="564"/>
        <w:spacing w:after="0"/>
        <w:rPr>
          <w:sz w:val="20"/>
          <w:szCs w:val="20"/>
          <w:color w:val="auto"/>
        </w:rPr>
      </w:pPr>
      <w:r>
        <w:rPr>
          <w:rFonts w:ascii="Courier New" w:cs="Courier New" w:eastAsia="Courier New" w:hAnsi="Courier New"/>
          <w:sz w:val="15"/>
          <w:szCs w:val="15"/>
          <w:color w:val="auto"/>
        </w:rPr>
        <w:t>(State or other jurisdiction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6"/>
          <w:szCs w:val="16"/>
          <w:color w:val="auto"/>
        </w:rPr>
        <w:t>23-1709202</w:t>
      </w:r>
    </w:p>
    <w:p>
      <w:pPr>
        <w:spacing w:after="0" w:line="4"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5"/>
          <w:szCs w:val="15"/>
          <w:color w:val="auto"/>
        </w:rPr>
        <w:t>(I.R.S. Employer Identification No.)</w:t>
      </w:r>
    </w:p>
    <w:p>
      <w:pPr>
        <w:spacing w:after="0" w:line="5" w:lineRule="exact"/>
        <w:rPr>
          <w:sz w:val="24"/>
          <w:szCs w:val="24"/>
          <w:color w:val="auto"/>
        </w:rPr>
      </w:pPr>
    </w:p>
    <w:p>
      <w:pPr>
        <w:sectPr>
          <w:pgSz w:w="11900" w:h="16838" w:orient="portrait"/>
          <w:cols w:equalWidth="0" w:num="2">
            <w:col w:w="3404" w:space="720"/>
            <w:col w:w="6760"/>
          </w:cols>
          <w:pgMar w:left="236" w:top="593" w:right="779" w:bottom="1440" w:gutter="0" w:footer="0" w:header="0"/>
          <w:type w:val="continuous"/>
        </w:sectPr>
      </w:pPr>
    </w:p>
    <w:p>
      <w:pPr>
        <w:ind w:left="284"/>
        <w:spacing w:after="0"/>
        <w:rPr>
          <w:sz w:val="20"/>
          <w:szCs w:val="20"/>
          <w:color w:val="auto"/>
        </w:rPr>
      </w:pPr>
      <w:r>
        <w:rPr>
          <w:rFonts w:ascii="Courier New" w:cs="Courier New" w:eastAsia="Courier New" w:hAnsi="Courier New"/>
          <w:sz w:val="16"/>
          <w:szCs w:val="16"/>
          <w:color w:val="auto"/>
        </w:rPr>
        <w:t>of incorporation or organization)</w:t>
      </w:r>
    </w:p>
    <w:p>
      <w:pPr>
        <w:spacing w:after="0" w:line="179"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1500 Market Street</w:t>
      </w:r>
    </w:p>
    <w:p>
      <w:pPr>
        <w:ind w:left="2524"/>
        <w:spacing w:after="0"/>
        <w:rPr>
          <w:sz w:val="20"/>
          <w:szCs w:val="20"/>
          <w:color w:val="auto"/>
        </w:rPr>
      </w:pPr>
      <w:r>
        <w:rPr>
          <w:rFonts w:ascii="Courier New" w:cs="Courier New" w:eastAsia="Courier New" w:hAnsi="Courier New"/>
          <w:sz w:val="16"/>
          <w:szCs w:val="16"/>
          <w:color w:val="auto"/>
        </w:rPr>
        <w:t>Philadelphia, PA 19102-2148</w:t>
      </w:r>
    </w:p>
    <w:p>
      <w:pPr>
        <w:ind w:left="1884"/>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spacing w:after="0" w:line="180" w:lineRule="exact"/>
        <w:rPr>
          <w:sz w:val="24"/>
          <w:szCs w:val="24"/>
          <w:color w:val="auto"/>
        </w:rPr>
      </w:pPr>
    </w:p>
    <w:p>
      <w:pPr>
        <w:jc w:val="center"/>
        <w:ind w:right="3376"/>
        <w:spacing w:after="0"/>
        <w:rPr>
          <w:sz w:val="20"/>
          <w:szCs w:val="20"/>
          <w:color w:val="auto"/>
        </w:rPr>
      </w:pPr>
      <w:r>
        <w:rPr>
          <w:rFonts w:ascii="Courier New" w:cs="Courier New" w:eastAsia="Courier New" w:hAnsi="Courier New"/>
          <w:sz w:val="16"/>
          <w:szCs w:val="16"/>
          <w:color w:val="auto"/>
        </w:rPr>
        <w:t>COMCAST CORPORATION 1996 STOCK OPTION PLAN</w:t>
      </w:r>
    </w:p>
    <w:p>
      <w:pPr>
        <w:spacing w:after="0" w:line="179" w:lineRule="exact"/>
        <w:rPr>
          <w:sz w:val="24"/>
          <w:szCs w:val="24"/>
          <w:color w:val="auto"/>
        </w:rPr>
      </w:pPr>
    </w:p>
    <w:p>
      <w:pPr>
        <w:ind w:left="2624"/>
        <w:spacing w:after="0"/>
        <w:rPr>
          <w:sz w:val="20"/>
          <w:szCs w:val="20"/>
          <w:color w:val="auto"/>
        </w:rPr>
      </w:pPr>
      <w:r>
        <w:rPr>
          <w:rFonts w:ascii="Courier New" w:cs="Courier New" w:eastAsia="Courier New" w:hAnsi="Courier New"/>
          <w:sz w:val="16"/>
          <w:szCs w:val="16"/>
          <w:color w:val="auto"/>
        </w:rPr>
        <w:t>(Full title of the plan)</w:t>
      </w:r>
    </w:p>
    <w:p>
      <w:pPr>
        <w:spacing w:after="0" w:line="179" w:lineRule="exact"/>
        <w:rPr>
          <w:sz w:val="24"/>
          <w:szCs w:val="24"/>
          <w:color w:val="auto"/>
        </w:rPr>
      </w:pPr>
    </w:p>
    <w:p>
      <w:pPr>
        <w:ind w:left="3104"/>
        <w:spacing w:after="0"/>
        <w:rPr>
          <w:sz w:val="20"/>
          <w:szCs w:val="20"/>
          <w:color w:val="auto"/>
        </w:rPr>
      </w:pPr>
      <w:r>
        <w:rPr>
          <w:rFonts w:ascii="Courier New" w:cs="Courier New" w:eastAsia="Courier New" w:hAnsi="Courier New"/>
          <w:sz w:val="16"/>
          <w:szCs w:val="16"/>
          <w:color w:val="auto"/>
        </w:rPr>
        <w:t>Arthur R. Block</w:t>
      </w:r>
    </w:p>
    <w:p>
      <w:pPr>
        <w:ind w:left="1884"/>
        <w:spacing w:after="0"/>
        <w:rPr>
          <w:sz w:val="20"/>
          <w:szCs w:val="20"/>
          <w:color w:val="auto"/>
        </w:rPr>
      </w:pPr>
      <w:r>
        <w:rPr>
          <w:rFonts w:ascii="Courier New" w:cs="Courier New" w:eastAsia="Courier New" w:hAnsi="Courier New"/>
          <w:sz w:val="16"/>
          <w:szCs w:val="16"/>
          <w:color w:val="auto"/>
        </w:rPr>
        <w:t>Senior Vice President and General Counsel</w:t>
      </w:r>
    </w:p>
    <w:p>
      <w:pPr>
        <w:ind w:left="2904"/>
        <w:spacing w:after="0" w:line="237" w:lineRule="auto"/>
        <w:rPr>
          <w:sz w:val="20"/>
          <w:szCs w:val="20"/>
          <w:color w:val="auto"/>
        </w:rPr>
      </w:pPr>
      <w:r>
        <w:rPr>
          <w:rFonts w:ascii="Courier New" w:cs="Courier New" w:eastAsia="Courier New" w:hAnsi="Courier New"/>
          <w:sz w:val="16"/>
          <w:szCs w:val="16"/>
          <w:color w:val="auto"/>
        </w:rPr>
        <w:t>Comcast Corporation</w:t>
      </w:r>
    </w:p>
    <w:p>
      <w:pPr>
        <w:ind w:left="2904"/>
        <w:spacing w:after="0"/>
        <w:rPr>
          <w:sz w:val="20"/>
          <w:szCs w:val="20"/>
          <w:color w:val="auto"/>
        </w:rPr>
      </w:pPr>
      <w:r>
        <w:rPr>
          <w:rFonts w:ascii="Courier New" w:cs="Courier New" w:eastAsia="Courier New" w:hAnsi="Courier New"/>
          <w:sz w:val="16"/>
          <w:szCs w:val="16"/>
          <w:color w:val="auto"/>
        </w:rPr>
        <w:t>1500 Market Street</w:t>
      </w:r>
    </w:p>
    <w:p>
      <w:pPr>
        <w:jc w:val="center"/>
        <w:ind w:right="3276"/>
        <w:spacing w:after="0" w:line="238"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3276"/>
        <w:spacing w:after="0"/>
        <w:rPr>
          <w:sz w:val="20"/>
          <w:szCs w:val="20"/>
          <w:color w:val="auto"/>
        </w:rPr>
      </w:pPr>
      <w:r>
        <w:rPr>
          <w:rFonts w:ascii="Courier New" w:cs="Courier New" w:eastAsia="Courier New" w:hAnsi="Courier New"/>
          <w:sz w:val="16"/>
          <w:szCs w:val="16"/>
          <w:color w:val="auto"/>
        </w:rPr>
        <w:t>(Name and address of agent for service)</w:t>
      </w:r>
    </w:p>
    <w:p>
      <w:pPr>
        <w:spacing w:after="0" w:line="179" w:lineRule="exact"/>
        <w:rPr>
          <w:sz w:val="24"/>
          <w:szCs w:val="24"/>
          <w:color w:val="auto"/>
        </w:rPr>
      </w:pPr>
    </w:p>
    <w:p>
      <w:pPr>
        <w:jc w:val="center"/>
        <w:ind w:right="3376"/>
        <w:spacing w:after="0"/>
        <w:rPr>
          <w:sz w:val="20"/>
          <w:szCs w:val="20"/>
          <w:color w:val="auto"/>
        </w:rPr>
      </w:pPr>
      <w:r>
        <w:rPr>
          <w:rFonts w:ascii="Courier New" w:cs="Courier New" w:eastAsia="Courier New" w:hAnsi="Courier New"/>
          <w:sz w:val="16"/>
          <w:szCs w:val="16"/>
          <w:color w:val="auto"/>
        </w:rPr>
        <w:t>(215) 665-1700</w:t>
      </w:r>
    </w:p>
    <w:p>
      <w:pPr>
        <w:jc w:val="center"/>
        <w:ind w:right="3276"/>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344"/>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4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Title of securities to be</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Amount to be</w:t>
            </w:r>
          </w:p>
        </w:tc>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Proposed Maximum</w:t>
            </w:r>
          </w:p>
        </w:tc>
        <w:tc>
          <w:tcPr>
            <w:tcW w:w="2440" w:type="dxa"/>
            <w:vAlign w:val="bottom"/>
          </w:tcPr>
          <w:p>
            <w:pPr>
              <w:ind w:left="80"/>
              <w:spacing w:after="0"/>
              <w:rPr>
                <w:sz w:val="20"/>
                <w:szCs w:val="20"/>
                <w:color w:val="auto"/>
              </w:rPr>
            </w:pPr>
            <w:r>
              <w:rPr>
                <w:rFonts w:ascii="Courier New" w:cs="Courier New" w:eastAsia="Courier New" w:hAnsi="Courier New"/>
                <w:sz w:val="16"/>
                <w:szCs w:val="16"/>
                <w:color w:val="auto"/>
              </w:rPr>
              <w:t>Proposed Maximum</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Amount of</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registered</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Registered</w:t>
            </w:r>
          </w:p>
        </w:tc>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Offering Price Per Share</w:t>
            </w:r>
          </w:p>
        </w:tc>
        <w:tc>
          <w:tcPr>
            <w:tcW w:w="2440" w:type="dxa"/>
            <w:vAlign w:val="bottom"/>
          </w:tcPr>
          <w:p>
            <w:pPr>
              <w:ind w:left="80"/>
              <w:spacing w:after="0"/>
              <w:rPr>
                <w:sz w:val="20"/>
                <w:szCs w:val="20"/>
                <w:color w:val="auto"/>
              </w:rPr>
            </w:pPr>
            <w:r>
              <w:rPr>
                <w:rFonts w:ascii="Courier New" w:cs="Courier New" w:eastAsia="Courier New" w:hAnsi="Courier New"/>
                <w:sz w:val="16"/>
                <w:szCs w:val="16"/>
                <w:color w:val="auto"/>
              </w:rPr>
              <w:t>Aggregate Offering Price</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w w:val="97"/>
              </w:rPr>
              <w:t>Registration</w:t>
            </w:r>
          </w:p>
        </w:tc>
      </w:tr>
      <w:tr>
        <w:trPr>
          <w:trHeight w:val="180"/>
        </w:trPr>
        <w:tc>
          <w:tcPr>
            <w:tcW w:w="2660" w:type="dxa"/>
            <w:vAlign w:val="bottom"/>
          </w:tcPr>
          <w:p>
            <w:pPr>
              <w:spacing w:after="0"/>
              <w:rPr>
                <w:sz w:val="15"/>
                <w:szCs w:val="15"/>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w:t>
            </w:r>
          </w:p>
        </w:tc>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(2)</w:t>
            </w:r>
          </w:p>
        </w:tc>
        <w:tc>
          <w:tcPr>
            <w:tcW w:w="2440" w:type="dxa"/>
            <w:vAlign w:val="bottom"/>
          </w:tcPr>
          <w:p>
            <w:pPr>
              <w:ind w:left="80"/>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Fee</w:t>
            </w:r>
          </w:p>
        </w:tc>
      </w:tr>
    </w:tbl>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80"/>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780" w:type="dxa"/>
            <w:vAlign w:val="bottom"/>
            <w:gridSpan w:val="8"/>
          </w:tcPr>
          <w:p>
            <w:pPr>
              <w:jc w:val="center"/>
              <w:ind w:left="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1"/>
              </w:rPr>
              <w:t>Class</w:t>
            </w:r>
          </w:p>
        </w:tc>
        <w:tc>
          <w:tcPr>
            <w:tcW w:w="2360" w:type="dxa"/>
            <w:vAlign w:val="bottom"/>
          </w:tcPr>
          <w:p>
            <w:pPr>
              <w:ind w:left="60"/>
              <w:spacing w:after="0"/>
              <w:rPr>
                <w:sz w:val="20"/>
                <w:szCs w:val="20"/>
                <w:color w:val="auto"/>
              </w:rPr>
            </w:pPr>
            <w:r>
              <w:rPr>
                <w:rFonts w:ascii="Courier New" w:cs="Courier New" w:eastAsia="Courier New" w:hAnsi="Courier New"/>
                <w:sz w:val="16"/>
                <w:szCs w:val="16"/>
                <w:color w:val="auto"/>
              </w:rPr>
              <w:t>A Special Common Stock,</w:t>
            </w:r>
          </w:p>
        </w:tc>
        <w:tc>
          <w:tcPr>
            <w:tcW w:w="15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11,665,016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33.63</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$ 392,294,488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36,091</w:t>
            </w:r>
          </w:p>
        </w:tc>
      </w:tr>
      <w:tr>
        <w:trPr>
          <w:trHeight w:val="180"/>
        </w:trPr>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par</w:t>
            </w:r>
          </w:p>
        </w:tc>
        <w:tc>
          <w:tcPr>
            <w:tcW w:w="2360" w:type="dxa"/>
            <w:vAlign w:val="bottom"/>
          </w:tcPr>
          <w:p>
            <w:pPr>
              <w:ind w:left="60"/>
              <w:spacing w:after="0"/>
              <w:rPr>
                <w:sz w:val="20"/>
                <w:szCs w:val="20"/>
                <w:color w:val="auto"/>
              </w:rPr>
            </w:pPr>
            <w:r>
              <w:rPr>
                <w:rFonts w:ascii="Courier New" w:cs="Courier New" w:eastAsia="Courier New" w:hAnsi="Courier New"/>
                <w:sz w:val="16"/>
                <w:szCs w:val="16"/>
                <w:color w:val="auto"/>
              </w:rPr>
              <w:t>value $1.00 per share</w:t>
            </w:r>
          </w:p>
        </w:tc>
        <w:tc>
          <w:tcPr>
            <w:tcW w:w="15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13,334,984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ind w:right="522"/>
              <w:spacing w:after="0"/>
              <w:rPr>
                <w:sz w:val="20"/>
                <w:szCs w:val="20"/>
                <w:color w:val="auto"/>
              </w:rPr>
            </w:pPr>
            <w:r>
              <w:rPr>
                <w:rFonts w:ascii="Courier New" w:cs="Courier New" w:eastAsia="Courier New" w:hAnsi="Courier New"/>
                <w:sz w:val="16"/>
                <w:szCs w:val="16"/>
                <w:color w:val="auto"/>
              </w:rPr>
              <w:t>22.095</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$ 294,636,471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27,107</w:t>
            </w:r>
          </w:p>
        </w:tc>
      </w:tr>
      <w:tr>
        <w:trPr>
          <w:trHeight w:val="180"/>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780" w:type="dxa"/>
            <w:vAlign w:val="bottom"/>
            <w:gridSpan w:val="8"/>
          </w:tcPr>
          <w:p>
            <w:pPr>
              <w:jc w:val="center"/>
              <w:ind w:lef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60" w:type="dxa"/>
            <w:vAlign w:val="bottom"/>
          </w:tcPr>
          <w:p>
            <w:pPr>
              <w:ind w:left="620"/>
              <w:spacing w:after="0"/>
              <w:rPr>
                <w:sz w:val="20"/>
                <w:szCs w:val="20"/>
                <w:color w:val="auto"/>
              </w:rPr>
            </w:pPr>
            <w:r>
              <w:rPr>
                <w:rFonts w:ascii="Courier New" w:cs="Courier New" w:eastAsia="Courier New" w:hAnsi="Courier New"/>
                <w:sz w:val="16"/>
                <w:szCs w:val="16"/>
                <w:color w:val="auto"/>
              </w:rPr>
              <w:t>TOTAL</w:t>
            </w:r>
          </w:p>
        </w:tc>
        <w:tc>
          <w:tcPr>
            <w:tcW w:w="15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25,000,000</w:t>
            </w: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$ 686,930,959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63,198</w:t>
            </w: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371" w:lineRule="exact"/>
        <w:rPr>
          <w:sz w:val="24"/>
          <w:szCs w:val="24"/>
          <w:color w:val="auto"/>
        </w:rPr>
      </w:pPr>
    </w:p>
    <w:p>
      <w:pPr>
        <w:ind w:left="464" w:right="3660" w:hanging="464"/>
        <w:spacing w:after="0" w:line="256" w:lineRule="auto"/>
        <w:tabs>
          <w:tab w:leader="none" w:pos="46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416(b), there shall also be deemed covered hereby such additional shares as may result from anti-dilution adjustments under the Comcast Corporation 1996 Stock Option Plan (the "Plan") hereinafter be offered or issued to prevent dilution resulting from stock splits, stock dividends, recapitalizations or certain other capital adjustments.</w:t>
      </w:r>
    </w:p>
    <w:p>
      <w:pPr>
        <w:spacing w:after="0" w:line="176" w:lineRule="exact"/>
        <w:rPr>
          <w:rFonts w:ascii="Courier New" w:cs="Courier New" w:eastAsia="Courier New" w:hAnsi="Courier New"/>
          <w:sz w:val="15"/>
          <w:szCs w:val="15"/>
          <w:color w:val="auto"/>
        </w:rPr>
      </w:pPr>
    </w:p>
    <w:p>
      <w:pPr>
        <w:ind w:left="464" w:right="3480" w:hanging="464"/>
        <w:spacing w:after="0" w:line="238" w:lineRule="auto"/>
        <w:tabs>
          <w:tab w:leader="none" w:pos="4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paragraph (h) of Rule 457 solely for the purpose of calculating the registration fee on the basis of: (i) the weighted average of the option exercise price with respect to outstanding options to purchase 11,665,016 shares and (ii) the average of the high and low sales prices of shares of Class A Special Common Stock on the Nasdaq National Market on September 5, 2002 with respect to the 13,334,984 shares subject to future grant under the Plan.</w:t>
      </w:r>
    </w:p>
    <w:p>
      <w:pPr>
        <w:sectPr>
          <w:pgSz w:w="11900" w:h="16838" w:orient="portrait"/>
          <w:cols w:equalWidth="0" w:num="1">
            <w:col w:w="10884"/>
          </w:cols>
          <w:pgMar w:left="236" w:top="593" w:right="779" w:bottom="1440" w:gutter="0" w:footer="0" w:header="0"/>
          <w:type w:val="continuous"/>
        </w:sectPr>
      </w:pPr>
    </w:p>
    <w:bookmarkStart w:id="1" w:name="page2"/>
    <w:bookmarkEnd w:id="1"/>
    <w:p>
      <w:pPr>
        <w:ind w:left="3000"/>
        <w:spacing w:after="0"/>
        <w:rPr>
          <w:sz w:val="20"/>
          <w:szCs w:val="20"/>
          <w:color w:val="auto"/>
        </w:rPr>
      </w:pPr>
      <w:r>
        <w:rPr>
          <w:rFonts w:ascii="Courier New" w:cs="Courier New" w:eastAsia="Courier New" w:hAnsi="Courier New"/>
          <w:sz w:val="16"/>
          <w:szCs w:val="16"/>
          <w:color w:val="auto"/>
        </w:rPr>
        <w:t>EXPLANATORY NOTE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Pursuant to General Instruction E of Form S-8, this Registration Statement is being filed in order to register 25,000,000 additional shares of Class A Special Common Stock, par value $1.00 per share ("Common Stock") of Comcast Corporation (the "Company"), with respect to the currently effective Registration Statements on Form S-8 of the Company relating to a certain employee benefit plan of the Company.</w:t>
      </w:r>
    </w:p>
    <w:p>
      <w:pPr>
        <w:spacing w:after="0" w:line="18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contents of the Registration Statements on Form S-8 as filed July 22, 1996, Registration No. 333-08577 and September 7, 2001, Registration Statement No. 333-69146 as the same may be hereafter amended, are incorporated by reference into this Registration Statement, with the exception of the Comcast Corporation annual financial statements for the year ended December 31, 2001 and Independent Auditors' Report which are included as Exhibit 99.1 herein.</w:t>
      </w:r>
    </w:p>
    <w:p>
      <w:pPr>
        <w:spacing w:after="0" w:line="17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tabs>
          <w:tab w:leader="none" w:pos="11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Exhibit</w:t>
      </w:r>
    </w:p>
    <w:p>
      <w:pPr>
        <w:spacing w:after="0" w:line="184" w:lineRule="exact"/>
        <w:rPr>
          <w:sz w:val="20"/>
          <w:szCs w:val="20"/>
          <w:color w:val="auto"/>
        </w:rPr>
      </w:pPr>
    </w:p>
    <w:p>
      <w:pPr>
        <w:ind w:left="1120" w:right="2719" w:hanging="1125"/>
        <w:spacing w:after="0" w:line="236" w:lineRule="auto"/>
        <w:tabs>
          <w:tab w:leader="none" w:pos="11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Comcast Corporation 1996 Stock Option Plan (as amended and restated, effective April 29, 2002).</w:t>
      </w:r>
    </w:p>
    <w:p>
      <w:pPr>
        <w:spacing w:after="0" w:line="18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Pepper Hamilton LLP.</w:t>
      </w:r>
    </w:p>
    <w:p>
      <w:pPr>
        <w:spacing w:after="0" w:line="17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7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Consent of Pepper Hamilton LLP (included in Exhibit 5.1 hereto).</w:t>
      </w:r>
    </w:p>
    <w:p>
      <w:pPr>
        <w:spacing w:after="0" w:line="17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5"/>
          <w:szCs w:val="15"/>
          <w:color w:val="auto"/>
        </w:rPr>
        <w:t>Power of Attorney (included on signature page).</w:t>
      </w:r>
    </w:p>
    <w:p>
      <w:pPr>
        <w:spacing w:after="0" w:line="185" w:lineRule="exact"/>
        <w:rPr>
          <w:sz w:val="20"/>
          <w:szCs w:val="20"/>
          <w:color w:val="auto"/>
        </w:rPr>
      </w:pPr>
    </w:p>
    <w:p>
      <w:pPr>
        <w:ind w:left="1120" w:right="2899" w:hanging="1125"/>
        <w:spacing w:after="0" w:line="236" w:lineRule="auto"/>
        <w:tabs>
          <w:tab w:leader="none" w:pos="11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Comcast Corporation annual financial statements for the year ended December 31, 2001 and Independent Auditors' Report.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2" w:name="page3"/>
    <w:bookmarkEnd w:id="2"/>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left="4" w:right="860" w:firstLine="469"/>
        <w:spacing w:after="0" w:line="25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September 9, 2002.</w:t>
      </w:r>
    </w:p>
    <w:p>
      <w:pPr>
        <w:spacing w:after="0" w:line="171" w:lineRule="exact"/>
        <w:rPr>
          <w:sz w:val="20"/>
          <w:szCs w:val="20"/>
          <w:color w:val="auto"/>
        </w:rPr>
      </w:pPr>
    </w:p>
    <w:p>
      <w:pPr>
        <w:ind w:left="4684"/>
        <w:spacing w:after="0"/>
        <w:rPr>
          <w:sz w:val="20"/>
          <w:szCs w:val="20"/>
          <w:color w:val="auto"/>
        </w:rPr>
      </w:pPr>
      <w:r>
        <w:rPr>
          <w:rFonts w:ascii="Courier New" w:cs="Courier New" w:eastAsia="Courier New" w:hAnsi="Courier New"/>
          <w:sz w:val="16"/>
          <w:szCs w:val="16"/>
          <w:color w:val="auto"/>
        </w:rPr>
        <w:t>COMCAST CORPORATION</w:t>
      </w:r>
    </w:p>
    <w:p>
      <w:pPr>
        <w:spacing w:after="0" w:line="360" w:lineRule="exact"/>
        <w:rPr>
          <w:sz w:val="20"/>
          <w:szCs w:val="20"/>
          <w:color w:val="auto"/>
        </w:rPr>
      </w:pPr>
    </w:p>
    <w:p>
      <w:pPr>
        <w:ind w:left="4324"/>
        <w:spacing w:after="0"/>
        <w:rPr>
          <w:sz w:val="20"/>
          <w:szCs w:val="20"/>
          <w:color w:val="auto"/>
        </w:rPr>
      </w:pPr>
      <w:r>
        <w:rPr>
          <w:rFonts w:ascii="Courier New" w:cs="Courier New" w:eastAsia="Courier New" w:hAnsi="Courier New"/>
          <w:sz w:val="16"/>
          <w:szCs w:val="16"/>
          <w:color w:val="auto"/>
        </w:rPr>
        <w:t>By: /s/ Lawrence J. Salva</w:t>
      </w:r>
    </w:p>
    <w:p>
      <w:pPr>
        <w:ind w:left="4684"/>
        <w:spacing w:after="0"/>
        <w:rPr>
          <w:sz w:val="20"/>
          <w:szCs w:val="20"/>
          <w:color w:val="auto"/>
        </w:rPr>
      </w:pPr>
      <w:r>
        <w:rPr>
          <w:rFonts w:ascii="Courier New" w:cs="Courier New" w:eastAsia="Courier New" w:hAnsi="Courier New"/>
          <w:sz w:val="16"/>
          <w:szCs w:val="16"/>
          <w:color w:val="auto"/>
        </w:rPr>
        <w:t>----------------------------</w:t>
      </w:r>
    </w:p>
    <w:p>
      <w:pPr>
        <w:ind w:left="4684"/>
        <w:spacing w:after="0" w:line="237" w:lineRule="auto"/>
        <w:rPr>
          <w:sz w:val="20"/>
          <w:szCs w:val="20"/>
          <w:color w:val="auto"/>
        </w:rPr>
      </w:pPr>
      <w:r>
        <w:rPr>
          <w:rFonts w:ascii="Courier New" w:cs="Courier New" w:eastAsia="Courier New" w:hAnsi="Courier New"/>
          <w:sz w:val="16"/>
          <w:szCs w:val="16"/>
          <w:color w:val="auto"/>
        </w:rPr>
        <w:t>Lawrence J. Salva</w:t>
      </w:r>
    </w:p>
    <w:p>
      <w:pPr>
        <w:ind w:left="4684"/>
        <w:spacing w:after="0"/>
        <w:rPr>
          <w:sz w:val="20"/>
          <w:szCs w:val="20"/>
          <w:color w:val="auto"/>
        </w:rPr>
      </w:pPr>
      <w:r>
        <w:rPr>
          <w:rFonts w:ascii="Courier New" w:cs="Courier New" w:eastAsia="Courier New" w:hAnsi="Courier New"/>
          <w:sz w:val="16"/>
          <w:szCs w:val="16"/>
          <w:color w:val="auto"/>
        </w:rPr>
        <w:t>Senior Vice President</w:t>
      </w:r>
    </w:p>
    <w:p>
      <w:pPr>
        <w:ind w:left="4684"/>
        <w:spacing w:after="0" w:line="238" w:lineRule="auto"/>
        <w:rPr>
          <w:sz w:val="20"/>
          <w:szCs w:val="20"/>
          <w:color w:val="auto"/>
        </w:rPr>
      </w:pPr>
      <w:r>
        <w:rPr>
          <w:rFonts w:ascii="Courier New" w:cs="Courier New" w:eastAsia="Courier New" w:hAnsi="Courier New"/>
          <w:sz w:val="16"/>
          <w:szCs w:val="16"/>
          <w:color w:val="auto"/>
        </w:rPr>
        <w:t>(Principal Accounting Officer)</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POWER OF ATTORNEY</w:t>
      </w:r>
    </w:p>
    <w:p>
      <w:pPr>
        <w:spacing w:after="0" w:line="185" w:lineRule="exact"/>
        <w:rPr>
          <w:sz w:val="20"/>
          <w:szCs w:val="20"/>
          <w:color w:val="auto"/>
        </w:rPr>
      </w:pPr>
    </w:p>
    <w:p>
      <w:pPr>
        <w:ind w:left="4" w:right="760" w:firstLine="469"/>
        <w:spacing w:after="0" w:line="238" w:lineRule="auto"/>
        <w:rPr>
          <w:sz w:val="20"/>
          <w:szCs w:val="20"/>
          <w:color w:val="auto"/>
        </w:rPr>
      </w:pPr>
      <w:r>
        <w:rPr>
          <w:rFonts w:ascii="Courier New" w:cs="Courier New" w:eastAsia="Courier New" w:hAnsi="Courier New"/>
          <w:sz w:val="16"/>
          <w:szCs w:val="16"/>
          <w:color w:val="auto"/>
        </w:rPr>
        <w:t>KNOW ALL MEN BY THESE PRESENTS, that each individual whose signature appears below constitutes and appoints Ralph J. Roberts, Brian L. Roberts, John R. Alchin, Stanley Wang, Lawrence J. Salva and Arthur R. Block,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190" w:lineRule="exact"/>
        <w:rPr>
          <w:sz w:val="20"/>
          <w:szCs w:val="20"/>
          <w:color w:val="auto"/>
        </w:rPr>
      </w:pPr>
    </w:p>
    <w:p>
      <w:pPr>
        <w:ind w:left="4" w:right="1140"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 indicated.</w:t>
      </w:r>
    </w:p>
    <w:p>
      <w:pPr>
        <w:spacing w:after="0" w:line="200" w:lineRule="exact"/>
        <w:rPr>
          <w:sz w:val="20"/>
          <w:szCs w:val="20"/>
          <w:color w:val="auto"/>
        </w:rPr>
      </w:pPr>
    </w:p>
    <w:p>
      <w:pPr>
        <w:spacing w:after="0" w:line="340" w:lineRule="exact"/>
        <w:rPr>
          <w:sz w:val="20"/>
          <w:szCs w:val="20"/>
          <w:color w:val="auto"/>
        </w:rPr>
      </w:pPr>
    </w:p>
    <w:p>
      <w:pPr>
        <w:ind w:left="844"/>
        <w:spacing w:after="0"/>
        <w:tabs>
          <w:tab w:leader="none" w:pos="4763"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179" w:lineRule="exact"/>
        <w:rPr>
          <w:sz w:val="20"/>
          <w:szCs w:val="20"/>
          <w:color w:val="auto"/>
        </w:rPr>
      </w:pPr>
    </w:p>
    <w:p>
      <w:pPr>
        <w:ind w:left="104"/>
        <w:spacing w:after="0"/>
        <w:tabs>
          <w:tab w:leader="none" w:pos="2883" w:val="left"/>
        </w:tabs>
        <w:rPr>
          <w:sz w:val="20"/>
          <w:szCs w:val="20"/>
          <w:color w:val="auto"/>
        </w:rPr>
      </w:pPr>
      <w:r>
        <w:rPr>
          <w:rFonts w:ascii="Courier New" w:cs="Courier New" w:eastAsia="Courier New" w:hAnsi="Courier New"/>
          <w:sz w:val="16"/>
          <w:szCs w:val="16"/>
          <w:color w:val="auto"/>
        </w:rPr>
        <w:t>/s/ Ralph J. Roberts</w:t>
      </w:r>
      <w:r>
        <w:rPr>
          <w:sz w:val="20"/>
          <w:szCs w:val="20"/>
          <w:color w:val="auto"/>
        </w:rPr>
        <w:tab/>
      </w:r>
      <w:r>
        <w:rPr>
          <w:rFonts w:ascii="Courier New" w:cs="Courier New" w:eastAsia="Courier New" w:hAnsi="Courier New"/>
          <w:sz w:val="15"/>
          <w:szCs w:val="15"/>
          <w:color w:val="auto"/>
        </w:rPr>
        <w:t>Chairman of the Board of Directors; Director</w:t>
      </w:r>
    </w:p>
    <w:p>
      <w:pPr>
        <w:ind w:left="184" w:hanging="184"/>
        <w:spacing w:after="0"/>
        <w:tabs>
          <w:tab w:leader="none" w:pos="18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Julian A. Brodsky</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Vice Chairman of the Board of Directors; Director</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Julian A. Brodsky</w:t>
            </w:r>
          </w:p>
        </w:tc>
        <w:tc>
          <w:tcPr>
            <w:tcW w:w="5500" w:type="dxa"/>
            <w:vAlign w:val="bottom"/>
          </w:tcPr>
          <w:p>
            <w:pPr>
              <w:spacing w:after="0"/>
              <w:rPr>
                <w:sz w:val="15"/>
                <w:szCs w:val="15"/>
                <w:color w:val="auto"/>
              </w:rPr>
            </w:pPr>
          </w:p>
        </w:tc>
      </w:tr>
      <w:tr>
        <w:trPr>
          <w:trHeight w:val="361"/>
        </w:trPr>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Brian L. Roberts</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President; Director (Principal Executive Officer)</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Brian L. Roberts</w:t>
            </w:r>
          </w:p>
        </w:tc>
        <w:tc>
          <w:tcPr>
            <w:tcW w:w="5500" w:type="dxa"/>
            <w:vAlign w:val="bottom"/>
          </w:tcPr>
          <w:p>
            <w:pPr>
              <w:spacing w:after="0"/>
              <w:rPr>
                <w:sz w:val="15"/>
                <w:szCs w:val="15"/>
                <w:color w:val="auto"/>
              </w:rPr>
            </w:pPr>
          </w:p>
        </w:tc>
      </w:tr>
      <w:tr>
        <w:trPr>
          <w:trHeight w:val="361"/>
        </w:trPr>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John R. Alchin</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 Treasurer (Co-Principal</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John</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R. Alchin</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Financial Officer)</w:t>
            </w:r>
          </w:p>
        </w:tc>
      </w:tr>
      <w:tr>
        <w:trPr>
          <w:trHeight w:val="361"/>
        </w:trPr>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Lawrence S. Smith</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w w:val="97"/>
              </w:rPr>
              <w:t>Executive Vice President (Co-Principal Financial Officer)</w:t>
            </w:r>
          </w:p>
        </w:tc>
      </w:tr>
    </w:tbl>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Lawrence S. Smith</w:t>
      </w:r>
    </w:p>
    <w:p>
      <w:pPr>
        <w:spacing w:after="0" w:line="35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9,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9,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9,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9,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9, 2002</w:t>
      </w:r>
    </w:p>
    <w:p>
      <w:pPr>
        <w:sectPr>
          <w:pgSz w:w="11900" w:h="16838" w:orient="portrait"/>
          <w:cols w:equalWidth="0" w:num="2">
            <w:col w:w="8264" w:space="460"/>
            <w:col w:w="1600"/>
          </w:cols>
          <w:pgMar w:left="236" w:top="654" w:right="1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/s/ Lawrence J. Salva</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(Principal Accounting Officer)</w:t>
            </w:r>
          </w:p>
        </w:tc>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September 9, 2002</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/s/ Decker Anstrom</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September 9, 2002</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Decker Anstrom</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/s/ Sheldon M. Bonovitz</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September 9, 2002</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/s/ Joseph L. Castle II</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September 9, 2002</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Joseph L. Castle II</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rPr>
              <w:t>__________________________</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spacing w:after="0"/>
              <w:rPr>
                <w:sz w:val="24"/>
                <w:szCs w:val="24"/>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Felix G. Rohatyn</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/s/ Bernard C. Watson</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September 9, 2002</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/s/ Irving A. Wechsler</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September 9, 2002</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rPr>
              <w:t>__________________________</w:t>
            </w:r>
          </w:p>
        </w:tc>
        <w:tc>
          <w:tcPr>
            <w:tcW w:w="550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spacing w:after="0"/>
              <w:rPr>
                <w:sz w:val="24"/>
                <w:szCs w:val="24"/>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5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541"/>
        </w:trPr>
        <w:tc>
          <w:tcPr>
            <w:tcW w:w="2760" w:type="dxa"/>
            <w:vAlign w:val="bottom"/>
          </w:tcPr>
          <w:p>
            <w:pPr>
              <w:spacing w:after="0"/>
              <w:rPr>
                <w:sz w:val="24"/>
                <w:szCs w:val="24"/>
                <w:color w:val="auto"/>
              </w:rPr>
            </w:pPr>
          </w:p>
        </w:tc>
        <w:tc>
          <w:tcPr>
            <w:tcW w:w="5500" w:type="dxa"/>
            <w:vAlign w:val="bottom"/>
          </w:tcPr>
          <w:p>
            <w:pPr>
              <w:ind w:left="800"/>
              <w:spacing w:after="0"/>
              <w:rPr>
                <w:sz w:val="20"/>
                <w:szCs w:val="20"/>
                <w:color w:val="auto"/>
              </w:rPr>
            </w:pPr>
            <w:r>
              <w:rPr>
                <w:rFonts w:ascii="Courier New" w:cs="Courier New" w:eastAsia="Courier New" w:hAnsi="Courier New"/>
                <w:sz w:val="16"/>
                <w:szCs w:val="16"/>
                <w:color w:val="auto"/>
              </w:rPr>
              <w:t>-4-</w:t>
            </w:r>
          </w:p>
        </w:tc>
        <w:tc>
          <w:tcPr>
            <w:tcW w:w="2060" w:type="dxa"/>
            <w:vAlign w:val="bottom"/>
          </w:tcPr>
          <w:p>
            <w:pPr>
              <w:spacing w:after="0"/>
              <w:rPr>
                <w:sz w:val="24"/>
                <w:szCs w:val="24"/>
                <w:color w:val="auto"/>
              </w:rPr>
            </w:pPr>
          </w:p>
        </w:tc>
      </w:tr>
    </w:tbl>
    <w:p>
      <w:pPr>
        <w:sectPr>
          <w:pgSz w:w="11900" w:h="16838" w:orient="portrait"/>
          <w:cols w:equalWidth="0" w:num="1">
            <w:col w:w="10320"/>
          </w:cols>
          <w:pgMar w:left="240" w:top="1014" w:right="1339" w:bottom="1440" w:gutter="0" w:footer="0" w:header="0"/>
        </w:sectPr>
      </w:pPr>
    </w:p>
    <w:bookmarkStart w:id="4" w:name="page5"/>
    <w:bookmarkEnd w:id="4"/>
    <w:p>
      <w:pPr>
        <w:ind w:left="3000"/>
        <w:spacing w:after="0"/>
        <w:rPr>
          <w:sz w:val="20"/>
          <w:szCs w:val="20"/>
          <w:color w:val="auto"/>
        </w:rPr>
      </w:pPr>
      <w:r>
        <w:rPr>
          <w:rFonts w:ascii="Courier New" w:cs="Courier New" w:eastAsia="Courier New" w:hAnsi="Courier New"/>
          <w:sz w:val="16"/>
          <w:szCs w:val="16"/>
          <w:color w:val="auto"/>
        </w:rPr>
        <w:t>INDEX TO EXHIBITS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tabs>
          <w:tab w:leader="none" w:pos="12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Document</w:t>
      </w:r>
    </w:p>
    <w:p>
      <w:pPr>
        <w:spacing w:after="0" w:line="184" w:lineRule="exact"/>
        <w:rPr>
          <w:sz w:val="20"/>
          <w:szCs w:val="20"/>
          <w:color w:val="auto"/>
        </w:rPr>
      </w:pPr>
    </w:p>
    <w:p>
      <w:pPr>
        <w:ind w:left="1220" w:right="3559" w:hanging="1218"/>
        <w:spacing w:after="0" w:line="236" w:lineRule="auto"/>
        <w:tabs>
          <w:tab w:leader="none" w:pos="12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Comcast Corporation 1996 Stock Option Plan (as amended and restated, effective April 29, 2002).</w:t>
      </w:r>
    </w:p>
    <w:p>
      <w:pPr>
        <w:spacing w:after="0" w:line="18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Pepper Hamilton LLP.</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Consent of Pepper Hamilton LLP (included in Exhibit 5.1 hereto).</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5"/>
          <w:szCs w:val="15"/>
          <w:color w:val="auto"/>
        </w:rPr>
        <w:t>Power of Attorney (included on signature page).</w:t>
      </w:r>
    </w:p>
    <w:p>
      <w:pPr>
        <w:spacing w:after="0" w:line="185" w:lineRule="exact"/>
        <w:rPr>
          <w:sz w:val="20"/>
          <w:szCs w:val="20"/>
          <w:color w:val="auto"/>
        </w:rPr>
      </w:pPr>
    </w:p>
    <w:p>
      <w:pPr>
        <w:ind w:left="1220" w:right="3179" w:hanging="1218"/>
        <w:spacing w:after="0" w:line="263" w:lineRule="auto"/>
        <w:tabs>
          <w:tab w:leader="none" w:pos="12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5"/>
          <w:szCs w:val="15"/>
          <w:color w:val="auto"/>
        </w:rPr>
        <w:t>Comcast Corporation's annual financial statements for the year ended December 31, 2001 and Independent Auditors' Report.</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5" w:name="page6"/>
    <w:bookmarkEnd w:id="5"/>
    <w:p>
      <w:pPr>
        <w:jc w:val="right"/>
        <w:ind w:right="2719"/>
        <w:spacing w:after="0"/>
        <w:rPr>
          <w:sz w:val="20"/>
          <w:szCs w:val="20"/>
          <w:color w:val="auto"/>
        </w:rPr>
      </w:pPr>
      <w:r>
        <w:rPr>
          <w:rFonts w:ascii="Courier New" w:cs="Courier New" w:eastAsia="Courier New" w:hAnsi="Courier New"/>
          <w:sz w:val="16"/>
          <w:szCs w:val="16"/>
          <w:color w:val="auto"/>
        </w:rPr>
        <w:t>Exhibit 4.1</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COMCAST CORPORATION</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1996 STOCK OPTION PLAN</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(As Amended and Restated, Effective April 29, 2002)</w:t>
      </w:r>
    </w:p>
    <w:p>
      <w:pPr>
        <w:spacing w:after="0" w:line="360" w:lineRule="exact"/>
        <w:rPr>
          <w:sz w:val="20"/>
          <w:szCs w:val="20"/>
          <w:color w:val="auto"/>
        </w:rPr>
      </w:pPr>
    </w:p>
    <w:p>
      <w:pPr>
        <w:ind w:left="1400" w:hanging="466"/>
        <w:spacing w:after="0"/>
        <w:tabs>
          <w:tab w:leader="none" w:pos="1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85"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69" w:lineRule="exact"/>
        <w:rPr>
          <w:sz w:val="20"/>
          <w:szCs w:val="20"/>
          <w:color w:val="auto"/>
        </w:rPr>
      </w:pPr>
    </w:p>
    <w:p>
      <w:pPr>
        <w:ind w:left="1400" w:hanging="466"/>
        <w:spacing w:after="0"/>
        <w:tabs>
          <w:tab w:leader="none" w:pos="1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4" w:lineRule="exact"/>
        <w:rPr>
          <w:rFonts w:ascii="Courier New" w:cs="Courier New" w:eastAsia="Courier New" w:hAnsi="Courier New"/>
          <w:sz w:val="16"/>
          <w:szCs w:val="16"/>
          <w:color w:val="auto"/>
        </w:rPr>
      </w:pPr>
    </w:p>
    <w:p>
      <w:pPr>
        <w:ind w:right="2719" w:firstLine="1684"/>
        <w:spacing w:after="0" w:line="238" w:lineRule="auto"/>
        <w:tabs>
          <w:tab w:leader="none" w:pos="206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0" w:lineRule="exact"/>
        <w:rPr>
          <w:rFonts w:ascii="Courier New" w:cs="Courier New" w:eastAsia="Courier New" w:hAnsi="Courier New"/>
          <w:sz w:val="16"/>
          <w:szCs w:val="16"/>
          <w:color w:val="auto"/>
        </w:rPr>
      </w:pPr>
    </w:p>
    <w:p>
      <w:pPr>
        <w:ind w:left="2060" w:hanging="376"/>
        <w:spacing w:after="0"/>
        <w:tabs>
          <w:tab w:leader="none" w:pos="20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Sponsor.</w:t>
      </w:r>
    </w:p>
    <w:p>
      <w:pPr>
        <w:spacing w:after="0" w:line="184" w:lineRule="exact"/>
        <w:rPr>
          <w:rFonts w:ascii="Courier New" w:cs="Courier New" w:eastAsia="Courier New" w:hAnsi="Courier New"/>
          <w:sz w:val="16"/>
          <w:szCs w:val="16"/>
          <w:color w:val="auto"/>
        </w:rPr>
      </w:pPr>
    </w:p>
    <w:p>
      <w:pPr>
        <w:ind w:right="2999" w:firstLine="1684"/>
        <w:spacing w:after="0" w:line="236" w:lineRule="auto"/>
        <w:tabs>
          <w:tab w:leader="none" w:pos="206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 lieu of Shares granted under the Plan and described in Paragraph 3(a)(iii).</w:t>
      </w:r>
    </w:p>
    <w:p>
      <w:pPr>
        <w:spacing w:after="0" w:line="179" w:lineRule="exact"/>
        <w:rPr>
          <w:rFonts w:ascii="Courier New" w:cs="Courier New" w:eastAsia="Courier New" w:hAnsi="Courier New"/>
          <w:sz w:val="16"/>
          <w:szCs w:val="16"/>
          <w:color w:val="auto"/>
        </w:rPr>
      </w:pPr>
    </w:p>
    <w:p>
      <w:pPr>
        <w:ind w:left="2060" w:hanging="376"/>
        <w:spacing w:after="0"/>
        <w:tabs>
          <w:tab w:leader="none" w:pos="20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spacing w:after="0" w:line="184" w:lineRule="exact"/>
        <w:rPr>
          <w:rFonts w:ascii="Courier New" w:cs="Courier New" w:eastAsia="Courier New" w:hAnsi="Courier New"/>
          <w:sz w:val="16"/>
          <w:szCs w:val="16"/>
          <w:color w:val="auto"/>
        </w:rPr>
      </w:pPr>
    </w:p>
    <w:p>
      <w:pPr>
        <w:ind w:left="460" w:right="2819" w:firstLine="1787"/>
        <w:spacing w:after="0" w:line="238" w:lineRule="auto"/>
        <w:tabs>
          <w:tab w:leader="none" w:pos="2711"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84" w:lineRule="exact"/>
        <w:rPr>
          <w:rFonts w:ascii="Courier New" w:cs="Courier New" w:eastAsia="Courier New" w:hAnsi="Courier New"/>
          <w:sz w:val="16"/>
          <w:szCs w:val="16"/>
          <w:color w:val="auto"/>
        </w:rPr>
      </w:pPr>
    </w:p>
    <w:p>
      <w:pPr>
        <w:ind w:left="460" w:right="2999" w:firstLine="1787"/>
        <w:spacing w:after="0" w:line="238" w:lineRule="auto"/>
        <w:tabs>
          <w:tab w:leader="none" w:pos="2711"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184" w:lineRule="exact"/>
        <w:rPr>
          <w:rFonts w:ascii="Courier New" w:cs="Courier New" w:eastAsia="Courier New" w:hAnsi="Courier New"/>
          <w:sz w:val="16"/>
          <w:szCs w:val="16"/>
          <w:color w:val="auto"/>
        </w:rPr>
      </w:pPr>
    </w:p>
    <w:p>
      <w:pPr>
        <w:ind w:right="2899" w:firstLine="1684"/>
        <w:spacing w:after="0" w:line="237" w:lineRule="auto"/>
        <w:tabs>
          <w:tab w:leader="none" w:pos="206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ectPr>
          <w:pgSz w:w="11900" w:h="16838" w:orient="portrait"/>
          <w:cols w:equalWidth="0" w:num="1">
            <w:col w:w="10219"/>
          </w:cols>
          <w:pgMar w:left="240" w:top="497" w:right="1440" w:bottom="1440" w:gutter="0" w:footer="0" w:header="0"/>
        </w:sectPr>
      </w:pPr>
    </w:p>
    <w:bookmarkStart w:id="6" w:name="page7"/>
    <w:bookmarkEnd w:id="6"/>
    <w:p>
      <w:pPr>
        <w:ind w:left="1680"/>
        <w:spacing w:after="0"/>
        <w:rPr>
          <w:sz w:val="20"/>
          <w:szCs w:val="20"/>
          <w:color w:val="auto"/>
        </w:rPr>
      </w:pPr>
      <w:r>
        <w:rPr>
          <w:rFonts w:ascii="Courier New" w:cs="Courier New" w:eastAsia="Courier New" w:hAnsi="Courier New"/>
          <w:sz w:val="16"/>
          <w:szCs w:val="16"/>
          <w:color w:val="auto"/>
        </w:rPr>
        <w:t>(f) "Code" means the Internal Revenue Code of 1986, as</w:t>
      </w:r>
    </w:p>
    <w:p>
      <w:pPr>
        <w:spacing w:after="0"/>
        <w:rPr>
          <w:sz w:val="20"/>
          <w:szCs w:val="20"/>
          <w:color w:val="auto"/>
        </w:rPr>
      </w:pPr>
      <w:r>
        <w:rPr>
          <w:rFonts w:ascii="Courier New" w:cs="Courier New" w:eastAsia="Courier New" w:hAnsi="Courier New"/>
          <w:sz w:val="16"/>
          <w:szCs w:val="16"/>
          <w:color w:val="auto"/>
        </w:rPr>
        <w:t>amended.</w:t>
      </w:r>
    </w:p>
    <w:p>
      <w:pPr>
        <w:spacing w:after="0" w:line="184" w:lineRule="exact"/>
        <w:rPr>
          <w:sz w:val="20"/>
          <w:szCs w:val="20"/>
          <w:color w:val="auto"/>
        </w:rPr>
      </w:pPr>
    </w:p>
    <w:p>
      <w:pPr>
        <w:ind w:right="2899" w:firstLine="1684"/>
        <w:spacing w:after="0" w:line="237"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88" w:lineRule="exact"/>
        <w:rPr>
          <w:rFonts w:ascii="Courier New" w:cs="Courier New" w:eastAsia="Courier New" w:hAnsi="Courier New"/>
          <w:sz w:val="16"/>
          <w:szCs w:val="16"/>
          <w:color w:val="auto"/>
        </w:rPr>
      </w:pPr>
    </w:p>
    <w:p>
      <w:pPr>
        <w:ind w:left="2060" w:hanging="376"/>
        <w:spacing w:after="0"/>
        <w:tabs>
          <w:tab w:leader="none" w:pos="2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described in Paragraph 5.</w:t>
      </w:r>
    </w:p>
    <w:p>
      <w:pPr>
        <w:spacing w:after="0" w:line="185" w:lineRule="exact"/>
        <w:rPr>
          <w:rFonts w:ascii="Courier New" w:cs="Courier New" w:eastAsia="Courier New" w:hAnsi="Courier New"/>
          <w:sz w:val="15"/>
          <w:szCs w:val="15"/>
          <w:color w:val="auto"/>
        </w:rPr>
      </w:pPr>
    </w:p>
    <w:p>
      <w:pPr>
        <w:ind w:left="2060" w:hanging="376"/>
        <w:spacing w:after="0"/>
        <w:tabs>
          <w:tab w:leader="none" w:pos="2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w:t>
      </w:r>
    </w:p>
    <w:p>
      <w:pPr>
        <w:spacing w:after="0" w:line="179" w:lineRule="exact"/>
        <w:rPr>
          <w:rFonts w:ascii="Courier New" w:cs="Courier New" w:eastAsia="Courier New" w:hAnsi="Courier New"/>
          <w:sz w:val="16"/>
          <w:szCs w:val="16"/>
          <w:color w:val="auto"/>
        </w:rPr>
      </w:pPr>
    </w:p>
    <w:p>
      <w:pPr>
        <w:ind w:left="2720" w:hanging="473"/>
        <w:spacing w:after="0"/>
        <w:tabs>
          <w:tab w:leader="none" w:pos="272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Sponsor's Class A Special Common Stock, par</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value, $1.00; and</w:t>
      </w:r>
    </w:p>
    <w:p>
      <w:pPr>
        <w:spacing w:after="0" w:line="178" w:lineRule="exact"/>
        <w:rPr>
          <w:rFonts w:ascii="Courier New" w:cs="Courier New" w:eastAsia="Courier New" w:hAnsi="Courier New"/>
          <w:sz w:val="16"/>
          <w:szCs w:val="16"/>
          <w:color w:val="auto"/>
        </w:rPr>
      </w:pPr>
    </w:p>
    <w:p>
      <w:pPr>
        <w:ind w:left="2720" w:hanging="473"/>
        <w:spacing w:after="0"/>
        <w:tabs>
          <w:tab w:leader="none" w:pos="272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approval of the Sponsor's</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the Sponsor's Class B Common Stock, par value, $1.00.</w:t>
      </w:r>
    </w:p>
    <w:p>
      <w:pPr>
        <w:spacing w:after="0" w:line="183" w:lineRule="exact"/>
        <w:rPr>
          <w:rFonts w:ascii="Courier New" w:cs="Courier New" w:eastAsia="Courier New" w:hAnsi="Courier New"/>
          <w:sz w:val="16"/>
          <w:szCs w:val="16"/>
          <w:color w:val="auto"/>
        </w:rPr>
      </w:pPr>
    </w:p>
    <w:p>
      <w:pPr>
        <w:ind w:right="3479" w:firstLine="1684"/>
        <w:spacing w:after="0" w:line="236"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 and Subsidiary Companies.</w:t>
      </w:r>
    </w:p>
    <w:p>
      <w:pPr>
        <w:spacing w:after="0" w:line="179" w:lineRule="exact"/>
        <w:rPr>
          <w:rFonts w:ascii="Courier New" w:cs="Courier New" w:eastAsia="Courier New" w:hAnsi="Courier New"/>
          <w:sz w:val="16"/>
          <w:szCs w:val="16"/>
          <w:color w:val="auto"/>
        </w:rPr>
      </w:pPr>
    </w:p>
    <w:p>
      <w:pPr>
        <w:ind w:left="2060" w:hanging="376"/>
        <w:spacing w:after="0"/>
        <w:tabs>
          <w:tab w:leader="none" w:pos="2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 Option is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granted.</w:t>
      </w:r>
    </w:p>
    <w:p>
      <w:pPr>
        <w:spacing w:after="0" w:line="183" w:lineRule="exact"/>
        <w:rPr>
          <w:rFonts w:ascii="Courier New" w:cs="Courier New" w:eastAsia="Courier New" w:hAnsi="Courier New"/>
          <w:sz w:val="16"/>
          <w:szCs w:val="16"/>
          <w:color w:val="auto"/>
        </w:rPr>
      </w:pPr>
    </w:p>
    <w:p>
      <w:pPr>
        <w:ind w:right="3179" w:firstLine="1684"/>
        <w:spacing w:after="0" w:line="236"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 Code.</w:t>
      </w:r>
    </w:p>
    <w:p>
      <w:pPr>
        <w:spacing w:after="0" w:line="184" w:lineRule="exact"/>
        <w:rPr>
          <w:rFonts w:ascii="Courier New" w:cs="Courier New" w:eastAsia="Courier New" w:hAnsi="Courier New"/>
          <w:sz w:val="16"/>
          <w:szCs w:val="16"/>
          <w:color w:val="auto"/>
        </w:rPr>
      </w:pPr>
    </w:p>
    <w:p>
      <w:pPr>
        <w:ind w:right="2899" w:firstLine="1684"/>
        <w:spacing w:after="0" w:line="237"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85" w:lineRule="exact"/>
        <w:rPr>
          <w:rFonts w:ascii="Courier New" w:cs="Courier New" w:eastAsia="Courier New" w:hAnsi="Courier New"/>
          <w:sz w:val="16"/>
          <w:szCs w:val="16"/>
          <w:color w:val="auto"/>
        </w:rPr>
      </w:pPr>
    </w:p>
    <w:p>
      <w:pPr>
        <w:ind w:right="2819" w:firstLine="1684"/>
        <w:spacing w:after="0" w:line="238"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86" w:lineRule="exact"/>
        <w:rPr>
          <w:rFonts w:ascii="Courier New" w:cs="Courier New" w:eastAsia="Courier New" w:hAnsi="Courier New"/>
          <w:sz w:val="16"/>
          <w:szCs w:val="16"/>
          <w:color w:val="auto"/>
        </w:rPr>
      </w:pPr>
    </w:p>
    <w:p>
      <w:pPr>
        <w:ind w:right="3099" w:firstLine="1684"/>
        <w:spacing w:after="0" w:line="236"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 the Plan by the Board.</w:t>
      </w:r>
    </w:p>
    <w:p>
      <w:pPr>
        <w:spacing w:after="0" w:line="184" w:lineRule="exact"/>
        <w:rPr>
          <w:rFonts w:ascii="Courier New" w:cs="Courier New" w:eastAsia="Courier New" w:hAnsi="Courier New"/>
          <w:sz w:val="16"/>
          <w:szCs w:val="16"/>
          <w:color w:val="auto"/>
        </w:rPr>
      </w:pPr>
    </w:p>
    <w:p>
      <w:pPr>
        <w:ind w:right="2899" w:firstLine="1684"/>
        <w:spacing w:after="0" w:line="237"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184" w:lineRule="exact"/>
        <w:rPr>
          <w:rFonts w:ascii="Courier New" w:cs="Courier New" w:eastAsia="Courier New" w:hAnsi="Courier New"/>
          <w:sz w:val="16"/>
          <w:szCs w:val="16"/>
          <w:color w:val="auto"/>
        </w:rPr>
      </w:pPr>
    </w:p>
    <w:p>
      <w:pPr>
        <w:ind w:right="2719" w:firstLine="1684"/>
        <w:spacing w:after="0" w:line="237" w:lineRule="auto"/>
        <w:tabs>
          <w:tab w:leader="none" w:pos="20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7" w:name="page8"/>
    <w:bookmarkEnd w:id="7"/>
    <w:p>
      <w:pPr>
        <w:ind w:right="2819"/>
        <w:spacing w:after="0" w:line="259" w:lineRule="auto"/>
        <w:rPr>
          <w:sz w:val="20"/>
          <w:szCs w:val="20"/>
          <w:color w:val="auto"/>
        </w:rPr>
      </w:pPr>
      <w:r>
        <w:rPr>
          <w:rFonts w:ascii="Courier New" w:cs="Courier New" w:eastAsia="Courier New" w:hAnsi="Courier New"/>
          <w:sz w:val="15"/>
          <w:szCs w:val="15"/>
          <w:color w:val="auto"/>
        </w:rPr>
        <w:t>by the Committee at the time of grant as an Incentive Stock Option fails to satisfy the requirements for an incentive stock option under section 422 of the Code for any reason, such Option shall be treated as a Non-Qualified Option.</w:t>
      </w:r>
    </w:p>
    <w:p>
      <w:pPr>
        <w:spacing w:after="0" w:line="171" w:lineRule="exact"/>
        <w:rPr>
          <w:sz w:val="20"/>
          <w:szCs w:val="20"/>
          <w:color w:val="auto"/>
        </w:rPr>
      </w:pPr>
    </w:p>
    <w:p>
      <w:pPr>
        <w:jc w:val="both"/>
        <w:ind w:right="2819" w:firstLine="1684"/>
        <w:spacing w:after="0" w:line="237" w:lineRule="auto"/>
        <w:tabs>
          <w:tab w:leader="none" w:pos="20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a Company, including an individual who is a member of the Board and who previously was an employee of a Company.</w:t>
      </w:r>
    </w:p>
    <w:p>
      <w:pPr>
        <w:spacing w:after="0" w:line="180" w:lineRule="exact"/>
        <w:rPr>
          <w:rFonts w:ascii="Courier New" w:cs="Courier New" w:eastAsia="Courier New" w:hAnsi="Courier New"/>
          <w:sz w:val="16"/>
          <w:szCs w:val="16"/>
          <w:color w:val="auto"/>
        </w:rPr>
      </w:pPr>
    </w:p>
    <w:p>
      <w:pPr>
        <w:ind w:left="2060" w:hanging="376"/>
        <w:spacing w:after="0"/>
        <w:tabs>
          <w:tab w:leader="none" w:pos="2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84" w:lineRule="exact"/>
        <w:rPr>
          <w:rFonts w:ascii="Courier New" w:cs="Courier New" w:eastAsia="Courier New" w:hAnsi="Courier New"/>
          <w:sz w:val="16"/>
          <w:szCs w:val="16"/>
          <w:color w:val="auto"/>
        </w:rPr>
      </w:pPr>
    </w:p>
    <w:p>
      <w:pPr>
        <w:ind w:left="2720" w:hanging="473"/>
        <w:spacing w:after="0"/>
        <w:tabs>
          <w:tab w:leader="none" w:pos="27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designated by the</w:t>
      </w:r>
    </w:p>
    <w:p>
      <w:pPr>
        <w:spacing w:after="0" w:line="10" w:lineRule="exact"/>
        <w:rPr>
          <w:rFonts w:ascii="Courier New" w:cs="Courier New" w:eastAsia="Courier New" w:hAnsi="Courier New"/>
          <w:sz w:val="15"/>
          <w:szCs w:val="15"/>
          <w:color w:val="auto"/>
        </w:rPr>
      </w:pPr>
    </w:p>
    <w:p>
      <w:pPr>
        <w:ind w:left="460" w:right="337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at the time of such grant as a Non-Qualified Option and containing the terms specified herein for Non-Qualified Options; and</w:t>
      </w:r>
    </w:p>
    <w:p>
      <w:pPr>
        <w:spacing w:after="0" w:line="168" w:lineRule="exact"/>
        <w:rPr>
          <w:rFonts w:ascii="Courier New" w:cs="Courier New" w:eastAsia="Courier New" w:hAnsi="Courier New"/>
          <w:sz w:val="15"/>
          <w:szCs w:val="15"/>
          <w:color w:val="auto"/>
        </w:rPr>
      </w:pPr>
    </w:p>
    <w:p>
      <w:pPr>
        <w:ind w:left="460" w:right="2719" w:firstLine="1787"/>
        <w:spacing w:after="0" w:line="237" w:lineRule="auto"/>
        <w:tabs>
          <w:tab w:leader="none" w:pos="271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85" w:lineRule="exact"/>
        <w:rPr>
          <w:rFonts w:ascii="Courier New" w:cs="Courier New" w:eastAsia="Courier New" w:hAnsi="Courier New"/>
          <w:sz w:val="16"/>
          <w:szCs w:val="16"/>
          <w:color w:val="auto"/>
        </w:rPr>
      </w:pPr>
    </w:p>
    <w:p>
      <w:pPr>
        <w:ind w:right="2719" w:firstLine="1684"/>
        <w:spacing w:after="0" w:line="236" w:lineRule="auto"/>
        <w:tabs>
          <w:tab w:leader="none" w:pos="20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any stock option granted under the Plan and described in Paragraph 3(a).</w:t>
      </w:r>
    </w:p>
    <w:p>
      <w:pPr>
        <w:spacing w:after="0" w:line="184" w:lineRule="exact"/>
        <w:rPr>
          <w:rFonts w:ascii="Courier New" w:cs="Courier New" w:eastAsia="Courier New" w:hAnsi="Courier New"/>
          <w:sz w:val="16"/>
          <w:szCs w:val="16"/>
          <w:color w:val="auto"/>
        </w:rPr>
      </w:pPr>
    </w:p>
    <w:p>
      <w:pPr>
        <w:ind w:right="2819" w:firstLine="1684"/>
        <w:spacing w:after="0" w:line="237" w:lineRule="auto"/>
        <w:tabs>
          <w:tab w:leader="none" w:pos="20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 under the Plan, which Option has not been exercised in full and has not expired or terminated.</w:t>
      </w:r>
    </w:p>
    <w:p>
      <w:pPr>
        <w:spacing w:after="0" w:line="179" w:lineRule="exact"/>
        <w:rPr>
          <w:rFonts w:ascii="Courier New" w:cs="Courier New" w:eastAsia="Courier New" w:hAnsi="Courier New"/>
          <w:sz w:val="16"/>
          <w:szCs w:val="16"/>
          <w:color w:val="auto"/>
        </w:rPr>
      </w:pPr>
    </w:p>
    <w:p>
      <w:pPr>
        <w:ind w:left="2060" w:hanging="376"/>
        <w:spacing w:after="0"/>
        <w:tabs>
          <w:tab w:leader="none" w:pos="2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excess, if any of:</w:t>
      </w:r>
    </w:p>
    <w:p>
      <w:pPr>
        <w:spacing w:after="0" w:line="178" w:lineRule="exact"/>
        <w:rPr>
          <w:rFonts w:ascii="Courier New" w:cs="Courier New" w:eastAsia="Courier New" w:hAnsi="Courier New"/>
          <w:sz w:val="16"/>
          <w:szCs w:val="16"/>
          <w:color w:val="auto"/>
        </w:rPr>
      </w:pPr>
    </w:p>
    <w:p>
      <w:pPr>
        <w:ind w:left="2720" w:hanging="473"/>
        <w:spacing w:after="0"/>
        <w:tabs>
          <w:tab w:leader="none" w:pos="272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over</w:t>
      </w:r>
    </w:p>
    <w:p>
      <w:pPr>
        <w:spacing w:after="0" w:line="178" w:lineRule="exact"/>
        <w:rPr>
          <w:rFonts w:ascii="Courier New" w:cs="Courier New" w:eastAsia="Courier New" w:hAnsi="Courier New"/>
          <w:sz w:val="16"/>
          <w:szCs w:val="16"/>
          <w:color w:val="auto"/>
        </w:rPr>
      </w:pPr>
    </w:p>
    <w:p>
      <w:pPr>
        <w:ind w:left="2720" w:hanging="473"/>
        <w:spacing w:after="0"/>
        <w:tabs>
          <w:tab w:leader="none" w:pos="272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4" w:lineRule="exact"/>
        <w:rPr>
          <w:rFonts w:ascii="Courier New" w:cs="Courier New" w:eastAsia="Courier New" w:hAnsi="Courier New"/>
          <w:sz w:val="16"/>
          <w:szCs w:val="16"/>
          <w:color w:val="auto"/>
        </w:rPr>
      </w:pPr>
    </w:p>
    <w:p>
      <w:pPr>
        <w:ind w:left="3180" w:right="2999" w:hanging="464"/>
        <w:spacing w:after="0" w:line="236" w:lineRule="auto"/>
        <w:tabs>
          <w:tab w:leader="none" w:pos="318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 six months; plus</w:t>
      </w:r>
    </w:p>
    <w:p>
      <w:pPr>
        <w:spacing w:after="0" w:line="184" w:lineRule="exact"/>
        <w:rPr>
          <w:rFonts w:ascii="Courier New" w:cs="Courier New" w:eastAsia="Courier New" w:hAnsi="Courier New"/>
          <w:sz w:val="16"/>
          <w:szCs w:val="16"/>
          <w:color w:val="auto"/>
        </w:rPr>
      </w:pPr>
    </w:p>
    <w:p>
      <w:pPr>
        <w:ind w:left="3180" w:right="2899" w:hanging="464"/>
        <w:spacing w:after="0" w:line="237" w:lineRule="auto"/>
        <w:tabs>
          <w:tab w:leader="none" w:pos="318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188" w:lineRule="exact"/>
        <w:rPr>
          <w:rFonts w:ascii="Courier New" w:cs="Courier New" w:eastAsia="Courier New" w:hAnsi="Courier New"/>
          <w:sz w:val="16"/>
          <w:szCs w:val="16"/>
          <w:color w:val="auto"/>
        </w:rPr>
      </w:pPr>
    </w:p>
    <w:p>
      <w:pPr>
        <w:ind w:left="3180" w:right="2719" w:hanging="464"/>
        <w:spacing w:after="0" w:line="256" w:lineRule="auto"/>
        <w:tabs>
          <w:tab w:leader="none" w:pos="318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173" w:lineRule="exact"/>
        <w:rPr>
          <w:rFonts w:ascii="Courier New" w:cs="Courier New" w:eastAsia="Courier New" w:hAnsi="Courier New"/>
          <w:sz w:val="15"/>
          <w:szCs w:val="15"/>
          <w:color w:val="auto"/>
        </w:rPr>
      </w:pPr>
    </w:p>
    <w:p>
      <w:pPr>
        <w:jc w:val="both"/>
        <w:ind w:left="3180" w:right="2719" w:hanging="464"/>
        <w:spacing w:after="0" w:line="263" w:lineRule="auto"/>
        <w:tabs>
          <w:tab w:leader="none" w:pos="318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Optionee as to which evidence of ownership has, within the</w:t>
      </w: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8" w:name="page9"/>
    <w:bookmarkEnd w:id="8"/>
    <w:p>
      <w:pPr>
        <w:ind w:left="3180"/>
        <w:spacing w:after="0"/>
        <w:rPr>
          <w:sz w:val="20"/>
          <w:szCs w:val="20"/>
          <w:color w:val="auto"/>
        </w:rPr>
      </w:pPr>
      <w:r>
        <w:rPr>
          <w:rFonts w:ascii="Courier New" w:cs="Courier New" w:eastAsia="Courier New" w:hAnsi="Courier New"/>
          <w:sz w:val="16"/>
          <w:szCs w:val="16"/>
          <w:color w:val="auto"/>
        </w:rPr>
        <w:t>preceding six months, been provided to the</w:t>
      </w:r>
    </w:p>
    <w:p>
      <w:pPr>
        <w:ind w:left="3180"/>
        <w:spacing w:after="0"/>
        <w:rPr>
          <w:sz w:val="20"/>
          <w:szCs w:val="20"/>
          <w:color w:val="auto"/>
        </w:rPr>
      </w:pPr>
      <w:r>
        <w:rPr>
          <w:rFonts w:ascii="Courier New" w:cs="Courier New" w:eastAsia="Courier New" w:hAnsi="Courier New"/>
          <w:sz w:val="16"/>
          <w:szCs w:val="16"/>
          <w:color w:val="auto"/>
        </w:rPr>
        <w:t>Company in connection with the crediting of</w:t>
      </w:r>
    </w:p>
    <w:p>
      <w:pPr>
        <w:ind w:left="3180"/>
        <w:spacing w:after="0" w:line="237" w:lineRule="auto"/>
        <w:rPr>
          <w:sz w:val="20"/>
          <w:szCs w:val="20"/>
          <w:color w:val="auto"/>
        </w:rPr>
      </w:pPr>
      <w:r>
        <w:rPr>
          <w:rFonts w:ascii="Courier New" w:cs="Courier New" w:eastAsia="Courier New" w:hAnsi="Courier New"/>
          <w:sz w:val="16"/>
          <w:szCs w:val="16"/>
          <w:color w:val="auto"/>
        </w:rPr>
        <w:t>"Deferred Stock Units" to such Optionee's</w:t>
      </w:r>
    </w:p>
    <w:p>
      <w:pPr>
        <w:ind w:left="3180"/>
        <w:spacing w:after="0"/>
        <w:rPr>
          <w:sz w:val="20"/>
          <w:szCs w:val="20"/>
          <w:color w:val="auto"/>
        </w:rPr>
      </w:pPr>
      <w:r>
        <w:rPr>
          <w:rFonts w:ascii="Courier New" w:cs="Courier New" w:eastAsia="Courier New" w:hAnsi="Courier New"/>
          <w:sz w:val="16"/>
          <w:szCs w:val="16"/>
          <w:color w:val="auto"/>
        </w:rPr>
        <w:t>Account under the Comcast Corporation 1997</w:t>
      </w:r>
    </w:p>
    <w:p>
      <w:pPr>
        <w:ind w:left="3180"/>
        <w:spacing w:after="0" w:line="238" w:lineRule="auto"/>
        <w:rPr>
          <w:sz w:val="20"/>
          <w:szCs w:val="20"/>
          <w:color w:val="auto"/>
        </w:rPr>
      </w:pPr>
      <w:r>
        <w:rPr>
          <w:rFonts w:ascii="Courier New" w:cs="Courier New" w:eastAsia="Courier New" w:hAnsi="Courier New"/>
          <w:sz w:val="16"/>
          <w:szCs w:val="16"/>
          <w:color w:val="auto"/>
        </w:rPr>
        <w:t>Deferred Stock Option Plan.</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the Sponsor's Class A Common Stock, par value, $1.00 and the Sponsor's Class B Common Stock, par value, $1.00.</w:t>
      </w:r>
    </w:p>
    <w:p>
      <w:pPr>
        <w:spacing w:after="0" w:line="185" w:lineRule="exact"/>
        <w:rPr>
          <w:sz w:val="20"/>
          <w:szCs w:val="20"/>
          <w:color w:val="auto"/>
        </w:rPr>
      </w:pPr>
    </w:p>
    <w:p>
      <w:pPr>
        <w:ind w:right="2899" w:firstLine="1684"/>
        <w:spacing w:after="0" w:line="237" w:lineRule="auto"/>
        <w:tabs>
          <w:tab w:leader="none" w:pos="20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 who is an "outside director" within the meaning of section 162(m)(4)(C) of the Code and applicable Treasury Regulations issued thereunder.</w:t>
      </w:r>
    </w:p>
    <w:p>
      <w:pPr>
        <w:spacing w:after="0" w:line="184" w:lineRule="exact"/>
        <w:rPr>
          <w:rFonts w:ascii="Courier New" w:cs="Courier New" w:eastAsia="Courier New" w:hAnsi="Courier New"/>
          <w:sz w:val="16"/>
          <w:szCs w:val="16"/>
          <w:color w:val="auto"/>
        </w:rPr>
      </w:pPr>
    </w:p>
    <w:p>
      <w:pPr>
        <w:ind w:right="2819" w:firstLine="1684"/>
        <w:spacing w:after="0" w:line="237" w:lineRule="auto"/>
        <w:tabs>
          <w:tab w:leader="none" w:pos="20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Sponsor within the meaning of section 424(e) of the Code.</w:t>
      </w:r>
    </w:p>
    <w:p>
      <w:pPr>
        <w:spacing w:after="0" w:line="184" w:lineRule="exact"/>
        <w:rPr>
          <w:rFonts w:ascii="Courier New" w:cs="Courier New" w:eastAsia="Courier New" w:hAnsi="Courier New"/>
          <w:sz w:val="16"/>
          <w:szCs w:val="16"/>
          <w:color w:val="auto"/>
        </w:rPr>
      </w:pPr>
    </w:p>
    <w:p>
      <w:pPr>
        <w:ind w:right="3379" w:firstLine="1684"/>
        <w:spacing w:after="0" w:line="263" w:lineRule="auto"/>
        <w:tabs>
          <w:tab w:leader="none" w:pos="206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63" w:lineRule="exact"/>
        <w:rPr>
          <w:rFonts w:ascii="Courier New" w:cs="Courier New" w:eastAsia="Courier New" w:hAnsi="Courier New"/>
          <w:sz w:val="15"/>
          <w:szCs w:val="15"/>
          <w:color w:val="auto"/>
        </w:rPr>
      </w:pPr>
    </w:p>
    <w:p>
      <w:pPr>
        <w:ind w:left="2060" w:hanging="376"/>
        <w:spacing w:after="0"/>
        <w:tabs>
          <w:tab w:leader="none" w:pos="2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 Option</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w:t>
      </w:r>
    </w:p>
    <w:p>
      <w:pPr>
        <w:spacing w:after="0" w:line="179" w:lineRule="exact"/>
        <w:rPr>
          <w:sz w:val="20"/>
          <w:szCs w:val="20"/>
          <w:color w:val="auto"/>
        </w:rPr>
      </w:pPr>
    </w:p>
    <w:p>
      <w:pPr>
        <w:ind w:left="2160" w:hanging="476"/>
        <w:spacing w:after="0"/>
        <w:tabs>
          <w:tab w:leader="none" w:pos="2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Roberts Family:</w:t>
      </w:r>
    </w:p>
    <w:p>
      <w:pPr>
        <w:spacing w:after="0" w:line="178" w:lineRule="exact"/>
        <w:rPr>
          <w:rFonts w:ascii="Courier New" w:cs="Courier New" w:eastAsia="Courier New" w:hAnsi="Courier New"/>
          <w:sz w:val="16"/>
          <w:szCs w:val="16"/>
          <w:color w:val="auto"/>
        </w:rPr>
      </w:pPr>
    </w:p>
    <w:p>
      <w:pPr>
        <w:ind w:left="2820" w:hanging="573"/>
        <w:spacing w:after="0"/>
        <w:tabs>
          <w:tab w:leader="none" w:pos="282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79" w:lineRule="exact"/>
        <w:rPr>
          <w:rFonts w:ascii="Courier New" w:cs="Courier New" w:eastAsia="Courier New" w:hAnsi="Courier New"/>
          <w:sz w:val="16"/>
          <w:szCs w:val="16"/>
          <w:color w:val="auto"/>
        </w:rPr>
      </w:pPr>
    </w:p>
    <w:p>
      <w:pPr>
        <w:ind w:left="2820" w:hanging="573"/>
        <w:spacing w:after="0"/>
        <w:tabs>
          <w:tab w:leader="none" w:pos="282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84" w:lineRule="exact"/>
        <w:rPr>
          <w:rFonts w:ascii="Courier New" w:cs="Courier New" w:eastAsia="Courier New" w:hAnsi="Courier New"/>
          <w:sz w:val="16"/>
          <w:szCs w:val="16"/>
          <w:color w:val="auto"/>
        </w:rPr>
      </w:pPr>
    </w:p>
    <w:p>
      <w:pPr>
        <w:jc w:val="both"/>
        <w:ind w:left="460" w:right="3179" w:firstLine="1787"/>
        <w:spacing w:after="0" w:line="237" w:lineRule="auto"/>
        <w:tabs>
          <w:tab w:leader="none" w:pos="280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 L. Roberts and/or a lineal descendant or descendants of Brian L. Roberts.</w:t>
      </w:r>
    </w:p>
    <w:p>
      <w:pPr>
        <w:spacing w:after="0" w:line="179" w:lineRule="exact"/>
        <w:rPr>
          <w:rFonts w:ascii="Courier New" w:cs="Courier New" w:eastAsia="Courier New" w:hAnsi="Courier New"/>
          <w:sz w:val="16"/>
          <w:szCs w:val="16"/>
          <w:color w:val="auto"/>
        </w:rPr>
      </w:pPr>
    </w:p>
    <w:p>
      <w:pPr>
        <w:ind w:left="2160" w:hanging="476"/>
        <w:spacing w:after="0"/>
        <w:tabs>
          <w:tab w:leader="none" w:pos="2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84" w:lineRule="exact"/>
        <w:rPr>
          <w:rFonts w:ascii="Courier New" w:cs="Courier New" w:eastAsia="Courier New" w:hAnsi="Courier New"/>
          <w:sz w:val="16"/>
          <w:szCs w:val="16"/>
          <w:color w:val="auto"/>
        </w:rPr>
      </w:pPr>
    </w:p>
    <w:p>
      <w:pPr>
        <w:jc w:val="both"/>
        <w:ind w:left="460" w:right="2899" w:firstLine="1787"/>
        <w:spacing w:after="0" w:line="237" w:lineRule="auto"/>
        <w:tabs>
          <w:tab w:leader="none" w:pos="261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Common Stock or such other securities issued by the Sponsor as may be the subject of an adjustment under Paragraph 11.</w:t>
      </w:r>
    </w:p>
    <w:p>
      <w:pPr>
        <w:spacing w:after="0" w:line="184" w:lineRule="exact"/>
        <w:rPr>
          <w:rFonts w:ascii="Courier New" w:cs="Courier New" w:eastAsia="Courier New" w:hAnsi="Courier New"/>
          <w:sz w:val="16"/>
          <w:szCs w:val="16"/>
          <w:color w:val="auto"/>
        </w:rPr>
      </w:pPr>
    </w:p>
    <w:p>
      <w:pPr>
        <w:ind w:left="460" w:right="2719" w:firstLine="1787"/>
        <w:spacing w:after="0" w:line="237" w:lineRule="auto"/>
        <w:tabs>
          <w:tab w:leader="none" w:pos="271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2(n), 2(v), 7(d), 8(d) and 16(b), the term "Share" or "Shares" also means a share or shares of the Sponsor's Class A Common Stock, par value, $1.00.</w:t>
      </w:r>
    </w:p>
    <w:p>
      <w:pPr>
        <w:spacing w:after="0" w:line="184" w:lineRule="exact"/>
        <w:rPr>
          <w:rFonts w:ascii="Courier New" w:cs="Courier New" w:eastAsia="Courier New" w:hAnsi="Courier New"/>
          <w:sz w:val="16"/>
          <w:szCs w:val="16"/>
          <w:color w:val="auto"/>
        </w:rPr>
      </w:pPr>
    </w:p>
    <w:p>
      <w:pPr>
        <w:ind w:right="3279" w:firstLine="1684"/>
        <w:spacing w:after="0" w:line="259" w:lineRule="auto"/>
        <w:tabs>
          <w:tab w:leader="none" w:pos="215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 means Comcast Corporation, a Pennsylvania corporation, including any successor thereto by merger, consolidation, acquisition of all or substantially all the assets thereof, or otherwise.</w:t>
      </w:r>
    </w:p>
    <w:p>
      <w:pPr>
        <w:spacing w:after="0" w:line="16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9" w:name="page10"/>
    <w:bookmarkEnd w:id="9"/>
    <w:p>
      <w:pPr>
        <w:ind w:right="2999" w:firstLine="1684"/>
        <w:spacing w:after="0" w:line="237" w:lineRule="auto"/>
        <w:tabs>
          <w:tab w:leader="none" w:pos="215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 time in question, are subsidiary corporations of the Sponsor within the meaning of section 424(f) of the Code.</w:t>
      </w:r>
    </w:p>
    <w:p>
      <w:pPr>
        <w:spacing w:after="0" w:line="184" w:lineRule="exact"/>
        <w:rPr>
          <w:rFonts w:ascii="Courier New" w:cs="Courier New" w:eastAsia="Courier New" w:hAnsi="Courier New"/>
          <w:sz w:val="16"/>
          <w:szCs w:val="16"/>
          <w:color w:val="auto"/>
        </w:rPr>
      </w:pPr>
    </w:p>
    <w:p>
      <w:pPr>
        <w:ind w:right="2719" w:firstLine="1684"/>
        <w:spacing w:after="0" w:line="256" w:lineRule="auto"/>
        <w:tabs>
          <w:tab w:leader="none" w:pos="215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0" w:lineRule="exact"/>
        <w:rPr>
          <w:rFonts w:ascii="Courier New" w:cs="Courier New" w:eastAsia="Courier New" w:hAnsi="Courier New"/>
          <w:sz w:val="15"/>
          <w:szCs w:val="15"/>
          <w:color w:val="auto"/>
        </w:rPr>
      </w:pPr>
    </w:p>
    <w:p>
      <w:pPr>
        <w:ind w:left="2160" w:hanging="476"/>
        <w:spacing w:after="0"/>
        <w:tabs>
          <w:tab w:leader="none" w:pos="21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79" w:lineRule="exact"/>
        <w:rPr>
          <w:rFonts w:ascii="Courier New" w:cs="Courier New" w:eastAsia="Courier New" w:hAnsi="Courier New"/>
          <w:sz w:val="16"/>
          <w:szCs w:val="16"/>
          <w:color w:val="auto"/>
        </w:rPr>
      </w:pPr>
    </w:p>
    <w:p>
      <w:pPr>
        <w:ind w:left="3100" w:hanging="478"/>
        <w:spacing w:after="0"/>
        <w:tabs>
          <w:tab w:leader="none" w:pos="310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79" w:lineRule="exact"/>
        <w:rPr>
          <w:rFonts w:ascii="Courier New" w:cs="Courier New" w:eastAsia="Courier New" w:hAnsi="Courier New"/>
          <w:sz w:val="16"/>
          <w:szCs w:val="16"/>
          <w:color w:val="auto"/>
        </w:rPr>
      </w:pPr>
    </w:p>
    <w:p>
      <w:pPr>
        <w:ind w:left="3100" w:hanging="478"/>
        <w:spacing w:after="0"/>
        <w:tabs>
          <w:tab w:leader="none" w:pos="310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4" w:lineRule="exact"/>
        <w:rPr>
          <w:rFonts w:ascii="Courier New" w:cs="Courier New" w:eastAsia="Courier New" w:hAnsi="Courier New"/>
          <w:sz w:val="16"/>
          <w:szCs w:val="16"/>
          <w:color w:val="auto"/>
        </w:rPr>
      </w:pPr>
    </w:p>
    <w:p>
      <w:pPr>
        <w:ind w:right="3099" w:firstLine="1684"/>
        <w:spacing w:after="0" w:line="237" w:lineRule="auto"/>
        <w:tabs>
          <w:tab w:leader="none" w:pos="215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85" w:lineRule="exact"/>
        <w:rPr>
          <w:rFonts w:ascii="Courier New" w:cs="Courier New" w:eastAsia="Courier New" w:hAnsi="Courier New"/>
          <w:sz w:val="16"/>
          <w:szCs w:val="16"/>
          <w:color w:val="auto"/>
        </w:rPr>
      </w:pPr>
    </w:p>
    <w:p>
      <w:pPr>
        <w:ind w:left="2160" w:hanging="476"/>
        <w:spacing w:after="0"/>
        <w:tabs>
          <w:tab w:leader="none" w:pos="216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 amended.</w:t>
      </w:r>
    </w:p>
    <w:p>
      <w:pPr>
        <w:spacing w:after="0" w:line="190" w:lineRule="exact"/>
        <w:rPr>
          <w:rFonts w:ascii="Courier New" w:cs="Courier New" w:eastAsia="Courier New" w:hAnsi="Courier New"/>
          <w:sz w:val="15"/>
          <w:szCs w:val="15"/>
          <w:color w:val="auto"/>
        </w:rPr>
      </w:pPr>
    </w:p>
    <w:p>
      <w:pPr>
        <w:ind w:left="2160" w:hanging="476"/>
        <w:spacing w:after="0"/>
        <w:tabs>
          <w:tab w:leader="none" w:pos="216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amended.</w:t>
      </w:r>
    </w:p>
    <w:p>
      <w:pPr>
        <w:spacing w:after="0" w:line="178" w:lineRule="exact"/>
        <w:rPr>
          <w:rFonts w:ascii="Courier New" w:cs="Courier New" w:eastAsia="Courier New" w:hAnsi="Courier New"/>
          <w:sz w:val="15"/>
          <w:szCs w:val="15"/>
          <w:color w:val="auto"/>
        </w:rPr>
      </w:pPr>
    </w:p>
    <w:p>
      <w:pPr>
        <w:ind w:left="1400" w:hanging="466"/>
        <w:spacing w:after="0"/>
        <w:tabs>
          <w:tab w:leader="none" w:pos="1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84" w:lineRule="exact"/>
        <w:rPr>
          <w:rFonts w:ascii="Courier New" w:cs="Courier New" w:eastAsia="Courier New" w:hAnsi="Courier New"/>
          <w:sz w:val="16"/>
          <w:szCs w:val="16"/>
          <w:color w:val="auto"/>
        </w:rPr>
      </w:pPr>
    </w:p>
    <w:p>
      <w:pPr>
        <w:ind w:right="3099" w:firstLine="1684"/>
        <w:spacing w:after="0" w:line="236" w:lineRule="auto"/>
        <w:tabs>
          <w:tab w:leader="none" w:pos="206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 Grant. Rights that may be granted under the Plan are:</w:t>
      </w:r>
    </w:p>
    <w:p>
      <w:pPr>
        <w:spacing w:after="0" w:line="179" w:lineRule="exact"/>
        <w:rPr>
          <w:rFonts w:ascii="Courier New" w:cs="Courier New" w:eastAsia="Courier New" w:hAnsi="Courier New"/>
          <w:sz w:val="16"/>
          <w:szCs w:val="16"/>
          <w:color w:val="auto"/>
        </w:rPr>
      </w:pPr>
    </w:p>
    <w:p>
      <w:pPr>
        <w:ind w:left="3180" w:hanging="558"/>
        <w:spacing w:after="0"/>
        <w:tabs>
          <w:tab w:leader="none" w:pos="3180"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w:t>
      </w:r>
    </w:p>
    <w:p>
      <w:pPr>
        <w:spacing w:after="0" w:line="4" w:lineRule="exact"/>
        <w:rPr>
          <w:rFonts w:ascii="Courier New" w:cs="Courier New" w:eastAsia="Courier New" w:hAnsi="Courier New"/>
          <w:sz w:val="16"/>
          <w:szCs w:val="16"/>
          <w:color w:val="auto"/>
        </w:rPr>
      </w:pPr>
    </w:p>
    <w:p>
      <w:pPr>
        <w:ind w:left="460" w:right="28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who is an employee of a Company the right for a specified time period to purchase a specified number of Shares for a price not less than the Fair Market Value on the Date of Grant;</w:t>
      </w:r>
    </w:p>
    <w:p>
      <w:pPr>
        <w:spacing w:after="0" w:line="184" w:lineRule="exact"/>
        <w:rPr>
          <w:rFonts w:ascii="Courier New" w:cs="Courier New" w:eastAsia="Courier New" w:hAnsi="Courier New"/>
          <w:sz w:val="16"/>
          <w:szCs w:val="16"/>
          <w:color w:val="auto"/>
        </w:rPr>
      </w:pPr>
    </w:p>
    <w:p>
      <w:pPr>
        <w:ind w:left="3180" w:hanging="558"/>
        <w:spacing w:after="0"/>
        <w:tabs>
          <w:tab w:leader="none" w:pos="318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which give the Optionee</w:t>
      </w:r>
    </w:p>
    <w:p>
      <w:pPr>
        <w:spacing w:after="0" w:line="10" w:lineRule="exact"/>
        <w:rPr>
          <w:rFonts w:ascii="Courier New" w:cs="Courier New" w:eastAsia="Courier New" w:hAnsi="Courier New"/>
          <w:sz w:val="15"/>
          <w:szCs w:val="15"/>
          <w:color w:val="auto"/>
        </w:rPr>
      </w:pPr>
    </w:p>
    <w:p>
      <w:pPr>
        <w:ind w:left="460" w:right="30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right for a specified time period to purchase a specified number of Shares for a price determined by the Committee; and</w:t>
      </w:r>
    </w:p>
    <w:p>
      <w:pPr>
        <w:spacing w:after="0" w:line="184" w:lineRule="exact"/>
        <w:rPr>
          <w:rFonts w:ascii="Courier New" w:cs="Courier New" w:eastAsia="Courier New" w:hAnsi="Courier New"/>
          <w:sz w:val="15"/>
          <w:szCs w:val="15"/>
          <w:color w:val="auto"/>
        </w:rPr>
      </w:pPr>
    </w:p>
    <w:p>
      <w:pPr>
        <w:ind w:left="3180" w:hanging="558"/>
        <w:spacing w:after="0"/>
        <w:tabs>
          <w:tab w:leader="none" w:pos="318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which give an Optionee the right</w:t>
      </w:r>
    </w:p>
    <w:p>
      <w:pPr>
        <w:spacing w:after="0" w:line="10" w:lineRule="exact"/>
        <w:rPr>
          <w:rFonts w:ascii="Courier New" w:cs="Courier New" w:eastAsia="Courier New" w:hAnsi="Courier New"/>
          <w:sz w:val="15"/>
          <w:szCs w:val="15"/>
          <w:color w:val="auto"/>
        </w:rPr>
      </w:pPr>
    </w:p>
    <w:p>
      <w:pPr>
        <w:ind w:left="4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7"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In addition, rights that may be granted under the Plan shall include Incentive Stock Options or Non-Qualified Options to purchase a specified number of Shares of the Sponsor's Class A Special Common Stock, par value $1.00, which shall be automatically converted into Incentive Stock Options or Non-Qualified Options to purchase the same number of Shares of the Sponsor's Class B Common Stock, par value $1.00, upon and subject to the approval by the Sponsor's shareholders of the amendment to the Plan adopted by the Board on October 5, 2000 to make the</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10" w:name="page11"/>
    <w:bookmarkEnd w:id="10"/>
    <w:p>
      <w:pPr>
        <w:ind w:right="3279"/>
        <w:spacing w:after="0" w:line="236" w:lineRule="auto"/>
        <w:rPr>
          <w:sz w:val="20"/>
          <w:szCs w:val="20"/>
          <w:color w:val="auto"/>
        </w:rPr>
      </w:pPr>
      <w:r>
        <w:rPr>
          <w:rFonts w:ascii="Courier New" w:cs="Courier New" w:eastAsia="Courier New" w:hAnsi="Courier New"/>
          <w:sz w:val="16"/>
          <w:szCs w:val="16"/>
          <w:color w:val="auto"/>
        </w:rPr>
        <w:t>Sponsor's Class B Common Stock, par value $1.00 available for the grant of Options under the Plan.</w:t>
      </w:r>
    </w:p>
    <w:p>
      <w:pPr>
        <w:spacing w:after="0" w:line="185" w:lineRule="exact"/>
        <w:rPr>
          <w:sz w:val="20"/>
          <w:szCs w:val="20"/>
          <w:color w:val="auto"/>
        </w:rPr>
      </w:pPr>
    </w:p>
    <w:p>
      <w:pPr>
        <w:ind w:right="2819" w:firstLine="1684"/>
        <w:spacing w:after="0" w:line="237" w:lineRule="auto"/>
        <w:tabs>
          <w:tab w:leader="none" w:pos="206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 Shares for which Options may be granted to any single individual in any calendar year, adjusted as provided in Paragraph 11, shall be 10,000,000 Shares.</w:t>
      </w:r>
    </w:p>
    <w:p>
      <w:pPr>
        <w:spacing w:after="0" w:line="184" w:lineRule="exact"/>
        <w:rPr>
          <w:rFonts w:ascii="Courier New" w:cs="Courier New" w:eastAsia="Courier New" w:hAnsi="Courier New"/>
          <w:sz w:val="16"/>
          <w:szCs w:val="16"/>
          <w:color w:val="auto"/>
        </w:rPr>
      </w:pPr>
    </w:p>
    <w:p>
      <w:pPr>
        <w:ind w:right="2819" w:firstLine="1684"/>
        <w:spacing w:after="0" w:line="256" w:lineRule="auto"/>
        <w:tabs>
          <w:tab w:leader="none" w:pos="2063"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70" w:lineRule="exact"/>
        <w:rPr>
          <w:rFonts w:ascii="Courier New" w:cs="Courier New" w:eastAsia="Courier New" w:hAnsi="Courier New"/>
          <w:sz w:val="15"/>
          <w:szCs w:val="15"/>
          <w:color w:val="auto"/>
        </w:rPr>
      </w:pPr>
    </w:p>
    <w:p>
      <w:pPr>
        <w:ind w:left="1400" w:hanging="466"/>
        <w:spacing w:after="0"/>
        <w:tabs>
          <w:tab w:leader="none" w:pos="1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Subject to adjustment as provided in Paragraph 11, not more than 75,000,000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0" w:lineRule="exact"/>
        <w:rPr>
          <w:sz w:val="20"/>
          <w:szCs w:val="20"/>
          <w:color w:val="auto"/>
        </w:rPr>
      </w:pPr>
    </w:p>
    <w:p>
      <w:pPr>
        <w:ind w:left="1400" w:hanging="466"/>
        <w:spacing w:after="0"/>
        <w:tabs>
          <w:tab w:leader="none" w:pos="1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84" w:lineRule="exact"/>
        <w:rPr>
          <w:rFonts w:ascii="Courier New" w:cs="Courier New" w:eastAsia="Courier New" w:hAnsi="Courier New"/>
          <w:sz w:val="16"/>
          <w:szCs w:val="16"/>
          <w:color w:val="auto"/>
        </w:rPr>
      </w:pPr>
    </w:p>
    <w:p>
      <w:pPr>
        <w:ind w:right="2819" w:firstLine="1684"/>
        <w:spacing w:after="0" w:line="238" w:lineRule="auto"/>
        <w:tabs>
          <w:tab w:leader="none" w:pos="206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87" w:lineRule="exact"/>
        <w:rPr>
          <w:rFonts w:ascii="Courier New" w:cs="Courier New" w:eastAsia="Courier New" w:hAnsi="Courier New"/>
          <w:sz w:val="16"/>
          <w:szCs w:val="16"/>
          <w:color w:val="auto"/>
        </w:rPr>
      </w:pPr>
    </w:p>
    <w:p>
      <w:pPr>
        <w:jc w:val="both"/>
        <w:ind w:right="2719" w:firstLine="1684"/>
        <w:spacing w:after="0" w:line="257" w:lineRule="auto"/>
        <w:tabs>
          <w:tab w:leader="none" w:pos="2063"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4" w:lineRule="exact"/>
        <w:rPr>
          <w:rFonts w:ascii="Courier New" w:cs="Courier New" w:eastAsia="Courier New" w:hAnsi="Courier New"/>
          <w:sz w:val="15"/>
          <w:szCs w:val="15"/>
          <w:color w:val="auto"/>
        </w:rPr>
      </w:pPr>
    </w:p>
    <w:p>
      <w:pPr>
        <w:ind w:right="2719" w:firstLine="1684"/>
        <w:spacing w:after="0" w:line="238" w:lineRule="auto"/>
        <w:tabs>
          <w:tab w:leader="none" w:pos="206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1" w:name="page12"/>
    <w:bookmarkEnd w:id="11"/>
    <w:p>
      <w:pPr>
        <w:ind w:left="4" w:right="2719" w:firstLine="1684"/>
        <w:spacing w:after="0" w:line="238" w:lineRule="auto"/>
        <w:tabs>
          <w:tab w:leader="none" w:pos="2067"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81" w:lineRule="exact"/>
        <w:rPr>
          <w:rFonts w:ascii="Courier New" w:cs="Courier New" w:eastAsia="Courier New" w:hAnsi="Courier New"/>
          <w:sz w:val="16"/>
          <w:szCs w:val="16"/>
          <w:color w:val="auto"/>
        </w:rPr>
      </w:pPr>
    </w:p>
    <w:p>
      <w:pPr>
        <w:ind w:left="1404" w:hanging="466"/>
        <w:spacing w:after="0"/>
        <w:tabs>
          <w:tab w:leader="none" w:pos="140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4" w:lineRule="exact"/>
        <w:rPr>
          <w:rFonts w:ascii="Courier New" w:cs="Courier New" w:eastAsia="Courier New" w:hAnsi="Courier New"/>
          <w:sz w:val="16"/>
          <w:szCs w:val="16"/>
          <w:color w:val="auto"/>
        </w:rPr>
      </w:pPr>
    </w:p>
    <w:p>
      <w:pPr>
        <w:ind w:left="4" w:right="2719" w:firstLine="1684"/>
        <w:spacing w:after="0" w:line="238" w:lineRule="auto"/>
        <w:tabs>
          <w:tab w:leader="none" w:pos="206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186" w:lineRule="exact"/>
        <w:rPr>
          <w:rFonts w:ascii="Courier New" w:cs="Courier New" w:eastAsia="Courier New" w:hAnsi="Courier New"/>
          <w:sz w:val="16"/>
          <w:szCs w:val="16"/>
          <w:color w:val="auto"/>
        </w:rPr>
      </w:pPr>
    </w:p>
    <w:p>
      <w:pPr>
        <w:ind w:left="4" w:right="2719" w:firstLine="1684"/>
        <w:spacing w:after="0" w:line="238" w:lineRule="auto"/>
        <w:tabs>
          <w:tab w:leader="none" w:pos="206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181" w:lineRule="exact"/>
        <w:rPr>
          <w:rFonts w:ascii="Courier New" w:cs="Courier New" w:eastAsia="Courier New" w:hAnsi="Courier New"/>
          <w:sz w:val="16"/>
          <w:szCs w:val="16"/>
          <w:color w:val="auto"/>
        </w:rPr>
      </w:pPr>
    </w:p>
    <w:p>
      <w:pPr>
        <w:ind w:left="1404" w:hanging="466"/>
        <w:spacing w:after="0"/>
        <w:tabs>
          <w:tab w:leader="none" w:pos="140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85"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86" w:lineRule="exact"/>
        <w:rPr>
          <w:sz w:val="20"/>
          <w:szCs w:val="20"/>
          <w:color w:val="auto"/>
        </w:rPr>
      </w:pPr>
    </w:p>
    <w:p>
      <w:pPr>
        <w:ind w:left="4" w:right="2819" w:firstLine="1684"/>
        <w:spacing w:after="0" w:line="254" w:lineRule="auto"/>
        <w:tabs>
          <w:tab w:leader="none" w:pos="206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Options shall be granted within 10 years from the earlier of (i) the date of adoption of the Plan by the Board, or</w:t>
      </w:r>
    </w:p>
    <w:p>
      <w:pPr>
        <w:ind w:left="464" w:hanging="464"/>
        <w:spacing w:after="0"/>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Plan by the shareholders of the Sponsor.</w:t>
      </w:r>
    </w:p>
    <w:p>
      <w:pPr>
        <w:spacing w:after="0" w:line="183" w:lineRule="exact"/>
        <w:rPr>
          <w:rFonts w:ascii="Courier New" w:cs="Courier New" w:eastAsia="Courier New" w:hAnsi="Courier New"/>
          <w:sz w:val="16"/>
          <w:szCs w:val="16"/>
          <w:color w:val="auto"/>
        </w:rPr>
      </w:pPr>
    </w:p>
    <w:p>
      <w:pPr>
        <w:ind w:left="4" w:right="2819" w:firstLine="1684"/>
        <w:spacing w:after="0" w:line="238" w:lineRule="auto"/>
        <w:tabs>
          <w:tab w:leader="none" w:pos="206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84" w:lineRule="exact"/>
        <w:rPr>
          <w:rFonts w:ascii="Courier New" w:cs="Courier New" w:eastAsia="Courier New" w:hAnsi="Courier New"/>
          <w:sz w:val="16"/>
          <w:szCs w:val="16"/>
          <w:color w:val="auto"/>
        </w:rPr>
      </w:pPr>
    </w:p>
    <w:p>
      <w:pPr>
        <w:ind w:left="4" w:right="2819" w:firstLine="1684"/>
        <w:spacing w:after="0" w:line="256" w:lineRule="auto"/>
        <w:tabs>
          <w:tab w:leader="none" w:pos="206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w:t>
      </w:r>
    </w:p>
    <w:p>
      <w:pPr>
        <w:spacing w:after="0" w:line="17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659" w:right="1440" w:bottom="1440" w:gutter="0" w:footer="0" w:header="0"/>
        </w:sectPr>
      </w:pPr>
    </w:p>
    <w:bookmarkStart w:id="12" w:name="page13"/>
    <w:bookmarkEnd w:id="12"/>
    <w:p>
      <w:pPr>
        <w:ind w:right="2719"/>
        <w:spacing w:after="0" w:line="238" w:lineRule="auto"/>
        <w:rPr>
          <w:sz w:val="20"/>
          <w:szCs w:val="20"/>
          <w:color w:val="auto"/>
        </w:rPr>
      </w:pPr>
      <w:r>
        <w:rPr>
          <w:rFonts w:ascii="Courier New" w:cs="Courier New" w:eastAsia="Courier New" w:hAnsi="Courier New"/>
          <w:sz w:val="16"/>
          <w:szCs w:val="16"/>
          <w:color w:val="auto"/>
        </w:rPr>
        <w:t>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90" w:lineRule="exact"/>
        <w:rPr>
          <w:sz w:val="20"/>
          <w:szCs w:val="20"/>
          <w:color w:val="auto"/>
        </w:rPr>
      </w:pPr>
    </w:p>
    <w:p>
      <w:pPr>
        <w:ind w:right="2719" w:firstLine="1684"/>
        <w:spacing w:after="0" w:line="255" w:lineRule="auto"/>
        <w:tabs>
          <w:tab w:leader="none" w:pos="206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6" w:lineRule="exact"/>
        <w:rPr>
          <w:rFonts w:ascii="Courier New" w:cs="Courier New" w:eastAsia="Courier New" w:hAnsi="Courier New"/>
          <w:sz w:val="15"/>
          <w:szCs w:val="15"/>
          <w:color w:val="auto"/>
        </w:rPr>
      </w:pPr>
    </w:p>
    <w:p>
      <w:pPr>
        <w:ind w:right="2719" w:firstLine="1684"/>
        <w:spacing w:after="0" w:line="238" w:lineRule="auto"/>
        <w:tabs>
          <w:tab w:leader="none" w:pos="206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4" w:lineRule="exact"/>
        <w:rPr>
          <w:rFonts w:ascii="Courier New" w:cs="Courier New" w:eastAsia="Courier New" w:hAnsi="Courier New"/>
          <w:sz w:val="16"/>
          <w:szCs w:val="16"/>
          <w:color w:val="auto"/>
        </w:rPr>
      </w:pPr>
    </w:p>
    <w:p>
      <w:pPr>
        <w:ind w:right="2719" w:firstLine="1684"/>
        <w:spacing w:after="0" w:line="237" w:lineRule="auto"/>
        <w:tabs>
          <w:tab w:leader="none" w:pos="206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3" w:name="page14"/>
    <w:bookmarkEnd w:id="13"/>
    <w:p>
      <w:pPr>
        <w:ind w:right="2719"/>
        <w:spacing w:after="0" w:line="238" w:lineRule="auto"/>
        <w:rPr>
          <w:sz w:val="20"/>
          <w:szCs w:val="20"/>
          <w:color w:val="auto"/>
        </w:rPr>
      </w:pPr>
      <w:r>
        <w:rPr>
          <w:rFonts w:ascii="Courier New" w:cs="Courier New" w:eastAsia="Courier New" w:hAnsi="Courier New"/>
          <w:sz w:val="16"/>
          <w:szCs w:val="16"/>
          <w:color w:val="auto"/>
        </w:rPr>
        <w:t>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w:t>
      </w:r>
    </w:p>
    <w:p>
      <w:pPr>
        <w:spacing w:after="0" w:line="187" w:lineRule="exact"/>
        <w:rPr>
          <w:sz w:val="20"/>
          <w:szCs w:val="20"/>
          <w:color w:val="auto"/>
        </w:rPr>
      </w:pPr>
    </w:p>
    <w:p>
      <w:pPr>
        <w:ind w:right="2719" w:firstLine="840"/>
        <w:spacing w:after="0" w:line="255" w:lineRule="auto"/>
        <w:tabs>
          <w:tab w:leader="none" w:pos="121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78" w:lineRule="exact"/>
        <w:rPr>
          <w:rFonts w:ascii="Courier New" w:cs="Courier New" w:eastAsia="Courier New" w:hAnsi="Courier New"/>
          <w:sz w:val="15"/>
          <w:szCs w:val="15"/>
          <w:color w:val="auto"/>
        </w:rPr>
      </w:pPr>
    </w:p>
    <w:p>
      <w:pPr>
        <w:ind w:left="560" w:right="2719" w:firstLine="843"/>
        <w:spacing w:after="0" w:line="238" w:lineRule="auto"/>
        <w:tabs>
          <w:tab w:leader="none" w:pos="177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9" w:lineRule="exact"/>
        <w:rPr>
          <w:rFonts w:ascii="Courier New" w:cs="Courier New" w:eastAsia="Courier New" w:hAnsi="Courier New"/>
          <w:sz w:val="16"/>
          <w:szCs w:val="16"/>
          <w:color w:val="auto"/>
        </w:rPr>
      </w:pPr>
    </w:p>
    <w:p>
      <w:pPr>
        <w:ind w:left="560" w:right="2719" w:firstLine="843"/>
        <w:spacing w:after="0" w:line="238" w:lineRule="auto"/>
        <w:tabs>
          <w:tab w:leader="none" w:pos="187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6" w:lineRule="exact"/>
        <w:rPr>
          <w:rFonts w:ascii="Courier New" w:cs="Courier New" w:eastAsia="Courier New" w:hAnsi="Courier New"/>
          <w:sz w:val="16"/>
          <w:szCs w:val="16"/>
          <w:color w:val="auto"/>
        </w:rPr>
      </w:pPr>
    </w:p>
    <w:p>
      <w:pPr>
        <w:ind w:left="560" w:right="2719" w:firstLine="843"/>
        <w:spacing w:after="0" w:line="238" w:lineRule="auto"/>
        <w:tabs>
          <w:tab w:leader="none" w:pos="1967"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4" w:name="page15"/>
    <w:bookmarkEnd w:id="14"/>
    <w:p>
      <w:pPr>
        <w:ind w:left="-460" w:right="2719" w:firstLine="1403"/>
        <w:spacing w:after="0" w:line="255" w:lineRule="auto"/>
        <w:tabs>
          <w:tab w:leader="none" w:pos="132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 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78" w:lineRule="exact"/>
        <w:rPr>
          <w:rFonts w:ascii="Courier New" w:cs="Courier New" w:eastAsia="Courier New" w:hAnsi="Courier New"/>
          <w:sz w:val="15"/>
          <w:szCs w:val="15"/>
          <w:color w:val="auto"/>
        </w:rPr>
      </w:pPr>
    </w:p>
    <w:p>
      <w:pPr>
        <w:ind w:left="-460" w:right="2719" w:firstLine="1403"/>
        <w:spacing w:after="0" w:line="257" w:lineRule="auto"/>
        <w:tabs>
          <w:tab w:leader="none" w:pos="132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74" w:lineRule="exact"/>
        <w:rPr>
          <w:sz w:val="20"/>
          <w:szCs w:val="20"/>
          <w:color w:val="auto"/>
        </w:rPr>
      </w:pPr>
    </w:p>
    <w:p>
      <w:pPr>
        <w:ind w:right="3759" w:firstLine="1318"/>
        <w:spacing w:after="0" w:line="236" w:lineRule="auto"/>
        <w:tabs>
          <w:tab w:leader="none" w:pos="16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 than the Non-Qualified Option to which it is attached.</w:t>
      </w:r>
    </w:p>
    <w:p>
      <w:pPr>
        <w:spacing w:after="0" w:line="184" w:lineRule="exact"/>
        <w:rPr>
          <w:rFonts w:ascii="Courier New" w:cs="Courier New" w:eastAsia="Courier New" w:hAnsi="Courier New"/>
          <w:sz w:val="16"/>
          <w:szCs w:val="16"/>
          <w:color w:val="auto"/>
        </w:rPr>
      </w:pPr>
    </w:p>
    <w:p>
      <w:pPr>
        <w:ind w:right="2719" w:firstLine="1318"/>
        <w:spacing w:after="0" w:line="237" w:lineRule="auto"/>
        <w:tabs>
          <w:tab w:leader="none" w:pos="17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 cash payment of such amount per Share as shall be determined by the Committee and stated in the option document.</w:t>
      </w:r>
    </w:p>
    <w:p>
      <w:pPr>
        <w:spacing w:after="0" w:line="184" w:lineRule="exact"/>
        <w:rPr>
          <w:rFonts w:ascii="Courier New" w:cs="Courier New" w:eastAsia="Courier New" w:hAnsi="Courier New"/>
          <w:sz w:val="16"/>
          <w:szCs w:val="16"/>
          <w:color w:val="auto"/>
        </w:rPr>
      </w:pPr>
    </w:p>
    <w:p>
      <w:pPr>
        <w:ind w:right="2819" w:firstLine="1318"/>
        <w:spacing w:after="0" w:line="237" w:lineRule="auto"/>
        <w:tabs>
          <w:tab w:leader="none" w:pos="187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 the same restrictions on transferability as the Non-Qualified Option to which it is attached.</w:t>
      </w:r>
    </w:p>
    <w:p>
      <w:pPr>
        <w:spacing w:after="0" w:line="184" w:lineRule="exact"/>
        <w:rPr>
          <w:rFonts w:ascii="Courier New" w:cs="Courier New" w:eastAsia="Courier New" w:hAnsi="Courier New"/>
          <w:sz w:val="16"/>
          <w:szCs w:val="16"/>
          <w:color w:val="auto"/>
        </w:rPr>
      </w:pPr>
    </w:p>
    <w:p>
      <w:pPr>
        <w:ind w:right="2899" w:firstLine="1318"/>
        <w:spacing w:after="0" w:line="237" w:lineRule="auto"/>
        <w:tabs>
          <w:tab w:leader="none" w:pos="17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4" w:lineRule="exact"/>
        <w:rPr>
          <w:rFonts w:ascii="Courier New" w:cs="Courier New" w:eastAsia="Courier New" w:hAnsi="Courier New"/>
          <w:sz w:val="16"/>
          <w:szCs w:val="16"/>
          <w:color w:val="auto"/>
        </w:rPr>
      </w:pPr>
    </w:p>
    <w:p>
      <w:pPr>
        <w:ind w:right="3099" w:firstLine="1318"/>
        <w:spacing w:after="0" w:line="236" w:lineRule="auto"/>
        <w:tabs>
          <w:tab w:leader="none" w:pos="16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 exercise of the Non-Qualified Option to which it is attached.</w:t>
      </w:r>
    </w:p>
    <w:p>
      <w:pPr>
        <w:spacing w:after="0" w:line="179" w:lineRule="exact"/>
        <w:rPr>
          <w:rFonts w:ascii="Courier New" w:cs="Courier New" w:eastAsia="Courier New" w:hAnsi="Courier New"/>
          <w:sz w:val="16"/>
          <w:szCs w:val="16"/>
          <w:color w:val="auto"/>
        </w:rPr>
      </w:pPr>
    </w:p>
    <w:p>
      <w:pPr>
        <w:ind w:left="1780" w:hanging="462"/>
        <w:spacing w:after="0"/>
        <w:tabs>
          <w:tab w:leader="none" w:pos="17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 attached to a</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Non-Qualified Option, the Option to which the Cash Right is attached shall expire.</w:t>
      </w:r>
    </w:p>
    <w:p>
      <w:pPr>
        <w:spacing w:after="0" w:line="185" w:lineRule="exact"/>
        <w:rPr>
          <w:sz w:val="20"/>
          <w:szCs w:val="20"/>
          <w:color w:val="auto"/>
        </w:rPr>
      </w:pPr>
    </w:p>
    <w:p>
      <w:pPr>
        <w:ind w:left="-460" w:right="2719" w:firstLine="1403"/>
        <w:spacing w:after="0" w:line="238" w:lineRule="auto"/>
        <w:tabs>
          <w:tab w:leader="none" w:pos="132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Shares. Each Option granted under this Paragraph 7 to an employee of a Company shall be an Option to purchase Shares of the Company's Class A Special Common Stock, par value, $1.00, except for (i) any Option specifically designated at the time of grant as an Option to purchase Shares of the Company's Class B Common Stock, par value, $1.00, or (ii) any Option specifically designated at the time of grant as an Option to purchase Shares of the Company's Class A Special Common Stock, par value, $1.00, that will automatically convert to an Option to purchase Shares of the Company's Class B Special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182" w:lineRule="exact"/>
        <w:rPr>
          <w:rFonts w:ascii="Courier New" w:cs="Courier New" w:eastAsia="Courier New" w:hAnsi="Courier New"/>
          <w:sz w:val="16"/>
          <w:szCs w:val="16"/>
          <w:color w:val="auto"/>
        </w:rPr>
      </w:pPr>
    </w:p>
    <w:p>
      <w:pPr>
        <w:ind w:left="660" w:hanging="280"/>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Non-Employee Directors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659" w:right="1440" w:bottom="1440" w:gutter="0" w:footer="0" w:header="0"/>
        </w:sectPr>
      </w:pPr>
    </w:p>
    <w:bookmarkStart w:id="15" w:name="page16"/>
    <w:bookmarkEnd w:id="15"/>
    <w:p>
      <w:pPr>
        <w:ind w:right="2719" w:firstLine="844"/>
        <w:spacing w:after="0" w:line="237"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89" w:lineRule="exact"/>
        <w:rPr>
          <w:sz w:val="20"/>
          <w:szCs w:val="20"/>
          <w:color w:val="auto"/>
        </w:rPr>
      </w:pPr>
    </w:p>
    <w:p>
      <w:pPr>
        <w:ind w:right="2719" w:firstLine="1216"/>
        <w:spacing w:after="0" w:line="237" w:lineRule="auto"/>
        <w:tabs>
          <w:tab w:leader="none" w:pos="15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7" w:lineRule="exact"/>
        <w:rPr>
          <w:rFonts w:ascii="Courier New" w:cs="Courier New" w:eastAsia="Courier New" w:hAnsi="Courier New"/>
          <w:sz w:val="16"/>
          <w:szCs w:val="16"/>
          <w:color w:val="auto"/>
        </w:rPr>
      </w:pPr>
    </w:p>
    <w:p>
      <w:pPr>
        <w:ind w:left="560" w:right="2899" w:firstLine="1031"/>
        <w:spacing w:after="0" w:line="236" w:lineRule="auto"/>
        <w:tabs>
          <w:tab w:leader="none" w:pos="196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 to purchase 9,000 Shares on the Election Date; and</w:t>
      </w:r>
    </w:p>
    <w:p>
      <w:pPr>
        <w:spacing w:after="0" w:line="184" w:lineRule="exact"/>
        <w:rPr>
          <w:rFonts w:ascii="Courier New" w:cs="Courier New" w:eastAsia="Courier New" w:hAnsi="Courier New"/>
          <w:sz w:val="16"/>
          <w:szCs w:val="16"/>
          <w:color w:val="auto"/>
        </w:rPr>
      </w:pPr>
    </w:p>
    <w:p>
      <w:pPr>
        <w:ind w:left="560" w:right="2819" w:firstLine="1031"/>
        <w:spacing w:after="0" w:line="237" w:lineRule="auto"/>
        <w:tabs>
          <w:tab w:leader="none" w:pos="20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entitled to the grant of an Option hereunder on the Grant Date immediately following the Non-Employee Director's Election Date if such Election Date is within ninety (90) days of the Grant Date.</w:t>
      </w:r>
    </w:p>
    <w:p>
      <w:pPr>
        <w:spacing w:after="0" w:line="185" w:lineRule="exact"/>
        <w:rPr>
          <w:rFonts w:ascii="Courier New" w:cs="Courier New" w:eastAsia="Courier New" w:hAnsi="Courier New"/>
          <w:sz w:val="16"/>
          <w:szCs w:val="16"/>
          <w:color w:val="auto"/>
        </w:rPr>
      </w:pPr>
    </w:p>
    <w:p>
      <w:pPr>
        <w:ind w:right="2819" w:firstLine="1216"/>
        <w:spacing w:after="0" w:line="237" w:lineRule="auto"/>
        <w:tabs>
          <w:tab w:leader="none" w:pos="15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 granted under this Paragraph 8 shall be 100% of the Fair Market Value of such Share on the Grant Date.</w:t>
      </w:r>
    </w:p>
    <w:p>
      <w:pPr>
        <w:spacing w:after="0" w:line="184" w:lineRule="exact"/>
        <w:rPr>
          <w:rFonts w:ascii="Courier New" w:cs="Courier New" w:eastAsia="Courier New" w:hAnsi="Courier New"/>
          <w:sz w:val="16"/>
          <w:szCs w:val="16"/>
          <w:color w:val="auto"/>
        </w:rPr>
      </w:pPr>
    </w:p>
    <w:p>
      <w:pPr>
        <w:ind w:right="2719" w:firstLine="1216"/>
        <w:spacing w:after="0" w:line="255" w:lineRule="auto"/>
        <w:tabs>
          <w:tab w:leader="none" w:pos="159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77" w:lineRule="exact"/>
        <w:rPr>
          <w:rFonts w:ascii="Courier New" w:cs="Courier New" w:eastAsia="Courier New" w:hAnsi="Courier New"/>
          <w:sz w:val="15"/>
          <w:szCs w:val="15"/>
          <w:color w:val="auto"/>
        </w:rPr>
      </w:pPr>
    </w:p>
    <w:p>
      <w:pPr>
        <w:ind w:right="2719" w:firstLine="1216"/>
        <w:spacing w:after="0" w:line="238" w:lineRule="auto"/>
        <w:tabs>
          <w:tab w:leader="none" w:pos="15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6" w:name="page17"/>
    <w:bookmarkEnd w:id="16"/>
    <w:p>
      <w:pPr>
        <w:ind w:right="2719"/>
        <w:spacing w:after="0" w:line="255" w:lineRule="auto"/>
        <w:rPr>
          <w:sz w:val="20"/>
          <w:szCs w:val="20"/>
          <w:color w:val="auto"/>
        </w:rPr>
      </w:pPr>
      <w:r>
        <w:rPr>
          <w:rFonts w:ascii="Courier New" w:cs="Courier New" w:eastAsia="Courier New" w:hAnsi="Courier New"/>
          <w:sz w:val="15"/>
          <w:szCs w:val="15"/>
          <w:color w:val="auto"/>
        </w:rPr>
        <w:t>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8" w:lineRule="exact"/>
        <w:rPr>
          <w:sz w:val="20"/>
          <w:szCs w:val="20"/>
          <w:color w:val="auto"/>
        </w:rPr>
      </w:pPr>
    </w:p>
    <w:p>
      <w:pPr>
        <w:ind w:right="2719" w:firstLine="1216"/>
        <w:spacing w:after="0" w:line="238" w:lineRule="auto"/>
        <w:tabs>
          <w:tab w:leader="none" w:pos="159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4" w:lineRule="exact"/>
        <w:rPr>
          <w:rFonts w:ascii="Courier New" w:cs="Courier New" w:eastAsia="Courier New" w:hAnsi="Courier New"/>
          <w:sz w:val="16"/>
          <w:szCs w:val="16"/>
          <w:color w:val="auto"/>
        </w:rPr>
      </w:pPr>
    </w:p>
    <w:p>
      <w:pPr>
        <w:ind w:right="2719" w:firstLine="1216"/>
        <w:spacing w:after="0" w:line="255" w:lineRule="auto"/>
        <w:tabs>
          <w:tab w:leader="none" w:pos="159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other than the Non-Employee Director's termination of service because of the Non-Employee Director's death, Disability or attainment of mandatory retirement age under any mandatory retirement policy established by the Board as in effect from time to time ("Mandatory Retirement"). All Options granted to a Non-Employee Director shall become immediately exercisable in full upon an Optionee's termination of service as a Non-Employee Director because of death, Disability or Mandatory Retirement; provided further, that the following rules shall apply to all Options previously granted under the Plan to Non-Employee Directors that are outstanding as of June 5, 2001, and to all Options granted under the Plan to Non-Employee Directors after June 5, 2001:</w:t>
      </w:r>
    </w:p>
    <w:p>
      <w:pPr>
        <w:spacing w:after="0" w:line="178" w:lineRule="exact"/>
        <w:rPr>
          <w:sz w:val="20"/>
          <w:szCs w:val="20"/>
          <w:color w:val="auto"/>
        </w:rPr>
      </w:pPr>
    </w:p>
    <w:p>
      <w:pPr>
        <w:ind w:left="560" w:right="2819" w:firstLine="1031"/>
        <w:spacing w:after="0" w:line="238" w:lineRule="auto"/>
        <w:tabs>
          <w:tab w:leader="none" w:pos="196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for any reason other than the Disability or Mandatory Retirement of the Optionee, death or Cause, any Option held by such Optionee and which is then exercisable shall continue to be exercisable for a period of 90 days following the date the Optionee terminates service as a Non-Employee Director; provided, however, that in no event shall an Option be exercisable after the day before the fifth anniversary of the Date of Grant.</w:t>
      </w:r>
    </w:p>
    <w:p>
      <w:pPr>
        <w:spacing w:after="0" w:line="180" w:lineRule="exact"/>
        <w:rPr>
          <w:rFonts w:ascii="Courier New" w:cs="Courier New" w:eastAsia="Courier New" w:hAnsi="Courier New"/>
          <w:sz w:val="16"/>
          <w:szCs w:val="16"/>
          <w:color w:val="auto"/>
        </w:rPr>
      </w:pPr>
    </w:p>
    <w:p>
      <w:pPr>
        <w:ind w:left="2060" w:hanging="469"/>
        <w:spacing w:after="0"/>
        <w:tabs>
          <w:tab w:leader="none" w:pos="2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w:t>
      </w:r>
    </w:p>
    <w:p>
      <w:pPr>
        <w:spacing w:after="0" w:line="4" w:lineRule="exact"/>
        <w:rPr>
          <w:sz w:val="20"/>
          <w:szCs w:val="20"/>
          <w:color w:val="auto"/>
        </w:rPr>
      </w:pPr>
    </w:p>
    <w:p>
      <w:pPr>
        <w:ind w:left="560" w:right="2719"/>
        <w:spacing w:after="0" w:line="238" w:lineRule="auto"/>
        <w:rPr>
          <w:sz w:val="20"/>
          <w:szCs w:val="20"/>
          <w:color w:val="auto"/>
        </w:rPr>
      </w:pPr>
      <w:r>
        <w:rPr>
          <w:rFonts w:ascii="Courier New" w:cs="Courier New" w:eastAsia="Courier New" w:hAnsi="Courier New"/>
          <w:sz w:val="16"/>
          <w:szCs w:val="16"/>
          <w:color w:val="auto"/>
        </w:rPr>
        <w:t>Non-Employee Director due to the Disability, death or Mandatory Retirement of the Optionee, any Option held by such Optionee and which is then exercisable shall continue to be exercisable by the Optionee or, in the case of the Optionee's death, by the person to whom the rights of the Optionee shall have passed by will or by the laws of descent and distribution until the day before the fifth anniversary of the Date of Grant.</w:t>
      </w:r>
    </w:p>
    <w:p>
      <w:pPr>
        <w:spacing w:after="0" w:line="185" w:lineRule="exact"/>
        <w:rPr>
          <w:sz w:val="20"/>
          <w:szCs w:val="20"/>
          <w:color w:val="auto"/>
        </w:rPr>
      </w:pPr>
    </w:p>
    <w:p>
      <w:pPr>
        <w:ind w:left="560" w:right="2719" w:firstLine="1031"/>
        <w:spacing w:after="0" w:line="237" w:lineRule="auto"/>
        <w:tabs>
          <w:tab w:leader="none" w:pos="215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service as a Non-Employee Director is terminated for Cause, each unexercised Option shall terminate and cease to be exercisable; provided further, that in such event, in addition to immediate termination of</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7" w:name="page18"/>
    <w:bookmarkEnd w:id="17"/>
    <w:p>
      <w:pPr>
        <w:ind w:left="460" w:right="2719"/>
        <w:spacing w:after="0" w:line="237" w:lineRule="auto"/>
        <w:rPr>
          <w:sz w:val="20"/>
          <w:szCs w:val="20"/>
          <w:color w:val="auto"/>
        </w:rPr>
      </w:pPr>
      <w:r>
        <w:rPr>
          <w:rFonts w:ascii="Courier New" w:cs="Courier New" w:eastAsia="Courier New" w:hAnsi="Courier New"/>
          <w:sz w:val="16"/>
          <w:szCs w:val="16"/>
          <w:color w:val="auto"/>
        </w:rPr>
        <w:t>the Option, the Optionee shall automatically forfeit all Shares otherwise subject to delivery upon exercise of an Option but for which the Sponsor has not yet delivered the Share certificates, upon refund by the Sponsor of the option price.</w:t>
      </w:r>
    </w:p>
    <w:p>
      <w:pPr>
        <w:spacing w:after="0" w:line="186" w:lineRule="exact"/>
        <w:rPr>
          <w:sz w:val="20"/>
          <w:szCs w:val="20"/>
          <w:color w:val="auto"/>
        </w:rPr>
      </w:pPr>
    </w:p>
    <w:p>
      <w:pPr>
        <w:ind w:right="2719" w:firstLine="1403"/>
        <w:spacing w:after="0" w:line="238" w:lineRule="auto"/>
        <w:tabs>
          <w:tab w:leader="none" w:pos="178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87" w:lineRule="exact"/>
        <w:rPr>
          <w:rFonts w:ascii="Courier New" w:cs="Courier New" w:eastAsia="Courier New" w:hAnsi="Courier New"/>
          <w:sz w:val="16"/>
          <w:szCs w:val="16"/>
          <w:color w:val="auto"/>
        </w:rPr>
      </w:pPr>
    </w:p>
    <w:p>
      <w:pPr>
        <w:jc w:val="both"/>
        <w:ind w:right="2999" w:firstLine="1403"/>
        <w:spacing w:after="0" w:line="237" w:lineRule="auto"/>
        <w:tabs>
          <w:tab w:leader="none" w:pos="178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Shares. Each Option granted under this Paragraph 8 shall be an Option to purchase Shares of the Company's Class A Special Common Stock, par value, $1.00.</w:t>
      </w:r>
    </w:p>
    <w:p>
      <w:pPr>
        <w:spacing w:after="0" w:line="179" w:lineRule="exact"/>
        <w:rPr>
          <w:rFonts w:ascii="Courier New" w:cs="Courier New" w:eastAsia="Courier New" w:hAnsi="Courier New"/>
          <w:sz w:val="16"/>
          <w:szCs w:val="16"/>
          <w:color w:val="auto"/>
        </w:rPr>
      </w:pPr>
    </w:p>
    <w:p>
      <w:pPr>
        <w:ind w:left="1220" w:hanging="286"/>
        <w:spacing w:after="0"/>
        <w:tabs>
          <w:tab w:leader="none" w:pos="1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aggregate Fair Market Value (determined as of the time</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10. Rights as Shareholders</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80" w:lineRule="exact"/>
        <w:rPr>
          <w:sz w:val="20"/>
          <w:szCs w:val="20"/>
          <w:color w:val="auto"/>
        </w:rPr>
      </w:pPr>
    </w:p>
    <w:p>
      <w:pPr>
        <w:ind w:left="1300" w:hanging="366"/>
        <w:spacing w:after="0"/>
        <w:tabs>
          <w:tab w:leader="none" w:pos="13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84" w:lineRule="exact"/>
        <w:rPr>
          <w:rFonts w:ascii="Courier New" w:cs="Courier New" w:eastAsia="Courier New" w:hAnsi="Courier New"/>
          <w:sz w:val="16"/>
          <w:szCs w:val="16"/>
          <w:color w:val="auto"/>
        </w:rPr>
      </w:pPr>
    </w:p>
    <w:p>
      <w:pPr>
        <w:ind w:right="2719" w:firstLine="1403"/>
        <w:spacing w:after="0" w:line="237" w:lineRule="auto"/>
        <w:tabs>
          <w:tab w:leader="none" w:pos="1782"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18" w:name="page19"/>
    <w:bookmarkEnd w:id="18"/>
    <w:p>
      <w:pPr>
        <w:ind w:right="2719"/>
        <w:spacing w:after="0" w:line="255" w:lineRule="auto"/>
        <w:rPr>
          <w:sz w:val="20"/>
          <w:szCs w:val="20"/>
          <w:color w:val="auto"/>
        </w:rPr>
      </w:pPr>
      <w:r>
        <w:rPr>
          <w:rFonts w:ascii="Courier New" w:cs="Courier New" w:eastAsia="Courier New" w:hAnsi="Courier New"/>
          <w:sz w:val="15"/>
          <w:szCs w:val="15"/>
          <w:color w:val="auto"/>
        </w:rPr>
        <w:t>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79" w:lineRule="exact"/>
        <w:rPr>
          <w:sz w:val="20"/>
          <w:szCs w:val="20"/>
          <w:color w:val="auto"/>
        </w:rPr>
      </w:pPr>
    </w:p>
    <w:p>
      <w:pPr>
        <w:ind w:right="2819" w:firstLine="1403"/>
        <w:spacing w:after="0" w:line="256" w:lineRule="auto"/>
        <w:tabs>
          <w:tab w:leader="none" w:pos="1782"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0" w:lineRule="exact"/>
        <w:rPr>
          <w:rFonts w:ascii="Courier New" w:cs="Courier New" w:eastAsia="Courier New" w:hAnsi="Courier New"/>
          <w:sz w:val="15"/>
          <w:szCs w:val="15"/>
          <w:color w:val="auto"/>
        </w:rPr>
      </w:pPr>
    </w:p>
    <w:p>
      <w:pPr>
        <w:ind w:left="1300" w:hanging="366"/>
        <w:spacing w:after="0"/>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84" w:lineRule="exact"/>
        <w:rPr>
          <w:rFonts w:ascii="Courier New" w:cs="Courier New" w:eastAsia="Courier New" w:hAnsi="Courier New"/>
          <w:sz w:val="16"/>
          <w:szCs w:val="16"/>
          <w:color w:val="auto"/>
        </w:rPr>
      </w:pPr>
    </w:p>
    <w:p>
      <w:pPr>
        <w:ind w:right="2719" w:firstLine="1403"/>
        <w:spacing w:after="0" w:line="238" w:lineRule="auto"/>
        <w:tabs>
          <w:tab w:leader="none" w:pos="1782"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w:t>
      </w:r>
    </w:p>
    <w:p>
      <w:pPr>
        <w:spacing w:after="0" w:line="188" w:lineRule="exact"/>
        <w:rPr>
          <w:rFonts w:ascii="Courier New" w:cs="Courier New" w:eastAsia="Courier New" w:hAnsi="Courier New"/>
          <w:sz w:val="16"/>
          <w:szCs w:val="16"/>
          <w:color w:val="auto"/>
        </w:rPr>
      </w:pPr>
    </w:p>
    <w:p>
      <w:pPr>
        <w:ind w:right="2719" w:firstLine="1403"/>
        <w:spacing w:after="0" w:line="237" w:lineRule="auto"/>
        <w:tabs>
          <w:tab w:leader="none" w:pos="1782"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14. Amendments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9" w:name="page20"/>
    <w:bookmarkEnd w:id="19"/>
    <w:p>
      <w:pPr>
        <w:ind w:right="2719"/>
        <w:spacing w:after="0" w:line="238" w:lineRule="auto"/>
        <w:rPr>
          <w:sz w:val="20"/>
          <w:szCs w:val="20"/>
          <w:color w:val="auto"/>
        </w:rPr>
      </w:pPr>
      <w:r>
        <w:rPr>
          <w:rFonts w:ascii="Courier New" w:cs="Courier New" w:eastAsia="Courier New" w:hAnsi="Courier New"/>
          <w:sz w:val="16"/>
          <w:szCs w:val="16"/>
          <w:color w:val="auto"/>
        </w:rPr>
        <w:t>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85" w:lineRule="exact"/>
        <w:rPr>
          <w:sz w:val="20"/>
          <w:szCs w:val="20"/>
          <w:color w:val="auto"/>
        </w:rPr>
      </w:pPr>
    </w:p>
    <w:p>
      <w:pPr>
        <w:ind w:left="1300" w:hanging="366"/>
        <w:spacing w:after="0"/>
        <w:tabs>
          <w:tab w:leader="none" w:pos="13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84" w:lineRule="exact"/>
        <w:rPr>
          <w:rFonts w:ascii="Courier New" w:cs="Courier New" w:eastAsia="Courier New" w:hAnsi="Courier New"/>
          <w:sz w:val="16"/>
          <w:szCs w:val="16"/>
          <w:color w:val="auto"/>
        </w:rPr>
      </w:pPr>
    </w:p>
    <w:p>
      <w:pPr>
        <w:ind w:right="2719" w:firstLine="1403"/>
        <w:spacing w:after="0" w:line="237" w:lineRule="auto"/>
        <w:tabs>
          <w:tab w:leader="none" w:pos="1782"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7" w:lineRule="exact"/>
        <w:rPr>
          <w:rFonts w:ascii="Courier New" w:cs="Courier New" w:eastAsia="Courier New" w:hAnsi="Courier New"/>
          <w:sz w:val="16"/>
          <w:szCs w:val="16"/>
          <w:color w:val="auto"/>
        </w:rPr>
      </w:pPr>
    </w:p>
    <w:p>
      <w:pPr>
        <w:ind w:right="2719" w:firstLine="1403"/>
        <w:spacing w:after="0" w:line="237" w:lineRule="auto"/>
        <w:tabs>
          <w:tab w:leader="none" w:pos="1782"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8" w:lineRule="exact"/>
        <w:rPr>
          <w:rFonts w:ascii="Courier New" w:cs="Courier New" w:eastAsia="Courier New" w:hAnsi="Courier New"/>
          <w:sz w:val="16"/>
          <w:szCs w:val="16"/>
          <w:color w:val="auto"/>
        </w:rPr>
      </w:pPr>
    </w:p>
    <w:p>
      <w:pPr>
        <w:ind w:left="2620" w:hanging="748"/>
        <w:spacing w:after="0"/>
        <w:tabs>
          <w:tab w:leader="none" w:pos="2620" w:val="left"/>
        </w:tabs>
        <w:numPr>
          <w:ilvl w:val="3"/>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are being purchased</w:t>
      </w:r>
    </w:p>
    <w:p>
      <w:pPr>
        <w:spacing w:after="0" w:line="10" w:lineRule="exact"/>
        <w:rPr>
          <w:rFonts w:ascii="Courier New" w:cs="Courier New" w:eastAsia="Courier New" w:hAnsi="Courier New"/>
          <w:sz w:val="15"/>
          <w:szCs w:val="15"/>
          <w:color w:val="auto"/>
        </w:rPr>
      </w:pPr>
    </w:p>
    <w:p>
      <w:pPr>
        <w:ind w:left="460"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for investment and not for distribution or resale (other than a distribution or resale which, in the opinion of counsel satisfactory to the Sponsor, may be made without violating the registration provisions of the Act);</w:t>
      </w:r>
    </w:p>
    <w:p>
      <w:pPr>
        <w:spacing w:after="0" w:line="180" w:lineRule="exact"/>
        <w:rPr>
          <w:rFonts w:ascii="Courier New" w:cs="Courier New" w:eastAsia="Courier New" w:hAnsi="Courier New"/>
          <w:sz w:val="15"/>
          <w:szCs w:val="15"/>
          <w:color w:val="auto"/>
        </w:rPr>
      </w:pPr>
    </w:p>
    <w:p>
      <w:pPr>
        <w:ind w:left="2620" w:hanging="748"/>
        <w:spacing w:after="0"/>
        <w:tabs>
          <w:tab w:leader="none" w:pos="2620" w:val="left"/>
        </w:tabs>
        <w:numPr>
          <w:ilvl w:val="3"/>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 understands that</w:t>
      </w:r>
    </w:p>
    <w:p>
      <w:pPr>
        <w:spacing w:after="0" w:line="4" w:lineRule="exact"/>
        <w:rPr>
          <w:rFonts w:ascii="Courier New" w:cs="Courier New" w:eastAsia="Courier New" w:hAnsi="Courier New"/>
          <w:sz w:val="16"/>
          <w:szCs w:val="16"/>
          <w:color w:val="auto"/>
        </w:rPr>
      </w:pPr>
    </w:p>
    <w:p>
      <w:pPr>
        <w:ind w:left="460" w:right="2719" w:firstLine="5"/>
        <w:spacing w:after="0" w:line="237" w:lineRule="auto"/>
        <w:tabs>
          <w:tab w:leader="none" w:pos="83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3" w:lineRule="exact"/>
        <w:rPr>
          <w:rFonts w:ascii="Courier New" w:cs="Courier New" w:eastAsia="Courier New" w:hAnsi="Courier New"/>
          <w:sz w:val="16"/>
          <w:szCs w:val="16"/>
          <w:color w:val="auto"/>
        </w:rPr>
      </w:pPr>
    </w:p>
    <w:p>
      <w:pPr>
        <w:ind w:left="2620" w:hanging="748"/>
        <w:spacing w:after="0"/>
        <w:tabs>
          <w:tab w:leader="none" w:pos="2620" w:val="left"/>
        </w:tabs>
        <w:numPr>
          <w:ilvl w:val="3"/>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 may bear a</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legend; and</w:t>
      </w:r>
    </w:p>
    <w:p>
      <w:pPr>
        <w:spacing w:after="0" w:line="183" w:lineRule="exact"/>
        <w:rPr>
          <w:rFonts w:ascii="Courier New" w:cs="Courier New" w:eastAsia="Courier New" w:hAnsi="Courier New"/>
          <w:sz w:val="16"/>
          <w:szCs w:val="16"/>
          <w:color w:val="auto"/>
        </w:rPr>
      </w:pPr>
    </w:p>
    <w:p>
      <w:pPr>
        <w:ind w:left="460" w:right="3379" w:firstLine="1412"/>
        <w:spacing w:after="0" w:line="237" w:lineRule="auto"/>
        <w:tabs>
          <w:tab w:leader="none" w:pos="2617" w:val="left"/>
        </w:tabs>
        <w:numPr>
          <w:ilvl w:val="3"/>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 not be transferred without compliance with all applicable federal and state securities laws.</w:t>
      </w:r>
    </w:p>
    <w:p>
      <w:pPr>
        <w:spacing w:after="0" w:line="184" w:lineRule="exact"/>
        <w:rPr>
          <w:rFonts w:ascii="Courier New" w:cs="Courier New" w:eastAsia="Courier New" w:hAnsi="Courier New"/>
          <w:sz w:val="16"/>
          <w:szCs w:val="16"/>
          <w:color w:val="auto"/>
        </w:rPr>
      </w:pPr>
    </w:p>
    <w:p>
      <w:pPr>
        <w:ind w:right="2719" w:firstLine="1403"/>
        <w:spacing w:after="0" w:line="237" w:lineRule="auto"/>
        <w:tabs>
          <w:tab w:leader="none" w:pos="1782"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20" w:name="page21"/>
    <w:bookmarkEnd w:id="20"/>
    <w:p>
      <w:pPr>
        <w:ind w:right="2819"/>
        <w:spacing w:after="0" w:line="257" w:lineRule="auto"/>
        <w:rPr>
          <w:sz w:val="20"/>
          <w:szCs w:val="20"/>
          <w:color w:val="auto"/>
        </w:rPr>
      </w:pPr>
      <w:r>
        <w:rPr>
          <w:rFonts w:ascii="Courier New" w:cs="Courier New" w:eastAsia="Courier New" w:hAnsi="Courier New"/>
          <w:sz w:val="15"/>
          <w:szCs w:val="15"/>
          <w:color w:val="auto"/>
        </w:rPr>
        <w:t>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69" w:lineRule="exact"/>
        <w:rPr>
          <w:sz w:val="20"/>
          <w:szCs w:val="20"/>
          <w:color w:val="auto"/>
        </w:rPr>
      </w:pPr>
    </w:p>
    <w:p>
      <w:pPr>
        <w:ind w:left="1300" w:hanging="366"/>
        <w:spacing w:after="0"/>
        <w:tabs>
          <w:tab w:leader="none" w:pos="13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84" w:lineRule="exact"/>
        <w:rPr>
          <w:rFonts w:ascii="Courier New" w:cs="Courier New" w:eastAsia="Courier New" w:hAnsi="Courier New"/>
          <w:sz w:val="16"/>
          <w:szCs w:val="16"/>
          <w:color w:val="auto"/>
        </w:rPr>
      </w:pPr>
    </w:p>
    <w:p>
      <w:pPr>
        <w:ind w:right="2719" w:firstLine="1403"/>
        <w:spacing w:after="0" w:line="238" w:lineRule="auto"/>
        <w:tabs>
          <w:tab w:leader="none" w:pos="178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89" w:lineRule="exact"/>
        <w:rPr>
          <w:rFonts w:ascii="Courier New" w:cs="Courier New" w:eastAsia="Courier New" w:hAnsi="Courier New"/>
          <w:sz w:val="16"/>
          <w:szCs w:val="16"/>
          <w:color w:val="auto"/>
        </w:rPr>
      </w:pPr>
    </w:p>
    <w:p>
      <w:pPr>
        <w:ind w:right="2719" w:firstLine="1403"/>
        <w:spacing w:after="0" w:line="255" w:lineRule="auto"/>
        <w:tabs>
          <w:tab w:leader="none" w:pos="178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356" w:lineRule="exact"/>
        <w:rPr>
          <w:rFonts w:ascii="Courier New" w:cs="Courier New" w:eastAsia="Courier New" w:hAnsi="Courier New"/>
          <w:sz w:val="15"/>
          <w:szCs w:val="15"/>
          <w:color w:val="auto"/>
        </w:rPr>
      </w:pPr>
    </w:p>
    <w:p>
      <w:pPr>
        <w:ind w:right="2719" w:firstLine="1403"/>
        <w:spacing w:after="0" w:line="238" w:lineRule="auto"/>
        <w:tabs>
          <w:tab w:leader="none" w:pos="178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21" w:name="page22"/>
    <w:bookmarkEnd w:id="21"/>
    <w:p>
      <w:pPr>
        <w:ind w:right="2719"/>
        <w:spacing w:after="0" w:line="255" w:lineRule="auto"/>
        <w:rPr>
          <w:sz w:val="20"/>
          <w:szCs w:val="20"/>
          <w:color w:val="auto"/>
        </w:rPr>
      </w:pPr>
      <w:r>
        <w:rPr>
          <w:rFonts w:ascii="Courier New" w:cs="Courier New" w:eastAsia="Courier New" w:hAnsi="Courier New"/>
          <w:sz w:val="15"/>
          <w:szCs w:val="15"/>
          <w:color w:val="auto"/>
        </w:rPr>
        <w:t>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17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17. Effective Date and Term of Plan</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This amendment and restatement of the Plan is effective as of April 29, 2002. The Plan shall expire no later than March 13, 2006, the tenth anniversary of the date the Plan was initially adopted by the Board, unless sooner terminated by the Board.</w:t>
      </w:r>
    </w:p>
    <w:p>
      <w:pPr>
        <w:spacing w:after="0" w:line="18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18. General</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Executed as of the 29th day of April, 2002.</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COMCAST CORPORATION</w:t>
      </w:r>
    </w:p>
    <w:p>
      <w:pPr>
        <w:spacing w:after="0" w:line="17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By: /s/ Stanley Wang</w:t>
      </w:r>
    </w:p>
    <w:p>
      <w:pPr>
        <w:ind w:left="45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Attest: /s/ Arthur Block</w:t>
      </w:r>
    </w:p>
    <w:p>
      <w:pPr>
        <w:ind w:left="48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22" w:name="page23"/>
    <w:bookmarkEnd w:id="22"/>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Pepper Hamilton LLP</w:t>
      </w:r>
    </w:p>
    <w:p>
      <w:pPr>
        <w:spacing w:after="0"/>
        <w:rPr>
          <w:sz w:val="20"/>
          <w:szCs w:val="20"/>
          <w:color w:val="auto"/>
        </w:rPr>
      </w:pPr>
      <w:r>
        <w:rPr>
          <w:rFonts w:ascii="Courier New" w:cs="Courier New" w:eastAsia="Courier New" w:hAnsi="Courier New"/>
          <w:sz w:val="16"/>
          <w:szCs w:val="16"/>
          <w:color w:val="auto"/>
        </w:rPr>
        <w:t>Attorneys at Law</w:t>
      </w:r>
    </w:p>
    <w:p>
      <w:pPr>
        <w:spacing w:after="0" w:line="237" w:lineRule="auto"/>
        <w:rPr>
          <w:sz w:val="20"/>
          <w:szCs w:val="20"/>
          <w:color w:val="auto"/>
        </w:rPr>
      </w:pPr>
      <w:r>
        <w:rPr>
          <w:rFonts w:ascii="Courier New" w:cs="Courier New" w:eastAsia="Courier New" w:hAnsi="Courier New"/>
          <w:sz w:val="16"/>
          <w:szCs w:val="16"/>
          <w:color w:val="auto"/>
        </w:rPr>
        <w:t>3000 Two Logan Square</w:t>
      </w:r>
    </w:p>
    <w:p>
      <w:pPr>
        <w:spacing w:after="0"/>
        <w:rPr>
          <w:sz w:val="20"/>
          <w:szCs w:val="20"/>
          <w:color w:val="auto"/>
        </w:rPr>
      </w:pPr>
      <w:r>
        <w:rPr>
          <w:rFonts w:ascii="Courier New" w:cs="Courier New" w:eastAsia="Courier New" w:hAnsi="Courier New"/>
          <w:sz w:val="16"/>
          <w:szCs w:val="16"/>
          <w:color w:val="auto"/>
        </w:rPr>
        <w:t>Eighteenth and Arch Streets</w:t>
      </w:r>
    </w:p>
    <w:p>
      <w:pPr>
        <w:spacing w:after="0" w:line="238" w:lineRule="auto"/>
        <w:rPr>
          <w:sz w:val="20"/>
          <w:szCs w:val="20"/>
          <w:color w:val="auto"/>
        </w:rPr>
      </w:pPr>
      <w:r>
        <w:rPr>
          <w:rFonts w:ascii="Courier New" w:cs="Courier New" w:eastAsia="Courier New" w:hAnsi="Courier New"/>
          <w:sz w:val="16"/>
          <w:szCs w:val="16"/>
          <w:color w:val="auto"/>
        </w:rPr>
        <w:t>Philadelphia, PA 19103-2799</w:t>
      </w:r>
    </w:p>
    <w:p>
      <w:pPr>
        <w:spacing w:after="0"/>
        <w:rPr>
          <w:sz w:val="20"/>
          <w:szCs w:val="20"/>
          <w:color w:val="auto"/>
        </w:rPr>
      </w:pPr>
      <w:r>
        <w:rPr>
          <w:rFonts w:ascii="Courier New" w:cs="Courier New" w:eastAsia="Courier New" w:hAnsi="Courier New"/>
          <w:sz w:val="16"/>
          <w:szCs w:val="16"/>
          <w:color w:val="auto"/>
        </w:rPr>
        <w:t>215.981.4000</w:t>
      </w:r>
    </w:p>
    <w:p>
      <w:pPr>
        <w:spacing w:after="0" w:line="238" w:lineRule="auto"/>
        <w:rPr>
          <w:sz w:val="20"/>
          <w:szCs w:val="20"/>
          <w:color w:val="auto"/>
        </w:rPr>
      </w:pPr>
      <w:r>
        <w:rPr>
          <w:rFonts w:ascii="Courier New" w:cs="Courier New" w:eastAsia="Courier New" w:hAnsi="Courier New"/>
          <w:sz w:val="16"/>
          <w:szCs w:val="16"/>
          <w:color w:val="auto"/>
        </w:rPr>
        <w:t>Fax 215.981.4750</w:t>
      </w:r>
    </w:p>
    <w:p>
      <w:pPr>
        <w:spacing w:after="0" w:line="180"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September 9, 2002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80" w:lineRule="exact"/>
        <w:rPr>
          <w:sz w:val="20"/>
          <w:szCs w:val="20"/>
          <w:color w:val="auto"/>
        </w:rPr>
      </w:pPr>
    </w:p>
    <w:p>
      <w:pPr>
        <w:ind w:left="740"/>
        <w:spacing w:after="0"/>
        <w:tabs>
          <w:tab w:leader="none" w:pos="13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Comcast Corporation</w:t>
      </w:r>
    </w:p>
    <w:p>
      <w:pPr>
        <w:ind w:left="1400"/>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right="2719" w:firstLine="1407"/>
        <w:spacing w:after="0" w:line="237" w:lineRule="auto"/>
        <w:rPr>
          <w:sz w:val="20"/>
          <w:szCs w:val="20"/>
          <w:color w:val="auto"/>
        </w:rPr>
      </w:pPr>
      <w:r>
        <w:rPr>
          <w:rFonts w:ascii="Courier New" w:cs="Courier New" w:eastAsia="Courier New" w:hAnsi="Courier New"/>
          <w:sz w:val="16"/>
          <w:szCs w:val="16"/>
          <w:color w:val="auto"/>
        </w:rPr>
        <w:t>Reference is made to a Registration Statement on Form S-8 of Comcast Corporation (the "Company") which is being filed with the Securities and Exchange Commission on the date hereof (the "Registration Statement"). Capitalized terms not otherwise defined herein shall have the meanings ascribed to them in the Registration Statement.</w:t>
      </w:r>
    </w:p>
    <w:p>
      <w:pPr>
        <w:spacing w:after="0" w:line="187" w:lineRule="exact"/>
        <w:rPr>
          <w:sz w:val="20"/>
          <w:szCs w:val="20"/>
          <w:color w:val="auto"/>
        </w:rPr>
      </w:pPr>
    </w:p>
    <w:p>
      <w:pPr>
        <w:ind w:right="2999" w:firstLine="1407"/>
        <w:spacing w:after="0" w:line="257" w:lineRule="auto"/>
        <w:rPr>
          <w:sz w:val="20"/>
          <w:szCs w:val="20"/>
          <w:color w:val="auto"/>
        </w:rPr>
      </w:pPr>
      <w:r>
        <w:rPr>
          <w:rFonts w:ascii="Courier New" w:cs="Courier New" w:eastAsia="Courier New" w:hAnsi="Courier New"/>
          <w:sz w:val="15"/>
          <w:szCs w:val="15"/>
          <w:color w:val="auto"/>
        </w:rPr>
        <w:t>The Registration Statement covers 25,000,000 shares of the Company's Class A Special Common Stock, par value $1.00 per share (the "Shares"), which may be issued pursuant to the Comcast Corporation 1996 Stock Option Plan, as amended and restated, effective April 29, 2002 (the "Plan").</w:t>
      </w:r>
    </w:p>
    <w:p>
      <w:pPr>
        <w:spacing w:after="0" w:line="174" w:lineRule="exact"/>
        <w:rPr>
          <w:sz w:val="20"/>
          <w:szCs w:val="20"/>
          <w:color w:val="auto"/>
        </w:rPr>
      </w:pPr>
    </w:p>
    <w:p>
      <w:pPr>
        <w:ind w:right="2819" w:firstLine="1407"/>
        <w:spacing w:after="0" w:line="256" w:lineRule="auto"/>
        <w:rPr>
          <w:sz w:val="20"/>
          <w:szCs w:val="20"/>
          <w:color w:val="auto"/>
        </w:rPr>
      </w:pPr>
      <w:r>
        <w:rPr>
          <w:rFonts w:ascii="Courier New" w:cs="Courier New" w:eastAsia="Courier New" w:hAnsi="Courier New"/>
          <w:sz w:val="15"/>
          <w:szCs w:val="15"/>
          <w:color w:val="auto"/>
        </w:rPr>
        <w:t>We have examined the Registration Statement, including the exhibits thereto, the Company's Articles of Incorporation, as amended, the Company's By-laws, the Plan and such documents as we have deemed appropriate in rendering this opinion. In our examination, we have assumed the genuineness of all signatures, the authenticity of all documents submitted to us as originals and the authenticity of all documents submitted to us as copies of originals.</w:t>
      </w:r>
    </w:p>
    <w:p>
      <w:pPr>
        <w:spacing w:after="0" w:line="175" w:lineRule="exact"/>
        <w:rPr>
          <w:sz w:val="20"/>
          <w:szCs w:val="20"/>
          <w:color w:val="auto"/>
        </w:rPr>
      </w:pPr>
    </w:p>
    <w:p>
      <w:pPr>
        <w:ind w:right="2999" w:firstLine="1407"/>
        <w:spacing w:after="0" w:line="237" w:lineRule="auto"/>
        <w:rPr>
          <w:sz w:val="20"/>
          <w:szCs w:val="20"/>
          <w:color w:val="auto"/>
        </w:rPr>
      </w:pPr>
      <w:r>
        <w:rPr>
          <w:rFonts w:ascii="Courier New" w:cs="Courier New" w:eastAsia="Courier New" w:hAnsi="Courier New"/>
          <w:sz w:val="16"/>
          <w:szCs w:val="16"/>
          <w:color w:val="auto"/>
        </w:rPr>
        <w:t>Based on the foregoing, we are of the opinion that the Shares, when issued and paid for in accordance with the terms of the Plan, will be validly issued, fully paid and non-assessable.</w:t>
      </w:r>
    </w:p>
    <w:p>
      <w:pPr>
        <w:spacing w:after="0" w:line="185" w:lineRule="exact"/>
        <w:rPr>
          <w:sz w:val="20"/>
          <w:szCs w:val="20"/>
          <w:color w:val="auto"/>
        </w:rPr>
      </w:pPr>
    </w:p>
    <w:p>
      <w:pPr>
        <w:ind w:right="2719" w:firstLine="1407"/>
        <w:spacing w:after="0" w:line="237" w:lineRule="auto"/>
        <w:rPr>
          <w:sz w:val="20"/>
          <w:szCs w:val="20"/>
          <w:color w:val="auto"/>
        </w:rPr>
      </w:pPr>
      <w:r>
        <w:rPr>
          <w:rFonts w:ascii="Courier New" w:cs="Courier New" w:eastAsia="Courier New" w:hAnsi="Courier New"/>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w:t>
      </w:r>
    </w:p>
    <w:p>
      <w:pPr>
        <w:sectPr>
          <w:pgSz w:w="11900" w:h="16838" w:orient="portrait"/>
          <w:cols w:equalWidth="0" w:num="1">
            <w:col w:w="10219"/>
          </w:cols>
          <w:pgMar w:left="240" w:top="497" w:right="1440" w:bottom="1440" w:gutter="0" w:footer="0" w:header="0"/>
        </w:sectPr>
      </w:pPr>
    </w:p>
    <w:bookmarkStart w:id="23" w:name="page24"/>
    <w:bookmarkEnd w:id="23"/>
    <w:p>
      <w:pPr>
        <w:ind w:right="2719" w:firstLine="1407"/>
        <w:spacing w:after="0" w:line="237"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or regulations of the Securities and Exchange Commission thereunder.</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 PEPPER HAMILTON LLP</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PEPPER HAMILTON LLP</w:t>
      </w:r>
    </w:p>
    <w:p>
      <w:pPr>
        <w:sectPr>
          <w:pgSz w:w="11900" w:h="16838" w:orient="portrait"/>
          <w:cols w:equalWidth="0" w:num="1">
            <w:col w:w="10219"/>
          </w:cols>
          <w:pgMar w:left="240" w:top="659" w:right="1440" w:bottom="1440" w:gutter="0" w:footer="0" w:header="0"/>
        </w:sectPr>
      </w:pPr>
    </w:p>
    <w:bookmarkStart w:id="24" w:name="page25"/>
    <w:bookmarkEnd w:id="24"/>
    <w:p>
      <w:pPr>
        <w:jc w:val="right"/>
        <w:ind w:right="2719"/>
        <w:spacing w:after="0"/>
        <w:rPr>
          <w:sz w:val="20"/>
          <w:szCs w:val="20"/>
          <w:color w:val="auto"/>
        </w:rPr>
      </w:pPr>
      <w:r>
        <w:rPr>
          <w:rFonts w:ascii="Courier New" w:cs="Courier New" w:eastAsia="Courier New" w:hAnsi="Courier New"/>
          <w:sz w:val="16"/>
          <w:szCs w:val="16"/>
          <w:color w:val="auto"/>
        </w:rPr>
        <w:t>Exhibit 23.1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consent to the use in this Registration Statement of Comcast Corporation on Form S-8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appearing in Exhibit 99.1 to this Registration Statement. We also consent to the incorporation by reference in this Registration Statement of our report dated February 5, 2002 on the financial statement schedule appearing in the Annual Report on Form 10-K of Comcast Corporation for the year ended December 31,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September 6, 2002</w:t>
      </w:r>
    </w:p>
    <w:p>
      <w:pPr>
        <w:sectPr>
          <w:pgSz w:w="11900" w:h="16838" w:orient="portrait"/>
          <w:cols w:equalWidth="0" w:num="1">
            <w:col w:w="10219"/>
          </w:cols>
          <w:pgMar w:left="240" w:top="497" w:right="1440" w:bottom="1440" w:gutter="0" w:footer="0" w:header="0"/>
        </w:sectPr>
      </w:pPr>
    </w:p>
    <w:bookmarkStart w:id="25" w:name="page26"/>
    <w:bookmarkEnd w:id="25"/>
    <w:p>
      <w:pPr>
        <w:jc w:val="right"/>
        <w:ind w:right="2719"/>
        <w:spacing w:after="0"/>
        <w:rPr>
          <w:sz w:val="20"/>
          <w:szCs w:val="20"/>
          <w:color w:val="auto"/>
        </w:rPr>
      </w:pPr>
      <w:r>
        <w:rPr>
          <w:rFonts w:ascii="Courier New" w:cs="Courier New" w:eastAsia="Courier New" w:hAnsi="Courier New"/>
          <w:sz w:val="16"/>
          <w:szCs w:val="16"/>
          <w:color w:val="auto"/>
        </w:rPr>
        <w:t>Exhibit 99.1</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We have audited the accompanying consolidated balance sheet of Comcast Corporation and its subsidiaries (the "Company") as of December 31, 2001 and 2000, and the related consolidated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Comcast Corporation and its subsidiaries as of December 31, 2001 and 2000, and the results of their operations and their cash flows for each of the three years in the period ended December 31, 2001, in conformity with accounting principles generally accepted in the United States of America.</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discussed in Notes 2 and 3 to the consolidated financial statements, the Company adopted Statement of Financial Accounting Standards No. 133, "Accounting for Derivative Instruments and Hedging Activities," as amended, effective January 1,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February 5, 2002 (July 30, 2002 as to Note 14)</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7" w:right="1440" w:bottom="1440" w:gutter="0" w:footer="0" w:header="0"/>
        </w:sectPr>
      </w:pPr>
    </w:p>
    <w:bookmarkStart w:id="26" w:name="page27"/>
    <w:bookmarkEnd w:id="26"/>
    <w:p>
      <w:pPr>
        <w:jc w:val="center"/>
        <w:ind w:right="39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3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2001</w:t>
            </w:r>
          </w:p>
        </w:tc>
        <w:tc>
          <w:tcPr>
            <w:tcW w:w="220" w:type="dxa"/>
            <w:vAlign w:val="bottom"/>
          </w:tcPr>
          <w:p>
            <w:pPr>
              <w:spacing w:after="0"/>
              <w:rPr>
                <w:sz w:val="15"/>
                <w:szCs w:val="15"/>
                <w:color w:val="auto"/>
              </w:rPr>
            </w:pPr>
          </w:p>
        </w:tc>
        <w:tc>
          <w:tcPr>
            <w:tcW w:w="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w w:val="97"/>
              </w:rPr>
              <w:t>(Dollars in millions,</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except share data)</w:t>
            </w:r>
          </w:p>
        </w:tc>
      </w:tr>
      <w:tr>
        <w:trPr>
          <w:trHeight w:val="361"/>
        </w:trPr>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Pr>
          <w:p>
            <w:pPr>
              <w:jc w:val="right"/>
              <w:ind w:right="3482"/>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Cash and cash equivalents ...................................................................</w:t>
            </w:r>
          </w:p>
        </w:tc>
        <w:tc>
          <w:tcPr>
            <w:tcW w:w="45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651.5</w:t>
            </w: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0"/>
              </w:rPr>
              <w:t>Investments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2,623.2</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3,059.7</w:t>
            </w:r>
          </w:p>
        </w:tc>
      </w:tr>
      <w:tr>
        <w:trPr>
          <w:trHeight w:val="180"/>
        </w:trPr>
        <w:tc>
          <w:tcPr>
            <w:tcW w:w="9100" w:type="dxa"/>
            <w:vAlign w:val="bottom"/>
            <w:gridSpan w:val="4"/>
          </w:tcPr>
          <w:p>
            <w:pPr>
              <w:ind w:left="280"/>
              <w:spacing w:after="0"/>
              <w:rPr>
                <w:sz w:val="20"/>
                <w:szCs w:val="20"/>
                <w:color w:val="auto"/>
              </w:rPr>
            </w:pPr>
            <w:r>
              <w:rPr>
                <w:rFonts w:ascii="Courier New" w:cs="Courier New" w:eastAsia="Courier New" w:hAnsi="Courier New"/>
                <w:sz w:val="16"/>
                <w:szCs w:val="16"/>
                <w:color w:val="auto"/>
                <w:w w:val="98"/>
              </w:rPr>
              <w:t>Accounts receivable, less allowance for doubtful accounts of $153.9 and $141.7 ..............</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967.4</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891.9</w:t>
            </w: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0"/>
              </w:rPr>
              <w:t>Inventories, net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454.5</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438.5</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Other current assets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153.7</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102.8</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3"/>
          </w:tcPr>
          <w:p>
            <w:pPr>
              <w:ind w:left="460"/>
              <w:spacing w:after="0"/>
              <w:rPr>
                <w:sz w:val="20"/>
                <w:szCs w:val="20"/>
                <w:color w:val="auto"/>
              </w:rPr>
            </w:pPr>
            <w:r>
              <w:rPr>
                <w:rFonts w:ascii="Courier New" w:cs="Courier New" w:eastAsia="Courier New" w:hAnsi="Courier New"/>
                <w:sz w:val="10"/>
                <w:szCs w:val="10"/>
                <w:color w:val="auto"/>
                <w:w w:val="75"/>
              </w:rPr>
              <w:t>Total current assets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4,548.8</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5,144.4</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gridSpan w:val="2"/>
          </w:tcPr>
          <w:p>
            <w:pPr>
              <w:spacing w:after="0"/>
              <w:rPr>
                <w:sz w:val="20"/>
                <w:szCs w:val="20"/>
                <w:color w:val="auto"/>
              </w:rPr>
            </w:pPr>
            <w:r>
              <w:rPr>
                <w:rFonts w:ascii="Courier New" w:cs="Courier New" w:eastAsia="Courier New" w:hAnsi="Courier New"/>
                <w:sz w:val="9"/>
                <w:szCs w:val="9"/>
                <w:color w:val="auto"/>
                <w:w w:val="73"/>
              </w:rPr>
              <w:t>INVESTMENTS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1,679.2</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2,661.9</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9100" w:type="dxa"/>
            <w:vAlign w:val="bottom"/>
            <w:gridSpan w:val="4"/>
          </w:tcPr>
          <w:p>
            <w:pPr>
              <w:spacing w:after="0"/>
              <w:rPr>
                <w:sz w:val="20"/>
                <w:szCs w:val="20"/>
                <w:color w:val="auto"/>
              </w:rPr>
            </w:pPr>
            <w:r>
              <w:rPr>
                <w:rFonts w:ascii="Courier New" w:cs="Courier New" w:eastAsia="Courier New" w:hAnsi="Courier New"/>
                <w:sz w:val="16"/>
                <w:szCs w:val="16"/>
                <w:color w:val="auto"/>
              </w:rPr>
              <w:t>PROPERTY AND EQUIPMENT, net of accumulated depreciation of $2,725.7</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0"/>
              </w:rPr>
              <w:t>and $1,873.1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7,011.1</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5,519.9</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0"/>
              </w:rPr>
              <w:t>Goodwill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7,507.3</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6,945.1</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Cable franchise operating rights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20,167.8</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17,545.5</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Other intangible assets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2,833.4</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1,485.6</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30,508.5</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25,976.2</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Accumulated amortization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(5,999.2)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(3,908.7)</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24,509.3</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22,067.5</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600" w:type="dxa"/>
            <w:vAlign w:val="bottom"/>
            <w:gridSpan w:val="3"/>
          </w:tcPr>
          <w:p>
            <w:pPr>
              <w:spacing w:after="0"/>
              <w:rPr>
                <w:sz w:val="20"/>
                <w:szCs w:val="20"/>
                <w:color w:val="auto"/>
              </w:rPr>
            </w:pPr>
            <w:r>
              <w:rPr>
                <w:rFonts w:ascii="Courier New" w:cs="Courier New" w:eastAsia="Courier New" w:hAnsi="Courier New"/>
                <w:sz w:val="11"/>
                <w:szCs w:val="11"/>
                <w:color w:val="auto"/>
                <w:w w:val="72"/>
              </w:rPr>
              <w:t>OTHER NONCURRENT ASSETS, net ...................................................................</w:t>
            </w: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383.4</w:t>
            </w:r>
          </w:p>
        </w:tc>
        <w:tc>
          <w:tcPr>
            <w:tcW w:w="22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350.8</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$ 38,131.8</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$ 35,744.5</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2060" w:type="dxa"/>
            <w:vAlign w:val="bottom"/>
          </w:tcPr>
          <w:p>
            <w:pPr>
              <w:spacing w:after="0"/>
              <w:rPr>
                <w:sz w:val="24"/>
                <w:szCs w:val="24"/>
                <w:color w:val="auto"/>
              </w:rPr>
            </w:pPr>
          </w:p>
        </w:tc>
        <w:tc>
          <w:tcPr>
            <w:tcW w:w="7040" w:type="dxa"/>
            <w:vAlign w:val="bottom"/>
            <w:gridSpan w:val="3"/>
          </w:tcPr>
          <w:p>
            <w:pPr>
              <w:jc w:val="right"/>
              <w:ind w:right="2362"/>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0"/>
              </w:rPr>
              <w:t>Accounts payable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698.2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813.2</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7"/>
              </w:rPr>
              <w:t>Accrued expenses and other current liabilities</w:t>
            </w:r>
          </w:p>
        </w:tc>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1,695.5</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1,576.5</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Deferred income taxes........................................................................</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275.4</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789.9</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0"/>
              </w:rPr>
              <w:t>Current portion of long-term debt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460.2</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293.9</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3"/>
          </w:tcPr>
          <w:p>
            <w:pPr>
              <w:ind w:left="460"/>
              <w:spacing w:after="0"/>
              <w:rPr>
                <w:sz w:val="20"/>
                <w:szCs w:val="20"/>
                <w:color w:val="auto"/>
              </w:rPr>
            </w:pPr>
            <w:r>
              <w:rPr>
                <w:rFonts w:ascii="Courier New" w:cs="Courier New" w:eastAsia="Courier New" w:hAnsi="Courier New"/>
                <w:sz w:val="10"/>
                <w:szCs w:val="10"/>
                <w:color w:val="auto"/>
                <w:w w:val="75"/>
              </w:rPr>
              <w:t>Total current liabilities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3,129.3</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3,473.5</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3"/>
          </w:tcPr>
          <w:p>
            <w:pPr>
              <w:spacing w:after="0"/>
              <w:rPr>
                <w:sz w:val="20"/>
                <w:szCs w:val="20"/>
                <w:color w:val="auto"/>
              </w:rPr>
            </w:pPr>
            <w:r>
              <w:rPr>
                <w:rFonts w:ascii="Courier New" w:cs="Courier New" w:eastAsia="Courier New" w:hAnsi="Courier New"/>
                <w:sz w:val="11"/>
                <w:szCs w:val="11"/>
                <w:color w:val="auto"/>
                <w:w w:val="72"/>
              </w:rPr>
              <w:t>LONG-TERM DEBT, less current portion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11,741.6</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10,517.4</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54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6,375.7</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5,786.7</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3"/>
          </w:tcPr>
          <w:p>
            <w:pPr>
              <w:spacing w:after="0"/>
              <w:rPr>
                <w:sz w:val="20"/>
                <w:szCs w:val="20"/>
                <w:color w:val="auto"/>
              </w:rPr>
            </w:pPr>
            <w:r>
              <w:rPr>
                <w:rFonts w:ascii="Courier New" w:cs="Courier New" w:eastAsia="Courier New" w:hAnsi="Courier New"/>
                <w:sz w:val="11"/>
                <w:szCs w:val="11"/>
                <w:color w:val="auto"/>
                <w:w w:val="72"/>
              </w:rPr>
              <w:t>OTHER NONCURRENT LIABILITIES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1,532.0</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1,108.6</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gridSpan w:val="2"/>
          </w:tcPr>
          <w:p>
            <w:pPr>
              <w:spacing w:after="0"/>
              <w:rPr>
                <w:sz w:val="20"/>
                <w:szCs w:val="20"/>
                <w:color w:val="auto"/>
              </w:rPr>
            </w:pPr>
            <w:r>
              <w:rPr>
                <w:rFonts w:ascii="Courier New" w:cs="Courier New" w:eastAsia="Courier New" w:hAnsi="Courier New"/>
                <w:sz w:val="9"/>
                <w:szCs w:val="9"/>
                <w:color w:val="auto"/>
                <w:w w:val="73"/>
              </w:rPr>
              <w:t>MINORITY INTEREST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880.2</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717.3</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 (NOTE 11)</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600" w:type="dxa"/>
            <w:vAlign w:val="bottom"/>
            <w:gridSpan w:val="3"/>
          </w:tcPr>
          <w:p>
            <w:pPr>
              <w:spacing w:after="0"/>
              <w:rPr>
                <w:sz w:val="20"/>
                <w:szCs w:val="20"/>
                <w:color w:val="auto"/>
              </w:rPr>
            </w:pPr>
            <w:r>
              <w:rPr>
                <w:rFonts w:ascii="Courier New" w:cs="Courier New" w:eastAsia="Courier New" w:hAnsi="Courier New"/>
                <w:sz w:val="11"/>
                <w:szCs w:val="11"/>
                <w:color w:val="auto"/>
                <w:w w:val="72"/>
              </w:rPr>
              <w:t>COMMON EQUITY PUT OPTIONS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 --</w:t>
            </w:r>
          </w:p>
        </w:tc>
        <w:tc>
          <w:tcPr>
            <w:tcW w:w="7040" w:type="dxa"/>
            <w:vAlign w:val="bottom"/>
            <w:gridSpan w:val="3"/>
          </w:tcPr>
          <w:p>
            <w:pPr>
              <w:spacing w:after="0"/>
              <w:rPr>
                <w:sz w:val="20"/>
                <w:szCs w:val="20"/>
                <w:color w:val="auto"/>
              </w:rPr>
            </w:pPr>
            <w:r>
              <w:rPr>
                <w:rFonts w:ascii="Courier New" w:cs="Courier New" w:eastAsia="Courier New" w:hAnsi="Courier New"/>
                <w:sz w:val="16"/>
                <w:szCs w:val="16"/>
                <w:color w:val="auto"/>
              </w:rPr>
              <w:t>authorized, 20,000,000 shares 5.25% series B mandatorily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910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redeemable convertible, $1,000 par value; issued, zero and 59,450 at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rPr>
              <w:t>redemption value</w:t>
            </w:r>
          </w:p>
        </w:tc>
        <w:tc>
          <w:tcPr>
            <w:tcW w:w="254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59.5</w:t>
            </w:r>
          </w:p>
        </w:tc>
      </w:tr>
      <w:tr>
        <w:trPr>
          <w:trHeight w:val="180"/>
        </w:trPr>
        <w:tc>
          <w:tcPr>
            <w:tcW w:w="46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Class A special common stock, $1 par value --</w:t>
            </w:r>
          </w:p>
        </w:tc>
        <w:tc>
          <w:tcPr>
            <w:tcW w:w="4500" w:type="dxa"/>
            <w:vAlign w:val="bottom"/>
          </w:tcPr>
          <w:p>
            <w:pPr>
              <w:jc w:val="right"/>
              <w:ind w:right="1342"/>
              <w:spacing w:after="0"/>
              <w:rPr>
                <w:sz w:val="20"/>
                <w:szCs w:val="20"/>
                <w:color w:val="auto"/>
              </w:rPr>
            </w:pPr>
            <w:r>
              <w:rPr>
                <w:rFonts w:ascii="Courier New" w:cs="Courier New" w:eastAsia="Courier New" w:hAnsi="Courier New"/>
                <w:sz w:val="16"/>
                <w:szCs w:val="16"/>
                <w:color w:val="auto"/>
                <w:w w:val="96"/>
              </w:rPr>
              <w:t>authorized, 2,500,000,000 shares;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9100" w:type="dxa"/>
            <w:vAlign w:val="bottom"/>
            <w:gridSpan w:val="4"/>
          </w:tcPr>
          <w:p>
            <w:pPr>
              <w:ind w:left="460"/>
              <w:spacing w:after="0"/>
              <w:rPr>
                <w:sz w:val="20"/>
                <w:szCs w:val="20"/>
                <w:color w:val="auto"/>
              </w:rPr>
            </w:pPr>
            <w:r>
              <w:rPr>
                <w:rFonts w:ascii="Courier New" w:cs="Courier New" w:eastAsia="Courier New" w:hAnsi="Courier New"/>
                <w:sz w:val="16"/>
                <w:szCs w:val="16"/>
                <w:color w:val="auto"/>
                <w:w w:val="98"/>
              </w:rPr>
              <w:t>issued, 937,256,465 and 931,340,103; outstanding, 913,931,554 and 908,015,192 .............</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913.9</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908.0</w:t>
            </w: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Class A common stock, $1 par value --</w:t>
            </w:r>
          </w:p>
        </w:tc>
        <w:tc>
          <w:tcPr>
            <w:tcW w:w="5260" w:type="dxa"/>
            <w:vAlign w:val="bottom"/>
            <w:gridSpan w:val="2"/>
          </w:tcPr>
          <w:p>
            <w:pPr>
              <w:jc w:val="right"/>
              <w:ind w:right="2282"/>
              <w:spacing w:after="0"/>
              <w:rPr>
                <w:sz w:val="20"/>
                <w:szCs w:val="20"/>
                <w:color w:val="auto"/>
              </w:rPr>
            </w:pPr>
            <w:r>
              <w:rPr>
                <w:rFonts w:ascii="Courier New" w:cs="Courier New" w:eastAsia="Courier New" w:hAnsi="Courier New"/>
                <w:sz w:val="16"/>
                <w:szCs w:val="16"/>
                <w:color w:val="auto"/>
                <w:w w:val="96"/>
              </w:rPr>
              <w:t>authorized, 200,000,000 shares;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600" w:type="dxa"/>
            <w:vAlign w:val="bottom"/>
            <w:gridSpan w:val="3"/>
          </w:tcPr>
          <w:p>
            <w:pPr>
              <w:ind w:left="460"/>
              <w:spacing w:after="0"/>
              <w:rPr>
                <w:sz w:val="20"/>
                <w:szCs w:val="20"/>
                <w:color w:val="auto"/>
              </w:rPr>
            </w:pPr>
            <w:r>
              <w:rPr>
                <w:rFonts w:ascii="Courier New" w:cs="Courier New" w:eastAsia="Courier New" w:hAnsi="Courier New"/>
                <w:sz w:val="10"/>
                <w:szCs w:val="10"/>
                <w:color w:val="auto"/>
                <w:w w:val="75"/>
              </w:rPr>
              <w:t>issued, 21,829,422 and 21,832,250.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21.8</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21.8</w:t>
            </w: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Class B common stock, $1 par value --</w:t>
            </w:r>
          </w:p>
        </w:tc>
        <w:tc>
          <w:tcPr>
            <w:tcW w:w="5260" w:type="dxa"/>
            <w:vAlign w:val="bottom"/>
            <w:gridSpan w:val="2"/>
          </w:tcPr>
          <w:p>
            <w:pPr>
              <w:jc w:val="right"/>
              <w:ind w:right="2362"/>
              <w:spacing w:after="0"/>
              <w:rPr>
                <w:sz w:val="20"/>
                <w:szCs w:val="20"/>
                <w:color w:val="auto"/>
              </w:rPr>
            </w:pPr>
            <w:r>
              <w:rPr>
                <w:rFonts w:ascii="Courier New" w:cs="Courier New" w:eastAsia="Courier New" w:hAnsi="Courier New"/>
                <w:sz w:val="16"/>
                <w:szCs w:val="16"/>
                <w:color w:val="auto"/>
                <w:w w:val="97"/>
              </w:rPr>
              <w:t>authorized, 50,000,000 shares;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060" w:type="dxa"/>
            <w:vAlign w:val="bottom"/>
          </w:tcPr>
          <w:p>
            <w:pPr>
              <w:ind w:left="460"/>
              <w:spacing w:after="0"/>
              <w:rPr>
                <w:sz w:val="20"/>
                <w:szCs w:val="20"/>
                <w:color w:val="auto"/>
              </w:rPr>
            </w:pPr>
            <w:r>
              <w:rPr>
                <w:rFonts w:ascii="Courier New" w:cs="Courier New" w:eastAsia="Courier New" w:hAnsi="Courier New"/>
                <w:sz w:val="16"/>
                <w:szCs w:val="16"/>
                <w:color w:val="auto"/>
                <w:w w:val="96"/>
              </w:rPr>
              <w:t>issued, 9,444,375</w:t>
            </w:r>
          </w:p>
        </w:tc>
        <w:tc>
          <w:tcPr>
            <w:tcW w:w="2540" w:type="dxa"/>
            <w:vAlign w:val="bottom"/>
            <w:gridSpan w:val="2"/>
          </w:tcPr>
          <w:p>
            <w:pPr>
              <w:spacing w:after="0"/>
              <w:rPr>
                <w:sz w:val="20"/>
                <w:szCs w:val="20"/>
                <w:color w:val="auto"/>
              </w:rPr>
            </w:pPr>
            <w:r>
              <w:rPr>
                <w:rFonts w:ascii="Courier New" w:cs="Courier New" w:eastAsia="Courier New" w:hAnsi="Courier New"/>
                <w:sz w:val="8"/>
                <w:szCs w:val="8"/>
                <w:color w:val="auto"/>
                <w:w w:val="70"/>
              </w:rPr>
              <w:t>.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9.4</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w:t>
            </w:r>
          </w:p>
        </w:tc>
      </w:tr>
      <w:tr>
        <w:trPr>
          <w:trHeight w:val="180"/>
        </w:trPr>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Additional capital</w:t>
            </w:r>
          </w:p>
        </w:tc>
        <w:tc>
          <w:tcPr>
            <w:tcW w:w="254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11,752.0</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11,598.8</w:t>
            </w: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0"/>
              </w:rPr>
              <w:t>Retained earnings ...........................................................................</w:t>
            </w: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1,631.5</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1,056.5</w:t>
            </w:r>
          </w:p>
        </w:tc>
      </w:tr>
      <w:tr>
        <w:trPr>
          <w:trHeight w:val="180"/>
        </w:trPr>
        <w:tc>
          <w:tcPr>
            <w:tcW w:w="38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Accumulated other comprehensive income</w:t>
            </w:r>
          </w:p>
        </w:tc>
        <w:tc>
          <w:tcPr>
            <w:tcW w:w="5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144.4</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432.4</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3"/>
          </w:tcPr>
          <w:p>
            <w:pPr>
              <w:ind w:left="460"/>
              <w:spacing w:after="0"/>
              <w:rPr>
                <w:sz w:val="20"/>
                <w:szCs w:val="20"/>
                <w:color w:val="auto"/>
              </w:rPr>
            </w:pPr>
            <w:r>
              <w:rPr>
                <w:rFonts w:ascii="Courier New" w:cs="Courier New" w:eastAsia="Courier New" w:hAnsi="Courier New"/>
                <w:sz w:val="10"/>
                <w:szCs w:val="10"/>
                <w:color w:val="auto"/>
                <w:w w:val="75"/>
              </w:rPr>
              <w:t>Total stockholders' equity ................................................................</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14,473.0</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14,086.4</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$ 38,131.8</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$ 35,744.5</w:t>
            </w:r>
          </w:p>
        </w:tc>
      </w:tr>
      <w:tr>
        <w:trPr>
          <w:trHeight w:val="180"/>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440"/>
          </w:cols>
          <w:pgMar w:left="240" w:top="654" w:right="219" w:bottom="0" w:gutter="0" w:footer="0" w:header="0"/>
        </w:sectPr>
      </w:pPr>
    </w:p>
    <w:bookmarkStart w:id="27" w:name="page28"/>
    <w:bookmarkEnd w:id="27"/>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right"/>
              <w:ind w:right="38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8300" w:type="dxa"/>
            <w:vAlign w:val="bottom"/>
          </w:tcPr>
          <w:p>
            <w:pPr>
              <w:spacing w:after="0"/>
              <w:rPr>
                <w:sz w:val="15"/>
                <w:szCs w:val="15"/>
                <w:color w:val="auto"/>
              </w:rPr>
            </w:pPr>
          </w:p>
        </w:tc>
        <w:tc>
          <w:tcPr>
            <w:tcW w:w="32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2001</w:t>
            </w:r>
          </w:p>
        </w:tc>
        <w:tc>
          <w:tcPr>
            <w:tcW w:w="20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15"/>
                <w:szCs w:val="15"/>
                <w:color w:val="auto"/>
              </w:rPr>
            </w:pPr>
          </w:p>
        </w:tc>
        <w:tc>
          <w:tcPr>
            <w:tcW w:w="7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830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right"/>
              <w:ind w:right="462"/>
              <w:spacing w:after="0"/>
              <w:rPr>
                <w:sz w:val="20"/>
                <w:szCs w:val="20"/>
                <w:color w:val="auto"/>
              </w:rPr>
            </w:pPr>
            <w:r>
              <w:rPr>
                <w:rFonts w:ascii="Courier New" w:cs="Courier New" w:eastAsia="Courier New" w:hAnsi="Courier New"/>
                <w:sz w:val="16"/>
                <w:szCs w:val="16"/>
                <w:color w:val="auto"/>
              </w:rPr>
              <w:t>(Amounts in millions,</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right"/>
              <w:ind w:right="382"/>
              <w:spacing w:after="0"/>
              <w:rPr>
                <w:sz w:val="20"/>
                <w:szCs w:val="20"/>
                <w:color w:val="auto"/>
              </w:rPr>
            </w:pPr>
            <w:r>
              <w:rPr>
                <w:rFonts w:ascii="Courier New" w:cs="Courier New" w:eastAsia="Courier New" w:hAnsi="Courier New"/>
                <w:sz w:val="16"/>
                <w:szCs w:val="16"/>
                <w:color w:val="auto"/>
              </w:rPr>
              <w:t>except per share data)</w:t>
            </w:r>
          </w:p>
        </w:tc>
      </w:tr>
      <w:tr>
        <w:trPr>
          <w:trHeight w:val="361"/>
        </w:trPr>
        <w:tc>
          <w:tcPr>
            <w:tcW w:w="83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Service revenues ...................................................................</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$ 5,756.9</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$ 4,682.7</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$3,361.8</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Net sales from electronic retailing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3,917.3</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3,535.9</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3,167.4</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9,674.2</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8,218.6</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6,529.2</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Operating (excluding depreciation)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2,905.8</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2,212.5</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1,663.1</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Cost of goods sold from electronic retailing (excluding depreciation)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2,514.0</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2,284.9</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2,060.0</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Selling, general and administrative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1,552.6</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1,250.9</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926.1</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Depreciation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1,141.8</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837.3</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572.0</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Amortization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2,306.2</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1,794.0</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644.0</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10,420.4</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8,379.6</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5,865.2</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 ...............................................................</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(746.2)</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(161.0)</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664.0</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Interest expense ...................................................................</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(731.8)</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(691.4)</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(538.3)</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Investment income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1,061.7</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983.9</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629.5</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Income (expense) related to indexed debt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666.0</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(666.0)</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Equity in net income (losses) of affiliates ........................................</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(28.5)</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Other income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1,301.0</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2,825.5</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1,409.4</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1,602.4</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3,762.7</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836.0</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 TAXES, MINORITY</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rPr>
              <w:t>INTEREST, EXTRAORDINARY ITEMS AND CUMULATIVE EFFECT OF</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ACCOUNTING 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856.2</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3,601.7</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1,500.0</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INCOME TAX EXPENSE ....................................................................</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(470.2)</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(1,441.3)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(723.7)</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MINORITY INTEREST,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ITEMS AND CUMULATIVE EFFECT OF ACCOUNTING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386.0</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2,160.4</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776.3</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MINORITY INTEREST .....................................................................</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(160.4)</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(115.3)</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EXTRAORDINARY ITEMS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AND CUMULATIVE EFFECT OF ACCOUNTING 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225.6</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2,045.1</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780.9</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GAIN FROM DISCONTINUED OPERATIONS, net of income tax expense of $166.1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335.8</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ITEMS AND CUMULATIVE EFFECT OF</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ACCOUNTING 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225.6</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2,045.1</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1,116.7</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EXTRAORDINARY ITEMS ...................................................................</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(51.0)</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CUMULATIVE EFFECT OF ACCOUNTING 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384.5</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NET INCOME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608.6</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2,021.5</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1,065.7</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PREFERRED DIVIDENDS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(23.5)</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(29.7)</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NET INCOME FOR COMMON STOCKHOLDERS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608.6</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$ 1,998.0</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$1,036.0</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 PER COMMON SHARE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rPr>
              <w:t>Income from continuing operations before extraordinary items and cumulative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560"/>
              <w:spacing w:after="0"/>
              <w:rPr>
                <w:sz w:val="20"/>
                <w:szCs w:val="20"/>
                <w:color w:val="auto"/>
              </w:rPr>
            </w:pPr>
            <w:r>
              <w:rPr>
                <w:rFonts w:ascii="Courier New" w:cs="Courier New" w:eastAsia="Courier New" w:hAnsi="Courier New"/>
                <w:sz w:val="16"/>
                <w:szCs w:val="16"/>
                <w:color w:val="auto"/>
                <w:w w:val="99"/>
              </w:rPr>
              <w:t>effect of accounting change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Discontinued operations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0.45</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Extraordinary items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Cumulative effect of accounting 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0.40</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Net income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0.64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1.38</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BASIC WEIGHTED AVERAGE NUMBER OF COMMON SHARES OUTSTANDING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949.7</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890.7</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749.1</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 PER COMMON SHARE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rPr>
              <w:t>Income from continuing operations before extraordinary items and cumulative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ind w:left="560"/>
              <w:spacing w:after="0"/>
              <w:rPr>
                <w:sz w:val="20"/>
                <w:szCs w:val="20"/>
                <w:color w:val="auto"/>
              </w:rPr>
            </w:pPr>
            <w:r>
              <w:rPr>
                <w:rFonts w:ascii="Courier New" w:cs="Courier New" w:eastAsia="Courier New" w:hAnsi="Courier New"/>
                <w:sz w:val="16"/>
                <w:szCs w:val="16"/>
                <w:color w:val="auto"/>
                <w:w w:val="99"/>
              </w:rPr>
              <w:t>effect of accounting change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0.95</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Discontinued operations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0.41</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Extraordinary items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(0.06)</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Cumulative effect of accounting change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0.40</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ind w:left="280"/>
              <w:spacing w:after="0"/>
              <w:rPr>
                <w:sz w:val="20"/>
                <w:szCs w:val="20"/>
                <w:color w:val="auto"/>
              </w:rPr>
            </w:pPr>
            <w:r>
              <w:rPr>
                <w:rFonts w:ascii="Courier New" w:cs="Courier New" w:eastAsia="Courier New" w:hAnsi="Courier New"/>
                <w:sz w:val="16"/>
                <w:szCs w:val="16"/>
                <w:color w:val="auto"/>
                <w:w w:val="99"/>
              </w:rPr>
              <w:t>Net income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0.63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1.30</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w w:val="99"/>
              </w:rPr>
              <w:t>DILUTED WEIGHTED AVERAGE NUMBER OF COMMON SHARES OUTSTANDING ..........................</w:t>
            </w:r>
          </w:p>
        </w:tc>
        <w:tc>
          <w:tcPr>
            <w:tcW w:w="2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964.5</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948.7</w:t>
            </w:r>
          </w:p>
        </w:tc>
        <w:tc>
          <w:tcPr>
            <w:tcW w:w="1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819.9</w:t>
            </w:r>
          </w:p>
        </w:tc>
      </w:tr>
      <w:tr>
        <w:trPr>
          <w:trHeight w:val="180"/>
        </w:trPr>
        <w:tc>
          <w:tcPr>
            <w:tcW w:w="830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1520"/>
          </w:cols>
          <w:pgMar w:left="240" w:top="654" w:right="139" w:bottom="0" w:gutter="0" w:footer="0" w:header="0"/>
        </w:sectPr>
      </w:pPr>
    </w:p>
    <w:bookmarkStart w:id="28" w:name="page29"/>
    <w:bookmarkEnd w:id="28"/>
    <w:p>
      <w:pPr>
        <w:ind w:left="2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37" w:right="1440" w:bottom="1440" w:gutter="0" w:footer="0" w:header="0"/>
        </w:sectPr>
      </w:pPr>
    </w:p>
    <w:bookmarkStart w:id="29" w:name="page30"/>
    <w:bookmarkEnd w:id="29"/>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jc w:val="right"/>
              <w:ind w:right="38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6800" w:type="dxa"/>
            <w:vAlign w:val="bottom"/>
          </w:tcPr>
          <w:p>
            <w:pPr>
              <w:spacing w:after="0"/>
              <w:rPr>
                <w:sz w:val="15"/>
                <w:szCs w:val="15"/>
                <w:color w:val="auto"/>
              </w:rPr>
            </w:pPr>
          </w:p>
        </w:tc>
        <w:tc>
          <w:tcPr>
            <w:tcW w:w="304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9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jc w:val="right"/>
              <w:ind w:right="482"/>
              <w:spacing w:after="0"/>
              <w:rPr>
                <w:sz w:val="20"/>
                <w:szCs w:val="20"/>
                <w:color w:val="auto"/>
              </w:rPr>
            </w:pPr>
            <w:r>
              <w:rPr>
                <w:rFonts w:ascii="Courier New" w:cs="Courier New" w:eastAsia="Courier New" w:hAnsi="Courier New"/>
                <w:sz w:val="16"/>
                <w:szCs w:val="16"/>
                <w:color w:val="auto"/>
              </w:rPr>
              <w:t>(Dollars in millions)</w:t>
            </w:r>
          </w:p>
        </w:tc>
      </w:tr>
      <w:tr>
        <w:trPr>
          <w:trHeight w:val="361"/>
        </w:trPr>
        <w:tc>
          <w:tcPr>
            <w:tcW w:w="6800" w:type="dxa"/>
            <w:vAlign w:val="bottom"/>
          </w:tcPr>
          <w:p>
            <w:pPr>
              <w:jc w:val="right"/>
              <w:ind w:right="4842"/>
              <w:spacing w:after="0"/>
              <w:rPr>
                <w:sz w:val="20"/>
                <w:szCs w:val="20"/>
                <w:color w:val="auto"/>
              </w:rPr>
            </w:pPr>
            <w:r>
              <w:rPr>
                <w:rFonts w:ascii="Courier New" w:cs="Courier New" w:eastAsia="Courier New" w:hAnsi="Courier New"/>
                <w:sz w:val="16"/>
                <w:szCs w:val="16"/>
                <w:color w:val="auto"/>
                <w:w w:val="96"/>
              </w:rPr>
              <w:t>OPERATING ACTIVITIES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Net income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608.6</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$ 2,021.5</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$ 1,065.7</w:t>
            </w:r>
          </w:p>
        </w:tc>
      </w:tr>
      <w:tr>
        <w:trPr>
          <w:trHeight w:val="180"/>
        </w:trPr>
        <w:tc>
          <w:tcPr>
            <w:tcW w:w="680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 provided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ind w:left="460"/>
              <w:spacing w:after="0"/>
              <w:rPr>
                <w:sz w:val="20"/>
                <w:szCs w:val="20"/>
                <w:color w:val="auto"/>
              </w:rPr>
            </w:pPr>
            <w:r>
              <w:rPr>
                <w:rFonts w:ascii="Courier New" w:cs="Courier New" w:eastAsia="Courier New" w:hAnsi="Courier New"/>
                <w:sz w:val="16"/>
                <w:szCs w:val="16"/>
                <w:color w:val="auto"/>
              </w:rPr>
              <w:t>by operating activities from continuing operations: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Depreciation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1,141.8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837.3</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572.0</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2,306.2</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1,794.0</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644.0</w:t>
            </w:r>
          </w:p>
        </w:tc>
      </w:tr>
      <w:tr>
        <w:trPr>
          <w:trHeight w:val="180"/>
        </w:trPr>
        <w:tc>
          <w:tcPr>
            <w:tcW w:w="6800" w:type="dxa"/>
            <w:vAlign w:val="bottom"/>
          </w:tcPr>
          <w:p>
            <w:pPr>
              <w:ind w:left="460"/>
              <w:spacing w:after="0"/>
              <w:rPr>
                <w:sz w:val="20"/>
                <w:szCs w:val="20"/>
                <w:color w:val="auto"/>
              </w:rPr>
            </w:pPr>
            <w:r>
              <w:rPr>
                <w:rFonts w:ascii="Courier New" w:cs="Courier New" w:eastAsia="Courier New" w:hAnsi="Courier New"/>
                <w:sz w:val="16"/>
                <w:szCs w:val="16"/>
                <w:color w:val="auto"/>
              </w:rPr>
              <w:t>Non-cash interest (income) expense, net</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(27.8)</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Non-cash (income) expense related to indexed debt ................</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(666.0)</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666.0</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Equity in net (income) losses of affiliates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28.5</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21.3</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Gains on investments and other income, net .......................</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(2,303.3)</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(3,679.3)</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(1,917.0)</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Minority interest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160.4</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115.3</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Discontinued operations ..........................................</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(335.8)</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Extraordinary items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23.6</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51.0</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Cumulative effect of accounting change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(384.5)</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Deferred income taxes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(240.7)</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1,074.6</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(73.4)</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23.6</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51.2</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41.5</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1,382.3</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1,570.9</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680.2</w:t>
            </w:r>
          </w:p>
        </w:tc>
      </w:tr>
      <w:tr>
        <w:trPr>
          <w:trHeight w:val="180"/>
        </w:trPr>
        <w:tc>
          <w:tcPr>
            <w:tcW w:w="6800" w:type="dxa"/>
            <w:vAlign w:val="bottom"/>
          </w:tcPr>
          <w:p>
            <w:pPr>
              <w:ind w:left="460"/>
              <w:spacing w:after="0"/>
              <w:rPr>
                <w:sz w:val="20"/>
                <w:szCs w:val="20"/>
                <w:color w:val="auto"/>
              </w:rPr>
            </w:pPr>
            <w:r>
              <w:rPr>
                <w:rFonts w:ascii="Courier New" w:cs="Courier New" w:eastAsia="Courier New" w:hAnsi="Courier New"/>
                <w:sz w:val="16"/>
                <w:szCs w:val="16"/>
                <w:color w:val="auto"/>
              </w:rPr>
              <w:t>Changes in working capital, net of effects of acquisitions and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4842"/>
              <w:spacing w:after="0"/>
              <w:rPr>
                <w:sz w:val="20"/>
                <w:szCs w:val="20"/>
                <w:color w:val="auto"/>
              </w:rPr>
            </w:pPr>
            <w:r>
              <w:rPr>
                <w:rFonts w:ascii="Courier New" w:cs="Courier New" w:eastAsia="Courier New" w:hAnsi="Courier New"/>
                <w:sz w:val="16"/>
                <w:szCs w:val="16"/>
                <w:color w:val="auto"/>
              </w:rPr>
              <w:t>divestitures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Increase in accounts receivable, net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(195.8)</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(89.5)</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Increase in inventories, net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(35.7)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(91.9)</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(Increase) decrease in other current assets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13.7</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30.7</w:t>
            </w:r>
          </w:p>
        </w:tc>
      </w:tr>
      <w:tr>
        <w:trPr>
          <w:trHeight w:val="180"/>
        </w:trPr>
        <w:tc>
          <w:tcPr>
            <w:tcW w:w="68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(Decrease) increase in accounts payable, accrued expenses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and other current liabilities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(93.9)</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719.9</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(152.8)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(351.6)</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569.2</w:t>
            </w:r>
          </w:p>
        </w:tc>
      </w:tr>
      <w:tr>
        <w:trPr>
          <w:trHeight w:val="180"/>
        </w:trPr>
        <w:tc>
          <w:tcPr>
            <w:tcW w:w="6800" w:type="dxa"/>
            <w:vAlign w:val="bottom"/>
          </w:tcPr>
          <w:p>
            <w:pPr>
              <w:ind w:left="940"/>
              <w:spacing w:after="0"/>
              <w:rPr>
                <w:sz w:val="20"/>
                <w:szCs w:val="20"/>
                <w:color w:val="auto"/>
              </w:rPr>
            </w:pPr>
            <w:r>
              <w:rPr>
                <w:rFonts w:ascii="Courier New" w:cs="Courier New" w:eastAsia="Courier New" w:hAnsi="Courier New"/>
                <w:sz w:val="16"/>
                <w:szCs w:val="16"/>
                <w:color w:val="auto"/>
              </w:rPr>
              <w:t>Net cash provided by operating activities from</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continuing operations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1,229.5</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1,219.3</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1,249.4</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jc w:val="right"/>
              <w:ind w:right="4842"/>
              <w:spacing w:after="0"/>
              <w:rPr>
                <w:sz w:val="20"/>
                <w:szCs w:val="20"/>
                <w:color w:val="auto"/>
              </w:rPr>
            </w:pPr>
            <w:r>
              <w:rPr>
                <w:rFonts w:ascii="Courier New" w:cs="Courier New" w:eastAsia="Courier New" w:hAnsi="Courier New"/>
                <w:sz w:val="16"/>
                <w:szCs w:val="16"/>
                <w:color w:val="auto"/>
                <w:w w:val="96"/>
              </w:rPr>
              <w:t>FINANCING ACTIVITIES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Proceeds from borrowings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5,686.4</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5,435.3</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2,786.6</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Retirements and repayments of debt .................................</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(4,187.7)</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(5,356.5)</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(1,368.2)</w:t>
            </w:r>
          </w:p>
        </w:tc>
      </w:tr>
      <w:tr>
        <w:trPr>
          <w:trHeight w:val="180"/>
        </w:trPr>
        <w:tc>
          <w:tcPr>
            <w:tcW w:w="6800" w:type="dxa"/>
            <w:vAlign w:val="bottom"/>
          </w:tcPr>
          <w:p>
            <w:pPr>
              <w:ind w:left="280"/>
              <w:spacing w:after="0"/>
              <w:rPr>
                <w:sz w:val="20"/>
                <w:szCs w:val="20"/>
                <w:color w:val="auto"/>
              </w:rPr>
            </w:pPr>
            <w:r>
              <w:rPr>
                <w:rFonts w:ascii="Courier New" w:cs="Courier New" w:eastAsia="Courier New" w:hAnsi="Courier New"/>
                <w:sz w:val="16"/>
                <w:szCs w:val="16"/>
                <w:color w:val="auto"/>
              </w:rPr>
              <w:t>Issuances of common stock and sales of put options on common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stock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27.2</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30.5</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17.1</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Repurchases of common stock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(324.9)</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Dividends ..........................................................</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Deferred financing costs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(55.8)</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(51.0)</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 ..............................................................</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ind w:left="940"/>
              <w:spacing w:after="0"/>
              <w:rPr>
                <w:sz w:val="20"/>
                <w:szCs w:val="20"/>
                <w:color w:val="auto"/>
              </w:rPr>
            </w:pPr>
            <w:r>
              <w:rPr>
                <w:rFonts w:ascii="Courier New" w:cs="Courier New" w:eastAsia="Courier New" w:hAnsi="Courier New"/>
                <w:sz w:val="16"/>
                <w:szCs w:val="16"/>
                <w:color w:val="auto"/>
              </w:rPr>
              <w:t>Net cash provided by (used in) financing activities from</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continuing operations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1,476.3</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(271.4)</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1,341.4</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jc w:val="right"/>
              <w:ind w:right="4842"/>
              <w:spacing w:after="0"/>
              <w:rPr>
                <w:sz w:val="20"/>
                <w:szCs w:val="20"/>
                <w:color w:val="auto"/>
              </w:rPr>
            </w:pPr>
            <w:r>
              <w:rPr>
                <w:rFonts w:ascii="Courier New" w:cs="Courier New" w:eastAsia="Courier New" w:hAnsi="Courier New"/>
                <w:sz w:val="16"/>
                <w:szCs w:val="16"/>
                <w:color w:val="auto"/>
                <w:w w:val="96"/>
              </w:rPr>
              <w:t>INVESTING ACTIVITIES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Acquisitions, net of cash acquired .................................</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(1,329.0)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(187.3)</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(755.2)</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Proceeds from liquidated damages, net ..............................</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1,460.0</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Proceeds from sales of (purchases of) short-term investments, net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1,028.1</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(1,035.5)</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Capital contributions to and purchases of investments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(317.0)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(1,010.7)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(2,012.2)</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Proceeds from sales of investments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1,172.8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997.3</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599.8</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Capital expenditures ...............................................</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(2,181.7)</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(1,636.8)</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(893.8)</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Sale of subsidiary, net of cash sold ...............................</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361.1</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Additions to intangible and other noncurrent assets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(346.2)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(409.2)</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(263.5)</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ind w:left="940"/>
              <w:spacing w:after="0"/>
              <w:rPr>
                <w:sz w:val="20"/>
                <w:szCs w:val="20"/>
                <w:color w:val="auto"/>
              </w:rPr>
            </w:pPr>
            <w:r>
              <w:rPr>
                <w:rFonts w:ascii="Courier New" w:cs="Courier New" w:eastAsia="Courier New" w:hAnsi="Courier New"/>
                <w:sz w:val="16"/>
                <w:szCs w:val="16"/>
                <w:color w:val="auto"/>
              </w:rPr>
              <w:t>Net cash used in investing activities from</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continuing operations ....................................</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(3,007.3)</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(1,218.6)</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(2,539.3)</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jc w:val="right"/>
              <w:ind w:right="3342"/>
              <w:spacing w:after="0"/>
              <w:rPr>
                <w:sz w:val="20"/>
                <w:szCs w:val="20"/>
                <w:color w:val="auto"/>
              </w:rPr>
            </w:pPr>
            <w:r>
              <w:rPr>
                <w:rFonts w:ascii="Courier New" w:cs="Courier New" w:eastAsia="Courier New" w:hAnsi="Courier New"/>
                <w:sz w:val="16"/>
                <w:szCs w:val="16"/>
                <w:color w:val="auto"/>
                <w:w w:val="97"/>
              </w:rPr>
              <w:t>(DECREASE) INCREASE IN CASH AND CASH</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EQUIVALENTS -- CONTINUING OPERATIONS ...............................</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(301.5)</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(270.7)</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51.5</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CASH AND CASH EQUIVALENTS, beginning of year ..........................</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651.5</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922.2</w:t>
            </w: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870.7</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CASH AND CASH EQUIVALENTS, end of year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651.5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922.2</w:t>
            </w:r>
          </w:p>
        </w:tc>
      </w:tr>
      <w:tr>
        <w:trPr>
          <w:trHeight w:val="180"/>
        </w:trPr>
        <w:tc>
          <w:tcPr>
            <w:tcW w:w="68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30" w:name="page31"/>
    <w:bookmarkEnd w:id="30"/>
    <w:p>
      <w:pPr>
        <w:spacing w:after="0" w:line="63"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Preferred Stock</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spacing w:after="0"/>
              <w:rPr>
                <w:sz w:val="15"/>
                <w:szCs w:val="15"/>
                <w:color w:val="auto"/>
              </w:rPr>
            </w:pPr>
          </w:p>
        </w:tc>
        <w:tc>
          <w:tcPr>
            <w:tcW w:w="1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7"/>
              </w:rPr>
              <w:t>------------------------</w:t>
            </w:r>
          </w:p>
        </w:tc>
        <w:tc>
          <w:tcPr>
            <w:tcW w:w="1080" w:type="dxa"/>
            <w:vAlign w:val="bottom"/>
          </w:tcPr>
          <w:p>
            <w:pPr>
              <w:spacing w:after="0"/>
              <w:rPr>
                <w:sz w:val="15"/>
                <w:szCs w:val="15"/>
                <w:color w:val="auto"/>
              </w:rPr>
            </w:pPr>
          </w:p>
        </w:tc>
      </w:tr>
      <w:tr>
        <w:trPr>
          <w:trHeight w:val="180"/>
        </w:trPr>
        <w:tc>
          <w:tcPr>
            <w:tcW w:w="502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Series</w:t>
            </w: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Series</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Class A</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r>
      <w:tr>
        <w:trPr>
          <w:trHeight w:val="180"/>
        </w:trPr>
        <w:tc>
          <w:tcPr>
            <w:tcW w:w="5020" w:type="dxa"/>
            <w:vAlign w:val="bottom"/>
          </w:tcPr>
          <w:p>
            <w:pPr>
              <w:spacing w:after="0"/>
              <w:rPr>
                <w:sz w:val="15"/>
                <w:szCs w:val="15"/>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A</w:t>
            </w:r>
          </w:p>
        </w:tc>
        <w:tc>
          <w:tcPr>
            <w:tcW w:w="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Special</w:t>
            </w:r>
          </w:p>
        </w:tc>
        <w:tc>
          <w:tcPr>
            <w:tcW w:w="15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Class A Class B</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Capital</w:t>
            </w:r>
          </w:p>
        </w:tc>
      </w:tr>
      <w:tr>
        <w:trPr>
          <w:trHeight w:val="180"/>
        </w:trPr>
        <w:tc>
          <w:tcPr>
            <w:tcW w:w="502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w:t>
            </w:r>
          </w:p>
        </w:tc>
        <w:tc>
          <w:tcPr>
            <w:tcW w:w="15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 -------</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(Dollars in millions)</w:t>
            </w:r>
          </w:p>
        </w:tc>
        <w:tc>
          <w:tcPr>
            <w:tcW w:w="108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Balance, January 1, 1999 ..........................</w:t>
            </w: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$ 31.9</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$ 540.7</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  698.4</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$ 31.7</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$ 9.4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$ 2,941.7</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Net income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net of deferred taxes of  $2,891.9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Reclassification adjustments for gains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included in net income, net of</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deferred taxes of $161.7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Cumulative translation adjustments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Total comprehensive Income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Acquisition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283.2</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Exercise of options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Conversion of Series A preferred ...............</w:t>
            </w: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(31.9)</w:t>
            </w: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29.2</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Retirement of common stock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(0.8)</w:t>
            </w: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Cash dividends, Series A preferred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Series B preferred dividends ...................</w:t>
            </w:r>
          </w:p>
        </w:tc>
        <w:tc>
          <w:tcPr>
            <w:tcW w:w="9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28.9</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(28.9)</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Share exchange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w:t>
            </w: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172.3</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Temporary equity related to put options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111.2</w:t>
            </w:r>
          </w:p>
        </w:tc>
      </w:tr>
      <w:tr>
        <w:trPr>
          <w:trHeight w:val="180"/>
        </w:trPr>
        <w:tc>
          <w:tcPr>
            <w:tcW w:w="502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569.6</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716.4</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26.0</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3,527.0</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Balance, December 31, 1999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Net income: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Unrealized losses on marketable securities,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net of deferred taxes of $2,789.3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Reclassification adjustments for gains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included in net income, net of deferred</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taxes of $266.0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Cumulative translation adjustments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Total comprehensive loss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Acquisitions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155.7</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7,585.2</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Exercise of options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53.9</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Retirement of common stock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w:t>
            </w: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(42.3)</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Conversion of Series B preferred ...............</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(533.6)</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38.3</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495.3</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Series B preferred dividends ...................</w:t>
            </w:r>
          </w:p>
        </w:tc>
        <w:tc>
          <w:tcPr>
            <w:tcW w:w="9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23.5</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Share exchange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w:t>
            </w: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44.1</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Temporary equity related to put options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(40.9)</w:t>
            </w:r>
          </w:p>
        </w:tc>
      </w:tr>
      <w:tr>
        <w:trPr>
          <w:trHeight w:val="180"/>
        </w:trPr>
        <w:tc>
          <w:tcPr>
            <w:tcW w:w="502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Balance, December 31, 2000 ........................</w:t>
            </w:r>
          </w:p>
        </w:tc>
        <w:tc>
          <w:tcPr>
            <w:tcW w:w="9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59.5</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908.0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21.8</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11,598.8</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Net income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net income of deferred taxes of $114.4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Reclassification adjustments for gains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included in net income, net of deferred</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taxes of $264.4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Unrealized losses on effective portion of</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cash flow hedges, net of deferred taxes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of $0.3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Cumulative translation adjustments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Total comprehensive income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Exercise of options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53.3</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Retirement of common stock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Conversion of Series B preferred ...............</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(59.5)</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55.3</w:t>
            </w: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Temporary equity related to put options ........</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w:t>
            </w:r>
          </w:p>
        </w:tc>
      </w:tr>
      <w:tr>
        <w:trPr>
          <w:trHeight w:val="180"/>
        </w:trPr>
        <w:tc>
          <w:tcPr>
            <w:tcW w:w="502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Balance, December 31, 2001 ........................</w:t>
            </w: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$ 913.9</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$ 21.8</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$ 9.4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$11,752.0</w:t>
            </w:r>
          </w:p>
        </w:tc>
      </w:tr>
      <w:tr>
        <w:trPr>
          <w:trHeight w:val="180"/>
        </w:trPr>
        <w:tc>
          <w:tcPr>
            <w:tcW w:w="5020" w:type="dxa"/>
            <w:vAlign w:val="bottom"/>
          </w:tcPr>
          <w:p>
            <w:pPr>
              <w:spacing w:after="0"/>
              <w:rPr>
                <w:sz w:val="15"/>
                <w:szCs w:val="15"/>
                <w:color w:val="auto"/>
              </w:rPr>
            </w:pPr>
          </w:p>
        </w:tc>
        <w:tc>
          <w:tcPr>
            <w:tcW w:w="1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w:t>
            </w:r>
          </w:p>
        </w:tc>
        <w:tc>
          <w:tcPr>
            <w:tcW w:w="16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902" w:orient="portrait"/>
          <w:cols w:equalWidth="0" w:num="1">
            <w:col w:w="10220"/>
          </w:cols>
          <w:pgMar w:left="240" w:top="654"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Retained</w:t>
      </w:r>
    </w:p>
    <w:p>
      <w:pPr>
        <w:ind w:left="5340"/>
        <w:spacing w:after="0"/>
        <w:rPr>
          <w:sz w:val="20"/>
          <w:szCs w:val="20"/>
          <w:color w:val="auto"/>
        </w:rPr>
      </w:pPr>
      <w:r>
        <w:rPr>
          <w:rFonts w:ascii="Courier New" w:cs="Courier New" w:eastAsia="Courier New" w:hAnsi="Courier New"/>
          <w:sz w:val="16"/>
          <w:szCs w:val="16"/>
          <w:color w:val="auto"/>
        </w:rPr>
        <w:t>Earnings</w:t>
      </w:r>
    </w:p>
    <w:p>
      <w:pPr>
        <w:spacing w:after="0" w:line="3"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Deficit)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Accumulated Other</w:t>
      </w:r>
    </w:p>
    <w:p>
      <w:pPr>
        <w:ind w:left="380"/>
        <w:spacing w:after="0"/>
        <w:rPr>
          <w:sz w:val="20"/>
          <w:szCs w:val="20"/>
          <w:color w:val="auto"/>
        </w:rPr>
      </w:pPr>
      <w:r>
        <w:rPr>
          <w:rFonts w:ascii="Courier New" w:cs="Courier New" w:eastAsia="Courier New" w:hAnsi="Courier New"/>
          <w:sz w:val="16"/>
          <w:szCs w:val="16"/>
          <w:color w:val="auto"/>
        </w:rPr>
        <w:t>Comprehensive</w:t>
      </w:r>
    </w:p>
    <w:p>
      <w:pPr>
        <w:ind w:left="380"/>
        <w:spacing w:after="0" w:line="237" w:lineRule="auto"/>
        <w:rPr>
          <w:sz w:val="20"/>
          <w:szCs w:val="20"/>
          <w:color w:val="auto"/>
        </w:rPr>
      </w:pPr>
      <w:r>
        <w:rPr>
          <w:rFonts w:ascii="Courier New" w:cs="Courier New" w:eastAsia="Courier New" w:hAnsi="Courier New"/>
          <w:sz w:val="16"/>
          <w:szCs w:val="16"/>
          <w:color w:val="auto"/>
        </w:rPr>
        <w:t>Income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5"/>
          <w:szCs w:val="15"/>
          <w:color w:val="auto"/>
        </w:rPr>
        <w:t>Unrealized</w:t>
        <w:tab/>
        <w:t>Cumulative</w:t>
      </w:r>
    </w:p>
    <w:p>
      <w:pPr>
        <w:spacing w:after="0" w:line="10" w:lineRule="exact"/>
        <w:rPr>
          <w:sz w:val="20"/>
          <w:szCs w:val="20"/>
          <w:color w:val="auto"/>
        </w:rPr>
      </w:pPr>
    </w:p>
    <w:p>
      <w:pPr>
        <w:ind w:left="280"/>
        <w:spacing w:after="0"/>
        <w:tabs>
          <w:tab w:leader="none" w:pos="1200" w:val="left"/>
        </w:tabs>
        <w:rPr>
          <w:sz w:val="20"/>
          <w:szCs w:val="20"/>
          <w:color w:val="auto"/>
        </w:rPr>
      </w:pP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Translation</w:t>
      </w:r>
    </w:p>
    <w:p>
      <w:pPr>
        <w:spacing w:after="0" w:line="10"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5"/>
          <w:szCs w:val="15"/>
          <w:color w:val="auto"/>
        </w:rPr>
        <w:t>Adjustments</w:t>
      </w:r>
    </w:p>
    <w:p>
      <w:pPr>
        <w:spacing w:after="0" w:line="1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902" w:orient="portrait"/>
          <w:cols w:equalWidth="0" w:num="3">
            <w:col w:w="6380" w:space="180"/>
            <w:col w:w="2260" w:space="180"/>
            <w:col w:w="1220"/>
          </w:cols>
          <w:pgMar w:left="240" w:top="654" w:right="14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$(1,488.2)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$1,049.5</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$ 3,815.3</w:t>
      </w:r>
    </w:p>
    <w:p>
      <w:pPr>
        <w:spacing w:after="0" w:line="10" w:lineRule="exact"/>
        <w:rPr>
          <w:sz w:val="20"/>
          <w:szCs w:val="20"/>
          <w:color w:val="auto"/>
        </w:rPr>
      </w:pPr>
    </w:p>
    <w:p>
      <w:pPr>
        <w:sectPr>
          <w:pgSz w:w="11900" w:h="16902" w:orient="portrait"/>
          <w:cols w:equalWidth="0" w:num="5">
            <w:col w:w="4780" w:space="380"/>
            <w:col w:w="940" w:space="560"/>
            <w:col w:w="740" w:space="380"/>
            <w:col w:w="560" w:space="660"/>
            <w:col w:w="1220"/>
          </w:cols>
          <w:pgMar w:left="240" w:top="654" w:right="14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Comprehensive income:</w:t>
      </w:r>
    </w:p>
    <w:p>
      <w:pPr>
        <w:sectPr>
          <w:pgSz w:w="11900" w:h="16902" w:orient="portrait"/>
          <w:cols w:equalWidth="0" w:num="1">
            <w:col w:w="10220"/>
          </w:cols>
          <w:pgMar w:left="240" w:top="654" w:right="143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1"/>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Net income .....................................</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1,065.7</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net of deferred taxes of  $2,891.9 ..........</w:t>
            </w:r>
          </w:p>
        </w:tc>
        <w:tc>
          <w:tcPr>
            <w:tcW w:w="142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5,370.6</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Reclassification adjustments for gains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included in net income, net of</w:t>
            </w:r>
          </w:p>
        </w:tc>
        <w:tc>
          <w:tcPr>
            <w:tcW w:w="14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(300.3)</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deferred taxes of $161.7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Cumulative translation adjustments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(7.3)</w:t>
            </w: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Total comprehensive Income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6,128.7</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Acquisition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291.7</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Exercise of options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25.9</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Conversion of Series A preferred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Retirement of common stock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(25.3)</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Cash dividends, Series A preferred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Series B preferred dividends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Share exchange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(172.0)</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Temporary equity related to put options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111.2</w:t>
            </w:r>
          </w:p>
        </w:tc>
      </w:tr>
      <w:tr>
        <w:trPr>
          <w:trHeight w:val="180"/>
        </w:trPr>
        <w:tc>
          <w:tcPr>
            <w:tcW w:w="4960" w:type="dxa"/>
            <w:vAlign w:val="bottom"/>
          </w:tcPr>
          <w:p>
            <w:pPr>
              <w:spacing w:after="0"/>
              <w:rPr>
                <w:sz w:val="15"/>
                <w:szCs w:val="15"/>
                <w:color w:val="auto"/>
              </w:rPr>
            </w:pP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15"/>
                <w:szCs w:val="15"/>
                <w:color w:val="auto"/>
              </w:rPr>
            </w:pP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(619.8)</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6,119.8</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(7.1)</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10,341.3</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Balance, December 31, 1999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2922"/>
              <w:spacing w:after="0"/>
              <w:rPr>
                <w:sz w:val="20"/>
                <w:szCs w:val="20"/>
                <w:color w:val="auto"/>
              </w:rPr>
            </w:pPr>
            <w:r>
              <w:rPr>
                <w:rFonts w:ascii="Courier New" w:cs="Courier New" w:eastAsia="Courier New" w:hAnsi="Courier New"/>
                <w:sz w:val="16"/>
                <w:szCs w:val="16"/>
                <w:color w:val="auto"/>
                <w:w w:val="96"/>
              </w:rPr>
              <w:t>Comprehensive income:</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Net income: ....................................</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2,021.5</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Unrealized losses on marketable securities,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net of deferred taxes of $2,789.3 ...........</w:t>
            </w:r>
          </w:p>
        </w:tc>
        <w:tc>
          <w:tcPr>
            <w:tcW w:w="14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(5,180.1)</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Reclassification adjustments for gains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included in net income, net of deferred</w:t>
            </w:r>
          </w:p>
        </w:tc>
        <w:tc>
          <w:tcPr>
            <w:tcW w:w="14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(494.0)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taxes of $266.0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Cumulative translation adjustments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w:t>
            </w: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Total comprehensive loss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(3,658.8)</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Acquisitions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7,740.9</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Exercise of options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(27.7)</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28.8</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Retirement of common stock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(273.5)</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(324.9)</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Conversion of Series B preferred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Series B preferred dividends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Share exchange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(44.0)</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Temporary equity related to put options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(40.9)</w:t>
            </w:r>
          </w:p>
        </w:tc>
      </w:tr>
      <w:tr>
        <w:trPr>
          <w:trHeight w:val="180"/>
        </w:trPr>
        <w:tc>
          <w:tcPr>
            <w:tcW w:w="4960" w:type="dxa"/>
            <w:vAlign w:val="bottom"/>
          </w:tcPr>
          <w:p>
            <w:pPr>
              <w:spacing w:after="0"/>
              <w:rPr>
                <w:sz w:val="15"/>
                <w:szCs w:val="15"/>
                <w:color w:val="auto"/>
              </w:rPr>
            </w:pP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Balance, December 31, 2000 ........................</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1,056.5</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445.7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(13.3)</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14,086.4</w:t>
            </w:r>
          </w:p>
        </w:tc>
      </w:tr>
      <w:tr>
        <w:trPr>
          <w:trHeight w:val="180"/>
        </w:trPr>
        <w:tc>
          <w:tcPr>
            <w:tcW w:w="4960" w:type="dxa"/>
            <w:vAlign w:val="bottom"/>
          </w:tcPr>
          <w:p>
            <w:pPr>
              <w:jc w:val="right"/>
              <w:ind w:right="2922"/>
              <w:spacing w:after="0"/>
              <w:rPr>
                <w:sz w:val="20"/>
                <w:szCs w:val="20"/>
                <w:color w:val="auto"/>
              </w:rPr>
            </w:pPr>
            <w:r>
              <w:rPr>
                <w:rFonts w:ascii="Courier New" w:cs="Courier New" w:eastAsia="Courier New" w:hAnsi="Courier New"/>
                <w:sz w:val="16"/>
                <w:szCs w:val="16"/>
                <w:color w:val="auto"/>
                <w:w w:val="96"/>
              </w:rPr>
              <w:t>Comprehensive income:</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Net income .....................................</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608.6</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net income of deferred taxes of $114.4 ......</w:t>
            </w:r>
          </w:p>
        </w:tc>
        <w:tc>
          <w:tcPr>
            <w:tcW w:w="142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212.5</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Reclassification adjustments for gains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included in net income, net of deferred</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taxes of $264.4 .............................</w:t>
            </w:r>
          </w:p>
        </w:tc>
        <w:tc>
          <w:tcPr>
            <w:tcW w:w="14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(491.1)</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Unrealized losses on effective portion of</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cash flow hedges, net of deferred taxes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of $0.3 .....................................</w:t>
            </w:r>
          </w:p>
        </w:tc>
        <w:tc>
          <w:tcPr>
            <w:tcW w:w="14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Cumulative translation adjustments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w:t>
            </w: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Total comprehensive income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320.6</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Exercise of options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(17.3)</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38.5</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Retirement of common stock .....................</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(16.3)</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Conversion of Series B preferred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Temporary equity related to put options ........</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w:t>
            </w:r>
          </w:p>
        </w:tc>
      </w:tr>
      <w:tr>
        <w:trPr>
          <w:trHeight w:val="180"/>
        </w:trPr>
        <w:tc>
          <w:tcPr>
            <w:tcW w:w="4960" w:type="dxa"/>
            <w:vAlign w:val="bottom"/>
          </w:tcPr>
          <w:p>
            <w:pPr>
              <w:spacing w:after="0"/>
              <w:rPr>
                <w:sz w:val="15"/>
                <w:szCs w:val="15"/>
                <w:color w:val="auto"/>
              </w:rPr>
            </w:pP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Balance, December 31, 2001 ........................</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$ 1,631.5</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166.5</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$(22.1)</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$14,473.0</w:t>
            </w:r>
          </w:p>
        </w:tc>
      </w:tr>
      <w:tr>
        <w:trPr>
          <w:trHeight w:val="180"/>
        </w:trPr>
        <w:tc>
          <w:tcPr>
            <w:tcW w:w="4960" w:type="dxa"/>
            <w:vAlign w:val="bottom"/>
          </w:tcPr>
          <w:p>
            <w:pPr>
              <w:spacing w:after="0"/>
              <w:rPr>
                <w:sz w:val="15"/>
                <w:szCs w:val="15"/>
                <w:color w:val="auto"/>
              </w:rPr>
            </w:pP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7" w:right="1440" w:bottom="1440" w:gutter="0" w:footer="0" w:header="0"/>
        </w:sectPr>
      </w:pPr>
    </w:p>
    <w:bookmarkStart w:id="32" w:name="page33"/>
    <w:bookmarkEnd w:id="3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79" w:lineRule="exact"/>
        <w:rPr>
          <w:sz w:val="20"/>
          <w:szCs w:val="20"/>
          <w:color w:val="auto"/>
        </w:rPr>
      </w:pPr>
    </w:p>
    <w:p>
      <w:pPr>
        <w:ind w:left="464" w:hanging="464"/>
        <w:spacing w:after="0"/>
        <w:tabs>
          <w:tab w:leader="none" w:pos="46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w:t>
      </w:r>
    </w:p>
    <w:p>
      <w:pPr>
        <w:spacing w:after="0" w:line="185"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Comcast Corporation and its subsidiaries (the "Company") is involved in three principal lines of business: cable, commerce and content.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Company's cable business is principally involved in the development, management and operation of broadband communications networks in the United States ("US"). The Company's consolidated cable operations served approximately 8.5 million subscribers and passed approximately 13.9 million homes as of December 31, 2001.</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commerce operations consist of the Company's consolidated subsidiary, QVC, Inc. and subsidiaries ("QVC"). Through QVC, an electronic retailer, the Company markets a wide variety of products directly to consumers primarily on merchandise-focused television programs. QVC was available, on a full and part-time basis, to approximately 82.1 million homes in the US, approximately 9.5 million homes in the United Kingdom ("UK"), approximately 23.6 million homes in Germany and approximately 3.6 million homes in Japan as of December 31, 2001.</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Content is provided through the Company's consolidated subsidiaries including Comcast Spectacor, Comcast SportsNet ("CSN"), Comcast SportsNet Mid-Atlantic ("CSN Mid-Atlantic"), Comcast Sports Southeast ("CSS"), E! Entertainment Television, Inc. ("E! Entertainment"), The Golf Channel ("TGC"), Outdoor Life Network ("OLN") and G4 Media, LLC ("G4 Media"), and through other programming investments (see Note 5).</w:t>
      </w:r>
    </w:p>
    <w:p>
      <w:pPr>
        <w:spacing w:after="0" w:line="189"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Company's cable and commerce operations represent the Company's two reportable segments under accounting principles generally accepted in the United States. The Company's three 24-hour regional sports programming networks, which consist of CSN, CSN Mid-Atlantic and CSS, derive a substantial portion of their revenues from the Company's cable operations. In 2001, as a result of a change in its internal reporting structure, the Company's regional sports programming networks are included in the Company's cable segment for all periods presented. See Note 12 for a summary of the Company's financial data by business segment.</w:t>
      </w:r>
    </w:p>
    <w:p>
      <w:pPr>
        <w:spacing w:after="0" w:line="173" w:lineRule="exact"/>
        <w:rPr>
          <w:sz w:val="20"/>
          <w:szCs w:val="20"/>
          <w:color w:val="auto"/>
        </w:rPr>
      </w:pPr>
    </w:p>
    <w:p>
      <w:pPr>
        <w:ind w:left="284" w:right="5819" w:hanging="284"/>
        <w:spacing w:after="0" w:line="471" w:lineRule="auto"/>
        <w:tabs>
          <w:tab w:leader="none" w:pos="47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Consolidation</w:t>
      </w:r>
    </w:p>
    <w:p>
      <w:pPr>
        <w:spacing w:after="0" w:line="10"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81"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Management's Use of Estimates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 obsolescence, investments and derivative financial instruments, depreciation and amortization, asset impairment, non-monetary transactions and contingencies.</w:t>
      </w:r>
    </w:p>
    <w:p>
      <w:pPr>
        <w:spacing w:after="0" w:line="168"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Fair Values</w:t>
      </w:r>
    </w:p>
    <w:p>
      <w:pPr>
        <w:spacing w:after="0" w:line="185" w:lineRule="exact"/>
        <w:rPr>
          <w:sz w:val="20"/>
          <w:szCs w:val="20"/>
          <w:color w:val="auto"/>
        </w:rPr>
      </w:pPr>
    </w:p>
    <w:p>
      <w:pPr>
        <w:ind w:left="4" w:right="2899" w:firstLine="469"/>
        <w:spacing w:after="0" w:line="257" w:lineRule="auto"/>
        <w:rPr>
          <w:sz w:val="20"/>
          <w:szCs w:val="20"/>
          <w:color w:val="auto"/>
        </w:rPr>
      </w:pPr>
      <w:r>
        <w:rPr>
          <w:rFonts w:ascii="Courier New" w:cs="Courier New" w:eastAsia="Courier New" w:hAnsi="Courier New"/>
          <w:sz w:val="15"/>
          <w:szCs w:val="15"/>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w:t>
      </w:r>
    </w:p>
    <w:p>
      <w:pPr>
        <w:spacing w:after="0" w:line="16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4" w:right="1440" w:bottom="1440" w:gutter="0" w:footer="0" w:header="0"/>
        </w:sectPr>
      </w:pPr>
    </w:p>
    <w:bookmarkStart w:id="33" w:name="page34"/>
    <w:bookmarkEnd w:id="3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 to management as of December 31, 2001 and 2000. The Company has not comprehensively updated these fair value estimates for purposes of these consolidated financial statements since such dates.</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Cash Equivalents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8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Inventories --- Electronic Retailing</w:t>
      </w:r>
    </w:p>
    <w:p>
      <w:pPr>
        <w:spacing w:after="0" w:line="185" w:lineRule="exact"/>
        <w:rPr>
          <w:sz w:val="20"/>
          <w:szCs w:val="20"/>
          <w:color w:val="auto"/>
        </w:rPr>
      </w:pPr>
    </w:p>
    <w:p>
      <w:pPr>
        <w:jc w:val="both"/>
        <w:ind w:right="2899" w:firstLine="469"/>
        <w:spacing w:after="0" w:line="263"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Investments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Investments consist principally of equity securities.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Unrealized gains or losses resulting from changes in fair value between measurement dates for trading securities are recorded as a component of investment income.</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Restricted publicly traded investments and investments in privately held companies are stated at cost, adjusted for any known diminution in value (see Note 6).</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Property and Equipment</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The Company records property and equipment at cost. Depreciation is provided by the straight-line method over estimated useful lives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43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and improvements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90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43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facilities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5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Other equipment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bl>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capitalizes improvements that extend asset lives and expenses other repairs and maintenance charges as incurred. The cost and related accumulated depreciation applicable to assets sold</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34" w:name="page35"/>
    <w:bookmarkEnd w:id="3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or retired are removed from the accounts and the gain or loss on disposition is recognized as a component of depreciation expense.</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Intangible Assets</w:t>
      </w:r>
    </w:p>
    <w:p>
      <w:pPr>
        <w:spacing w:after="0" w:line="185" w:lineRule="exact"/>
        <w:rPr>
          <w:sz w:val="20"/>
          <w:szCs w:val="20"/>
          <w:color w:val="auto"/>
        </w:rPr>
      </w:pPr>
    </w:p>
    <w:p>
      <w:pPr>
        <w:jc w:val="both"/>
        <w:ind w:right="2899" w:firstLine="469"/>
        <w:spacing w:after="0" w:line="259"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The Company amortizes goodwill over estimated useful lives ranging principally from 20 to 30 years.</w:t>
      </w:r>
    </w:p>
    <w:p>
      <w:pPr>
        <w:spacing w:after="0" w:line="171"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Cable franchise operating rights represent the value attributed to agreements with local authorities that allow access to homes in cable service areas acquired in connection with a business combination. The Company capitalizes these contractual rights and amortizes them over the term of the related franchise agreements. Costs incurred by the Company in negotiating and renewing franchise agreements are included in other intangible assets and are amortized on a straight-line basis over the term of the franchise renewal period, generally 10 to 15 years.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Other intangible assets consist principally of cable and satellite television distribution rights, cable system franchise renewal costs, contractual operating rights, computer software, programming costs and rights, license acquisition costs and non-competition agreements. The Company capitalizes these costs and amortizes them on a straight-line basis over the term of the related agreements or estimated useful life.</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See Note 3 for a discussion of the expected impact of adoption of Statement of Financial Accounting Standards ("SFAS") No. 141, "Business Combinations" ("SFAS No. 141") and SFAS No. 142, "Goodwill and Other Intangible Assets" ("SFAS No. 142").</w:t>
      </w:r>
    </w:p>
    <w:p>
      <w:pPr>
        <w:spacing w:after="0" w:line="36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periodically evaluates the recoverability of its long-lived assets, including property and equipment and intangible assets,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Foreign Currency Translation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The Company translates revenues and expenses using average exchange rates prevailing during the year. Foreign currency transaction gains and losses are included in other income (expense).</w:t>
      </w:r>
    </w:p>
    <w:p>
      <w:pPr>
        <w:spacing w:after="0" w:line="1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35" w:name="page36"/>
    <w:bookmarkEnd w:id="3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recognizes video, high-speed Internet, and programming revenues as service is provided. The Company manages credit risk by disconnecting services to cable and high-speed Internet customers who are delinquent. The Company recognizes advertising sales revenue at estimated realizable values when the advertising is aired. Revenues derived from other sources are recognized when services are provided or events occur.</w:t>
      </w:r>
    </w:p>
    <w:p>
      <w:pPr>
        <w:spacing w:after="0" w:line="18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See Note 3 for a discussion of the expected impact of adoption of Emerging Issues Task Force ("EITF") 01-9, "Accounting for Consideration Given to a Customer (Including a Reseller of the Vendor's Products)" ("EITF 01-9") and EITF 01-14, "Income Statement Characterization of Reimbursements Received for "Out-of-Pocket' Expenses Incurred" ("EITF 01-14").</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and related interpretations, as permitted by SFAS No. 123, "Accounting for Stock-Based Compensation."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at the end of the year (see Note 8).</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Postretirement and Postemployment Benefits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charges to operations the estimated costs of retiree benefits and benefits for former or inactive employees, after employment but before retirement, during the years the employees provide services.</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Investment Income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Investment income includes interest income, dividend income and gains, net of losses, on the sales and exchanges of marketable securities and long-term investments. The Company recognizes gross realized gains and losses using the specific identification method. Investment income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36" w:name="page37"/>
    <w:bookmarkEnd w:id="3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applied to the years during which temporary differences are expected to be settled, are reflected in the consolidated financial statements in the period of enactment (see Note 9).</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Derivative Financial Instruments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 uses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("Covered Call Options") in order to monetize a portion of those investments.</w:t>
      </w:r>
    </w:p>
    <w:p>
      <w:pPr>
        <w:spacing w:after="0" w:line="178"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w:t>
      </w:r>
    </w:p>
    <w:p>
      <w:pPr>
        <w:spacing w:after="0" w:line="18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Equity Collars, Equity Put Options and Equity Warrants were marked to market on a current basis with the result included in accumulated other comprehensive income in the Company's consolidated balance sheet. Covered Call Options are marked to market on a current basis with the result included in investment income in the Company's consolidated statement of operations.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the effective portion of any hedge is reported in other comprehensive income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37" w:name="page38"/>
    <w:bookmarkEnd w:id="3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Subsequent to the adoption of SFAS No. 133, Equity Warrants are marked to market on a current basis with the result included in investment income in the Company's consolidated statement of operations.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w:t>
      </w:r>
    </w:p>
    <w:p>
      <w:pPr>
        <w:spacing w:after="0" w:line="189"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74"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Note 3 for a discussion of the impact of adoption of SFAS No. 133.</w:t>
      </w:r>
    </w:p>
    <w:p>
      <w:pPr>
        <w:spacing w:after="0" w:line="36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Sale of Stock by a Subsidiary or Equity Method Investee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Securities Lending Transactions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2001.</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38" w:name="page39"/>
    <w:bookmarkEnd w:id="3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364" w:lineRule="exact"/>
        <w:rPr>
          <w:sz w:val="20"/>
          <w:szCs w:val="20"/>
          <w:color w:val="auto"/>
        </w:rPr>
      </w:pPr>
    </w:p>
    <w:p>
      <w:pPr>
        <w:ind w:left="280" w:right="6759" w:hanging="190"/>
        <w:spacing w:after="0" w:line="509" w:lineRule="auto"/>
        <w:tabs>
          <w:tab w:leader="none" w:pos="46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SFAS No. 133, as Amended</w:t>
      </w:r>
    </w:p>
    <w:p>
      <w:pPr>
        <w:spacing w:after="0" w:line="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derivatives and hedging activities. SFAS No. 133 requires that all derivative instruments be reported on the balance sheet at their fair values.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increase in income consisted of a $400.2 million adjustment to record the debt component of indexed debt at a discount from its value at maturity (see Note 7) and $191.3 million principally related to the reclassification of gains previously recognized as a component of accumulated other comprehensive income on the Company's equity derivative instruments, net of related deferred income taxes of $207.0 million (see Note 9).</w:t>
      </w:r>
    </w:p>
    <w:p>
      <w:pPr>
        <w:spacing w:after="0" w:line="189"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decrease in other comprehensive income consisted principally of the reclassification of the gains noted above.</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SFAS No's. 141 and 142</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Financial Accounting Standards Board ("FASB") issued SFAS No. 141 and SFAS No. 142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The Company adopted SFAS No. 141 on July 1, 2001, as required by the new statement. The adoption of SFAS No. 141 did not have a material impact on the Company's financial condition or results of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adopted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the period of adoption or in those periods in which the Company may record an asset impairment, the Company expects that the adoption of SFAS No. 142 will result in increased income as a result of reduced amortization expense.</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EITF of the FASB is expected to provide further guidance on certain implementation issues related to the adoption of SFAS No. 142 as it relates to identifiable intangible assets other than goodwill. Subject to further guidance to be provided, based upon the Company's interpretation of SFAS No. 142, the Company may record a charge as a cumulative effect of accounting change, net of related deferred income taxes, in an amount not expected to exceed $1.5 billion upon adoption of SFAS No. 142 on January 1, 2002.</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Based on the Company's preliminary evaluation, the estimated effect of adoption of SFAS No. 142 would have been to decrease amortization expense by approximately $2.0 billion and to increase deferred income tax expense by approximately $600 million for the year ended December 31, 2001 (See Note 14).</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39" w:name="page40"/>
    <w:bookmarkEnd w:id="3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SFAS No. 143</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While the Company is currently evaluating the impact the adoption of SFAS No. 143 will have on its financial condition and results of operations, it does not expect such impact to be material.</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SFAS No. 144</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While the Company is currently evaluating the impact the adoption of SFAS No. 144 will have on its financial condition and results of operations, it does not expect such impact to be material.</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EITF 01-9</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November 2001, the EITF reached a consensus on EITF 01-9.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currently classifies the amortization of these distribution fees as expense in its consolidated statement of operations. Upon adoption of EITF 01-9 on January 1, 2002, the Company will reclassify certain of these distribution fees from expense to a revenue reduction for all periods presented in its consolidated statement of operations. The change in classification will have no impact on the Company's reported operating loss or financial condition. The effect of the reclassification of cable television and satellite broadcast distribution fees from expense to a reduction of revenue is to decrease the amounts reported in the Company's consolidated statement of operations as follows (in millions):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2001</w:t>
            </w:r>
          </w:p>
        </w:tc>
        <w:tc>
          <w:tcPr>
            <w:tcW w:w="2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8"/>
              </w:rPr>
              <w:t>2000</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1999</w:t>
            </w:r>
          </w:p>
        </w:tc>
      </w:tr>
      <w:tr>
        <w:trPr>
          <w:trHeight w:val="180"/>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w:t>
            </w:r>
          </w:p>
        </w:tc>
        <w:tc>
          <w:tcPr>
            <w:tcW w:w="2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8"/>
              </w:rPr>
              <w:t>----</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w w:val="99"/>
              </w:rPr>
              <w:t>Service revenues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w w:val="99"/>
              </w:rPr>
              <w:t>Selling, general and administrative expense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w w:val="99"/>
              </w:rPr>
              <w:t>Amortization expense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bl>
    <w:p>
      <w:pPr>
        <w:spacing w:after="0" w:line="1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EITF 01-14</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currently classifies cable franchise fees collected from its cable subscribers as a reduction of the related franchise fee expense included within selling, general and administrative expenses in its consolidated statement of operations.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40" w:name="page41"/>
    <w:bookmarkEnd w:id="40"/>
    <w:p>
      <w:pPr>
        <w:jc w:val="center"/>
        <w:ind w:right="33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380"/>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480" w:firstLine="469"/>
        <w:spacing w:after="0" w:line="256" w:lineRule="auto"/>
        <w:rPr>
          <w:sz w:val="20"/>
          <w:szCs w:val="20"/>
          <w:color w:val="auto"/>
        </w:rPr>
      </w:pPr>
      <w:r>
        <w:rPr>
          <w:rFonts w:ascii="Courier New" w:cs="Courier New" w:eastAsia="Courier New" w:hAnsi="Courier New"/>
          <w:sz w:val="15"/>
          <w:szCs w:val="15"/>
          <w:color w:val="auto"/>
        </w:rPr>
        <w:t>EITF 01-14, by analogy, applies to franchise fees. Upon adoption of EITF 01-14 on January 1, 2002, the Company will reclassify franchise fees collected from cable subscribers from a reduction of selling, general and administrative expenses to a component of service revenues in its consolidated statement of operations. The change in classification will have no impact on the Company's reported operating income (loss) or financial condition. The effect of the reclassification of cable franchise fees is to increase the amounts reported in the Company's consolidated statement of operations as follows (in millions):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20" w:type="dxa"/>
            <w:vAlign w:val="bottom"/>
          </w:tcPr>
          <w:p>
            <w:pPr>
              <w:spacing w:after="0"/>
              <w:rPr>
                <w:sz w:val="15"/>
                <w:szCs w:val="15"/>
                <w:color w:val="auto"/>
              </w:rPr>
            </w:pPr>
          </w:p>
        </w:tc>
        <w:tc>
          <w:tcPr>
            <w:tcW w:w="2580" w:type="dxa"/>
            <w:vAlign w:val="bottom"/>
            <w:gridSpan w:val="4"/>
          </w:tcPr>
          <w:p>
            <w:pPr>
              <w:ind w:left="440"/>
              <w:spacing w:after="0"/>
              <w:rPr>
                <w:sz w:val="20"/>
                <w:szCs w:val="20"/>
                <w:color w:val="auto"/>
              </w:rPr>
            </w:pPr>
            <w:r>
              <w:rPr>
                <w:rFonts w:ascii="Courier New" w:cs="Courier New" w:eastAsia="Courier New" w:hAnsi="Courier New"/>
                <w:sz w:val="16"/>
                <w:szCs w:val="16"/>
                <w:color w:val="auto"/>
                <w:w w:val="95"/>
              </w:rPr>
              <w:t>Year Ended December 31,</w:t>
            </w:r>
          </w:p>
        </w:tc>
        <w:tc>
          <w:tcPr>
            <w:tcW w:w="480" w:type="dxa"/>
            <w:vAlign w:val="bottom"/>
          </w:tcPr>
          <w:p>
            <w:pPr>
              <w:spacing w:after="0"/>
              <w:rPr>
                <w:sz w:val="15"/>
                <w:szCs w:val="15"/>
                <w:color w:val="auto"/>
              </w:rPr>
            </w:pPr>
          </w:p>
        </w:tc>
      </w:tr>
      <w:tr>
        <w:trPr>
          <w:trHeight w:val="180"/>
        </w:trPr>
        <w:tc>
          <w:tcPr>
            <w:tcW w:w="7820" w:type="dxa"/>
            <w:vAlign w:val="bottom"/>
          </w:tcPr>
          <w:p>
            <w:pPr>
              <w:spacing w:after="0"/>
              <w:rPr>
                <w:sz w:val="15"/>
                <w:szCs w:val="15"/>
                <w:color w:val="auto"/>
              </w:rPr>
            </w:pPr>
          </w:p>
        </w:tc>
        <w:tc>
          <w:tcPr>
            <w:tcW w:w="3060" w:type="dxa"/>
            <w:vAlign w:val="bottom"/>
            <w:gridSpan w:val="5"/>
          </w:tcPr>
          <w:p>
            <w:pPr>
              <w:jc w:val="center"/>
              <w:ind w:right="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84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3"/>
              </w:rPr>
              <w:t>2000</w:t>
            </w:r>
          </w:p>
        </w:tc>
        <w:tc>
          <w:tcPr>
            <w:tcW w:w="9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361"/>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rPr>
              <w:t>Service revenues ...........................................................</w:t>
            </w: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$ 192.3</w:t>
            </w:r>
          </w:p>
        </w:tc>
        <w:tc>
          <w:tcPr>
            <w:tcW w:w="1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$ 152.3</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$ 105.6</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rPr>
              <w:t>Selling, general and administrative expense ................................</w:t>
            </w: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$ 192.3</w:t>
            </w:r>
          </w:p>
        </w:tc>
        <w:tc>
          <w:tcPr>
            <w:tcW w:w="1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$ 152.3</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$ 105.6</w:t>
            </w:r>
          </w:p>
        </w:tc>
      </w:tr>
      <w:tr>
        <w:trPr>
          <w:trHeight w:val="541"/>
        </w:trPr>
        <w:tc>
          <w:tcPr>
            <w:tcW w:w="7820" w:type="dxa"/>
            <w:vAlign w:val="bottom"/>
          </w:tcPr>
          <w:p>
            <w:pPr>
              <w:spacing w:after="0"/>
              <w:rPr>
                <w:sz w:val="20"/>
                <w:szCs w:val="20"/>
                <w:color w:val="auto"/>
              </w:rPr>
            </w:pPr>
            <w:r>
              <w:rPr>
                <w:rFonts w:ascii="Courier New" w:cs="Courier New" w:eastAsia="Courier New" w:hAnsi="Courier New"/>
                <w:sz w:val="16"/>
                <w:szCs w:val="16"/>
                <w:color w:val="auto"/>
              </w:rPr>
              <w:t>4.   Earnings Per Share</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61"/>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rPr>
              <w:t>Earnings for common stockholders per common share is computed by dividing</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0"/>
        </w:trPr>
        <w:tc>
          <w:tcPr>
            <w:tcW w:w="7820" w:type="dxa"/>
            <w:vAlign w:val="bottom"/>
          </w:tcPr>
          <w:p>
            <w:pPr>
              <w:spacing w:after="0"/>
              <w:rPr>
                <w:sz w:val="20"/>
                <w:szCs w:val="20"/>
                <w:color w:val="auto"/>
              </w:rPr>
            </w:pPr>
            <w:r>
              <w:rPr>
                <w:rFonts w:ascii="Courier New" w:cs="Courier New" w:eastAsia="Courier New" w:hAnsi="Courier New"/>
                <w:sz w:val="16"/>
                <w:szCs w:val="16"/>
                <w:color w:val="auto"/>
              </w:rPr>
              <w:t>net income, after deduction of preferred stock dividends, when applicable, by</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7820" w:type="dxa"/>
            <w:vAlign w:val="bottom"/>
          </w:tcPr>
          <w:p>
            <w:pPr>
              <w:spacing w:after="0"/>
              <w:rPr>
                <w:sz w:val="20"/>
                <w:szCs w:val="20"/>
                <w:color w:val="auto"/>
              </w:rPr>
            </w:pPr>
            <w:r>
              <w:rPr>
                <w:rFonts w:ascii="Courier New" w:cs="Courier New" w:eastAsia="Courier New" w:hAnsi="Courier New"/>
                <w:sz w:val="16"/>
                <w:szCs w:val="16"/>
                <w:color w:val="auto"/>
              </w:rPr>
              <w:t>the weighted average number of common shares outstanding during the period on a</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7820" w:type="dxa"/>
            <w:vAlign w:val="bottom"/>
          </w:tcPr>
          <w:p>
            <w:pPr>
              <w:spacing w:after="0"/>
              <w:rPr>
                <w:sz w:val="20"/>
                <w:szCs w:val="20"/>
                <w:color w:val="auto"/>
              </w:rPr>
            </w:pPr>
            <w:r>
              <w:rPr>
                <w:rFonts w:ascii="Courier New" w:cs="Courier New" w:eastAsia="Courier New" w:hAnsi="Courier New"/>
                <w:sz w:val="16"/>
                <w:szCs w:val="16"/>
                <w:color w:val="auto"/>
              </w:rPr>
              <w:t>basic and diluted basis.</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1"/>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rPr>
              <w:t>The following table reconciles the numerator and denominator of the</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0"/>
        </w:trPr>
        <w:tc>
          <w:tcPr>
            <w:tcW w:w="7820" w:type="dxa"/>
            <w:vAlign w:val="bottom"/>
          </w:tcPr>
          <w:p>
            <w:pPr>
              <w:spacing w:after="0"/>
              <w:rPr>
                <w:sz w:val="20"/>
                <w:szCs w:val="20"/>
                <w:color w:val="auto"/>
              </w:rPr>
            </w:pPr>
            <w:r>
              <w:rPr>
                <w:rFonts w:ascii="Courier New" w:cs="Courier New" w:eastAsia="Courier New" w:hAnsi="Courier New"/>
                <w:sz w:val="16"/>
                <w:szCs w:val="16"/>
                <w:color w:val="auto"/>
              </w:rPr>
              <w:t>computations of diluted earnings for common stockholders per common share</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7820" w:type="dxa"/>
            <w:vAlign w:val="bottom"/>
          </w:tcPr>
          <w:p>
            <w:pPr>
              <w:spacing w:after="0"/>
              <w:rPr>
                <w:sz w:val="20"/>
                <w:szCs w:val="20"/>
                <w:color w:val="auto"/>
              </w:rPr>
            </w:pPr>
            <w:r>
              <w:rPr>
                <w:rFonts w:ascii="Courier New" w:cs="Courier New" w:eastAsia="Courier New" w:hAnsi="Courier New"/>
                <w:sz w:val="16"/>
                <w:szCs w:val="16"/>
                <w:color w:val="auto"/>
              </w:rPr>
              <w:t>("Diluted EPS") for the years presented.</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721"/>
        </w:trPr>
        <w:tc>
          <w:tcPr>
            <w:tcW w:w="7820" w:type="dxa"/>
            <w:vAlign w:val="bottom"/>
          </w:tcPr>
          <w:p>
            <w:pPr>
              <w:spacing w:after="0"/>
              <w:rPr>
                <w:sz w:val="24"/>
                <w:szCs w:val="24"/>
                <w:color w:val="auto"/>
              </w:rPr>
            </w:pPr>
          </w:p>
        </w:tc>
        <w:tc>
          <w:tcPr>
            <w:tcW w:w="2580" w:type="dxa"/>
            <w:vAlign w:val="bottom"/>
            <w:gridSpan w:val="4"/>
          </w:tcPr>
          <w:p>
            <w:pPr>
              <w:ind w:left="440"/>
              <w:spacing w:after="0"/>
              <w:rPr>
                <w:sz w:val="20"/>
                <w:szCs w:val="20"/>
                <w:color w:val="auto"/>
              </w:rPr>
            </w:pPr>
            <w:r>
              <w:rPr>
                <w:rFonts w:ascii="Courier New" w:cs="Courier New" w:eastAsia="Courier New" w:hAnsi="Courier New"/>
                <w:sz w:val="16"/>
                <w:szCs w:val="16"/>
                <w:color w:val="auto"/>
                <w:w w:val="95"/>
              </w:rPr>
              <w:t>Year Ended December 31,</w:t>
            </w:r>
          </w:p>
        </w:tc>
        <w:tc>
          <w:tcPr>
            <w:tcW w:w="480" w:type="dxa"/>
            <w:vAlign w:val="bottom"/>
          </w:tcPr>
          <w:p>
            <w:pPr>
              <w:spacing w:after="0"/>
              <w:rPr>
                <w:sz w:val="24"/>
                <w:szCs w:val="24"/>
                <w:color w:val="auto"/>
              </w:rPr>
            </w:pPr>
          </w:p>
        </w:tc>
      </w:tr>
      <w:tr>
        <w:trPr>
          <w:trHeight w:val="180"/>
        </w:trPr>
        <w:tc>
          <w:tcPr>
            <w:tcW w:w="7820" w:type="dxa"/>
            <w:vAlign w:val="bottom"/>
          </w:tcPr>
          <w:p>
            <w:pPr>
              <w:spacing w:after="0"/>
              <w:rPr>
                <w:sz w:val="15"/>
                <w:szCs w:val="15"/>
                <w:color w:val="auto"/>
              </w:rPr>
            </w:pPr>
          </w:p>
        </w:tc>
        <w:tc>
          <w:tcPr>
            <w:tcW w:w="3060" w:type="dxa"/>
            <w:vAlign w:val="bottom"/>
            <w:gridSpan w:val="5"/>
          </w:tcPr>
          <w:p>
            <w:pPr>
              <w:jc w:val="center"/>
              <w:ind w:right="6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84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3"/>
              </w:rPr>
              <w:t>2000</w:t>
            </w:r>
          </w:p>
        </w:tc>
        <w:tc>
          <w:tcPr>
            <w:tcW w:w="9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center"/>
              <w:ind w:right="122"/>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0"/>
        </w:trPr>
        <w:tc>
          <w:tcPr>
            <w:tcW w:w="7820" w:type="dxa"/>
            <w:vAlign w:val="bottom"/>
          </w:tcPr>
          <w:p>
            <w:pPr>
              <w:spacing w:after="0"/>
              <w:rPr>
                <w:sz w:val="15"/>
                <w:szCs w:val="15"/>
                <w:color w:val="auto"/>
              </w:rPr>
            </w:pPr>
          </w:p>
        </w:tc>
        <w:tc>
          <w:tcPr>
            <w:tcW w:w="2580" w:type="dxa"/>
            <w:vAlign w:val="bottom"/>
            <w:gridSpan w:val="4"/>
          </w:tcPr>
          <w:p>
            <w:pPr>
              <w:ind w:left="520"/>
              <w:spacing w:after="0"/>
              <w:rPr>
                <w:sz w:val="20"/>
                <w:szCs w:val="20"/>
                <w:color w:val="auto"/>
              </w:rPr>
            </w:pPr>
            <w:r>
              <w:rPr>
                <w:rFonts w:ascii="Courier New" w:cs="Courier New" w:eastAsia="Courier New" w:hAnsi="Courier New"/>
                <w:sz w:val="16"/>
                <w:szCs w:val="16"/>
                <w:color w:val="auto"/>
              </w:rPr>
              <w:t>(Amounts in millions,</w:t>
            </w:r>
          </w:p>
        </w:tc>
        <w:tc>
          <w:tcPr>
            <w:tcW w:w="480" w:type="dxa"/>
            <w:vAlign w:val="bottom"/>
          </w:tcPr>
          <w:p>
            <w:pPr>
              <w:spacing w:after="0"/>
              <w:rPr>
                <w:sz w:val="15"/>
                <w:szCs w:val="15"/>
                <w:color w:val="auto"/>
              </w:rPr>
            </w:pPr>
          </w:p>
        </w:tc>
      </w:tr>
      <w:tr>
        <w:trPr>
          <w:trHeight w:val="180"/>
        </w:trPr>
        <w:tc>
          <w:tcPr>
            <w:tcW w:w="7820" w:type="dxa"/>
            <w:vAlign w:val="bottom"/>
          </w:tcPr>
          <w:p>
            <w:pPr>
              <w:spacing w:after="0"/>
              <w:rPr>
                <w:sz w:val="15"/>
                <w:szCs w:val="15"/>
                <w:color w:val="auto"/>
              </w:rPr>
            </w:pPr>
          </w:p>
        </w:tc>
        <w:tc>
          <w:tcPr>
            <w:tcW w:w="258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except per share data)</w:t>
            </w:r>
          </w:p>
        </w:tc>
        <w:tc>
          <w:tcPr>
            <w:tcW w:w="480" w:type="dxa"/>
            <w:vAlign w:val="bottom"/>
          </w:tcPr>
          <w:p>
            <w:pPr>
              <w:spacing w:after="0"/>
              <w:rPr>
                <w:sz w:val="15"/>
                <w:szCs w:val="15"/>
                <w:color w:val="auto"/>
              </w:rPr>
            </w:pPr>
          </w:p>
        </w:tc>
      </w:tr>
      <w:tr>
        <w:trPr>
          <w:trHeight w:val="361"/>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w w:val="98"/>
              </w:rPr>
              <w:t>Net income for common stockholders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$ 608.6</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$ 1,998.0</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$ 1,036.0</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w w:val="98"/>
              </w:rPr>
              <w:t>Preferred dividends ..........................................................</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23.5</w:t>
            </w:r>
          </w:p>
        </w:tc>
        <w:tc>
          <w:tcPr>
            <w:tcW w:w="4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29.7</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w w:val="98"/>
              </w:rPr>
              <w:t>Net income for common stockholders used for Diluted EPS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$ 608.6</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$ 2,021.5</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$ 1,065.7</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w w:val="98"/>
              </w:rPr>
              <w:t>Basic weighted average number of common shares outstanding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949.7</w:t>
            </w: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890.7</w:t>
            </w:r>
          </w:p>
        </w:tc>
        <w:tc>
          <w:tcPr>
            <w:tcW w:w="4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749.1</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rPr>
              <w:t>Dilutive securities:</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7820" w:type="dxa"/>
            <w:vAlign w:val="bottom"/>
          </w:tcPr>
          <w:p>
            <w:pPr>
              <w:ind w:left="740"/>
              <w:spacing w:after="0"/>
              <w:rPr>
                <w:sz w:val="20"/>
                <w:szCs w:val="20"/>
                <w:color w:val="auto"/>
              </w:rPr>
            </w:pPr>
            <w:r>
              <w:rPr>
                <w:rFonts w:ascii="Courier New" w:cs="Courier New" w:eastAsia="Courier New" w:hAnsi="Courier New"/>
                <w:sz w:val="16"/>
                <w:szCs w:val="16"/>
                <w:color w:val="auto"/>
                <w:w w:val="98"/>
              </w:rPr>
              <w:t>Series A and B convertible preferred stock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42.5</w:t>
            </w:r>
          </w:p>
        </w:tc>
        <w:tc>
          <w:tcPr>
            <w:tcW w:w="4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44.0</w:t>
            </w:r>
          </w:p>
        </w:tc>
      </w:tr>
      <w:tr>
        <w:trPr>
          <w:trHeight w:val="180"/>
        </w:trPr>
        <w:tc>
          <w:tcPr>
            <w:tcW w:w="7820" w:type="dxa"/>
            <w:vAlign w:val="bottom"/>
          </w:tcPr>
          <w:p>
            <w:pPr>
              <w:ind w:left="740"/>
              <w:spacing w:after="0"/>
              <w:rPr>
                <w:sz w:val="20"/>
                <w:szCs w:val="20"/>
                <w:color w:val="auto"/>
              </w:rPr>
            </w:pPr>
            <w:r>
              <w:rPr>
                <w:rFonts w:ascii="Courier New" w:cs="Courier New" w:eastAsia="Courier New" w:hAnsi="Courier New"/>
                <w:sz w:val="16"/>
                <w:szCs w:val="16"/>
                <w:color w:val="auto"/>
                <w:w w:val="98"/>
              </w:rPr>
              <w:t>Stock option and restricted stock plans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w:t>
            </w: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15.4</w:t>
            </w:r>
          </w:p>
        </w:tc>
        <w:tc>
          <w:tcPr>
            <w:tcW w:w="4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26.8</w:t>
            </w:r>
          </w:p>
        </w:tc>
      </w:tr>
      <w:tr>
        <w:trPr>
          <w:trHeight w:val="180"/>
        </w:trPr>
        <w:tc>
          <w:tcPr>
            <w:tcW w:w="7820" w:type="dxa"/>
            <w:vAlign w:val="bottom"/>
          </w:tcPr>
          <w:p>
            <w:pPr>
              <w:ind w:left="740"/>
              <w:spacing w:after="0"/>
              <w:rPr>
                <w:sz w:val="20"/>
                <w:szCs w:val="20"/>
                <w:color w:val="auto"/>
              </w:rPr>
            </w:pPr>
            <w:r>
              <w:rPr>
                <w:rFonts w:ascii="Courier New" w:cs="Courier New" w:eastAsia="Courier New" w:hAnsi="Courier New"/>
                <w:sz w:val="16"/>
                <w:szCs w:val="16"/>
                <w:color w:val="auto"/>
              </w:rPr>
              <w:t>Put options on Class A Special Common Stock</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w w:val="98"/>
              </w:rPr>
              <w:t>Diluted weighted average number of common shares outstanding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964.5</w:t>
            </w: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948.7</w:t>
            </w:r>
          </w:p>
        </w:tc>
        <w:tc>
          <w:tcPr>
            <w:tcW w:w="4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819.9</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820" w:type="dxa"/>
            <w:vAlign w:val="bottom"/>
          </w:tcPr>
          <w:p>
            <w:pPr>
              <w:ind w:left="460"/>
              <w:spacing w:after="0"/>
              <w:rPr>
                <w:sz w:val="20"/>
                <w:szCs w:val="20"/>
                <w:color w:val="auto"/>
              </w:rPr>
            </w:pPr>
            <w:r>
              <w:rPr>
                <w:rFonts w:ascii="Courier New" w:cs="Courier New" w:eastAsia="Courier New" w:hAnsi="Courier New"/>
                <w:sz w:val="16"/>
                <w:szCs w:val="16"/>
                <w:color w:val="auto"/>
                <w:w w:val="98"/>
              </w:rPr>
              <w:t>Diluted earnings for common stockholders per common share ....................</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0.63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w:t>
            </w: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0"/>
        </w:trPr>
        <w:tc>
          <w:tcPr>
            <w:tcW w:w="78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560" w:firstLine="469"/>
        <w:spacing w:after="0" w:line="256" w:lineRule="auto"/>
        <w:rPr>
          <w:sz w:val="20"/>
          <w:szCs w:val="20"/>
          <w:color w:val="auto"/>
        </w:rPr>
      </w:pPr>
      <w:r>
        <w:rPr>
          <w:rFonts w:ascii="Courier New" w:cs="Courier New" w:eastAsia="Courier New" w:hAnsi="Courier New"/>
          <w:sz w:val="15"/>
          <w:szCs w:val="15"/>
          <w:color w:val="auto"/>
        </w:rPr>
        <w:t>Comcast Put Options on a weighted average 0.2 million shares, 1.5 million shares and 2.7 million shares of its Class A Special Common Stock (see Note 8) were outstanding during the years ended December 31, 2001, 2000 and 1999, respectively. Comcast Put Options outstanding during the years ended December 31, 2001 and 1999 were not included in the computation of Diluted EPS as the Comcast Put Options' exercise price was less than the average market price of the Company's Class A Special Common Stock during the periods.</w:t>
      </w:r>
    </w:p>
    <w:p>
      <w:pPr>
        <w:spacing w:after="0" w:line="174" w:lineRule="exact"/>
        <w:rPr>
          <w:sz w:val="20"/>
          <w:szCs w:val="20"/>
          <w:color w:val="auto"/>
        </w:rPr>
      </w:pPr>
    </w:p>
    <w:p>
      <w:pPr>
        <w:ind w:right="3380" w:firstLine="469"/>
        <w:spacing w:after="0" w:line="238" w:lineRule="auto"/>
        <w:rPr>
          <w:sz w:val="20"/>
          <w:szCs w:val="20"/>
          <w:color w:val="auto"/>
        </w:rPr>
      </w:pPr>
      <w:r>
        <w:rPr>
          <w:rFonts w:ascii="Courier New" w:cs="Courier New" w:eastAsia="Courier New" w:hAnsi="Courier New"/>
          <w:sz w:val="16"/>
          <w:szCs w:val="16"/>
          <w:color w:val="auto"/>
        </w:rPr>
        <w:t>In December 2000 and January 2001, the Company issued $1.478 billion principal amount at maturity of Zero Coupon Convertible Debentures due 2020 (the "Zero Coupon Debentures" --- see Note 7).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in 2001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880"/>
          </w:cols>
          <w:pgMar w:left="240" w:top="654" w:right="779" w:bottom="1440" w:gutter="0" w:footer="0" w:header="0"/>
        </w:sectPr>
      </w:pPr>
    </w:p>
    <w:bookmarkStart w:id="41" w:name="page42"/>
    <w:bookmarkEnd w:id="4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2000 as the weighted average closing sale price of the Company's Class A Special Common Stock was not greater than 110% of the accreted conversion price.</w:t>
      </w:r>
    </w:p>
    <w:p>
      <w:pPr>
        <w:spacing w:after="0" w:line="169" w:lineRule="exact"/>
        <w:rPr>
          <w:sz w:val="20"/>
          <w:szCs w:val="20"/>
          <w:color w:val="auto"/>
        </w:rPr>
      </w:pPr>
    </w:p>
    <w:p>
      <w:pPr>
        <w:ind w:left="280" w:right="5439" w:hanging="190"/>
        <w:spacing w:after="0" w:line="509" w:lineRule="auto"/>
        <w:tabs>
          <w:tab w:leader="none" w:pos="46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 Agreement and Plan of Merger with AT&amp;T Broadband</w:t>
      </w:r>
    </w:p>
    <w:p>
      <w:pPr>
        <w:spacing w:after="0" w:line="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December 31, 2001, AT&amp;T Broadband served approximately 13.6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w:t>
      </w:r>
    </w:p>
    <w:p>
      <w:pPr>
        <w:spacing w:after="0" w:line="17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Company will account for the transaction as an acquisition under the purchase method of accounting, with the Company as the acquiring entity. The identification of the Company as the acquiring entity was made after careful consideration of all facts and circumstances, as follows:</w:t>
      </w:r>
    </w:p>
    <w:p>
      <w:pPr>
        <w:spacing w:after="0" w:line="186" w:lineRule="exact"/>
        <w:rPr>
          <w:sz w:val="20"/>
          <w:szCs w:val="20"/>
          <w:color w:val="auto"/>
        </w:rPr>
      </w:pPr>
    </w:p>
    <w:p>
      <w:pPr>
        <w:ind w:left="460" w:right="2719" w:firstLine="469"/>
        <w:spacing w:after="0" w:line="255" w:lineRule="auto"/>
        <w:rPr>
          <w:sz w:val="20"/>
          <w:szCs w:val="20"/>
          <w:color w:val="auto"/>
        </w:rPr>
      </w:pPr>
      <w:r>
        <w:rPr>
          <w:rFonts w:ascii="Courier New" w:cs="Courier New" w:eastAsia="Courier New" w:hAnsi="Courier New"/>
          <w:sz w:val="15"/>
          <w:szCs w:val="15"/>
          <w:color w:val="auto"/>
        </w:rPr>
        <w:t>Voting Rights in the New Combined Company. Former AT&amp;T shareholders will own approximately 53.7% of the combined company's economic interest and approximately 60.6% of the combined company's voting interest following the merger. Microsoft will own shares representing approximately 5.2% of the combined company's economic interest and 4.95% of the combined company's voting interest following the merger. No individual former AT&amp;T shareholder will have any significant ownership or voting interest following the merger. Brian L. Roberts, the Company's controlling shareholder and President ("Mr. Roberts"), either directly or through his control of a family holding company, will own an approximately 33.34% voting interest in the combined company following the merger (including a 33.33% non-dilutable voting interest through ownership of the Class B common stock of the combined company), and an approximately .8% economic interest. Mr. Roberts will hold the largest minority voting interest in the combined company. The next largest voting interest held by an individual shareholder will be 4.95%, held by Microsoft. Under the governing documents of the combined company, as a result of his ownership of the Class B stock, Mr. Roberts will have the right to approve any merger involving the combined company or any other transaction in which any other person would own more than 10 percent of the stock of the combined company, the right to approve any issuances of Class B stock, and any charter amendments or other actions that would limit the rights of the Class B stock.</w:t>
      </w:r>
    </w:p>
    <w:p>
      <w:pPr>
        <w:spacing w:after="0" w:line="357" w:lineRule="exact"/>
        <w:rPr>
          <w:sz w:val="20"/>
          <w:szCs w:val="20"/>
          <w:color w:val="auto"/>
        </w:rPr>
      </w:pPr>
    </w:p>
    <w:p>
      <w:pPr>
        <w:ind w:left="460" w:right="2819" w:firstLine="469"/>
        <w:spacing w:after="0" w:line="238" w:lineRule="auto"/>
        <w:rPr>
          <w:sz w:val="20"/>
          <w:szCs w:val="20"/>
          <w:color w:val="auto"/>
        </w:rPr>
      </w:pPr>
      <w:r>
        <w:rPr>
          <w:rFonts w:ascii="Courier New" w:cs="Courier New" w:eastAsia="Courier New" w:hAnsi="Courier New"/>
          <w:sz w:val="16"/>
          <w:szCs w:val="16"/>
          <w:color w:val="auto"/>
        </w:rPr>
        <w:t>Governance Arrangements Relating to the Board of Directors. The initial Board of the combined company will have twelve members, five of whom will be designated by the Company from its existing Board, five of whom will be designated by AT&amp;T from its existing Board, and two of whom will be jointly designated by the Company and AT&amp;T and will be independent persons. Except for pre-approved designees, the individuals designated by each of the Company and AT&amp;T will be mutually agreed upon by the Company and AT&amp;T. Pursuant to the terms of the merger agreement,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42" w:name="page43"/>
    <w:bookmarkEnd w:id="42"/>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existing Company directors Ralph J. Roberts, Mr. Roberts, Sheldon M. Bonovitz, Julian A. Brodsky and Decker Anstrom have been pre-approved as Company director designees of the combined company and existing AT&amp;T director and Chairman C. Michael Armstrong ("Mr. Armstrong") is the sole pre-approved AT&amp;T director designee. The remaining four AT&amp;T designees are subject to the approval of the Company. All of the initial director designees will hold office until the 2004 annual meeting of the combined company shareholders. After this initial term, the entire Board will be elected annually. During the period before the 2004 annual meeting, Mr. Roberts will be the chairman of the Board committee that nominates the slate of directors for the combined company (the "Directors Nominating Committee") if he is the Chairman or the CEO of the combined company. The remaining four members of the Directors Nominating Committee will consist of one director designee who is an independent director selected by the Company's director designees, and three independent directors selected by the Company's director designees from the AT&amp;T director designees and the Company/AT&amp;T joint director designees. Since the initial director designees will hold office until the 2004 annual meeting, the Directors Nominating Committee would be expected to act only in order to fill vacancies that may occur in director positions prior to that meeting. After the 2004 annual meeting of shareholders, Mr. Roberts will continue to be the chairman of the Directors Nominating Committee of the combined company. The remaining four members of the Directors Nominating Committee will be selected by Mr. Roberts from among the combined company's independent directors. Nominations of the Directors Nominating Committee will be submitted directly to the shareholders without any requirement of Board approval or ratification.</w:t>
      </w:r>
    </w:p>
    <w:p>
      <w:pPr>
        <w:spacing w:after="0" w:line="19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Governance Arrangements Relating to Management. The combined company will have an Office of the Chairman, comprised of the Chairman of the Board and the CEO, from the closing of the merger until the earlier to occur of: (i) the 2005 annual meeting of the shareholders, and (ii) the date on which Mr. Armstrong ceases to be Chairman of the Board. The Office of the Chairman will be the combined company's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Mr. Armstrong, AT&amp;T's Chairman of the Board, will be Chairman of the Board of the combined company. Mr. Armstrong will serve as Chairman of the Board until the 2005 annual meeting of shareholders, but he will serve as non-executive Chairman of the Board after April 1, 2004 and until the 2005 annual meeting of AT&amp;T Comcast shareholders. After the 2005 annual meeting of shareholders, or if Mr. Armstrong ceases to serve as Chairman of the Board prior to that date, Mr. Roberts will become the Chairman of the Board of the combined company. Removal of the Chairman of the Board will require the vote of at least 75% of the entire Board until the earlier to occur of: (i) the date on which neither Mr. Armstrong nor Mr. Roberts is Chairman of the Board, and (ii) the sixth anniversary of the 2004 annual meeting of shareholders. Mr. Roberts will be the CEO of the combined company. Mr. Roberts will also be President of the combined company for as long as he is the CEO. The CEO's powers and responsibilities will include: (i) the supervision and management of the combined company's business and operations, (ii) all matters related to officers and employees, including hiring and termination, (iii) all rights and powers typically exercised by the chief executive officer and president of a corporation, and (iv) the authority to call special meetings of the combined company Board. Removal of Mr. Roberts as CEO will require the vote of at least 75% of the entire Board until the earlier to occur of: (i) the date on which Mr. Roberts ceases to be CEO, and (ii) the sixth anniversary of the 2004 annual meeting of the combined company shareholders. Under the terms of the merger agreement, Mr. Roberts has the right to fill all senior management positions of the combined company after consultation with Mr. Armstrong.</w:t>
      </w:r>
    </w:p>
    <w:p>
      <w:pPr>
        <w:spacing w:after="0" w:line="35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43" w:name="page44"/>
    <w:bookmarkEnd w:id="4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Other Factors. The Company made an unsolicited offer to purchase all of AT&amp;T Broadband. Subsequent to the Company's offer, AT&amp;T solicited bids from other potential purchasers.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headquarters of the combined company will be in Philadelphia, Pennsylvania, the current headquarters of the Company. An executive office will be maintained in the New York City metropolitan area until at least April 2005.</w:t>
      </w:r>
    </w:p>
    <w:p>
      <w:pPr>
        <w:spacing w:after="0" w:line="1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current investment in shares of AT&amp;T common stock, to the extent still held by the Company at the time of the AT&amp;T Broadband spin-off and merger, will be exchanged into AT&amp;T shares (representing its Consumer Services and Business Services Groups). Therefore, the Company will continue to have an investment in the "selling company." Conversely, AT&amp;T Broadband's current investment in the Company will either be retired to treasury after the merger or used to settle related debt.</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 * * * *</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Notwithstanding that the former AT&amp;T Broadband shareholders will, in the aggregate, receive the majority of the voting common stock of the combined company, the Company believes that this fact is outweighed by the totality of the other facts and circumstances described above, with the most significance being given to Mr. Roberts' non-dilutable minority voting interest, Mr. Roberts' role on the Nominating Committee of the Board of Directors, Mr. Roberts position as CEO and President, and Mr. Roberts' right to appoint other members of senior management.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is subject to customary closing conditions and shareholder, regulatory and other approvals. The Company expects to close the transaction by the end of 2002.</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At Home Services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28, 2001, At Home Corporation ("At Home"), the Company's provider of high-speed Internet services, filed for protection under Chapter 11 of the U.S. Bankruptcy Code. In October 2001, the Company amended its agreement with At Home to continue service to the Company's existing and new subscribers during October and November 2001. The Company agreed to be charged a higher rate than it had incurred under its previous agreement. On December 3, 2001, the Company and At Home reached a definitive agreement, approved by the Bankruptcy Court, pursuant to which the Company paid $160 million to At Home and At Home agreed to continue to provide high-speed Internet services to existing and new subscribers through February 28, 2002. In December 2001, the Company began to transfer its high-speed Internet subscribers from the At Home network to the Company's new Company-owned and managed network. The Company completed this transition in February 2002.</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fourth quarter of 2001, the Company recognized $139.5 million of net incremental expenses incurred in the continuation of service to and transition of the Company's high-speed Internet subscribers from At Home's network to the Company's own network. This charge is included in operating expenses in the Company's consolidated statement of operations.</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Outdoor Life Network</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October 30, 2001, the Company acquired from Fox Entertainment Group, Inc. ("Fox Entertainment"), a subsidiary of The News Corporation Limited ("News Corp.") the approximate 83.2% interest in OLN not previously owned by the Company. OLN is a 24-hour network devoted exclusively to adventure and the outdoor lifestyle with distribution to approximately 41 million subscribers. The Company made the acquisition to increase its investment in programming content. The estimated fair value of the additional interest of OLN acquired by the Company as of the closing date of the transaction was approximately $512 million, substantially all of which was allocated to affiliation agreements and goodwill in connection with the preliminary purchase price allocation. Upon closing of the acquisition, the Company</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44" w:name="page45"/>
    <w:bookmarkEnd w:id="4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exchanged its 14.5% interest in the Speedvision Network ("SVN"), together with a previously made loan, for Fox Entertainment's interest in OLN. In connection with the exchange of its interest in SVN, the Company recorded to other income a pre-tax gain of $106.7 million, representing the difference between the estimated fair value of the Company's interest in SVN as of the closing date of the transaction and the Company's cost basis in SVN. The Company no longer owns any interest in SVN and now owns 100% of OLN.</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Baltimore, Maryland System Acquisition</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On June 30, 2001, the Company acquired the cable system serving approximately 112,000 subscribers in Baltimore City, Maryland from AT&amp;T for $518.7 million in cash. The purchase price is subject to adjustment.</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Controlling Interest in The Golf Channel</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8, 2001, the Company acquired the approximate 30.8% interest in TGC held by Fox Entertainment. In addition, Fox Entertainment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AT&amp;T Cable Systems Acquisition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April 30, 2001, the Company acquired cable systems serving approximately 585,000 subscribers from AT&amp;T in exchange for approximately 63.9 million shares of AT&amp;T common stock then held by the Company. The market value of the AT&amp;T shares was approximately $1.423 billion, based on the price of the AT&amp;T common stock on the closing date of the transaction. The transaction is expected to qualify as tax free to both the Company and to AT&amp;T.</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Home Team Sports Acquisition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February 14, 2001, the Company acquired Home Team Sports (now known as CSN Mid-Atlantic), a regional sports programming network with distribution to approximately 4.8 million homes in the Mid-Atlantic region, from Viacom, Inc. ("Viacom") and Affiliated Regional Communications, Ltd. (an affiliate of Fox Cable Network Services, LLC ("Fox")). The Company also agreed to increase the distribution of certain of Viacom's and Fox's programming networks on certain of the Company's cable systems. The estimated fair value of Home Team Sports as of the closing date of the acquisition was $240.0 million.</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Adelphia Cable Systems Exchange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of $1.799 billion as of the closing date of the transaction and the Company's cost basis in the systems exchanged.</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AT&amp;T Cable Systems Exchange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December 31, 2000, the Company completed its cable systems exchange with AT&amp;T. The Company received cable systems serving approximately 770,000 subscribers from AT&amp;T and AT&amp;T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45" w:name="page46"/>
    <w:bookmarkEnd w:id="4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received certain of the Company's cable systems serving approximately 700,000 subscribers. The Company recorded to other income a pre-tax gain of $1.711 billion, representing the difference between the estimated fair value of $2.840 billion as of the closing date of the transaction and the Company's cost basis in the systems exchanged.</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Prime Communications LLC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owns 100% of Prime and has assumed management control of Prime's operations. Upon closing, the Company assumed and immediately repaid $532.0 million of Prime's debt with proceeds from borrowings under existing credit facilities.</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Jones Intercable,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accounting principles generally accepted in the United States, the shares held by the subsidiary of the Company are presented as issued but not outstanding (held in treasury) in the Company's December 31, 2001 and 2000 consolidated balance sheet.</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CalPERS' Interest in Jointly Owned Cable Properties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owns 100% of Comcast MHCP. The consideration was $750.0 million in cash.</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46" w:name="page47"/>
    <w:bookmarkEnd w:id="4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Lenfest Communications,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January 2000, the Company acquired Lenfest Communications, Inc. ("Lenfest"), a cable communications company serving approximately 1.1 million subscribers primarily in the Philadelphia area 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Consolidation of Comcast Cablevision of Garden State, L.P.</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owns 100% of Garden State Cable. As such, the operating results of Garden State Cable have been included in the Company's consolidated statement of operations from the date of the Lenfest Acquisition.</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Acquisition of Greater Philadelphia Cablevision, Inc.</w:t>
      </w:r>
    </w:p>
    <w:p>
      <w:pPr>
        <w:spacing w:after="0" w:line="185" w:lineRule="exact"/>
        <w:rPr>
          <w:sz w:val="20"/>
          <w:szCs w:val="20"/>
          <w:color w:val="auto"/>
        </w:rPr>
      </w:pPr>
    </w:p>
    <w:p>
      <w:pPr>
        <w:jc w:val="both"/>
        <w:ind w:right="2899" w:firstLine="469"/>
        <w:spacing w:after="0" w:line="254" w:lineRule="auto"/>
        <w:rPr>
          <w:sz w:val="20"/>
          <w:szCs w:val="20"/>
          <w:color w:val="auto"/>
        </w:rPr>
      </w:pPr>
      <w:r>
        <w:rPr>
          <w:rFonts w:ascii="Courier New" w:cs="Courier New" w:eastAsia="Courier New" w:hAnsi="Courier New"/>
          <w:sz w:val="15"/>
          <w:szCs w:val="15"/>
          <w:color w:val="auto"/>
        </w:rPr>
        <w:t>In June 1999, the Company acquired Greater Philadelphia Cablevision, Inc. ("Greater Philadelphia"), a cable communications company serving approximately 79,000 subscribers in Philadelphia from Greater Media, Inc. for approximately</w:t>
      </w:r>
    </w:p>
    <w:p>
      <w:pPr>
        <w:spacing w:after="0" w:line="2"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8.5 million shares of the Company's Class A Special Common Stock with a value of $291.7 million.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acquisitions completed by the Company during the three years in the period ended December 31, 2001 were accounted for under the purchase method of accounting. As such, the Company's results include the operating results of the acquired businesses from the dates of acquisition. During the fourth quarter of 2001, the Company recorded the final purchase price allocation related to the Company's cable systems exchange with AT&amp;T and related to the Company's acquisitions of Home Team Sports and TGC. The allocation of the purchase price for the other 2001 acquisitions and the cable systems exchange with Adelphia made by the Company is preliminary pending completion of final appraisals. The Company's cable systems exchanges with Adelphia and AT&amp;T and certain of the Company's acquisitions had no significant impact on the Company's consolidated statement of cash flows due to their noncash nature (see Note 10).</w:t>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Unaudited Pro Forma Information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and cable systems exchanges made by the Company in 2001 each occurred on January 1, 2000, the acquisitions and cable systems exchanges made by the Company in 2000 each occurred on January 1, 1999, and the acquisitions made by the Company in 1999 each occurred on January 1, 1998. This information is based on historical results of operations, adjusted for acquisition costs, and, in the opinion of management, is not necessarily indicative of what the results would have been had the Company operated the entities acquired since such dates.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47" w:name="page48"/>
    <w:bookmarkEnd w:id="4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200" w:lineRule="exact"/>
        <w:rPr>
          <w:sz w:val="20"/>
          <w:szCs w:val="20"/>
          <w:color w:val="auto"/>
        </w:rPr>
      </w:pPr>
    </w:p>
    <w:p>
      <w:pPr>
        <w:spacing w:after="0" w:line="347" w:lineRule="exact"/>
        <w:rPr>
          <w:sz w:val="20"/>
          <w:szCs w:val="20"/>
          <w:color w:val="auto"/>
        </w:rPr>
      </w:pPr>
    </w:p>
    <w:p>
      <w:pPr>
        <w:ind w:left="7500"/>
        <w:spacing w:after="0"/>
        <w:rPr>
          <w:sz w:val="20"/>
          <w:szCs w:val="20"/>
          <w:color w:val="auto"/>
        </w:rPr>
      </w:pPr>
      <w:r>
        <w:rPr>
          <w:rFonts w:ascii="Courier New" w:cs="Courier New" w:eastAsia="Courier New" w:hAnsi="Courier New"/>
          <w:sz w:val="16"/>
          <w:szCs w:val="16"/>
          <w:color w:val="auto"/>
        </w:rPr>
        <w:t>Year Ended December 31,</w:t>
      </w:r>
    </w:p>
    <w:p>
      <w:pPr>
        <w:spacing w:after="0" w:line="4" w:lineRule="exact"/>
        <w:rPr>
          <w:sz w:val="20"/>
          <w:szCs w:val="20"/>
          <w:color w:val="auto"/>
        </w:rPr>
      </w:pPr>
    </w:p>
    <w:p>
      <w:pPr>
        <w:ind w:left="7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220"/>
        <w:spacing w:after="0"/>
        <w:tabs>
          <w:tab w:leader="none" w:pos="8320" w:val="left"/>
          <w:tab w:leader="none" w:pos="944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5"/>
          <w:szCs w:val="15"/>
          <w:color w:val="auto"/>
        </w:rPr>
        <w:t>1999</w:t>
      </w:r>
    </w:p>
    <w:p>
      <w:pPr>
        <w:ind w:left="7040"/>
        <w:spacing w:after="0"/>
        <w:tabs>
          <w:tab w:leader="none" w:pos="8140" w:val="left"/>
          <w:tab w:leader="none" w:pos="9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ind w:left="7500"/>
        <w:spacing w:after="0" w:line="237" w:lineRule="auto"/>
        <w:rPr>
          <w:sz w:val="20"/>
          <w:szCs w:val="20"/>
          <w:color w:val="auto"/>
        </w:rPr>
      </w:pPr>
      <w:r>
        <w:rPr>
          <w:rFonts w:ascii="Courier New" w:cs="Courier New" w:eastAsia="Courier New" w:hAnsi="Courier New"/>
          <w:sz w:val="16"/>
          <w:szCs w:val="16"/>
          <w:color w:val="auto"/>
        </w:rPr>
        <w:t>(Amounts in millions,</w:t>
      </w:r>
    </w:p>
    <w:p>
      <w:pPr>
        <w:ind w:left="7500"/>
        <w:spacing w:after="0"/>
        <w:rPr>
          <w:sz w:val="20"/>
          <w:szCs w:val="20"/>
          <w:color w:val="auto"/>
        </w:rPr>
      </w:pPr>
      <w:r>
        <w:rPr>
          <w:rFonts w:ascii="Courier New" w:cs="Courier New" w:eastAsia="Courier New" w:hAnsi="Courier New"/>
          <w:sz w:val="16"/>
          <w:szCs w:val="16"/>
          <w:color w:val="auto"/>
        </w:rPr>
        <w:t>except per share data)</w:t>
      </w:r>
    </w:p>
    <w:p>
      <w:pPr>
        <w:sectPr>
          <w:pgSz w:w="11900" w:h="16838" w:orient="portrait"/>
          <w:cols w:equalWidth="0" w:num="1">
            <w:col w:w="10219"/>
          </w:cols>
          <w:pgMar w:left="240" w:top="654" w:right="1440" w:bottom="1440" w:gutter="0" w:footer="0" w:header="0"/>
        </w:sectPr>
      </w:pP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Revenues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$9,926.9</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$9,012.2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$7,566.5</w:t>
      </w:r>
    </w:p>
    <w:p>
      <w:pPr>
        <w:spacing w:after="0" w:line="10" w:lineRule="exact"/>
        <w:rPr>
          <w:sz w:val="20"/>
          <w:szCs w:val="20"/>
          <w:color w:val="auto"/>
        </w:rPr>
      </w:pPr>
    </w:p>
    <w:p>
      <w:pPr>
        <w:sectPr>
          <w:pgSz w:w="11900" w:h="16838" w:orient="portrait"/>
          <w:cols w:equalWidth="0" w:num="4">
            <w:col w:w="6840" w:space="200"/>
            <w:col w:w="740" w:space="380"/>
            <w:col w:w="740" w:space="280"/>
            <w:col w:w="1039"/>
          </w:cols>
          <w:pgMar w:left="240" w:top="654"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Income before extraordinary items and cumulative effect of</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accounting change ................................................</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Net income ..........................................................</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Diluted EPS .........................................................</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$ 150.2 $ 533.2 $ 0.55</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Courier New" w:cs="Courier New" w:eastAsia="Courier New" w:hAnsi="Courier New"/>
          <w:sz w:val="15"/>
          <w:szCs w:val="15"/>
          <w:color w:val="auto"/>
        </w:rPr>
        <w:t>$1,652.3 $1,628.7 $ 1.68</w:t>
      </w:r>
    </w:p>
    <w:p>
      <w:pPr>
        <w:spacing w:after="0" w:line="20" w:lineRule="exact"/>
        <w:rPr>
          <w:sz w:val="20"/>
          <w:szCs w:val="20"/>
          <w:color w:val="auto"/>
        </w:rPr>
      </w:pPr>
      <w:r>
        <w:rPr>
          <w:sz w:val="20"/>
          <w:szCs w:val="20"/>
          <w:color w:val="auto"/>
        </w:rPr>
        <w:br w:type="column"/>
      </w:r>
    </w:p>
    <w:p>
      <w:pPr>
        <w:jc w:val="both"/>
        <w:ind w:right="279"/>
        <w:spacing w:after="0" w:line="237" w:lineRule="auto"/>
        <w:rPr>
          <w:sz w:val="20"/>
          <w:szCs w:val="20"/>
          <w:color w:val="auto"/>
        </w:rPr>
      </w:pPr>
      <w:r>
        <w:rPr>
          <w:rFonts w:ascii="Courier New" w:cs="Courier New" w:eastAsia="Courier New" w:hAnsi="Courier New"/>
          <w:sz w:val="16"/>
          <w:szCs w:val="16"/>
          <w:color w:val="auto"/>
        </w:rPr>
        <w:t>$ 252.2 $ 201.2 $ 0.21</w:t>
      </w:r>
    </w:p>
    <w:p>
      <w:pPr>
        <w:spacing w:after="0" w:line="213" w:lineRule="exact"/>
        <w:rPr>
          <w:sz w:val="20"/>
          <w:szCs w:val="20"/>
          <w:color w:val="auto"/>
        </w:rPr>
      </w:pPr>
    </w:p>
    <w:p>
      <w:pPr>
        <w:sectPr>
          <w:pgSz w:w="11900" w:h="16838" w:orient="portrait"/>
          <w:cols w:equalWidth="0" w:num="4">
            <w:col w:w="6840" w:space="200"/>
            <w:col w:w="740" w:space="380"/>
            <w:col w:w="740" w:space="280"/>
            <w:col w:w="1039"/>
          </w:cols>
          <w:pgMar w:left="240" w:top="654" w:right="1440" w:bottom="1440" w:gutter="0" w:footer="0" w:header="0"/>
          <w:type w:val="continuous"/>
        </w:sectPr>
      </w:pPr>
    </w:p>
    <w:p>
      <w:pPr>
        <w:spacing w:after="0" w:line="14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Sale of Comcast Cellular Corporation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July 1999, the Company sold Comcast Cellular Corporation ("Comcast Cellular") to SBC Communications, Inc. for $361.1 million in cash and the assumption of $1.315 billion of Comcast Cellular debt, and recognized a gain on the sale of $355.9 million, net of income tax expense. The results of operations of Comcast Cellular have been presented as a discontinued operation in accordance with APB Opinion No. 30, "Reporting the Results of Operations -- Reporting the Effects of Disposal of a Segment of a Business, and Extraordinary, Unusual and Infrequently Occurring Events and Transactions." During the year ended December 31, 1999, the Company recognized losses from discontinued operations of $20.1 million.</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Other Income</w:t>
      </w:r>
    </w:p>
    <w:p>
      <w:pPr>
        <w:spacing w:after="0" w:line="185"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5"/>
          <w:szCs w:val="15"/>
          <w:color w:val="auto"/>
        </w:rPr>
        <w:t>In August 2000, the Company obtained the right to exchange its At Home Series A Common Stock with AT&amp;T and waived certain of its At Home Board level and shareholder rights under a stockholders agreement (the "Share Exchange Agreement" -- see Note 6). The Company also agreed to cause its existing</w:t>
      </w:r>
    </w:p>
    <w:p>
      <w:pPr>
        <w:sectPr>
          <w:pgSz w:w="11900" w:h="16838" w:orient="portrait"/>
          <w:cols w:equalWidth="0" w:num="1">
            <w:col w:w="10219"/>
          </w:cols>
          <w:pgMar w:left="240" w:top="654" w:right="1440" w:bottom="1440" w:gutter="0" w:footer="0" w:header="0"/>
          <w:type w:val="continuous"/>
        </w:sectPr>
      </w:pPr>
    </w:p>
    <w:p>
      <w:pPr>
        <w:spacing w:after="0" w:line="2"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appointee to the At Home Board of Directors to resign. In connection with the transaction, the Company recorded to other income a pre-tax gain of $1.045 billion, representing the estimated fair value of the investment as of the closing date.</w:t>
      </w:r>
    </w:p>
    <w:p>
      <w:pPr>
        <w:spacing w:after="0" w:line="18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May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type w:val="continuous"/>
        </w:sectPr>
      </w:pPr>
    </w:p>
    <w:bookmarkStart w:id="48" w:name="page49"/>
    <w:bookmarkEnd w:id="4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00" w:type="dxa"/>
            <w:vAlign w:val="bottom"/>
          </w:tcPr>
          <w:p>
            <w:pPr>
              <w:jc w:val="right"/>
              <w:ind w:right="3622"/>
              <w:spacing w:after="0"/>
              <w:rPr>
                <w:sz w:val="20"/>
                <w:szCs w:val="20"/>
                <w:color w:val="auto"/>
              </w:rPr>
            </w:pPr>
            <w:r>
              <w:rPr>
                <w:rFonts w:ascii="Courier New" w:cs="Courier New" w:eastAsia="Courier New" w:hAnsi="Courier New"/>
                <w:sz w:val="16"/>
                <w:szCs w:val="16"/>
                <w:color w:val="auto"/>
                <w:w w:val="95"/>
              </w:rPr>
              <w:t>6.  Investments</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510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2001</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51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spacing w:after="0"/>
              <w:rPr>
                <w:sz w:val="15"/>
                <w:szCs w:val="15"/>
                <w:color w:val="auto"/>
              </w:rPr>
            </w:pPr>
          </w:p>
        </w:tc>
        <w:tc>
          <w:tcPr>
            <w:tcW w:w="22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(Dollars in millions)</w:t>
            </w:r>
          </w:p>
        </w:tc>
      </w:tr>
      <w:tr>
        <w:trPr>
          <w:trHeight w:val="361"/>
        </w:trPr>
        <w:tc>
          <w:tcPr>
            <w:tcW w:w="5100" w:type="dxa"/>
            <w:vAlign w:val="bottom"/>
          </w:tcPr>
          <w:p>
            <w:pPr>
              <w:jc w:val="right"/>
              <w:ind w:right="3242"/>
              <w:spacing w:after="0"/>
              <w:rPr>
                <w:sz w:val="20"/>
                <w:szCs w:val="20"/>
                <w:color w:val="auto"/>
              </w:rPr>
            </w:pPr>
            <w:r>
              <w:rPr>
                <w:rFonts w:ascii="Courier New" w:cs="Courier New" w:eastAsia="Courier New" w:hAnsi="Courier New"/>
                <w:sz w:val="16"/>
                <w:szCs w:val="16"/>
                <w:color w:val="auto"/>
              </w:rPr>
              <w:t>Fair value method</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AT&amp;T Corp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1,514.9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$ 1,174.3</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Sprint Corp. PCS Group ...........................</w:t>
            </w: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2,109.5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2,149.8</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 ............................................</w:t>
            </w: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136.1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1,873.0</w:t>
            </w:r>
          </w:p>
        </w:tc>
      </w:tr>
      <w:tr>
        <w:trPr>
          <w:trHeight w:val="180"/>
        </w:trPr>
        <w:tc>
          <w:tcPr>
            <w:tcW w:w="5100" w:type="dxa"/>
            <w:vAlign w:val="bottom"/>
          </w:tcPr>
          <w:p>
            <w:pPr>
              <w:spacing w:after="0"/>
              <w:rPr>
                <w:sz w:val="15"/>
                <w:szCs w:val="15"/>
                <w:color w:val="auto"/>
              </w:rPr>
            </w:pPr>
          </w:p>
        </w:tc>
        <w:tc>
          <w:tcPr>
            <w:tcW w:w="11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3,760.5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5,197.1</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Cost method .........................................</w:t>
            </w: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155.2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128.4</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Equity method .......................................</w:t>
            </w: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386.7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396.1</w:t>
            </w:r>
          </w:p>
        </w:tc>
      </w:tr>
      <w:tr>
        <w:trPr>
          <w:trHeight w:val="180"/>
        </w:trPr>
        <w:tc>
          <w:tcPr>
            <w:tcW w:w="5100" w:type="dxa"/>
            <w:vAlign w:val="bottom"/>
          </w:tcPr>
          <w:p>
            <w:pPr>
              <w:spacing w:after="0"/>
              <w:rPr>
                <w:sz w:val="15"/>
                <w:szCs w:val="15"/>
                <w:color w:val="auto"/>
              </w:rPr>
            </w:pPr>
          </w:p>
        </w:tc>
        <w:tc>
          <w:tcPr>
            <w:tcW w:w="11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Total investments ................................</w:t>
            </w: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4,302.4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5,721.6</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Less, current investments ...........................</w:t>
            </w:r>
          </w:p>
        </w:tc>
        <w:tc>
          <w:tcPr>
            <w:tcW w:w="3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2,623.2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3,059.7</w:t>
            </w:r>
          </w:p>
        </w:tc>
      </w:tr>
      <w:tr>
        <w:trPr>
          <w:trHeight w:val="180"/>
        </w:trPr>
        <w:tc>
          <w:tcPr>
            <w:tcW w:w="5100" w:type="dxa"/>
            <w:vAlign w:val="bottom"/>
          </w:tcPr>
          <w:p>
            <w:pPr>
              <w:spacing w:after="0"/>
              <w:rPr>
                <w:sz w:val="15"/>
                <w:szCs w:val="15"/>
                <w:color w:val="auto"/>
              </w:rPr>
            </w:pPr>
          </w:p>
        </w:tc>
        <w:tc>
          <w:tcPr>
            <w:tcW w:w="11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Non-current investments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1,679.2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$ 2,661.9</w:t>
            </w:r>
          </w:p>
        </w:tc>
      </w:tr>
      <w:tr>
        <w:trPr>
          <w:trHeight w:val="180"/>
        </w:trPr>
        <w:tc>
          <w:tcPr>
            <w:tcW w:w="5100" w:type="dxa"/>
            <w:vAlign w:val="bottom"/>
          </w:tcPr>
          <w:p>
            <w:pPr>
              <w:spacing w:after="0"/>
              <w:rPr>
                <w:sz w:val="15"/>
                <w:szCs w:val="15"/>
                <w:color w:val="auto"/>
              </w:rPr>
            </w:pPr>
          </w:p>
        </w:tc>
        <w:tc>
          <w:tcPr>
            <w:tcW w:w="11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Method</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these investments as of December 31, 2001 and 2000 of $280.3 million and $707.1 million, respectively, have been reported in the Company's consolidated balance sheet principally as a component of other comprehensive income, net of related deferred income taxes of $95.3 million and $240.0 million, respectively.</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cost, fair value and gross unrealized gains and losses related to the</w:t>
      </w:r>
    </w:p>
    <w:p>
      <w:pPr>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179"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December 31,</w:t>
      </w:r>
    </w:p>
    <w:p>
      <w:pPr>
        <w:ind w:left="5160"/>
        <w:spacing w:after="0"/>
        <w:rPr>
          <w:sz w:val="20"/>
          <w:szCs w:val="20"/>
          <w:color w:val="auto"/>
        </w:rPr>
      </w:pPr>
      <w:r>
        <w:rPr>
          <w:rFonts w:ascii="Courier New" w:cs="Courier New" w:eastAsia="Courier New" w:hAnsi="Courier New"/>
          <w:sz w:val="16"/>
          <w:szCs w:val="16"/>
          <w:color w:val="auto"/>
        </w:rPr>
        <w:t>------------------------</w:t>
      </w:r>
    </w:p>
    <w:p>
      <w:pPr>
        <w:ind w:left="5440"/>
        <w:spacing w:after="0" w:line="237" w:lineRule="auto"/>
        <w:tabs>
          <w:tab w:leader="none" w:pos="672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ind w:left="5160"/>
        <w:spacing w:after="0"/>
        <w:tabs>
          <w:tab w:leader="none" w:pos="65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5340"/>
        <w:spacing w:after="0" w:line="238" w:lineRule="auto"/>
        <w:rPr>
          <w:sz w:val="20"/>
          <w:szCs w:val="20"/>
          <w:color w:val="auto"/>
        </w:rPr>
      </w:pPr>
      <w:r>
        <w:rPr>
          <w:rFonts w:ascii="Courier New" w:cs="Courier New" w:eastAsia="Courier New" w:hAnsi="Courier New"/>
          <w:sz w:val="16"/>
          <w:szCs w:val="16"/>
          <w:color w:val="auto"/>
        </w:rPr>
        <w:t>(Dollars in millions)</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Cost ............................................</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Gross unrealized gains ..........................</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Gross unrealized losses .........................</w:t>
      </w:r>
    </w:p>
    <w:p>
      <w:pPr>
        <w:spacing w:after="0" w:line="19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Fair value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$ 1,355.0</w:t>
      </w:r>
    </w:p>
    <w:p>
      <w:pPr>
        <w:ind w:left="380"/>
        <w:spacing w:after="0"/>
        <w:rPr>
          <w:sz w:val="20"/>
          <w:szCs w:val="20"/>
          <w:color w:val="auto"/>
        </w:rPr>
      </w:pPr>
      <w:r>
        <w:rPr>
          <w:rFonts w:ascii="Courier New" w:cs="Courier New" w:eastAsia="Courier New" w:hAnsi="Courier New"/>
          <w:sz w:val="16"/>
          <w:szCs w:val="16"/>
          <w:color w:val="auto"/>
        </w:rPr>
        <w:t>283.2</w:t>
      </w:r>
    </w:p>
    <w:p>
      <w:pPr>
        <w:ind w:left="460"/>
        <w:spacing w:after="0" w:line="237" w:lineRule="auto"/>
        <w:rPr>
          <w:sz w:val="20"/>
          <w:szCs w:val="20"/>
          <w:color w:val="auto"/>
        </w:rPr>
      </w:pPr>
      <w:r>
        <w:rPr>
          <w:rFonts w:ascii="Courier New" w:cs="Courier New" w:eastAsia="Courier New" w:hAnsi="Courier New"/>
          <w:sz w:val="16"/>
          <w:szCs w:val="16"/>
          <w:color w:val="auto"/>
        </w:rPr>
        <w:t>(2.9)</w:t>
      </w:r>
    </w:p>
    <w:p>
      <w:pPr>
        <w:ind w:left="18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$ 1,635.3</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$ 4,490.0</w:t>
      </w:r>
    </w:p>
    <w:p>
      <w:pPr>
        <w:ind w:left="180"/>
        <w:spacing w:after="0"/>
        <w:rPr>
          <w:sz w:val="20"/>
          <w:szCs w:val="20"/>
          <w:color w:val="auto"/>
        </w:rPr>
      </w:pPr>
      <w:r>
        <w:rPr>
          <w:rFonts w:ascii="Courier New" w:cs="Courier New" w:eastAsia="Courier New" w:hAnsi="Courier New"/>
          <w:sz w:val="16"/>
          <w:szCs w:val="16"/>
          <w:color w:val="auto"/>
        </w:rPr>
        <w:t>1,887.6</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(1,180.5)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$ 5,197.1</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sectPr>
          <w:pgSz w:w="11900" w:h="16838" w:orient="portrait"/>
          <w:cols w:equalWidth="0" w:num="3">
            <w:col w:w="4960" w:space="200"/>
            <w:col w:w="940" w:space="460"/>
            <w:col w:w="3659"/>
          </w:cols>
          <w:pgMar w:left="240" w:top="654"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In June 2001, the Company and AT&amp;T entered into an Amended and Restated</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At 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79"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In August 2001, the Company entered into a ten year Prepaid Forward Sale of 4.0 million shares of Sprint PCS common stock held by the Company with a fair value of approximately $98 million and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type w:val="continuous"/>
        </w:sectPr>
      </w:pPr>
    </w:p>
    <w:bookmarkStart w:id="49" w:name="page50"/>
    <w:bookmarkEnd w:id="49"/>
    <w:p>
      <w:pPr>
        <w:jc w:val="center"/>
        <w:ind w:right="271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6"/>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6"/>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720"/>
        <w:spacing w:after="0" w:line="238" w:lineRule="auto"/>
        <w:rPr>
          <w:sz w:val="20"/>
          <w:szCs w:val="20"/>
          <w:color w:val="auto"/>
        </w:rPr>
      </w:pPr>
      <w:r>
        <w:rPr>
          <w:rFonts w:ascii="Courier New" w:cs="Courier New" w:eastAsia="Courier New" w:hAnsi="Courier New"/>
          <w:sz w:val="16"/>
          <w:szCs w:val="16"/>
          <w:color w:val="auto"/>
        </w:rPr>
        <w:t>Company received $78.3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w:t>
      </w:r>
    </w:p>
    <w:p>
      <w:pPr>
        <w:spacing w:after="0" w:line="181"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Investment Income</w:t>
      </w:r>
    </w:p>
    <w:p>
      <w:pPr>
        <w:spacing w:after="0" w:line="179"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Investment income includes the following (in millions):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1"/>
        </w:trPr>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6940" w:type="dxa"/>
            <w:vAlign w:val="bottom"/>
          </w:tcPr>
          <w:p>
            <w:pPr>
              <w:spacing w:after="0"/>
              <w:rPr>
                <w:sz w:val="15"/>
                <w:szCs w:val="15"/>
                <w:color w:val="auto"/>
              </w:rPr>
            </w:pPr>
          </w:p>
        </w:tc>
        <w:tc>
          <w:tcPr>
            <w:tcW w:w="28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9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Interest and dividend income ...........................................</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76.5</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$ 171.6</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$ 172.5</w:t>
            </w: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Gains on sales and exchanges of investments, net .......................</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485.2</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886.7</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510.6</w:t>
            </w: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Investment impairment losses ...........................................</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(972.4)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Reclassification of unrealized gains ...................................</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1,330.3</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Unrealized gain on Sprint PCS common stock .............................</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284.4</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 to Sprint PCS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common stock ........................................................</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(184.6)</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Mark to market adjustments on derivatives and hedged items .............</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42.3</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Settlement of call options .............................................</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0"/>
        </w:trPr>
        <w:tc>
          <w:tcPr>
            <w:tcW w:w="69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Investment income .................................................</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1,061.7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$ 983.9</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$ 629.5</w:t>
            </w:r>
          </w:p>
        </w:tc>
      </w:tr>
      <w:tr>
        <w:trPr>
          <w:trHeight w:val="180"/>
        </w:trPr>
        <w:tc>
          <w:tcPr>
            <w:tcW w:w="69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2720" w:firstLine="469"/>
        <w:spacing w:after="0" w:line="254" w:lineRule="auto"/>
        <w:rPr>
          <w:sz w:val="20"/>
          <w:szCs w:val="20"/>
          <w:color w:val="auto"/>
        </w:rPr>
      </w:pPr>
      <w:r>
        <w:rPr>
          <w:rFonts w:ascii="Courier New" w:cs="Courier New" w:eastAsia="Courier New" w:hAnsi="Courier New"/>
          <w:sz w:val="15"/>
          <w:szCs w:val="15"/>
          <w:color w:val="auto"/>
        </w:rPr>
        <w:t>The investment impairment loss for the year ended December 31, 2001 relates principally to an other than temporary decline in the Company's investment in</w:t>
      </w:r>
    </w:p>
    <w:p>
      <w:pPr>
        <w:spacing w:after="0" w:line="1" w:lineRule="exact"/>
        <w:rPr>
          <w:sz w:val="20"/>
          <w:szCs w:val="20"/>
          <w:color w:val="auto"/>
        </w:rPr>
      </w:pPr>
    </w:p>
    <w:p>
      <w:pPr>
        <w:ind w:left="4" w:right="3000"/>
        <w:spacing w:after="0" w:line="236" w:lineRule="auto"/>
        <w:rPr>
          <w:sz w:val="20"/>
          <w:szCs w:val="20"/>
          <w:color w:val="auto"/>
        </w:rPr>
      </w:pPr>
      <w:r>
        <w:rPr>
          <w:rFonts w:ascii="Courier New" w:cs="Courier New" w:eastAsia="Courier New" w:hAnsi="Courier New"/>
          <w:sz w:val="16"/>
          <w:szCs w:val="16"/>
          <w:color w:val="auto"/>
        </w:rPr>
        <w:t>AT&amp;T, a portion of which was exchanged on April 30, 2001 (see Note 5 --- AT&amp;T Cable Systems Acquisition).</w:t>
      </w:r>
    </w:p>
    <w:p>
      <w:pPr>
        <w:spacing w:after="0" w:line="185" w:lineRule="exact"/>
        <w:rPr>
          <w:sz w:val="20"/>
          <w:szCs w:val="20"/>
          <w:color w:val="auto"/>
        </w:rPr>
      </w:pPr>
    </w:p>
    <w:p>
      <w:pPr>
        <w:ind w:left="4" w:right="2820" w:firstLine="469"/>
        <w:spacing w:after="0" w:line="238" w:lineRule="auto"/>
        <w:rPr>
          <w:sz w:val="20"/>
          <w:szCs w:val="20"/>
          <w:color w:val="auto"/>
        </w:rPr>
      </w:pPr>
      <w:r>
        <w:rPr>
          <w:rFonts w:ascii="Courier New" w:cs="Courier New" w:eastAsia="Courier New" w:hAnsi="Courier New"/>
          <w:sz w:val="16"/>
          <w:szCs w:val="16"/>
          <w:color w:val="auto"/>
        </w:rPr>
        <w:t>During the year ended December 31, 2001, the Company wrote-off its investment in At 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At 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At Home common stock (see Note 5 --- Other Income).</w:t>
      </w:r>
    </w:p>
    <w:p>
      <w:pPr>
        <w:spacing w:after="0" w:line="187" w:lineRule="exact"/>
        <w:rPr>
          <w:sz w:val="20"/>
          <w:szCs w:val="20"/>
          <w:color w:val="auto"/>
        </w:rPr>
      </w:pPr>
    </w:p>
    <w:p>
      <w:pPr>
        <w:ind w:left="4" w:right="2720" w:firstLine="469"/>
        <w:spacing w:after="0" w:line="254" w:lineRule="auto"/>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w:t>
      </w:r>
    </w:p>
    <w:p>
      <w:pPr>
        <w:spacing w:after="0" w:line="1" w:lineRule="exact"/>
        <w:rPr>
          <w:sz w:val="20"/>
          <w:szCs w:val="20"/>
          <w:color w:val="auto"/>
        </w:rPr>
      </w:pPr>
    </w:p>
    <w:p>
      <w:pPr>
        <w:ind w:left="4" w:right="2820" w:hanging="4"/>
        <w:spacing w:after="0" w:line="237" w:lineRule="auto"/>
        <w:tabs>
          <w:tab w:leader="none" w:pos="47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the Company reclassified to investment income the accumulated unrealized gain of $1.092 billion on the Company's investment in Sprint PCS which was previously recorded as a component of accumulated other comprehensive income.</w:t>
      </w:r>
    </w:p>
    <w:p>
      <w:pPr>
        <w:spacing w:after="0" w:line="181"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Equity Price Risk</w:t>
      </w:r>
    </w:p>
    <w:p>
      <w:pPr>
        <w:spacing w:after="0" w:line="185" w:lineRule="exact"/>
        <w:rPr>
          <w:sz w:val="20"/>
          <w:szCs w:val="20"/>
          <w:color w:val="auto"/>
        </w:rPr>
      </w:pPr>
    </w:p>
    <w:p>
      <w:pPr>
        <w:ind w:left="4" w:right="2820" w:firstLine="469"/>
        <w:spacing w:after="0" w:line="237" w:lineRule="auto"/>
        <w:rPr>
          <w:sz w:val="20"/>
          <w:szCs w:val="20"/>
          <w:color w:val="auto"/>
        </w:rPr>
      </w:pPr>
      <w:r>
        <w:rPr>
          <w:rFonts w:ascii="Courier New" w:cs="Courier New" w:eastAsia="Courier New" w:hAnsi="Courier New"/>
          <w:sz w:val="16"/>
          <w:szCs w:val="16"/>
          <w:color w:val="auto"/>
        </w:rPr>
        <w:t>During 1999, the Company entered into Equity Collars covering $1.365 billion notional amount of the Company's Sprint PCS common stock, which are accounted for at fair value. The Equity Collars limit the Company's exposure to and benefits from price fluctuations in the underlying Sprint PCS common stock. During 2001, $483.7 million notional amount of Equity Collars matured and the Company sold or entered</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4"/>
          </w:cols>
          <w:pgMar w:left="236" w:top="654" w:right="1439" w:bottom="1440" w:gutter="0" w:footer="0" w:header="0"/>
        </w:sectPr>
      </w:pPr>
    </w:p>
    <w:bookmarkStart w:id="50" w:name="page51"/>
    <w:bookmarkEnd w:id="50"/>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into Prepaid Forward Sales of the related Sprint PCS common stock. The remaining $881.0 million notional amount of Equity Collars mature between 2002 and 2003. As the Company had accounted for the Equity Collars as a hedge, changes in the value of the Equity Collars were substantially offset by changes in the value of the Sprint PCS common stock which was also marked-to-market through accumulated other comprehensive income in the Company's consolidated balance sheet through December 31, 2000.</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Equity Method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 records its proportionate interests in the net income (loss) of certain of its equity method investees in arrears. The Company's recorded investments exceed its proportionate interests in the book value of the investees' net assets by $188.7 million as of December 31, 2001 (principally related to the Company's investment in Susquehanna Cable). Such excess is being amortized to equity in net income or loss, over a period of twenty years, which is consistent with the estimated lives of the underlying assets. The original cost of investments accounted for under the equity method totaled $479.8 million and $506.5 million as of December 31, 2001 and 2000, respectively. Upon adoption of SFAS No. 142, the Company will no longer amortize this excess but rather will continue to test such excess for impairment in accordance with APB Opinion 18, "The Equity Method of Accounting for Investments in Common Stock."</w:t>
      </w:r>
    </w:p>
    <w:p>
      <w:pPr>
        <w:spacing w:after="0" w:line="17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8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Cost Method</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It is not practicable to estimate the fair value of the Company's investments in privately held companies, accounted for under the cost method, due to a lack of quoted market prices.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Long-term Debt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04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2001</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 millions)</w:t>
            </w:r>
          </w:p>
        </w:tc>
      </w:tr>
      <w:tr>
        <w:trPr>
          <w:trHeight w:val="361"/>
        </w:trPr>
        <w:tc>
          <w:tcPr>
            <w:tcW w:w="7360" w:type="dxa"/>
            <w:vAlign w:val="bottom"/>
            <w:gridSpan w:val="3"/>
          </w:tcPr>
          <w:p>
            <w:pPr>
              <w:spacing w:after="0"/>
              <w:rPr>
                <w:sz w:val="20"/>
                <w:szCs w:val="20"/>
                <w:color w:val="auto"/>
              </w:rPr>
            </w:pPr>
            <w:r>
              <w:rPr>
                <w:rFonts w:ascii="Courier New" w:cs="Courier New" w:eastAsia="Courier New" w:hAnsi="Courier New"/>
                <w:sz w:val="16"/>
                <w:szCs w:val="16"/>
                <w:color w:val="auto"/>
                <w:w w:val="99"/>
              </w:rPr>
              <w:t>Commercial Paper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397.3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$ 1,323.5</w:t>
            </w:r>
          </w:p>
        </w:tc>
      </w:tr>
      <w:tr>
        <w:trPr>
          <w:trHeight w:val="180"/>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Notes payable</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to banks due in installments through 2009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1,222.7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1,751.4</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5/8%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2002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1/8%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2004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299.9</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3/8%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2005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697.0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696.3</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3/8%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2006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511.3</w:t>
            </w:r>
          </w:p>
        </w:tc>
        <w:tc>
          <w:tcPr>
            <w:tcW w:w="980" w:type="dxa"/>
            <w:vAlign w:val="bottom"/>
          </w:tcPr>
          <w:p>
            <w:pPr>
              <w:spacing w:after="0"/>
              <w:rPr>
                <w:sz w:val="15"/>
                <w:szCs w:val="15"/>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3/8%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2007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597.5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597.2</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7/8%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2007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249.0</w:t>
            </w:r>
          </w:p>
        </w:tc>
      </w:tr>
      <w:tr>
        <w:trPr>
          <w:trHeight w:val="180"/>
        </w:trPr>
        <w:tc>
          <w:tcPr>
            <w:tcW w:w="7360" w:type="dxa"/>
            <w:vAlign w:val="bottom"/>
            <w:gridSpan w:val="3"/>
          </w:tcPr>
          <w:p>
            <w:pPr>
              <w:spacing w:after="0"/>
              <w:rPr>
                <w:sz w:val="20"/>
                <w:szCs w:val="20"/>
                <w:color w:val="auto"/>
              </w:rPr>
            </w:pPr>
            <w:r>
              <w:rPr>
                <w:rFonts w:ascii="Courier New" w:cs="Courier New" w:eastAsia="Courier New" w:hAnsi="Courier New"/>
                <w:sz w:val="16"/>
                <w:szCs w:val="16"/>
                <w:color w:val="auto"/>
                <w:w w:val="99"/>
              </w:rPr>
              <w:t>6.20% Senior notes, due 2008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798.2</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5/8%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2008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206.1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197.1</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5/8%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2008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147.7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147.4</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7/8%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2009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751.5</w:t>
            </w:r>
          </w:p>
        </w:tc>
        <w:tc>
          <w:tcPr>
            <w:tcW w:w="980" w:type="dxa"/>
            <w:vAlign w:val="bottom"/>
          </w:tcPr>
          <w:p>
            <w:pPr>
              <w:spacing w:after="0"/>
              <w:rPr>
                <w:sz w:val="15"/>
                <w:szCs w:val="15"/>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3/4%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2011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993.1</w:t>
            </w:r>
          </w:p>
        </w:tc>
        <w:tc>
          <w:tcPr>
            <w:tcW w:w="980" w:type="dxa"/>
            <w:vAlign w:val="bottom"/>
          </w:tcPr>
          <w:p>
            <w:pPr>
              <w:spacing w:after="0"/>
              <w:rPr>
                <w:sz w:val="15"/>
                <w:szCs w:val="15"/>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1/8%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2013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748.4</w:t>
            </w:r>
          </w:p>
        </w:tc>
        <w:tc>
          <w:tcPr>
            <w:tcW w:w="980" w:type="dxa"/>
            <w:vAlign w:val="bottom"/>
          </w:tcPr>
          <w:p>
            <w:pPr>
              <w:spacing w:after="0"/>
              <w:rPr>
                <w:sz w:val="15"/>
                <w:szCs w:val="15"/>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7/8% Senior</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2017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545.9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545.8</w:t>
            </w:r>
          </w:p>
        </w:tc>
      </w:tr>
      <w:tr>
        <w:trPr>
          <w:trHeight w:val="541"/>
        </w:trPr>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00" w:type="dxa"/>
            <w:vAlign w:val="bottom"/>
          </w:tcPr>
          <w:p>
            <w:pPr>
              <w:ind w:left="2400"/>
              <w:spacing w:after="0"/>
              <w:rPr>
                <w:sz w:val="20"/>
                <w:szCs w:val="20"/>
                <w:color w:val="auto"/>
              </w:rPr>
            </w:pPr>
            <w:r>
              <w:rPr>
                <w:rFonts w:ascii="Courier New" w:cs="Courier New" w:eastAsia="Courier New" w:hAnsi="Courier New"/>
                <w:sz w:val="16"/>
                <w:szCs w:val="16"/>
                <w:color w:val="auto"/>
              </w:rPr>
              <w:t>24</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51" w:name="page52"/>
    <w:bookmarkEnd w:id="5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0" w:type="dxa"/>
            <w:vAlign w:val="bottom"/>
          </w:tcPr>
          <w:p>
            <w:pPr>
              <w:spacing w:after="0"/>
              <w:rPr>
                <w:sz w:val="15"/>
                <w:szCs w:val="15"/>
                <w:color w:val="auto"/>
              </w:rPr>
            </w:pPr>
          </w:p>
        </w:tc>
        <w:tc>
          <w:tcPr>
            <w:tcW w:w="22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740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400" w:type="dxa"/>
            <w:vAlign w:val="bottom"/>
          </w:tcPr>
          <w:p>
            <w:pPr>
              <w:spacing w:after="0"/>
              <w:rPr>
                <w:sz w:val="15"/>
                <w:szCs w:val="15"/>
                <w:color w:val="auto"/>
              </w:rPr>
            </w:pPr>
          </w:p>
        </w:tc>
        <w:tc>
          <w:tcPr>
            <w:tcW w:w="22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(In millions)</w:t>
            </w:r>
          </w:p>
        </w:tc>
      </w:tr>
      <w:tr>
        <w:trPr>
          <w:trHeight w:val="361"/>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8 1/2% Senior notes, due  2027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249.6</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10 1/4% Senior subordinated debentures, due 2001 ............................</w:t>
            </w:r>
          </w:p>
        </w:tc>
        <w:tc>
          <w:tcPr>
            <w:tcW w:w="1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100.4</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10 1/2% Senior subordinated debentures, due 2006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133.0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123.8</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8 1/4% Senior subordinated debentures, due 2008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154.3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149.1</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10 5/8% Senior subordinated debentures, due 2012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257.0</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Zero Coupon Convertible Debentures, due 2020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1,096.4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1,002.0</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7% Disney Notes, due 2007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132.8</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ZONES at principal amount, due 2029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1,612.6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1,806.8</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Other, including capital lease obligations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188.9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184.0</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12,201.8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10,811.3</w:t>
            </w:r>
          </w:p>
        </w:tc>
      </w:tr>
      <w:tr>
        <w:trPr>
          <w:trHeight w:val="180"/>
        </w:trPr>
        <w:tc>
          <w:tcPr>
            <w:tcW w:w="7400" w:type="dxa"/>
            <w:vAlign w:val="bottom"/>
          </w:tcPr>
          <w:p>
            <w:pPr>
              <w:spacing w:after="0"/>
              <w:rPr>
                <w:sz w:val="20"/>
                <w:szCs w:val="20"/>
                <w:color w:val="auto"/>
              </w:rPr>
            </w:pPr>
            <w:r>
              <w:rPr>
                <w:rFonts w:ascii="Courier New" w:cs="Courier New" w:eastAsia="Courier New" w:hAnsi="Courier New"/>
                <w:sz w:val="16"/>
                <w:szCs w:val="16"/>
                <w:color w:val="auto"/>
                <w:w w:val="99"/>
              </w:rPr>
              <w:t>Less current portion ........................................................</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293.9</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$11,741.6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$10,517.4</w:t>
            </w:r>
          </w:p>
        </w:tc>
      </w:tr>
      <w:tr>
        <w:trPr>
          <w:trHeight w:val="180"/>
        </w:trPr>
        <w:tc>
          <w:tcPr>
            <w:tcW w:w="7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Maturities of long-term debt outstanding as of December 31, 2001 for the</w:t>
      </w:r>
    </w:p>
    <w:tbl>
      <w:tblPr>
        <w:tblLayout w:type="fixed"/>
        <w:tblInd w:w="0" w:type="dxa"/>
        <w:tblCellMar>
          <w:top w:w="0" w:type="dxa"/>
          <w:left w:w="0" w:type="dxa"/>
          <w:bottom w:w="0" w:type="dxa"/>
          <w:right w:w="0" w:type="dxa"/>
        </w:tblCellMar>
      </w:tblPr>
      <w:tr>
        <w:trPr>
          <w:trHeight w:val="180"/>
        </w:trPr>
        <w:tc>
          <w:tcPr>
            <w:tcW w:w="6600" w:type="dxa"/>
            <w:vAlign w:val="bottom"/>
          </w:tcPr>
          <w:p>
            <w:pPr>
              <w:jc w:val="right"/>
              <w:ind w:right="1742"/>
              <w:spacing w:after="0"/>
              <w:rPr>
                <w:sz w:val="20"/>
                <w:szCs w:val="20"/>
                <w:color w:val="auto"/>
              </w:rPr>
            </w:pPr>
            <w:r>
              <w:rPr>
                <w:rFonts w:ascii="Courier New" w:cs="Courier New" w:eastAsia="Courier New" w:hAnsi="Courier New"/>
                <w:sz w:val="16"/>
                <w:szCs w:val="16"/>
                <w:color w:val="auto"/>
                <w:w w:val="97"/>
              </w:rPr>
              <w:t>four years after 2002 are as follows (in millions):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1"/>
        </w:trPr>
        <w:tc>
          <w:tcPr>
            <w:tcW w:w="6600" w:type="dxa"/>
            <w:vAlign w:val="bottom"/>
          </w:tcPr>
          <w:p>
            <w:pPr>
              <w:jc w:val="right"/>
              <w:spacing w:after="0"/>
              <w:rPr>
                <w:sz w:val="20"/>
                <w:szCs w:val="20"/>
                <w:color w:val="auto"/>
              </w:rPr>
            </w:pPr>
            <w:r>
              <w:rPr>
                <w:rFonts w:ascii="Courier New" w:cs="Courier New" w:eastAsia="Courier New" w:hAnsi="Courier New"/>
                <w:sz w:val="16"/>
                <w:szCs w:val="16"/>
                <w:color w:val="auto"/>
              </w:rPr>
              <w:t>2003 ....................................................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73.2</w:t>
            </w:r>
          </w:p>
        </w:tc>
      </w:tr>
      <w:tr>
        <w:trPr>
          <w:trHeight w:val="180"/>
        </w:trPr>
        <w:tc>
          <w:tcPr>
            <w:tcW w:w="6600" w:type="dxa"/>
            <w:vAlign w:val="bottom"/>
          </w:tcPr>
          <w:p>
            <w:pPr>
              <w:jc w:val="right"/>
              <w:spacing w:after="0"/>
              <w:rPr>
                <w:sz w:val="20"/>
                <w:szCs w:val="20"/>
                <w:color w:val="auto"/>
              </w:rPr>
            </w:pPr>
            <w:r>
              <w:rPr>
                <w:rFonts w:ascii="Courier New" w:cs="Courier New" w:eastAsia="Courier New" w:hAnsi="Courier New"/>
                <w:sz w:val="16"/>
                <w:szCs w:val="16"/>
                <w:color w:val="auto"/>
              </w:rPr>
              <w:t>2004 ....................................................</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331.0</w:t>
            </w:r>
          </w:p>
        </w:tc>
      </w:tr>
      <w:tr>
        <w:trPr>
          <w:trHeight w:val="180"/>
        </w:trPr>
        <w:tc>
          <w:tcPr>
            <w:tcW w:w="6600" w:type="dxa"/>
            <w:vAlign w:val="bottom"/>
          </w:tcPr>
          <w:p>
            <w:pPr>
              <w:jc w:val="right"/>
              <w:spacing w:after="0"/>
              <w:rPr>
                <w:sz w:val="20"/>
                <w:szCs w:val="20"/>
                <w:color w:val="auto"/>
              </w:rPr>
            </w:pPr>
            <w:r>
              <w:rPr>
                <w:rFonts w:ascii="Courier New" w:cs="Courier New" w:eastAsia="Courier New" w:hAnsi="Courier New"/>
                <w:sz w:val="16"/>
                <w:szCs w:val="16"/>
                <w:color w:val="auto"/>
              </w:rPr>
              <w:t>2005 ....................................................</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2,026.2</w:t>
            </w:r>
          </w:p>
        </w:tc>
      </w:tr>
      <w:tr>
        <w:trPr>
          <w:trHeight w:val="180"/>
        </w:trPr>
        <w:tc>
          <w:tcPr>
            <w:tcW w:w="6600" w:type="dxa"/>
            <w:vAlign w:val="bottom"/>
          </w:tcPr>
          <w:p>
            <w:pPr>
              <w:jc w:val="right"/>
              <w:spacing w:after="0"/>
              <w:rPr>
                <w:sz w:val="20"/>
                <w:szCs w:val="20"/>
                <w:color w:val="auto"/>
              </w:rPr>
            </w:pPr>
            <w:r>
              <w:rPr>
                <w:rFonts w:ascii="Courier New" w:cs="Courier New" w:eastAsia="Courier New" w:hAnsi="Courier New"/>
                <w:sz w:val="16"/>
                <w:szCs w:val="16"/>
                <w:color w:val="auto"/>
              </w:rPr>
              <w:t>2006 ....................................................</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653.2</w:t>
            </w:r>
          </w:p>
        </w:tc>
      </w:tr>
    </w:tbl>
    <w:p>
      <w:pPr>
        <w:spacing w:after="0" w:line="1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Senior Notes Offerings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During 2001, Comcast Cable sold an aggregate of $3.0 billion of public debt. The Company used substantially all of the net proceeds from the offerings to repay a portion of the amounts outstanding under Comcast Cable's commercial paper program and revolving credit facility, and to fund acquisitions.</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5" w:lineRule="exact"/>
        <w:rPr>
          <w:sz w:val="20"/>
          <w:szCs w:val="20"/>
          <w:color w:val="auto"/>
        </w:rPr>
      </w:pPr>
    </w:p>
    <w:p>
      <w:pPr>
        <w:ind w:right="3179" w:firstLine="469"/>
        <w:spacing w:after="0" w:line="259" w:lineRule="auto"/>
        <w:rPr>
          <w:sz w:val="20"/>
          <w:szCs w:val="20"/>
          <w:color w:val="auto"/>
        </w:rPr>
      </w:pPr>
      <w:r>
        <w:rPr>
          <w:rFonts w:ascii="Courier New" w:cs="Courier New" w:eastAsia="Courier New" w:hAnsi="Courier New"/>
          <w:sz w:val="15"/>
          <w:szCs w:val="15"/>
          <w:color w:val="auto"/>
        </w:rPr>
        <w:t>On December 17, 2001, the Company amended the terms of the Zero Coupon Debentures to permit holders of the Zero Coupon Debentures to require the Company to repurchase the Zero Coupon Debentures on December 19, 2002.</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4" w:right="1440" w:bottom="1440" w:gutter="0" w:footer="0" w:header="0"/>
        </w:sectPr>
      </w:pPr>
    </w:p>
    <w:bookmarkStart w:id="52" w:name="page53"/>
    <w:bookmarkEnd w:id="52"/>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2001, 2002, 2003, 2005, 2010 and 2015. The Company may choose to pay the repurchase price for 2001, 2002,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89"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On December 19, 2001, holders of an aggregate of $70.3 million accreted value of Zero Coupon Debentures exercised their right to have the Company repurchase their Zero Coupon Debentures for cash. The Company financed the redemption with available cash.</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86"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2001 and 2000 as the Company has both the ability and the intent to refinance the Zero Coupon Debentures on a long-term basis with amounts available under the Comcast Cable Revolver (see "Commercial Paper" below) in the event holders of the Zero Coupon Debentures exercise their rights to require the Company to repurchase the Zero Coupon Debentures in December 2002.</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Commercial Paper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$2.25 billion, 364-day revolving credit facility (together, the "Comcast Cable Revolver"). The 364-day revolving credit facility supports Comcast Cable's commercial paper program. Amounts outstanding under the commercial paper program are classified as long-term in the Company's consolidated balance sheet as of December 31, 2001 and 2000 as the Company has both the ability and the intent to refinance these obligations, if necessary, on a long-term basis with amounts available under the Comcast Cable Revolver.</w:t>
      </w:r>
    </w:p>
    <w:p>
      <w:pPr>
        <w:spacing w:after="0" w:line="18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ZONES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Stock. Prior to maturity, each ZONES is exchangeable at the holder's option for an amount of cash equal to 95% of the market value of Sprint PCS Stock.</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As of December 31, 2001, the number of Sprint PCS shares held by the Company exceeded the number of ZONES outstanding.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3).</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53" w:name="page54"/>
    <w:bookmarkEnd w:id="53"/>
    <w:p>
      <w:pPr>
        <w:jc w:val="center"/>
        <w:ind w:right="273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Company recorded the increase in the fair value of the ZONES (see Note</w:t>
      </w:r>
    </w:p>
    <w:p>
      <w:pPr>
        <w:spacing w:after="0" w:line="10" w:lineRule="exact"/>
        <w:rPr>
          <w:sz w:val="20"/>
          <w:szCs w:val="20"/>
          <w:color w:val="auto"/>
        </w:rPr>
      </w:pPr>
    </w:p>
    <w:p>
      <w:pPr>
        <w:ind w:left="4" w:right="2819" w:hanging="4"/>
        <w:spacing w:after="0" w:line="236" w:lineRule="auto"/>
        <w:tabs>
          <w:tab w:leader="none" w:pos="28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increase in the carrying value of the debt component of the ZONES as follows (in millions):</w:t>
      </w:r>
    </w:p>
    <w:p>
      <w:pPr>
        <w:sectPr>
          <w:pgSz w:w="11900" w:h="16838" w:orient="portrait"/>
          <w:cols w:equalWidth="0" w:num="1">
            <w:col w:w="10223"/>
          </w:cols>
          <w:pgMar w:left="236"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Increase in derivative component to investment expense ......</w:t>
      </w:r>
    </w:p>
    <w:p>
      <w:pPr>
        <w:spacing w:after="0" w:line="10"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Increase in debt component to interest expense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Year Ended</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2001</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$183.8</w:t>
      </w:r>
    </w:p>
    <w:p>
      <w:pPr>
        <w:jc w:val="center"/>
        <w:ind w:right="2719"/>
        <w:spacing w:after="0"/>
        <w:rPr>
          <w:sz w:val="20"/>
          <w:szCs w:val="20"/>
          <w:color w:val="auto"/>
        </w:rPr>
      </w:pPr>
      <w:r>
        <w:rPr>
          <w:rFonts w:ascii="Courier New" w:cs="Courier New" w:eastAsia="Courier New" w:hAnsi="Courier New"/>
          <w:sz w:val="16"/>
          <w:szCs w:val="16"/>
          <w:color w:val="auto"/>
        </w:rPr>
        <w:t>$ 22.2</w:t>
      </w:r>
    </w:p>
    <w:p>
      <w:pPr>
        <w:spacing w:after="0" w:line="184" w:lineRule="exact"/>
        <w:rPr>
          <w:sz w:val="20"/>
          <w:szCs w:val="20"/>
          <w:color w:val="auto"/>
        </w:rPr>
      </w:pPr>
    </w:p>
    <w:p>
      <w:pPr>
        <w:sectPr>
          <w:pgSz w:w="11900" w:h="16838" w:orient="portrait"/>
          <w:cols w:equalWidth="0" w:num="2">
            <w:col w:w="6184" w:space="200"/>
            <w:col w:w="3839"/>
          </w:cols>
          <w:pgMar w:left="236" w:top="654" w:right="1440" w:bottom="1440" w:gutter="0" w:footer="0" w:header="0"/>
          <w:type w:val="continuous"/>
        </w:sectPr>
      </w:pPr>
    </w:p>
    <w:p>
      <w:pPr>
        <w:ind w:left="284"/>
        <w:spacing w:after="0"/>
        <w:rPr>
          <w:sz w:val="20"/>
          <w:szCs w:val="20"/>
          <w:color w:val="auto"/>
        </w:rPr>
      </w:pPr>
      <w:r>
        <w:rPr>
          <w:rFonts w:ascii="Courier New" w:cs="Courier New" w:eastAsia="Courier New" w:hAnsi="Courier New"/>
          <w:sz w:val="15"/>
          <w:szCs w:val="15"/>
          <w:color w:val="auto"/>
        </w:rPr>
        <w:t>Extraordinary Items</w:t>
      </w:r>
    </w:p>
    <w:p>
      <w:pPr>
        <w:sectPr>
          <w:pgSz w:w="11900" w:h="16838" w:orient="portrait"/>
          <w:cols w:equalWidth="0" w:num="1">
            <w:col w:w="10223"/>
          </w:cols>
          <w:pgMar w:left="236" w:top="654" w:right="1440" w:bottom="1440" w:gutter="0" w:footer="0" w:header="0"/>
          <w:type w:val="continuous"/>
        </w:sectPr>
      </w:pPr>
    </w:p>
    <w:p>
      <w:pPr>
        <w:spacing w:after="0" w:line="191" w:lineRule="exact"/>
        <w:rPr>
          <w:sz w:val="20"/>
          <w:szCs w:val="20"/>
          <w:color w:val="auto"/>
        </w:rPr>
      </w:pPr>
    </w:p>
    <w:p>
      <w:pPr>
        <w:ind w:left="4" w:right="3279" w:firstLine="469"/>
        <w:spacing w:after="0" w:line="259" w:lineRule="auto"/>
        <w:rPr>
          <w:sz w:val="20"/>
          <w:szCs w:val="20"/>
          <w:color w:val="auto"/>
        </w:rPr>
      </w:pPr>
      <w:r>
        <w:rPr>
          <w:rFonts w:ascii="Courier New" w:cs="Courier New" w:eastAsia="Courier New" w:hAnsi="Courier New"/>
          <w:sz w:val="15"/>
          <w:szCs w:val="15"/>
          <w:color w:val="auto"/>
        </w:rPr>
        <w:t>Extraordinary items consist of unamortized debt issue costs and debt extinguishment costs, net of related tax benefits, expensed principally in connection with the redemptions and refinancings of certain indebtedness.</w:t>
      </w:r>
    </w:p>
    <w:p>
      <w:pPr>
        <w:spacing w:after="0" w:line="166"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Interest Rates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Bank debt interest rates vary based upon one or more of the following rates at the option of the Company:</w:t>
      </w:r>
    </w:p>
    <w:p>
      <w:pPr>
        <w:spacing w:after="0" w:line="18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Prime rate to prime plus .75%;</w:t>
      </w:r>
    </w:p>
    <w:p>
      <w:pPr>
        <w:ind w:left="944"/>
        <w:spacing w:after="0"/>
        <w:rPr>
          <w:sz w:val="20"/>
          <w:szCs w:val="20"/>
          <w:color w:val="auto"/>
        </w:rPr>
      </w:pPr>
      <w:r>
        <w:rPr>
          <w:rFonts w:ascii="Courier New" w:cs="Courier New" w:eastAsia="Courier New" w:hAnsi="Courier New"/>
          <w:sz w:val="16"/>
          <w:szCs w:val="16"/>
          <w:color w:val="auto"/>
        </w:rPr>
        <w:t>Federal Funds rate plus .5% to 1.25%; and</w:t>
      </w:r>
    </w:p>
    <w:p>
      <w:pPr>
        <w:ind w:left="944"/>
        <w:spacing w:after="0" w:line="237" w:lineRule="auto"/>
        <w:rPr>
          <w:sz w:val="20"/>
          <w:szCs w:val="20"/>
          <w:color w:val="auto"/>
        </w:rPr>
      </w:pPr>
      <w:r>
        <w:rPr>
          <w:rFonts w:ascii="Courier New" w:cs="Courier New" w:eastAsia="Courier New" w:hAnsi="Courier New"/>
          <w:sz w:val="16"/>
          <w:szCs w:val="16"/>
          <w:color w:val="auto"/>
        </w:rPr>
        <w:t>LIBOR plus .19% to 1.875%.</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As of December 31, 2001 and 2000, the Company's effective weighted average interest rate on its variable rate debt outstanding was 2.70% and 7.34%, respectively.</w:t>
      </w:r>
    </w:p>
    <w:p>
      <w:pPr>
        <w:spacing w:after="0" w:line="180"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Interest Rate Risk Management</w:t>
      </w:r>
    </w:p>
    <w:p>
      <w:pPr>
        <w:spacing w:after="0" w:line="185" w:lineRule="exact"/>
        <w:rPr>
          <w:sz w:val="20"/>
          <w:szCs w:val="20"/>
          <w:color w:val="auto"/>
        </w:rPr>
      </w:pPr>
    </w:p>
    <w:p>
      <w:pPr>
        <w:ind w:left="4" w:right="2999" w:firstLine="469"/>
        <w:spacing w:after="0" w:line="257" w:lineRule="auto"/>
        <w:rPr>
          <w:sz w:val="20"/>
          <w:szCs w:val="20"/>
          <w:color w:val="auto"/>
        </w:rPr>
      </w:pPr>
      <w:r>
        <w:rPr>
          <w:rFonts w:ascii="Courier New" w:cs="Courier New" w:eastAsia="Courier New" w:hAnsi="Courier New"/>
          <w:sz w:val="15"/>
          <w:szCs w:val="15"/>
          <w:color w:val="auto"/>
        </w:rPr>
        <w:t>The Company is exposed to the market risk of adverse changes in interest rates. To manage the volatility relating to these exposures, the Company's policy is to maintain a mix of fixed and variable rate debt and to enter into various interest rate derivative transactions as described below.</w:t>
      </w:r>
    </w:p>
    <w:p>
      <w:pPr>
        <w:spacing w:after="0" w:line="174"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3"/>
          </w:cols>
          <w:pgMar w:left="236" w:top="654"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81"/>
        </w:trPr>
        <w:tc>
          <w:tcPr>
            <w:tcW w:w="5860" w:type="dxa"/>
            <w:vAlign w:val="bottom"/>
            <w:gridSpan w:val="4"/>
          </w:tcPr>
          <w:p>
            <w:pPr>
              <w:jc w:val="right"/>
              <w:ind w:right="342"/>
              <w:spacing w:after="0"/>
              <w:rPr>
                <w:sz w:val="20"/>
                <w:szCs w:val="20"/>
                <w:color w:val="auto"/>
              </w:rPr>
            </w:pPr>
            <w:r>
              <w:rPr>
                <w:rFonts w:ascii="Courier New" w:cs="Courier New" w:eastAsia="Courier New" w:hAnsi="Courier New"/>
                <w:sz w:val="16"/>
                <w:szCs w:val="16"/>
                <w:color w:val="auto"/>
              </w:rPr>
              <w:t>COMCAST CORPORATION AND SUBSIDIARIES</w:t>
            </w: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1"/>
        </w:trPr>
        <w:tc>
          <w:tcPr>
            <w:tcW w:w="586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Years Ended</w:t>
            </w:r>
          </w:p>
        </w:tc>
        <w:tc>
          <w:tcPr>
            <w:tcW w:w="51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December 31, 2001, 2000 and 1999 (Continued)</w:t>
            </w: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1"/>
        </w:trPr>
        <w:tc>
          <w:tcPr>
            <w:tcW w:w="732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rPr>
              <w:t>The following table summarizes the terms of the Company's existing Swaps</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22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(dollars in millions):</w:t>
            </w:r>
          </w:p>
        </w:tc>
        <w:tc>
          <w:tcPr>
            <w:tcW w:w="2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721"/>
        </w:trPr>
        <w:tc>
          <w:tcPr>
            <w:tcW w:w="2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Notional</w:t>
            </w:r>
          </w:p>
        </w:tc>
        <w:tc>
          <w:tcPr>
            <w:tcW w:w="1460" w:type="dxa"/>
            <w:vAlign w:val="bottom"/>
          </w:tcPr>
          <w:p>
            <w:pPr>
              <w:spacing w:after="0"/>
              <w:rPr>
                <w:sz w:val="24"/>
                <w:szCs w:val="24"/>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6"/>
                <w:szCs w:val="16"/>
                <w:color w:val="auto"/>
              </w:rPr>
              <w:t>Average</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Estimated</w:t>
            </w:r>
          </w:p>
        </w:tc>
      </w:tr>
      <w:tr>
        <w:trPr>
          <w:trHeight w:val="180"/>
        </w:trPr>
        <w:tc>
          <w:tcPr>
            <w:tcW w:w="2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Amount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Maturities</w:t>
            </w: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rPr>
              <w:t>Interest Rate</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Fair Value</w:t>
            </w:r>
          </w:p>
        </w:tc>
      </w:tr>
      <w:tr>
        <w:trPr>
          <w:trHeight w:val="180"/>
        </w:trPr>
        <w:tc>
          <w:tcPr>
            <w:tcW w:w="2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As of December 31,</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2001</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Variable to Fixed</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Swaps ...................</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250.3</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2002-2003</w:t>
            </w:r>
          </w:p>
        </w:tc>
        <w:tc>
          <w:tcPr>
            <w:tcW w:w="1440" w:type="dxa"/>
            <w:vAlign w:val="bottom"/>
          </w:tcPr>
          <w:p>
            <w:pPr>
              <w:ind w:left="360"/>
              <w:spacing w:after="0"/>
              <w:rPr>
                <w:sz w:val="20"/>
                <w:szCs w:val="20"/>
                <w:color w:val="auto"/>
              </w:rPr>
            </w:pPr>
            <w:r>
              <w:rPr>
                <w:rFonts w:ascii="Courier New" w:cs="Courier New" w:eastAsia="Courier New" w:hAnsi="Courier New"/>
                <w:sz w:val="16"/>
                <w:szCs w:val="16"/>
                <w:color w:val="auto"/>
              </w:rPr>
              <w:t>4.9%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w:t>
            </w: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Fixed to Variable</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Swaps ...................</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950.0</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2004-2008</w:t>
            </w:r>
          </w:p>
        </w:tc>
        <w:tc>
          <w:tcPr>
            <w:tcW w:w="1440" w:type="dxa"/>
            <w:vAlign w:val="bottom"/>
          </w:tcPr>
          <w:p>
            <w:pPr>
              <w:ind w:left="360"/>
              <w:spacing w:after="0"/>
              <w:rPr>
                <w:sz w:val="20"/>
                <w:szCs w:val="20"/>
                <w:color w:val="auto"/>
              </w:rPr>
            </w:pPr>
            <w:r>
              <w:rPr>
                <w:rFonts w:ascii="Courier New" w:cs="Courier New" w:eastAsia="Courier New" w:hAnsi="Courier New"/>
                <w:sz w:val="16"/>
                <w:szCs w:val="16"/>
                <w:color w:val="auto"/>
              </w:rPr>
              <w:t>7.5%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46.8</w:t>
            </w: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As of December 31,</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Variable to Fixed</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Swaps ...................</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377.7</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2001-2003</w:t>
            </w:r>
          </w:p>
        </w:tc>
        <w:tc>
          <w:tcPr>
            <w:tcW w:w="1440" w:type="dxa"/>
            <w:vAlign w:val="bottom"/>
          </w:tcPr>
          <w:p>
            <w:pPr>
              <w:ind w:left="360"/>
              <w:spacing w:after="0"/>
              <w:rPr>
                <w:sz w:val="20"/>
                <w:szCs w:val="20"/>
                <w:color w:val="auto"/>
              </w:rPr>
            </w:pPr>
            <w:r>
              <w:rPr>
                <w:rFonts w:ascii="Courier New" w:cs="Courier New" w:eastAsia="Courier New" w:hAnsi="Courier New"/>
                <w:sz w:val="16"/>
                <w:szCs w:val="16"/>
                <w:color w:val="auto"/>
              </w:rPr>
              <w:t>5.2%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w:t>
            </w: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Fixed to Variable</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Swaps ...................</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450.0</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2004-2008</w:t>
            </w:r>
          </w:p>
        </w:tc>
        <w:tc>
          <w:tcPr>
            <w:tcW w:w="1440" w:type="dxa"/>
            <w:vAlign w:val="bottom"/>
          </w:tcPr>
          <w:p>
            <w:pPr>
              <w:ind w:left="360"/>
              <w:spacing w:after="0"/>
              <w:rPr>
                <w:sz w:val="20"/>
                <w:szCs w:val="20"/>
                <w:color w:val="auto"/>
              </w:rPr>
            </w:pPr>
            <w:r>
              <w:rPr>
                <w:rFonts w:ascii="Courier New" w:cs="Courier New" w:eastAsia="Courier New" w:hAnsi="Courier New"/>
                <w:sz w:val="16"/>
                <w:szCs w:val="16"/>
                <w:color w:val="auto"/>
              </w:rPr>
              <w:t>7.7%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w:t>
            </w:r>
          </w:p>
        </w:tc>
      </w:tr>
    </w:tbl>
    <w:p>
      <w:pPr>
        <w:spacing w:after="0" w:line="36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2001, 2000 and 1999 was not significant.</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During January and February 2002, the Company settled all $950.0 million notional amount of its Fixed to Variable Swaps and received proceeds of $56.8 million.</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Estimated Fair Value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Company's long-term debt had estimated fair values of $12.559 billion and $10.251 billion as of December 31, 2001 and 2000,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Debt Covenants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73"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As of December 31, 2001, $246.9 million of the Company's cash, cash equivalents and short-term investments is restricted to use by subsidiaries of the Company under contractual or other arrangements. Restricted net assets of the Company's subsidiaries were approximately $1.233 billion as of December 31, 2001.</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Lines and Letters of Credit</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As of December 31, 2001, certain subsidiaries of the Company had unused lines of credit of $3.460 billion under their respective credit facilities.</w:t>
      </w:r>
    </w:p>
    <w:p>
      <w:pPr>
        <w:spacing w:after="0" w:line="16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As of December 31, 2001, the Company and certain of its subsidiaries had unused irrevocable standby letters of credit totaling $96.1 million to cover potential fundings under various agreements.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1440" w:gutter="0" w:footer="0" w:header="0"/>
        </w:sectPr>
      </w:pPr>
    </w:p>
    <w:bookmarkStart w:id="55" w:name="page56"/>
    <w:bookmarkEnd w:id="5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364" w:lineRule="exact"/>
        <w:rPr>
          <w:sz w:val="20"/>
          <w:szCs w:val="20"/>
          <w:color w:val="auto"/>
        </w:rPr>
      </w:pPr>
    </w:p>
    <w:p>
      <w:pPr>
        <w:ind w:left="280" w:right="7879" w:hanging="190"/>
        <w:spacing w:after="0" w:line="509" w:lineRule="auto"/>
        <w:tabs>
          <w:tab w:leader="none" w:pos="46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Preferred Stock</w:t>
      </w:r>
    </w:p>
    <w:p>
      <w:pPr>
        <w:spacing w:after="0" w:line="1"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42.5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 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$533.6 million at redemption value of Series B Preferred Stock. In March 2001, the Company issued approximately 4.2 million shares of its Class A Special Common Stock to the holder in connection with the holder's election to convert the remaining $59.5 million at redemption value of Series B Preferred Stock.</w:t>
      </w:r>
    </w:p>
    <w:p>
      <w:pPr>
        <w:spacing w:after="0" w:line="17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Board-Authorized Repurchase Programs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summarizes the Company's repurchases and sales of Comcast Put Options under its Board-authorized share repurchase programs (shares and dollars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w:t>
            </w:r>
          </w:p>
        </w:tc>
      </w:tr>
      <w:tr>
        <w:trPr>
          <w:trHeight w:val="180"/>
        </w:trPr>
        <w:tc>
          <w:tcPr>
            <w:tcW w:w="474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4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47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Shares repurchased ...............................</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9.1</w:t>
            </w:r>
          </w:p>
        </w:tc>
        <w:tc>
          <w:tcPr>
            <w:tcW w:w="28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Aggregate consideration ..........................</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$ 27.1</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$ 324.9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30.7</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Comcast Put Options sold .........................</w:t>
            </w:r>
          </w:p>
        </w:tc>
        <w:tc>
          <w:tcPr>
            <w:tcW w:w="840" w:type="dxa"/>
            <w:vAlign w:val="bottom"/>
          </w:tcPr>
          <w:p>
            <w:pPr>
              <w:spacing w:after="0"/>
              <w:rPr>
                <w:sz w:val="15"/>
                <w:szCs w:val="15"/>
                <w:color w:val="auto"/>
              </w:rPr>
            </w:pP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w:t>
            </w:r>
          </w:p>
        </w:tc>
        <w:tc>
          <w:tcPr>
            <w:tcW w:w="2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w:t>
            </w:r>
          </w:p>
        </w:tc>
      </w:tr>
    </w:tbl>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 The difference between the</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4" w:right="1440" w:bottom="1440" w:gutter="0" w:footer="0" w:header="0"/>
        </w:sectPr>
      </w:pPr>
    </w:p>
    <w:bookmarkStart w:id="56" w:name="page57"/>
    <w:bookmarkEnd w:id="56"/>
    <w:p>
      <w:pPr>
        <w:jc w:val="center"/>
        <w:ind w:right="30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000"/>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000"/>
        <w:spacing w:after="0" w:line="236" w:lineRule="auto"/>
        <w:rPr>
          <w:sz w:val="20"/>
          <w:szCs w:val="20"/>
          <w:color w:val="auto"/>
        </w:rPr>
      </w:pPr>
      <w:r>
        <w:rPr>
          <w:rFonts w:ascii="Courier New" w:cs="Courier New" w:eastAsia="Courier New" w:hAnsi="Courier New"/>
          <w:sz w:val="16"/>
          <w:szCs w:val="16"/>
          <w:color w:val="auto"/>
        </w:rPr>
        <w:t>proceeds from the sale of the Comcast Put Options and their estimated fair value was not significant as of December 31, 2000.</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Stock-Based Compensation Plans</w:t>
      </w:r>
    </w:p>
    <w:p>
      <w:pPr>
        <w:spacing w:after="0" w:line="185" w:lineRule="exact"/>
        <w:rPr>
          <w:sz w:val="20"/>
          <w:szCs w:val="20"/>
          <w:color w:val="auto"/>
        </w:rPr>
      </w:pPr>
    </w:p>
    <w:p>
      <w:pPr>
        <w:ind w:right="3000" w:firstLine="469"/>
        <w:spacing w:after="0" w:line="237" w:lineRule="auto"/>
        <w:rPr>
          <w:sz w:val="20"/>
          <w:szCs w:val="20"/>
          <w:color w:val="auto"/>
        </w:rPr>
      </w:pPr>
      <w:r>
        <w:rPr>
          <w:rFonts w:ascii="Courier New" w:cs="Courier New" w:eastAsia="Courier New" w:hAnsi="Courier New"/>
          <w:sz w:val="16"/>
          <w:szCs w:val="16"/>
          <w:color w:val="auto"/>
        </w:rPr>
        <w:t>As of December 31, 2001,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87"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55.9 million shares of Class A Special Common Stock were reserved as of December 31, 2001. Option terms are generally from five to 10 1/2 years, with options generally becoming exercisable between two and 9 1/2 years from the date of grant.</w:t>
      </w:r>
    </w:p>
    <w:p>
      <w:pPr>
        <w:spacing w:after="0" w:line="186" w:lineRule="exact"/>
        <w:rPr>
          <w:sz w:val="20"/>
          <w:szCs w:val="20"/>
          <w:color w:val="auto"/>
        </w:rPr>
      </w:pPr>
    </w:p>
    <w:p>
      <w:pPr>
        <w:jc w:val="both"/>
        <w:ind w:right="3000"/>
        <w:spacing w:after="0" w:line="236" w:lineRule="auto"/>
        <w:rPr>
          <w:sz w:val="20"/>
          <w:szCs w:val="20"/>
          <w:color w:val="auto"/>
        </w:rPr>
      </w:pPr>
      <w:r>
        <w:rPr>
          <w:rFonts w:ascii="Courier New" w:cs="Courier New" w:eastAsia="Courier New" w:hAnsi="Courier New"/>
          <w:sz w:val="16"/>
          <w:szCs w:val="16"/>
          <w:color w:val="auto"/>
        </w:rPr>
        <w:t>The following table summarizes the activity of the Comcast Option Plans (options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w:t>
            </w:r>
          </w:p>
        </w:tc>
        <w:tc>
          <w:tcPr>
            <w:tcW w:w="980" w:type="dxa"/>
            <w:vAlign w:val="bottom"/>
          </w:tcPr>
          <w:p>
            <w:pPr>
              <w:spacing w:after="0"/>
              <w:rPr>
                <w:sz w:val="15"/>
                <w:szCs w:val="15"/>
                <w:color w:val="auto"/>
              </w:rPr>
            </w:pPr>
          </w:p>
        </w:tc>
        <w:tc>
          <w:tcPr>
            <w:tcW w:w="202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2000</w:t>
            </w:r>
          </w:p>
        </w:tc>
        <w:tc>
          <w:tcPr>
            <w:tcW w:w="19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43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980" w:type="dxa"/>
            <w:vAlign w:val="bottom"/>
          </w:tcPr>
          <w:p>
            <w:pPr>
              <w:spacing w:after="0"/>
              <w:rPr>
                <w:sz w:val="15"/>
                <w:szCs w:val="15"/>
                <w:color w:val="auto"/>
              </w:rPr>
            </w:pPr>
          </w:p>
        </w:tc>
        <w:tc>
          <w:tcPr>
            <w:tcW w:w="20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8"/>
              </w:rPr>
              <w:t>-------------------</w:t>
            </w:r>
          </w:p>
        </w:tc>
        <w:tc>
          <w:tcPr>
            <w:tcW w:w="19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4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Weighted-</w:t>
            </w:r>
          </w:p>
        </w:tc>
        <w:tc>
          <w:tcPr>
            <w:tcW w:w="8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Weighted-</w:t>
            </w:r>
          </w:p>
        </w:tc>
        <w:tc>
          <w:tcPr>
            <w:tcW w:w="88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9"/>
              </w:rPr>
              <w:t>Weighted-</w:t>
            </w:r>
          </w:p>
        </w:tc>
      </w:tr>
      <w:tr>
        <w:trPr>
          <w:trHeight w:val="180"/>
        </w:trPr>
        <w:tc>
          <w:tcPr>
            <w:tcW w:w="4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Average</w:t>
            </w:r>
          </w:p>
        </w:tc>
        <w:tc>
          <w:tcPr>
            <w:tcW w:w="880" w:type="dxa"/>
            <w:vAlign w:val="bottom"/>
          </w:tcPr>
          <w:p>
            <w:pPr>
              <w:spacing w:after="0"/>
              <w:rPr>
                <w:sz w:val="15"/>
                <w:szCs w:val="15"/>
                <w:color w:val="auto"/>
              </w:rPr>
            </w:pP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Average</w:t>
            </w:r>
          </w:p>
        </w:tc>
        <w:tc>
          <w:tcPr>
            <w:tcW w:w="88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Average</w:t>
            </w:r>
          </w:p>
        </w:tc>
      </w:tr>
      <w:tr>
        <w:trPr>
          <w:trHeight w:val="180"/>
        </w:trPr>
        <w:tc>
          <w:tcPr>
            <w:tcW w:w="4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Exercise</w:t>
            </w:r>
          </w:p>
        </w:tc>
        <w:tc>
          <w:tcPr>
            <w:tcW w:w="880" w:type="dxa"/>
            <w:vAlign w:val="bottom"/>
          </w:tcPr>
          <w:p>
            <w:pPr>
              <w:spacing w:after="0"/>
              <w:rPr>
                <w:sz w:val="15"/>
                <w:szCs w:val="15"/>
                <w:color w:val="auto"/>
              </w:rPr>
            </w:pP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Exercise</w:t>
            </w:r>
          </w:p>
        </w:tc>
        <w:tc>
          <w:tcPr>
            <w:tcW w:w="8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Exercise</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Class A Special Common Stock</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Options</w:t>
            </w:r>
          </w:p>
        </w:tc>
        <w:tc>
          <w:tcPr>
            <w:tcW w:w="1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Price</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Options</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Price</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Options</w:t>
            </w:r>
          </w:p>
        </w:tc>
        <w:tc>
          <w:tcPr>
            <w:tcW w:w="10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5"/>
              </w:rPr>
              <w:t>Price</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Outstanding at beginning of year ............</w:t>
            </w: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49,618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23.69</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40,416</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$ 16.01</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43,002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$ 11.09</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Granted .....................................</w:t>
            </w: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10,084</w:t>
            </w:r>
          </w:p>
        </w:tc>
        <w:tc>
          <w:tcPr>
            <w:tcW w:w="1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37.52</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15,300</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39.43</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7,403</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34.16</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Exercised ...................................</w:t>
            </w:r>
          </w:p>
        </w:tc>
        <w:tc>
          <w:tcPr>
            <w:tcW w:w="10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(3,360)</w:t>
            </w:r>
          </w:p>
        </w:tc>
        <w:tc>
          <w:tcPr>
            <w:tcW w:w="1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10.62</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(4,805)</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8.60</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(7,527)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6.76</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Canceled ....................................</w:t>
            </w:r>
          </w:p>
        </w:tc>
        <w:tc>
          <w:tcPr>
            <w:tcW w:w="10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(821)</w:t>
            </w:r>
          </w:p>
        </w:tc>
        <w:tc>
          <w:tcPr>
            <w:tcW w:w="1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30.69</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(1,293)</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25.98</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(2,462)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12.90</w:t>
            </w:r>
          </w:p>
        </w:tc>
      </w:tr>
      <w:tr>
        <w:trPr>
          <w:trHeight w:val="180"/>
        </w:trPr>
        <w:tc>
          <w:tcPr>
            <w:tcW w:w="436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w:t>
            </w:r>
          </w:p>
        </w:tc>
        <w:tc>
          <w:tcPr>
            <w:tcW w:w="1080" w:type="dxa"/>
            <w:vAlign w:val="bottom"/>
          </w:tcPr>
          <w:p>
            <w:pPr>
              <w:spacing w:after="0"/>
              <w:rPr>
                <w:sz w:val="15"/>
                <w:szCs w:val="15"/>
                <w:color w:val="auto"/>
              </w:rPr>
            </w:pP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Outstanding at end of year ..................</w:t>
            </w: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55,521</w:t>
            </w:r>
          </w:p>
        </w:tc>
        <w:tc>
          <w:tcPr>
            <w:tcW w:w="1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26.89</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49,618</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23.69</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40,416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16.01</w:t>
            </w:r>
          </w:p>
        </w:tc>
      </w:tr>
      <w:tr>
        <w:trPr>
          <w:trHeight w:val="180"/>
        </w:trPr>
        <w:tc>
          <w:tcPr>
            <w:tcW w:w="436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w:t>
            </w:r>
          </w:p>
        </w:tc>
        <w:tc>
          <w:tcPr>
            <w:tcW w:w="1080" w:type="dxa"/>
            <w:vAlign w:val="bottom"/>
          </w:tcPr>
          <w:p>
            <w:pPr>
              <w:spacing w:after="0"/>
              <w:rPr>
                <w:sz w:val="15"/>
                <w:szCs w:val="15"/>
                <w:color w:val="auto"/>
              </w:rPr>
            </w:pP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Exercisable at end of .......................</w:t>
            </w: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16,892</w:t>
            </w:r>
          </w:p>
        </w:tc>
        <w:tc>
          <w:tcPr>
            <w:tcW w:w="1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15.57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13,267</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11.35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10,947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8.19</w:t>
            </w:r>
          </w:p>
        </w:tc>
      </w:tr>
      <w:tr>
        <w:trPr>
          <w:trHeight w:val="180"/>
        </w:trPr>
        <w:tc>
          <w:tcPr>
            <w:tcW w:w="436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w:t>
            </w:r>
          </w:p>
        </w:tc>
        <w:tc>
          <w:tcPr>
            <w:tcW w:w="1080" w:type="dxa"/>
            <w:vAlign w:val="bottom"/>
          </w:tcPr>
          <w:p>
            <w:pPr>
              <w:spacing w:after="0"/>
              <w:rPr>
                <w:sz w:val="15"/>
                <w:szCs w:val="15"/>
                <w:color w:val="auto"/>
              </w:rPr>
            </w:pPr>
          </w:p>
        </w:tc>
      </w:tr>
    </w:tbl>
    <w:p>
      <w:pPr>
        <w:spacing w:after="0" w:line="365" w:lineRule="exact"/>
        <w:rPr>
          <w:sz w:val="20"/>
          <w:szCs w:val="20"/>
          <w:color w:val="auto"/>
        </w:rPr>
      </w:pPr>
    </w:p>
    <w:p>
      <w:pPr>
        <w:jc w:val="both"/>
        <w:ind w:right="3000" w:firstLine="469"/>
        <w:spacing w:after="0" w:line="237" w:lineRule="auto"/>
        <w:rPr>
          <w:sz w:val="20"/>
          <w:szCs w:val="20"/>
          <w:color w:val="auto"/>
        </w:rPr>
      </w:pPr>
      <w:r>
        <w:rPr>
          <w:rFonts w:ascii="Courier New" w:cs="Courier New" w:eastAsia="Courier New" w:hAnsi="Courier New"/>
          <w:sz w:val="16"/>
          <w:szCs w:val="16"/>
          <w:color w:val="auto"/>
        </w:rPr>
        <w:t>The following table summarizes information about the Class A Special Common Stock options outstanding under the Comcast Option Plans as of December 31, 2001 (options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0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Options Outstanding</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0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8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Options Exercisable</w:t>
            </w: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Weighted-</w:t>
            </w:r>
          </w:p>
        </w:tc>
        <w:tc>
          <w:tcPr>
            <w:tcW w:w="1140" w:type="dxa"/>
            <w:vAlign w:val="bottom"/>
          </w:tcPr>
          <w:p>
            <w:pPr>
              <w:spacing w:after="0"/>
              <w:rPr>
                <w:sz w:val="15"/>
                <w:szCs w:val="15"/>
                <w:color w:val="auto"/>
              </w:rPr>
            </w:pPr>
          </w:p>
        </w:tc>
        <w:tc>
          <w:tcPr>
            <w:tcW w:w="23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Average</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Weighted-</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Number</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Weighted-</w:t>
            </w: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ind w:left="520"/>
              <w:spacing w:after="0"/>
              <w:rPr>
                <w:sz w:val="20"/>
                <w:szCs w:val="20"/>
                <w:color w:val="auto"/>
              </w:rPr>
            </w:pPr>
            <w:r>
              <w:rPr>
                <w:rFonts w:ascii="Courier New" w:cs="Courier New" w:eastAsia="Courier New" w:hAnsi="Courier New"/>
                <w:sz w:val="16"/>
                <w:szCs w:val="16"/>
                <w:color w:val="auto"/>
              </w:rPr>
              <w:t>Number</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Remaining</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Average</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Exercisable</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w w:val="93"/>
              </w:rPr>
              <w:t>Range of</w:t>
            </w: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Outstanding</w:t>
            </w: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Contractual</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Exercise</w:t>
            </w:r>
          </w:p>
        </w:tc>
        <w:tc>
          <w:tcPr>
            <w:tcW w:w="13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at</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Exercise</w:t>
            </w:r>
          </w:p>
        </w:tc>
      </w:tr>
      <w:tr>
        <w:trPr>
          <w:trHeight w:val="180"/>
        </w:trPr>
        <w:tc>
          <w:tcPr>
            <w:tcW w:w="3600" w:type="dxa"/>
            <w:vAlign w:val="bottom"/>
            <w:gridSpan w:val="4"/>
          </w:tcPr>
          <w:p>
            <w:pPr>
              <w:spacing w:after="0"/>
              <w:rPr>
                <w:sz w:val="20"/>
                <w:szCs w:val="20"/>
                <w:color w:val="auto"/>
              </w:rPr>
            </w:pPr>
            <w:r>
              <w:rPr>
                <w:rFonts w:ascii="Courier New" w:cs="Courier New" w:eastAsia="Courier New" w:hAnsi="Courier New"/>
                <w:sz w:val="16"/>
                <w:szCs w:val="16"/>
                <w:color w:val="auto"/>
              </w:rPr>
              <w:t>Exercise Prices</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at 12/31/01</w:t>
            </w:r>
          </w:p>
        </w:tc>
        <w:tc>
          <w:tcPr>
            <w:tcW w:w="136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Life</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Price</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12/31/01</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5"/>
              </w:rPr>
              <w:t>---------------</w:t>
            </w:r>
          </w:p>
        </w:tc>
        <w:tc>
          <w:tcPr>
            <w:tcW w:w="2520" w:type="dxa"/>
            <w:vAlign w:val="bottom"/>
          </w:tcPr>
          <w:p>
            <w:pPr>
              <w:spacing w:after="0"/>
              <w:rPr>
                <w:sz w:val="15"/>
                <w:szCs w:val="15"/>
                <w:color w:val="auto"/>
              </w:rPr>
            </w:pPr>
          </w:p>
        </w:tc>
        <w:tc>
          <w:tcPr>
            <w:tcW w:w="164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4.96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6.04 .....................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2,229</w:t>
            </w:r>
          </w:p>
        </w:tc>
        <w:tc>
          <w:tcPr>
            <w:tcW w:w="480" w:type="dxa"/>
            <w:vAlign w:val="bottom"/>
          </w:tcPr>
          <w:p>
            <w:pPr>
              <w:spacing w:after="0"/>
              <w:rPr>
                <w:sz w:val="24"/>
                <w:szCs w:val="24"/>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1 year</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$ 5.74</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2,067</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$ 5.71</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6.71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10.06 ....................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7,095</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3.3</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8.70</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4,829</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8.95</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10.11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14.94 ....................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4,267</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4.9</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13.13</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2,428</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13.04</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15.66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22.88 ....................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10,490</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6.4</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17.01</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4,809</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17.01</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27.59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34.48 ....................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6,112</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7.4</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32.29</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2,042</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31.96</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34.50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41.38 ....................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21,745</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8.9</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37.78</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490</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38.52</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41.44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53.13 ....................</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3,583</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8.3</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46.05</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227</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45.71</w:t>
            </w: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55,521</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16,892</w:t>
            </w:r>
          </w:p>
        </w:tc>
        <w:tc>
          <w:tcPr>
            <w:tcW w:w="108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r>
      <w:tr>
        <w:trPr>
          <w:trHeight w:val="541"/>
        </w:trPr>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30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500"/>
          </w:cols>
          <w:pgMar w:left="240" w:top="654" w:right="1159" w:bottom="1440" w:gutter="0" w:footer="0" w:header="0"/>
        </w:sectPr>
      </w:pPr>
    </w:p>
    <w:bookmarkStart w:id="57" w:name="page58"/>
    <w:bookmarkEnd w:id="5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weighted-average fair value at date of grant of a Class A Special Common Stock option granted under the Comcast Option Plans during 2001, 2000 and 1999 was $19.07, $21.20 and $20.41, respectively. The fair value of each option granted during 2001, 2000 and 1999 was estimated on the date of grant using the Black-Scholes option-pricing model with the following weighted-average assumptions:</w:t>
      </w:r>
    </w:p>
    <w:p>
      <w:pPr>
        <w:spacing w:after="0" w:line="200" w:lineRule="exact"/>
        <w:rPr>
          <w:sz w:val="20"/>
          <w:szCs w:val="20"/>
          <w:color w:val="auto"/>
        </w:rPr>
      </w:pPr>
    </w:p>
    <w:p>
      <w:pPr>
        <w:spacing w:after="0" w:line="34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7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5820" w:type="dxa"/>
            <w:vAlign w:val="bottom"/>
          </w:tcPr>
          <w:p>
            <w:pPr>
              <w:spacing w:after="0"/>
              <w:rPr>
                <w:sz w:val="15"/>
                <w:szCs w:val="15"/>
                <w:color w:val="auto"/>
              </w:rPr>
            </w:pPr>
          </w:p>
        </w:tc>
        <w:tc>
          <w:tcPr>
            <w:tcW w:w="27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8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58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w w:val="99"/>
              </w:rPr>
              <w:t>Dividend yield ..............................................</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w w:val="99"/>
              </w:rPr>
              <w:t>Expected volatility .........................................</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35.7%</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36.1%</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w w:val="99"/>
              </w:rPr>
              <w:t>Risk-free interest rate .....................................</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w w:val="99"/>
              </w:rPr>
              <w:t>Expected option lives (in years) ............................</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8.0</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w w:val="99"/>
              </w:rPr>
              <w:t>Forfeiture rate .............................................</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bl>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78" w:lineRule="exact"/>
        <w:rPr>
          <w:sz w:val="20"/>
          <w:szCs w:val="20"/>
          <w:color w:val="auto"/>
        </w:rPr>
      </w:pPr>
    </w:p>
    <w:p>
      <w:pPr>
        <w:ind w:right="3379" w:firstLine="469"/>
        <w:spacing w:after="0" w:line="237" w:lineRule="auto"/>
        <w:rPr>
          <w:sz w:val="20"/>
          <w:szCs w:val="20"/>
          <w:color w:val="auto"/>
        </w:rPr>
      </w:pPr>
      <w:r>
        <w:rPr>
          <w:rFonts w:ascii="Courier New" w:cs="Courier New" w:eastAsia="Courier New" w:hAnsi="Courier New"/>
          <w:sz w:val="16"/>
          <w:szCs w:val="16"/>
          <w:color w:val="auto"/>
        </w:rPr>
        <w:t>The QVC Tandem Plan is the most significant of the Tandem Plans. The following table summarizes information related to the QVC Tandem Plan (options/SARs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7"/>
              </w:rPr>
              <w:t>At December 31,</w:t>
            </w:r>
          </w:p>
        </w:tc>
      </w:tr>
      <w:tr>
        <w:trPr>
          <w:trHeight w:val="180"/>
        </w:trPr>
        <w:tc>
          <w:tcPr>
            <w:tcW w:w="666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66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660" w:type="dxa"/>
            <w:vAlign w:val="bottom"/>
          </w:tcPr>
          <w:p>
            <w:pPr>
              <w:spacing w:after="0"/>
              <w:rPr>
                <w:sz w:val="20"/>
                <w:szCs w:val="20"/>
                <w:color w:val="auto"/>
              </w:rPr>
            </w:pPr>
            <w:r>
              <w:rPr>
                <w:rFonts w:ascii="Courier New" w:cs="Courier New" w:eastAsia="Courier New" w:hAnsi="Courier New"/>
                <w:sz w:val="16"/>
                <w:szCs w:val="16"/>
                <w:color w:val="auto"/>
                <w:w w:val="98"/>
              </w:rPr>
              <w:t>Options/SARs outstanding at end of year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253</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0"/>
        </w:trPr>
        <w:tc>
          <w:tcPr>
            <w:tcW w:w="6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660" w:type="dxa"/>
            <w:vAlign w:val="bottom"/>
          </w:tcPr>
          <w:p>
            <w:pPr>
              <w:spacing w:after="0"/>
              <w:rPr>
                <w:sz w:val="20"/>
                <w:szCs w:val="20"/>
                <w:color w:val="auto"/>
              </w:rPr>
            </w:pPr>
            <w:r>
              <w:rPr>
                <w:rFonts w:ascii="Courier New" w:cs="Courier New" w:eastAsia="Courier New" w:hAnsi="Courier New"/>
                <w:sz w:val="16"/>
                <w:szCs w:val="16"/>
                <w:color w:val="auto"/>
              </w:rPr>
              <w:t>Weighted-average exercise price of options/SARs outstanding</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6660" w:type="dxa"/>
            <w:vAlign w:val="bottom"/>
          </w:tcPr>
          <w:p>
            <w:pPr>
              <w:ind w:left="200"/>
              <w:spacing w:after="0"/>
              <w:rPr>
                <w:sz w:val="20"/>
                <w:szCs w:val="20"/>
                <w:color w:val="auto"/>
              </w:rPr>
            </w:pPr>
            <w:r>
              <w:rPr>
                <w:rFonts w:ascii="Courier New" w:cs="Courier New" w:eastAsia="Courier New" w:hAnsi="Courier New"/>
                <w:sz w:val="16"/>
                <w:szCs w:val="16"/>
                <w:color w:val="auto"/>
                <w:w w:val="98"/>
              </w:rPr>
              <w:t>at end of year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$ 913.88</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$ 789.51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$ 618.02</w:t>
            </w:r>
          </w:p>
        </w:tc>
      </w:tr>
      <w:tr>
        <w:trPr>
          <w:trHeight w:val="180"/>
        </w:trPr>
        <w:tc>
          <w:tcPr>
            <w:tcW w:w="6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660" w:type="dxa"/>
            <w:vAlign w:val="bottom"/>
          </w:tcPr>
          <w:p>
            <w:pPr>
              <w:spacing w:after="0"/>
              <w:rPr>
                <w:sz w:val="20"/>
                <w:szCs w:val="20"/>
                <w:color w:val="auto"/>
              </w:rPr>
            </w:pPr>
            <w:r>
              <w:rPr>
                <w:rFonts w:ascii="Courier New" w:cs="Courier New" w:eastAsia="Courier New" w:hAnsi="Courier New"/>
                <w:sz w:val="16"/>
                <w:szCs w:val="16"/>
                <w:color w:val="auto"/>
                <w:w w:val="98"/>
              </w:rPr>
              <w:t>Options/SARs exercisable at end of year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79</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w:t>
            </w:r>
          </w:p>
        </w:tc>
      </w:tr>
      <w:tr>
        <w:trPr>
          <w:trHeight w:val="180"/>
        </w:trPr>
        <w:tc>
          <w:tcPr>
            <w:tcW w:w="6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660" w:type="dxa"/>
            <w:vAlign w:val="bottom"/>
          </w:tcPr>
          <w:p>
            <w:pPr>
              <w:spacing w:after="0"/>
              <w:rPr>
                <w:sz w:val="20"/>
                <w:szCs w:val="20"/>
                <w:color w:val="auto"/>
              </w:rPr>
            </w:pPr>
            <w:r>
              <w:rPr>
                <w:rFonts w:ascii="Courier New" w:cs="Courier New" w:eastAsia="Courier New" w:hAnsi="Courier New"/>
                <w:sz w:val="16"/>
                <w:szCs w:val="16"/>
                <w:color w:val="auto"/>
              </w:rPr>
              <w:t>Weighted-average exercise price of options/SARs exercisable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6660" w:type="dxa"/>
            <w:vAlign w:val="bottom"/>
          </w:tcPr>
          <w:p>
            <w:pPr>
              <w:ind w:left="200"/>
              <w:spacing w:after="0"/>
              <w:rPr>
                <w:sz w:val="20"/>
                <w:szCs w:val="20"/>
                <w:color w:val="auto"/>
              </w:rPr>
            </w:pPr>
            <w:r>
              <w:rPr>
                <w:rFonts w:ascii="Courier New" w:cs="Courier New" w:eastAsia="Courier New" w:hAnsi="Courier New"/>
                <w:sz w:val="16"/>
                <w:szCs w:val="16"/>
                <w:color w:val="auto"/>
                <w:w w:val="98"/>
              </w:rPr>
              <w:t>at end of year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$ 706.51</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$ 606.92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$ 505.86</w:t>
            </w:r>
          </w:p>
        </w:tc>
      </w:tr>
      <w:tr>
        <w:trPr>
          <w:trHeight w:val="180"/>
        </w:trPr>
        <w:tc>
          <w:tcPr>
            <w:tcW w:w="6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As of the latest valuation date, the fair value of a share of QVC Common Stock was $1,492.00.</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4" w:right="1440" w:bottom="1440" w:gutter="0" w:footer="0" w:header="0"/>
        </w:sectPr>
      </w:pPr>
    </w:p>
    <w:bookmarkStart w:id="58" w:name="page59"/>
    <w:bookmarkEnd w:id="5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7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31,</w:t>
            </w:r>
          </w:p>
        </w:tc>
      </w:tr>
      <w:tr>
        <w:trPr>
          <w:trHeight w:val="180"/>
        </w:trPr>
        <w:tc>
          <w:tcPr>
            <w:tcW w:w="1400" w:type="dxa"/>
            <w:vAlign w:val="bottom"/>
          </w:tcPr>
          <w:p>
            <w:pPr>
              <w:spacing w:after="0"/>
              <w:rPr>
                <w:sz w:val="15"/>
                <w:szCs w:val="15"/>
                <w:color w:val="auto"/>
              </w:rPr>
            </w:pPr>
          </w:p>
        </w:tc>
        <w:tc>
          <w:tcPr>
            <w:tcW w:w="80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2001</w:t>
            </w:r>
          </w:p>
        </w:tc>
        <w:tc>
          <w:tcPr>
            <w:tcW w:w="280" w:type="dxa"/>
            <w:vAlign w:val="bottom"/>
          </w:tcPr>
          <w:p>
            <w:pPr>
              <w:spacing w:after="0"/>
              <w:rPr>
                <w:sz w:val="15"/>
                <w:szCs w:val="15"/>
                <w:color w:val="auto"/>
              </w:rPr>
            </w:pPr>
          </w:p>
        </w:tc>
        <w:tc>
          <w:tcPr>
            <w:tcW w:w="8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5"/>
                <w:szCs w:val="15"/>
                <w:color w:val="auto"/>
              </w:rPr>
            </w:pP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1400" w:type="dxa"/>
            <w:vAlign w:val="bottom"/>
          </w:tcPr>
          <w:p>
            <w:pPr>
              <w:spacing w:after="0"/>
              <w:rPr>
                <w:sz w:val="15"/>
                <w:szCs w:val="15"/>
                <w:color w:val="auto"/>
              </w:rPr>
            </w:pPr>
          </w:p>
        </w:tc>
        <w:tc>
          <w:tcPr>
            <w:tcW w:w="59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   $</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608.6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2,021.5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1,065.7</w:t>
            </w: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4"/>
                <w:szCs w:val="4"/>
                <w:color w:val="auto"/>
                <w:w w:val="72"/>
              </w:rPr>
              <w:t>Pro forma .....................................................</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1,918.1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1,005.5</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Net income for</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common stockholders:</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   $</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608.6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1,036.0</w:t>
            </w: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4"/>
                <w:szCs w:val="4"/>
                <w:color w:val="auto"/>
                <w:w w:val="72"/>
              </w:rPr>
              <w:t>Pro forma .....................................................</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1,894.6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975.8</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Basic earnings</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for common stockholders per common share:</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   $</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4"/>
                <w:szCs w:val="4"/>
                <w:color w:val="auto"/>
                <w:w w:val="72"/>
              </w:rPr>
              <w:t>Pro forma .....................................................</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0"/>
        </w:trPr>
        <w:tc>
          <w:tcPr>
            <w:tcW w:w="6660" w:type="dxa"/>
            <w:vAlign w:val="bottom"/>
            <w:gridSpan w:val="2"/>
          </w:tcPr>
          <w:p>
            <w:pPr>
              <w:spacing w:after="0"/>
              <w:rPr>
                <w:sz w:val="20"/>
                <w:szCs w:val="20"/>
                <w:color w:val="auto"/>
              </w:rPr>
            </w:pPr>
            <w:r>
              <w:rPr>
                <w:rFonts w:ascii="Courier New" w:cs="Courier New" w:eastAsia="Courier New" w:hAnsi="Courier New"/>
                <w:sz w:val="16"/>
                <w:szCs w:val="16"/>
                <w:color w:val="auto"/>
              </w:rPr>
              <w:t>Diluted earnings for common stockholders per common share:</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   $</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0"/>
        </w:trPr>
        <w:tc>
          <w:tcPr>
            <w:tcW w:w="1400" w:type="dxa"/>
            <w:vAlign w:val="bottom"/>
          </w:tcPr>
          <w:p>
            <w:pPr>
              <w:ind w:left="280"/>
              <w:spacing w:after="0"/>
              <w:rPr>
                <w:sz w:val="20"/>
                <w:szCs w:val="20"/>
                <w:color w:val="auto"/>
              </w:rPr>
            </w:pPr>
            <w:r>
              <w:rPr>
                <w:rFonts w:ascii="Courier New" w:cs="Courier New" w:eastAsia="Courier New" w:hAnsi="Courier New"/>
                <w:sz w:val="4"/>
                <w:szCs w:val="4"/>
                <w:color w:val="auto"/>
                <w:w w:val="72"/>
              </w:rPr>
              <w:t>Pro forma .....................................................</w:t>
            </w:r>
          </w:p>
        </w:tc>
        <w:tc>
          <w:tcPr>
            <w:tcW w:w="5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r>
    </w:tbl>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 forma effect on net income and net income per share for the years ended December 31, 2001, 2000 and 1999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Other Stock-Based Compensation Plans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maintains a restricted stock plan under which management employees may be granted restricted shares of the Company's Class A Special Common Stock (the "Restricted Stock Plan"). The shares awarded vest annually, generally over a period not to exceed five years from the date of the award, and do not have voting rights. At December 31, 2001, there were 714,000 unvested shares granted under the Restricted Stock Plan, of which 158,000 vested in January 2002.</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maintains a deferred stock option plan for certain employees, officers and directors which provides the optionees with the opportunity to defer the receipt of shares of the Company's Class A Special Common Stock which would otherwise be deliverable upon exercise by the optionees of their stock options. As of December 31, 2001 and 2000, 5.9 million and 5.0 million shares were issuable under options exercised but the receipt of which was irrevocably deferred by the optionees pursuant to the Company's deferred stock option plan.</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4" w:right="1440" w:bottom="1440" w:gutter="0" w:footer="0" w:header="0"/>
        </w:sectPr>
      </w:pPr>
    </w:p>
    <w:bookmarkStart w:id="59" w:name="page60"/>
    <w:bookmarkEnd w:id="5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summarizes information related to the Company's</w:t>
      </w:r>
    </w:p>
    <w:tbl>
      <w:tblPr>
        <w:tblLayout w:type="fixed"/>
        <w:tblInd w:w="0" w:type="dxa"/>
        <w:tblCellMar>
          <w:top w:w="0" w:type="dxa"/>
          <w:left w:w="0" w:type="dxa"/>
          <w:bottom w:w="0" w:type="dxa"/>
          <w:right w:w="0" w:type="dxa"/>
        </w:tblCellMar>
      </w:tblP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Restricted Stock Plan and subsidiary SAR Plans: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721"/>
        </w:trPr>
        <w:tc>
          <w:tcPr>
            <w:tcW w:w="6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right"/>
              <w:ind w:right="20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6460" w:type="dxa"/>
            <w:vAlign w:val="bottom"/>
          </w:tcPr>
          <w:p>
            <w:pPr>
              <w:spacing w:after="0"/>
              <w:rPr>
                <w:sz w:val="15"/>
                <w:szCs w:val="15"/>
                <w:color w:val="auto"/>
              </w:rPr>
            </w:pPr>
          </w:p>
        </w:tc>
        <w:tc>
          <w:tcPr>
            <w:tcW w:w="28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2001</w:t>
            </w:r>
          </w:p>
        </w:tc>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2000</w:t>
            </w:r>
          </w:p>
        </w:tc>
        <w:tc>
          <w:tcPr>
            <w:tcW w:w="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4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460" w:type="dxa"/>
            <w:vAlign w:val="bottom"/>
          </w:tcPr>
          <w:p>
            <w:pPr>
              <w:spacing w:after="0"/>
              <w:rPr>
                <w:sz w:val="20"/>
                <w:szCs w:val="20"/>
                <w:color w:val="auto"/>
              </w:rPr>
            </w:pPr>
            <w:r>
              <w:rPr>
                <w:rFonts w:ascii="Courier New" w:cs="Courier New" w:eastAsia="Courier New" w:hAnsi="Courier New"/>
                <w:sz w:val="16"/>
                <w:szCs w:val="16"/>
                <w:color w:val="auto"/>
              </w:rPr>
              <w:t>Restricted Stock Plan</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0"/>
        </w:trPr>
        <w:tc>
          <w:tcPr>
            <w:tcW w:w="6460" w:type="dxa"/>
            <w:vAlign w:val="bottom"/>
          </w:tcPr>
          <w:p>
            <w:pPr>
              <w:ind w:left="280"/>
              <w:spacing w:after="0"/>
              <w:rPr>
                <w:sz w:val="20"/>
                <w:szCs w:val="20"/>
                <w:color w:val="auto"/>
              </w:rPr>
            </w:pPr>
            <w:r>
              <w:rPr>
                <w:rFonts w:ascii="Courier New" w:cs="Courier New" w:eastAsia="Courier New" w:hAnsi="Courier New"/>
                <w:sz w:val="16"/>
                <w:szCs w:val="16"/>
                <w:color w:val="auto"/>
                <w:w w:val="98"/>
              </w:rPr>
              <w:t>Shares granted (in thousands) ...................................</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157</w:t>
            </w:r>
          </w:p>
        </w:tc>
        <w:tc>
          <w:tcPr>
            <w:tcW w:w="42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504</w:t>
            </w:r>
          </w:p>
        </w:tc>
        <w:tc>
          <w:tcPr>
            <w:tcW w:w="3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170</w:t>
            </w:r>
          </w:p>
        </w:tc>
      </w:tr>
      <w:tr>
        <w:trPr>
          <w:trHeight w:val="180"/>
        </w:trPr>
        <w:tc>
          <w:tcPr>
            <w:tcW w:w="6460" w:type="dxa"/>
            <w:vAlign w:val="bottom"/>
          </w:tcPr>
          <w:p>
            <w:pPr>
              <w:ind w:left="280"/>
              <w:spacing w:after="0"/>
              <w:rPr>
                <w:sz w:val="20"/>
                <w:szCs w:val="20"/>
                <w:color w:val="auto"/>
              </w:rPr>
            </w:pPr>
            <w:r>
              <w:rPr>
                <w:rFonts w:ascii="Courier New" w:cs="Courier New" w:eastAsia="Courier New" w:hAnsi="Courier New"/>
                <w:sz w:val="16"/>
                <w:szCs w:val="16"/>
                <w:color w:val="auto"/>
                <w:w w:val="98"/>
              </w:rPr>
              <w:t>Weighted-average fair value per share at date of grant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39.52</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37.80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43.22</w:t>
            </w:r>
          </w:p>
        </w:tc>
      </w:tr>
      <w:tr>
        <w:trPr>
          <w:trHeight w:val="180"/>
        </w:trPr>
        <w:tc>
          <w:tcPr>
            <w:tcW w:w="6460" w:type="dxa"/>
            <w:vAlign w:val="bottom"/>
          </w:tcPr>
          <w:p>
            <w:pPr>
              <w:ind w:left="280"/>
              <w:spacing w:after="0"/>
              <w:rPr>
                <w:sz w:val="20"/>
                <w:szCs w:val="20"/>
                <w:color w:val="auto"/>
              </w:rPr>
            </w:pPr>
            <w:r>
              <w:rPr>
                <w:rFonts w:ascii="Courier New" w:cs="Courier New" w:eastAsia="Courier New" w:hAnsi="Courier New"/>
                <w:sz w:val="16"/>
                <w:szCs w:val="16"/>
                <w:color w:val="auto"/>
                <w:w w:val="98"/>
              </w:rPr>
              <w:t>Compensation expense (in millions)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SAR Plans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6460" w:type="dxa"/>
            <w:vAlign w:val="bottom"/>
          </w:tcPr>
          <w:p>
            <w:pPr>
              <w:ind w:left="280"/>
              <w:spacing w:after="0"/>
              <w:rPr>
                <w:sz w:val="20"/>
                <w:szCs w:val="20"/>
                <w:color w:val="auto"/>
              </w:rPr>
            </w:pPr>
            <w:r>
              <w:rPr>
                <w:rFonts w:ascii="Courier New" w:cs="Courier New" w:eastAsia="Courier New" w:hAnsi="Courier New"/>
                <w:sz w:val="16"/>
                <w:szCs w:val="16"/>
                <w:color w:val="auto"/>
                <w:w w:val="98"/>
              </w:rPr>
              <w:t>Compensation expense (in millions)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Income Taxes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6320" w:type="dxa"/>
            <w:vAlign w:val="bottom"/>
          </w:tcPr>
          <w:p>
            <w:pPr>
              <w:spacing w:after="0"/>
              <w:rPr>
                <w:sz w:val="15"/>
                <w:szCs w:val="15"/>
                <w:color w:val="auto"/>
              </w:rPr>
            </w:pPr>
          </w:p>
        </w:tc>
        <w:tc>
          <w:tcPr>
            <w:tcW w:w="29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2001</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32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Current expense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Federal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623.2</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321.4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$606.7</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State ............................................................</w:t>
            </w:r>
          </w:p>
        </w:tc>
        <w:tc>
          <w:tcPr>
            <w:tcW w:w="34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84.8</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42.8</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188.4</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Foreign ..........................................................</w:t>
            </w:r>
          </w:p>
        </w:tc>
        <w:tc>
          <w:tcPr>
            <w:tcW w:w="34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r>
      <w:tr>
        <w:trPr>
          <w:trHeight w:val="180"/>
        </w:trPr>
        <w:tc>
          <w:tcPr>
            <w:tcW w:w="632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710.9</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366.7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797.1</w:t>
            </w:r>
          </w:p>
        </w:tc>
      </w:tr>
      <w:tr>
        <w:trPr>
          <w:trHeight w:val="180"/>
        </w:trPr>
        <w:tc>
          <w:tcPr>
            <w:tcW w:w="632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rPr>
              <w:t>Deferred expense (benefit)</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Federal ..........................................................</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(255.8)</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998.6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(65.2)</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State ............................................................</w:t>
            </w:r>
          </w:p>
        </w:tc>
        <w:tc>
          <w:tcPr>
            <w:tcW w:w="34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15.1</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0"/>
        </w:trPr>
        <w:tc>
          <w:tcPr>
            <w:tcW w:w="632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(240.7)</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1,074.6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(73.4)</w:t>
            </w:r>
          </w:p>
        </w:tc>
      </w:tr>
      <w:tr>
        <w:trPr>
          <w:trHeight w:val="180"/>
        </w:trPr>
        <w:tc>
          <w:tcPr>
            <w:tcW w:w="632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Income tax expense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470.2</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$1,441.3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$723.7</w:t>
            </w:r>
          </w:p>
        </w:tc>
      </w:tr>
      <w:tr>
        <w:trPr>
          <w:trHeight w:val="180"/>
        </w:trPr>
        <w:tc>
          <w:tcPr>
            <w:tcW w:w="632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279" w:firstLine="469"/>
        <w:spacing w:after="0" w:line="263" w:lineRule="auto"/>
        <w:rPr>
          <w:sz w:val="20"/>
          <w:szCs w:val="20"/>
          <w:color w:val="auto"/>
        </w:rPr>
      </w:pPr>
      <w:r>
        <w:rPr>
          <w:rFonts w:ascii="Courier New" w:cs="Courier New" w:eastAsia="Courier New" w:hAnsi="Courier New"/>
          <w:sz w:val="15"/>
          <w:szCs w:val="15"/>
          <w:color w:val="auto"/>
        </w:rPr>
        <w:t>The Company's effective income tax expense differs from the statutory amount because of the effect of the following items (in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276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Year Ended December 31,</w:t>
            </w:r>
          </w:p>
        </w:tc>
      </w:tr>
      <w:tr>
        <w:trPr>
          <w:trHeight w:val="180"/>
        </w:trPr>
        <w:tc>
          <w:tcPr>
            <w:tcW w:w="6520" w:type="dxa"/>
            <w:vAlign w:val="bottom"/>
          </w:tcPr>
          <w:p>
            <w:pPr>
              <w:spacing w:after="0"/>
              <w:rPr>
                <w:sz w:val="15"/>
                <w:szCs w:val="15"/>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5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Federal tax at statutory rate ......................................</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$299.7</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$1,260.6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$525.0</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Non-deductible depreciation and amortization .......................</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106.6</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102.1</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49.8</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State income taxes, net of federal benefit .........................</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64.9</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77.2</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117.1</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Foreign (income) losses and equity in net losses of affiliates .....</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7.2</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Other ..............................................................</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33.8</w:t>
            </w:r>
          </w:p>
        </w:tc>
      </w:tr>
      <w:tr>
        <w:trPr>
          <w:trHeight w:val="180"/>
        </w:trPr>
        <w:tc>
          <w:tcPr>
            <w:tcW w:w="65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Income tax expense .................................................</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$470.2</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$1,441.3</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$723.7</w:t>
            </w:r>
          </w:p>
        </w:tc>
      </w:tr>
      <w:tr>
        <w:trPr>
          <w:trHeight w:val="180"/>
        </w:trPr>
        <w:tc>
          <w:tcPr>
            <w:tcW w:w="65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6520" w:type="dxa"/>
            <w:vAlign w:val="bottom"/>
          </w:tcPr>
          <w:p>
            <w:pPr>
              <w:ind w:left="3660"/>
              <w:spacing w:after="0"/>
              <w:rPr>
                <w:sz w:val="20"/>
                <w:szCs w:val="20"/>
                <w:color w:val="auto"/>
              </w:rPr>
            </w:pPr>
            <w:r>
              <w:rPr>
                <w:rFonts w:ascii="Courier New" w:cs="Courier New" w:eastAsia="Courier New" w:hAnsi="Courier New"/>
                <w:sz w:val="16"/>
                <w:szCs w:val="16"/>
                <w:color w:val="auto"/>
              </w:rPr>
              <w:t>33</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60" w:name="page61"/>
    <w:bookmarkEnd w:id="60"/>
    <w:p>
      <w:pPr>
        <w:ind w:left="2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NOTES TO CONSOLIDATED FINANCIAL STATEMENTS</w:t>
      </w:r>
    </w:p>
    <w:p>
      <w:pPr>
        <w:ind w:left="1120"/>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Company's net deferred tax liability consists of the following</w:t>
      </w:r>
    </w:p>
    <w:tbl>
      <w:tblPr>
        <w:tblLayout w:type="fixed"/>
        <w:tblInd w:w="0" w:type="dxa"/>
        <w:tblCellMar>
          <w:top w:w="0" w:type="dxa"/>
          <w:left w:w="0" w:type="dxa"/>
          <w:bottom w:w="0" w:type="dxa"/>
          <w:right w:w="0" w:type="dxa"/>
        </w:tblCellMar>
      </w:tblP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components (in millions):</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721"/>
        </w:trPr>
        <w:tc>
          <w:tcPr>
            <w:tcW w:w="4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2001</w:t>
            </w:r>
          </w:p>
        </w:tc>
        <w:tc>
          <w:tcPr>
            <w:tcW w:w="220" w:type="dxa"/>
            <w:vAlign w:val="bottom"/>
          </w:tcPr>
          <w:p>
            <w:pPr>
              <w:spacing w:after="0"/>
              <w:rPr>
                <w:sz w:val="15"/>
                <w:szCs w:val="15"/>
                <w:color w:val="auto"/>
              </w:rPr>
            </w:pPr>
          </w:p>
        </w:tc>
        <w:tc>
          <w:tcPr>
            <w:tcW w:w="7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ind w:left="380"/>
              <w:spacing w:after="0"/>
              <w:rPr>
                <w:sz w:val="20"/>
                <w:szCs w:val="20"/>
                <w:color w:val="auto"/>
              </w:rPr>
            </w:pPr>
            <w:r>
              <w:rPr>
                <w:rFonts w:ascii="Courier New" w:cs="Courier New" w:eastAsia="Courier New" w:hAnsi="Courier New"/>
                <w:sz w:val="16"/>
                <w:szCs w:val="16"/>
                <w:color w:val="auto"/>
              </w:rPr>
              <w:t>Deferred tax assets:</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0"/>
        </w:trPr>
        <w:tc>
          <w:tcPr>
            <w:tcW w:w="568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70"/>
              </w:rPr>
              <w:t>Net operating loss carryforwards .........................................</w:t>
            </w:r>
          </w:p>
        </w:tc>
        <w:tc>
          <w:tcPr>
            <w:tcW w:w="1360" w:type="dxa"/>
            <w:vAlign w:val="bottom"/>
          </w:tcPr>
          <w:p>
            <w:pPr>
              <w:spacing w:after="0"/>
              <w:rPr>
                <w:sz w:val="15"/>
                <w:szCs w:val="15"/>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242.8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289.8</w:t>
            </w:r>
          </w:p>
        </w:tc>
      </w:tr>
      <w:tr>
        <w:trPr>
          <w:trHeight w:val="180"/>
        </w:trPr>
        <w:tc>
          <w:tcPr>
            <w:tcW w:w="806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Allowances for doubtful accounts and excess and obsolete inventory .......</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109.0</w:t>
            </w:r>
          </w:p>
        </w:tc>
      </w:tr>
      <w:tr>
        <w:trPr>
          <w:trHeight w:val="180"/>
        </w:trPr>
        <w:tc>
          <w:tcPr>
            <w:tcW w:w="568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70"/>
              </w:rPr>
              <w:t>Other ....................................................................</w:t>
            </w: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167.0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163.5</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518.5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562.3</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ind w:left="380"/>
              <w:spacing w:after="0"/>
              <w:rPr>
                <w:sz w:val="20"/>
                <w:szCs w:val="20"/>
                <w:color w:val="auto"/>
              </w:rPr>
            </w:pPr>
            <w:r>
              <w:rPr>
                <w:rFonts w:ascii="Courier New" w:cs="Courier New" w:eastAsia="Courier New" w:hAnsi="Courier New"/>
                <w:sz w:val="16"/>
                <w:szCs w:val="16"/>
                <w:color w:val="auto"/>
              </w:rPr>
              <w:t>Deferred tax liabilities:</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Temporary differences, principally book and tax basis of property and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568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74"/>
              </w:rPr>
              <w:t>equipment and intangible assets ........................................</w:t>
            </w: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6,329.0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5,851.7</w:t>
            </w:r>
          </w:p>
        </w:tc>
      </w:tr>
      <w:tr>
        <w:trPr>
          <w:trHeight w:val="180"/>
        </w:trPr>
        <w:tc>
          <w:tcPr>
            <w:tcW w:w="568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Differences between book and tax basis in investments</w:t>
            </w:r>
          </w:p>
        </w:tc>
        <w:tc>
          <w:tcPr>
            <w:tcW w:w="23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644.9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1,221.3</w:t>
            </w:r>
          </w:p>
        </w:tc>
      </w:tr>
      <w:tr>
        <w:trPr>
          <w:trHeight w:val="180"/>
        </w:trPr>
        <w:tc>
          <w:tcPr>
            <w:tcW w:w="806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Differences between book and tax basis of indexed debt securities ........</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195.7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65.9</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7,169.6</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7,138.9</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71"/>
              </w:rPr>
              <w:t>Net deferred tax liability ..................................................</w:t>
            </w: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$ 6,651.1</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$ 6,576.6</w:t>
            </w:r>
          </w:p>
        </w:tc>
      </w:tr>
      <w:tr>
        <w:trPr>
          <w:trHeight w:val="180"/>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806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The Company recorded $212.3 million of deferred income tax liabilities in</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2001 in connection with acquisitions principally related to basis differences in</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property and equipment and intangible assets. The Company recorded a decrease of</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7040" w:type="dxa"/>
            <w:vAlign w:val="bottom"/>
            <w:gridSpan w:val="3"/>
          </w:tcPr>
          <w:p>
            <w:pPr>
              <w:spacing w:after="0"/>
              <w:rPr>
                <w:sz w:val="20"/>
                <w:szCs w:val="20"/>
                <w:color w:val="auto"/>
              </w:rPr>
            </w:pPr>
            <w:r>
              <w:rPr>
                <w:rFonts w:ascii="Courier New" w:cs="Courier New" w:eastAsia="Courier New" w:hAnsi="Courier New"/>
                <w:sz w:val="16"/>
                <w:szCs w:val="16"/>
                <w:color w:val="auto"/>
                <w:w w:val="97"/>
              </w:rPr>
              <w:t>($148.6) million and ($3.055) billion, and an increase of $2.730 billion to</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7040" w:type="dxa"/>
            <w:vAlign w:val="bottom"/>
            <w:gridSpan w:val="3"/>
          </w:tcPr>
          <w:p>
            <w:pPr>
              <w:spacing w:after="0"/>
              <w:rPr>
                <w:sz w:val="20"/>
                <w:szCs w:val="20"/>
                <w:color w:val="auto"/>
              </w:rPr>
            </w:pPr>
            <w:r>
              <w:rPr>
                <w:rFonts w:ascii="Courier New" w:cs="Courier New" w:eastAsia="Courier New" w:hAnsi="Courier New"/>
                <w:sz w:val="16"/>
                <w:szCs w:val="16"/>
                <w:color w:val="auto"/>
              </w:rPr>
              <w:t>deferred income tax liabilities in 2001, 2000 and 1999, respectively, in</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connection with unrealized gains (losses) on marketable securities which are</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included in other comprehensive income. The Company recorded $207.0 million of</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deferred income tax liabilities in 2001 in connection with the cumulative effect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7040" w:type="dxa"/>
            <w:vAlign w:val="bottom"/>
            <w:gridSpan w:val="3"/>
          </w:tcPr>
          <w:p>
            <w:pPr>
              <w:spacing w:after="0"/>
              <w:rPr>
                <w:sz w:val="20"/>
                <w:szCs w:val="20"/>
                <w:color w:val="auto"/>
              </w:rPr>
            </w:pPr>
            <w:r>
              <w:rPr>
                <w:rFonts w:ascii="Courier New" w:cs="Courier New" w:eastAsia="Courier New" w:hAnsi="Courier New"/>
                <w:sz w:val="16"/>
                <w:szCs w:val="16"/>
                <w:color w:val="auto"/>
                <w:w w:val="98"/>
              </w:rPr>
              <w:t>of accounting change related to the adoption of SFAS No. 133 (see Note 3).</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1"/>
        </w:trPr>
        <w:tc>
          <w:tcPr>
            <w:tcW w:w="806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The Company has recorded net deferred tax liabilities of $275.4 million and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$789.9 million, as of December 31, 2001 and 2000, respectively, which have been</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included in current liabilities, related primarily to current investments. The</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Company has net operating loss carryforwards of approximately $250.0 million</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w w:val="99"/>
              </w:rPr>
              <w:t>which expire primarily in periods through 2019.</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1"/>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rPr>
              <w:t>10.  Statement of Cash Flows -- Supplemental Information</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1"/>
        </w:trPr>
        <w:tc>
          <w:tcPr>
            <w:tcW w:w="704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The following table summarizes the fair values of the assets and</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0"/>
        </w:trPr>
        <w:tc>
          <w:tcPr>
            <w:tcW w:w="8060" w:type="dxa"/>
            <w:vAlign w:val="bottom"/>
            <w:gridSpan w:val="4"/>
          </w:tcPr>
          <w:p>
            <w:pPr>
              <w:spacing w:after="0"/>
              <w:rPr>
                <w:sz w:val="20"/>
                <w:szCs w:val="20"/>
                <w:color w:val="auto"/>
              </w:rPr>
            </w:pPr>
            <w:r>
              <w:rPr>
                <w:rFonts w:ascii="Courier New" w:cs="Courier New" w:eastAsia="Courier New" w:hAnsi="Courier New"/>
                <w:sz w:val="16"/>
                <w:szCs w:val="16"/>
                <w:color w:val="auto"/>
              </w:rPr>
              <w:t>liabilities acquired by the Company through noncash transactions (see Note 5)</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721"/>
        </w:trPr>
        <w:tc>
          <w:tcPr>
            <w:tcW w:w="4500" w:type="dxa"/>
            <w:vAlign w:val="bottom"/>
          </w:tcPr>
          <w:p>
            <w:pPr>
              <w:spacing w:after="0"/>
              <w:rPr>
                <w:sz w:val="24"/>
                <w:szCs w:val="24"/>
                <w:color w:val="auto"/>
              </w:rPr>
            </w:pPr>
          </w:p>
        </w:tc>
        <w:tc>
          <w:tcPr>
            <w:tcW w:w="356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0"/>
        </w:trPr>
        <w:tc>
          <w:tcPr>
            <w:tcW w:w="4500" w:type="dxa"/>
            <w:vAlign w:val="bottom"/>
          </w:tcPr>
          <w:p>
            <w:pPr>
              <w:spacing w:after="0"/>
              <w:rPr>
                <w:sz w:val="15"/>
                <w:szCs w:val="15"/>
                <w:color w:val="auto"/>
              </w:rPr>
            </w:pPr>
          </w:p>
        </w:tc>
        <w:tc>
          <w:tcPr>
            <w:tcW w:w="35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2001</w:t>
            </w:r>
          </w:p>
        </w:tc>
        <w:tc>
          <w:tcPr>
            <w:tcW w:w="13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1"/>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Current assets .........................</w:t>
            </w: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3"/>
              </w:rPr>
              <w:t>$   56.6</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216.2</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   6.4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Investments ............................</w:t>
            </w:r>
          </w:p>
        </w:tc>
        <w:tc>
          <w:tcPr>
            <w:tcW w:w="1180" w:type="dxa"/>
            <w:vAlign w:val="bottom"/>
          </w:tcPr>
          <w:p>
            <w:pPr>
              <w:spacing w:after="0"/>
              <w:rPr>
                <w:sz w:val="15"/>
                <w:szCs w:val="15"/>
                <w:color w:val="auto"/>
              </w:rPr>
            </w:pP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437.3</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Property, plant &amp; equipment ............</w:t>
            </w: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580.4</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1,295.8</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74.0</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Intangible assets ......................</w:t>
            </w: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3,042.7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15,399.4</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337.0</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Current liabilities ....................</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(37.0)</w:t>
            </w:r>
          </w:p>
        </w:tc>
        <w:tc>
          <w:tcPr>
            <w:tcW w:w="13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(277.3)</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Long-term debt .........................</w:t>
            </w:r>
          </w:p>
        </w:tc>
        <w:tc>
          <w:tcPr>
            <w:tcW w:w="1180" w:type="dxa"/>
            <w:vAlign w:val="bottom"/>
          </w:tcPr>
          <w:p>
            <w:pPr>
              <w:spacing w:after="0"/>
              <w:rPr>
                <w:sz w:val="15"/>
                <w:szCs w:val="15"/>
                <w:color w:val="auto"/>
              </w:rPr>
            </w:pPr>
          </w:p>
        </w:tc>
        <w:tc>
          <w:tcPr>
            <w:tcW w:w="13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(2,146.5)</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Deferred income taxes ..................</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(76.9)</w:t>
            </w:r>
          </w:p>
        </w:tc>
        <w:tc>
          <w:tcPr>
            <w:tcW w:w="13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(3,308.0)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(114.6)</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ind w:left="740"/>
              <w:spacing w:after="0"/>
              <w:rPr>
                <w:sz w:val="20"/>
                <w:szCs w:val="20"/>
                <w:color w:val="auto"/>
              </w:rPr>
            </w:pPr>
            <w:r>
              <w:rPr>
                <w:rFonts w:ascii="Courier New" w:cs="Courier New" w:eastAsia="Courier New" w:hAnsi="Courier New"/>
                <w:sz w:val="16"/>
                <w:szCs w:val="16"/>
                <w:color w:val="auto"/>
              </w:rPr>
              <w:t>Net assets ..........................</w:t>
            </w: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3"/>
              </w:rPr>
              <w:t>$3,565.8</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$11,616.9</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$ 291.7</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118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541"/>
        </w:trPr>
        <w:tc>
          <w:tcPr>
            <w:tcW w:w="4500" w:type="dxa"/>
            <w:vAlign w:val="bottom"/>
          </w:tcPr>
          <w:p>
            <w:pPr>
              <w:ind w:left="3560"/>
              <w:spacing w:after="0"/>
              <w:rPr>
                <w:sz w:val="20"/>
                <w:szCs w:val="20"/>
                <w:color w:val="auto"/>
              </w:rPr>
            </w:pPr>
            <w:r>
              <w:rPr>
                <w:rFonts w:ascii="Courier New" w:cs="Courier New" w:eastAsia="Courier New" w:hAnsi="Courier New"/>
                <w:sz w:val="16"/>
                <w:szCs w:val="16"/>
                <w:color w:val="auto"/>
              </w:rPr>
              <w:t>34</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61" w:name="page62"/>
    <w:bookmarkEnd w:id="61"/>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Company's cash payments for interest and income taxes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0"/>
        </w:trPr>
        <w:tc>
          <w:tcPr>
            <w:tcW w:w="4720" w:type="dxa"/>
            <w:vAlign w:val="bottom"/>
          </w:tcPr>
          <w:p>
            <w:pPr>
              <w:spacing w:after="0"/>
              <w:rPr>
                <w:sz w:val="15"/>
                <w:szCs w:val="15"/>
                <w:color w:val="auto"/>
              </w:rPr>
            </w:pPr>
          </w:p>
        </w:tc>
        <w:tc>
          <w:tcPr>
            <w:tcW w:w="30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47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Interest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660.4</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705.8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529.2</w:t>
            </w:r>
          </w:p>
        </w:tc>
      </w:tr>
      <w:tr>
        <w:trPr>
          <w:trHeight w:val="180"/>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Income taxes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561.2</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708.9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190.5</w:t>
            </w:r>
          </w:p>
        </w:tc>
      </w:tr>
    </w:tbl>
    <w:p>
      <w:pPr>
        <w:spacing w:after="0" w:line="365" w:lineRule="exact"/>
        <w:rPr>
          <w:sz w:val="20"/>
          <w:szCs w:val="20"/>
          <w:color w:val="auto"/>
        </w:rPr>
      </w:pPr>
    </w:p>
    <w:p>
      <w:pPr>
        <w:ind w:left="284" w:right="7119" w:hanging="284"/>
        <w:spacing w:after="0" w:line="471" w:lineRule="auto"/>
        <w:tabs>
          <w:tab w:leader="none" w:pos="37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Commitments</w:t>
      </w:r>
    </w:p>
    <w:p>
      <w:pPr>
        <w:spacing w:after="0" w:line="10"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2001.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The following table summarizes the Company's minimum annual programming commitments under these license agreements, the Company's future commitments under long-term professional sports contracts, and the Company's minimum annual rental commitments for office space, equipment and transponder service agreements under noncancellable operating leases as of December 31, 2001 (in millions):</w:t>
      </w:r>
    </w:p>
    <w:p>
      <w:pPr>
        <w:spacing w:after="0" w:line="200" w:lineRule="exact"/>
        <w:rPr>
          <w:sz w:val="20"/>
          <w:szCs w:val="20"/>
          <w:color w:val="auto"/>
        </w:rPr>
      </w:pPr>
    </w:p>
    <w:p>
      <w:pPr>
        <w:spacing w:after="0" w:line="334"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7"/>
              </w:rPr>
              <w:t>Professional</w:t>
            </w: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Programming</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7"/>
              </w:rPr>
              <w:t>Sports</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Operating</w:t>
            </w:r>
          </w:p>
        </w:tc>
        <w:tc>
          <w:tcPr>
            <w:tcW w:w="6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Agreements</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Contracts</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Leases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3700" w:type="dxa"/>
            <w:vAlign w:val="bottom"/>
          </w:tcPr>
          <w:p>
            <w:pPr>
              <w:spacing w:after="0"/>
              <w:rPr>
                <w:sz w:val="15"/>
                <w:szCs w:val="15"/>
                <w:color w:val="auto"/>
              </w:rPr>
            </w:pP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w w:val="98"/>
              </w:rPr>
              <w:t>2002 ..................................</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$ 95.4</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$ 122.5</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$ 98.6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$316.5</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w w:val="98"/>
              </w:rPr>
              <w:t>2003 ..................................</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82.6</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108.8</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78.0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269.4</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w w:val="98"/>
              </w:rPr>
              <w:t>2004 ..................................</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84.0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84.5</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237.3</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w w:val="98"/>
              </w:rPr>
              <w:t>2005 ..................................</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82.6</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50.8</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54.3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187.7</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w w:val="98"/>
              </w:rPr>
              <w:t>2006 ..................................</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85.8</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28.7</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154.1</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w w:val="98"/>
              </w:rPr>
              <w:t>Thereafter ............................</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413.6</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148.6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570.2</w:t>
            </w:r>
          </w:p>
        </w:tc>
      </w:tr>
    </w:tbl>
    <w:p>
      <w:pPr>
        <w:spacing w:after="0" w:line="365" w:lineRule="exact"/>
        <w:rPr>
          <w:sz w:val="20"/>
          <w:szCs w:val="20"/>
          <w:color w:val="auto"/>
        </w:rPr>
      </w:pPr>
    </w:p>
    <w:p>
      <w:pPr>
        <w:ind w:left="4" w:right="317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Company's rental expense charged to operations (in millions):</w:t>
      </w:r>
    </w:p>
    <w:p>
      <w:pPr>
        <w:sectPr>
          <w:pgSz w:w="11900" w:h="16838" w:orient="portrait"/>
          <w:cols w:equalWidth="0" w:num="1">
            <w:col w:w="10223"/>
          </w:cols>
          <w:pgMar w:left="236"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Rental expense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Year Ended December 31,</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799"/>
        <w:spacing w:after="0"/>
        <w:tabs>
          <w:tab w:leader="none" w:pos="540" w:val="left"/>
          <w:tab w:leader="none" w:pos="46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5"/>
          <w:szCs w:val="15"/>
          <w:color w:val="auto"/>
        </w:rPr>
        <w:t>1999</w:t>
      </w:r>
    </w:p>
    <w:p>
      <w:pPr>
        <w:jc w:val="center"/>
        <w:ind w:right="2819"/>
        <w:spacing w:after="0"/>
        <w:tabs>
          <w:tab w:leader="none" w:pos="360" w:val="left"/>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jc w:val="center"/>
        <w:ind w:right="2819"/>
        <w:spacing w:after="0"/>
        <w:tabs>
          <w:tab w:leader="none" w:pos="460" w:val="left"/>
          <w:tab w:leader="none" w:pos="360" w:val="left"/>
        </w:tabs>
        <w:rPr>
          <w:sz w:val="20"/>
          <w:szCs w:val="20"/>
          <w:color w:val="auto"/>
        </w:rPr>
      </w:pPr>
      <w:r>
        <w:rPr>
          <w:rFonts w:ascii="Courier New" w:cs="Courier New" w:eastAsia="Courier New" w:hAnsi="Courier New"/>
          <w:sz w:val="16"/>
          <w:szCs w:val="16"/>
          <w:color w:val="auto"/>
        </w:rPr>
        <w:t>$120.9</w:t>
      </w:r>
      <w:r>
        <w:rPr>
          <w:sz w:val="20"/>
          <w:szCs w:val="20"/>
          <w:color w:val="auto"/>
        </w:rPr>
        <w:tab/>
      </w:r>
      <w:r>
        <w:rPr>
          <w:rFonts w:ascii="Courier New" w:cs="Courier New" w:eastAsia="Courier New" w:hAnsi="Courier New"/>
          <w:sz w:val="16"/>
          <w:szCs w:val="16"/>
          <w:color w:val="auto"/>
        </w:rPr>
        <w:t>$97.6</w:t>
      </w:r>
      <w:r>
        <w:rPr>
          <w:sz w:val="20"/>
          <w:szCs w:val="20"/>
          <w:color w:val="auto"/>
        </w:rPr>
        <w:tab/>
      </w:r>
      <w:r>
        <w:rPr>
          <w:rFonts w:ascii="Courier New" w:cs="Courier New" w:eastAsia="Courier New" w:hAnsi="Courier New"/>
          <w:sz w:val="15"/>
          <w:szCs w:val="15"/>
          <w:color w:val="auto"/>
        </w:rPr>
        <w:t>$88.5</w:t>
      </w:r>
    </w:p>
    <w:p>
      <w:pPr>
        <w:spacing w:after="0" w:line="180" w:lineRule="exact"/>
        <w:rPr>
          <w:sz w:val="20"/>
          <w:szCs w:val="20"/>
          <w:color w:val="auto"/>
        </w:rPr>
      </w:pPr>
    </w:p>
    <w:p>
      <w:pPr>
        <w:sectPr>
          <w:pgSz w:w="11900" w:h="16838" w:orient="portrait"/>
          <w:cols w:equalWidth="0" w:num="2">
            <w:col w:w="4884" w:space="180"/>
            <w:col w:w="5159"/>
          </w:cols>
          <w:pgMar w:left="236" w:top="654" w:right="1440" w:bottom="1440" w:gutter="0" w:footer="0" w:header="0"/>
          <w:type w:val="continuous"/>
        </w:sectPr>
      </w:pPr>
    </w:p>
    <w:p>
      <w:pPr>
        <w:ind w:left="284"/>
        <w:spacing w:after="0"/>
        <w:rPr>
          <w:sz w:val="20"/>
          <w:szCs w:val="20"/>
          <w:color w:val="auto"/>
        </w:rPr>
      </w:pPr>
      <w:r>
        <w:rPr>
          <w:rFonts w:ascii="Courier New" w:cs="Courier New" w:eastAsia="Courier New" w:hAnsi="Courier New"/>
          <w:sz w:val="16"/>
          <w:szCs w:val="16"/>
          <w:color w:val="auto"/>
        </w:rPr>
        <w:t>Contingencies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and the owners of the 34% interest in Comcast Spectacor that the Company does not own (the "Minority Group") each have the right to initiate an "exit" process under which the fair market value of Comcast Spectacor would be determined by appraisal. Following such determination, the Company would have the option to acquire the interests in Comcast Spectacor owned by the Minority Group based on the appraised fair market value. In the event the Company did not exercise this option, the Company and the Minority Group would then be required to use their best efforts to sell Comcast Spectacor.</w:t>
      </w:r>
    </w:p>
    <w:p>
      <w:pPr>
        <w:spacing w:after="0" w:line="173"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Walt Disney Company ("Disney"), in certain circumstances, is entitled to cause Comcast Entertainment Holdings LLC ("Entertainment Holdings"), which is owned 50.1% by the Company and 49.9% by Disney, to purchase Disney's entire interest in Entertainment Holdings at its then fair market</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3"/>
          </w:cols>
          <w:pgMar w:left="236" w:top="654" w:right="1440" w:bottom="1440" w:gutter="0" w:footer="0" w:header="0"/>
          <w:type w:val="continuous"/>
        </w:sectPr>
      </w:pPr>
    </w:p>
    <w:bookmarkStart w:id="62" w:name="page63"/>
    <w:bookmarkEnd w:id="6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 7) may be replaced with a three year note due to Disney.</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Liberty Media Group ("Liberty") may, at certain times, trigger the exercise of certain exit rights with respect to its investment in QVC. If Liberty Media triggers its exit rights,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8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180" w:lineRule="exact"/>
        <w:rPr>
          <w:sz w:val="20"/>
          <w:szCs w:val="20"/>
          <w:color w:val="auto"/>
        </w:rPr>
      </w:pPr>
    </w:p>
    <w:p>
      <w:pPr>
        <w:ind w:left="464" w:hanging="464"/>
        <w:spacing w:after="0"/>
        <w:tabs>
          <w:tab w:leader="none" w:pos="46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Company's regional sports programming networks, which derive a substantial portion of their revenues from the Company's cable operations, were previously included in "Other." In 2001, as a result of a change in the Company's internal reporting structure, the Company's regional sports programming networks are now included in the Company's Cable segment for all periods presented (see Note 1).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Corporate</w:t>
            </w:r>
          </w:p>
        </w:tc>
        <w:tc>
          <w:tcPr>
            <w:tcW w:w="1040" w:type="dxa"/>
            <w:vAlign w:val="bottom"/>
          </w:tcPr>
          <w:p>
            <w:pPr>
              <w:spacing w:after="0"/>
              <w:rPr>
                <w:sz w:val="15"/>
                <w:szCs w:val="15"/>
                <w:color w:val="auto"/>
              </w:rPr>
            </w:pPr>
          </w:p>
        </w:tc>
      </w:tr>
      <w:tr>
        <w:trPr>
          <w:trHeight w:val="180"/>
        </w:trPr>
        <w:tc>
          <w:tcPr>
            <w:tcW w:w="538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Cable</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Commerce</w:t>
            </w: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and Other(1)</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538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53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w w:val="97"/>
              </w:rPr>
              <w:t>Revenues(2)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$ 5,130.7</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$ 3,917.3</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626.2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$ 9,674.2</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 and</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w w:val="98"/>
              </w:rPr>
              <w:t>amortizatition(3)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2,054.1</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722.3</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(74.6)</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2,701.8</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w w:val="97"/>
              </w:rPr>
              <w:t>Depreciation and amortization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3,043.6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143.3</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3,448.0</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w w:val="97"/>
              </w:rPr>
              <w:t>Operating income (loss) .................................</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(989.5)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579.0</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(335.7)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(746.2)</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w w:val="97"/>
              </w:rPr>
              <w:t>Interest expense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546.4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25.9</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159.5</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731.8</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w w:val="97"/>
              </w:rPr>
              <w:t>Assets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29,084.6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2,680.5</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6,366.7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38,131.8</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w w:val="97"/>
              </w:rPr>
              <w:t>Long-term debt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8,363.2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62.7</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3,315.7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11,741.6</w:t>
            </w: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w w:val="97"/>
              </w:rPr>
              <w:t>Capital expenditures ....................................</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1,855.3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142.9</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183.5</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2,181.7</w:t>
            </w:r>
          </w:p>
        </w:tc>
      </w:tr>
      <w:tr>
        <w:trPr>
          <w:trHeight w:val="541"/>
        </w:trPr>
        <w:tc>
          <w:tcPr>
            <w:tcW w:w="5380" w:type="dxa"/>
            <w:vAlign w:val="bottom"/>
          </w:tcPr>
          <w:p>
            <w:pPr>
              <w:ind w:left="3660"/>
              <w:spacing w:after="0"/>
              <w:rPr>
                <w:sz w:val="20"/>
                <w:szCs w:val="20"/>
                <w:color w:val="auto"/>
              </w:rPr>
            </w:pPr>
            <w:r>
              <w:rPr>
                <w:rFonts w:ascii="Courier New" w:cs="Courier New" w:eastAsia="Courier New" w:hAnsi="Courier New"/>
                <w:sz w:val="16"/>
                <w:szCs w:val="16"/>
                <w:color w:val="auto"/>
              </w:rPr>
              <w:t>36</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3"/>
          </w:cols>
          <w:pgMar w:left="236" w:top="654" w:right="1440" w:bottom="1440" w:gutter="0" w:footer="0" w:header="0"/>
        </w:sectPr>
      </w:pPr>
    </w:p>
    <w:bookmarkStart w:id="63" w:name="page64"/>
    <w:bookmarkEnd w:id="63"/>
    <w:p>
      <w:pPr>
        <w:jc w:val="center"/>
        <w:ind w:right="317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3176"/>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176"/>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Corporate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1"/>
              </w:rPr>
              <w:t>Cable</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Commerce</w:t>
            </w:r>
          </w:p>
        </w:tc>
        <w:tc>
          <w:tcPr>
            <w:tcW w:w="136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and Other(1)</w:t>
            </w:r>
          </w:p>
        </w:tc>
        <w:tc>
          <w:tcPr>
            <w:tcW w:w="2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610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Revenues(2)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4,208.5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3,535.9</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474.2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8,218.6</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amortization(3)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1,903.4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619.2</w:t>
            </w:r>
          </w:p>
        </w:tc>
        <w:tc>
          <w:tcPr>
            <w:tcW w:w="320" w:type="dxa"/>
            <w:vAlign w:val="bottom"/>
          </w:tcPr>
          <w:p>
            <w:pPr>
              <w:spacing w:after="0"/>
              <w:rPr>
                <w:sz w:val="15"/>
                <w:szCs w:val="15"/>
                <w:color w:val="auto"/>
              </w:rPr>
            </w:pPr>
          </w:p>
        </w:tc>
        <w:tc>
          <w:tcPr>
            <w:tcW w:w="10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(52.3)</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2,470.3</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Depreciation and amortization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2,419.5</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125.9</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85.9</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2,631.3</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Operating income (loss) ........................................</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(516.1)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493.3</w:t>
            </w:r>
          </w:p>
        </w:tc>
        <w:tc>
          <w:tcPr>
            <w:tcW w:w="320" w:type="dxa"/>
            <w:vAlign w:val="bottom"/>
          </w:tcPr>
          <w:p>
            <w:pPr>
              <w:spacing w:after="0"/>
              <w:rPr>
                <w:sz w:val="15"/>
                <w:szCs w:val="15"/>
                <w:color w:val="auto"/>
              </w:rPr>
            </w:pPr>
          </w:p>
        </w:tc>
        <w:tc>
          <w:tcPr>
            <w:tcW w:w="10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(138.2)</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(161.0)</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Interest expense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515.9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34.9</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140.6</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691.4</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Assets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25,763.9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2,503.0</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7,477.6</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35,744.5</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Long-term debt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6,711.0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302.0</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3,504.4</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10,517.4</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Capital expenditures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1,248.9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155.9</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232.0</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1,636.8</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Revenues(2)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2,969.9</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3,167.4</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391.9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6,529.2</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amortization(3)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1,358.0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538.8</w:t>
            </w:r>
          </w:p>
        </w:tc>
        <w:tc>
          <w:tcPr>
            <w:tcW w:w="320" w:type="dxa"/>
            <w:vAlign w:val="bottom"/>
          </w:tcPr>
          <w:p>
            <w:pPr>
              <w:spacing w:after="0"/>
              <w:rPr>
                <w:sz w:val="15"/>
                <w:szCs w:val="15"/>
                <w:color w:val="auto"/>
              </w:rPr>
            </w:pPr>
          </w:p>
        </w:tc>
        <w:tc>
          <w:tcPr>
            <w:tcW w:w="10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(16.8)</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1,880.0</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Depreciation and amortization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1,028.3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117.2</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70.5</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1,216.0</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Operating income (loss)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329.7</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421.6</w:t>
            </w:r>
          </w:p>
        </w:tc>
        <w:tc>
          <w:tcPr>
            <w:tcW w:w="320" w:type="dxa"/>
            <w:vAlign w:val="bottom"/>
          </w:tcPr>
          <w:p>
            <w:pPr>
              <w:spacing w:after="0"/>
              <w:rPr>
                <w:sz w:val="15"/>
                <w:szCs w:val="15"/>
                <w:color w:val="auto"/>
              </w:rPr>
            </w:pPr>
          </w:p>
        </w:tc>
        <w:tc>
          <w:tcPr>
            <w:tcW w:w="10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(87.3)</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664.0</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Interest expense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353.5</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39.6</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145.2</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538.3</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Assets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10,863.6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2,243.6</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15,578.4</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28,685.6</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Long-term debt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4,735.5</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476.7</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3,495.0</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8,707.2</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Capital expenditures ...........................................</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739.9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80.1</w:t>
            </w:r>
          </w:p>
        </w:tc>
        <w:tc>
          <w:tcPr>
            <w:tcW w:w="3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73.8</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893.8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w:t>
      </w:r>
    </w:p>
    <w:p>
      <w:pPr>
        <w:spacing w:after="0" w:line="4" w:lineRule="exact"/>
        <w:rPr>
          <w:sz w:val="20"/>
          <w:szCs w:val="20"/>
          <w:color w:val="auto"/>
        </w:rPr>
      </w:pPr>
    </w:p>
    <w:p>
      <w:pPr>
        <w:ind w:left="464" w:right="3460" w:hanging="464"/>
        <w:spacing w:after="0" w:line="237" w:lineRule="auto"/>
        <w:tabs>
          <w:tab w:leader="none" w:pos="46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(see Note 6).</w:t>
      </w:r>
    </w:p>
    <w:p>
      <w:pPr>
        <w:spacing w:after="0" w:line="187" w:lineRule="exact"/>
        <w:rPr>
          <w:rFonts w:ascii="Courier New" w:cs="Courier New" w:eastAsia="Courier New" w:hAnsi="Courier New"/>
          <w:sz w:val="16"/>
          <w:szCs w:val="16"/>
          <w:color w:val="auto"/>
        </w:rPr>
      </w:pPr>
    </w:p>
    <w:p>
      <w:pPr>
        <w:ind w:left="464" w:right="3180" w:hanging="464"/>
        <w:spacing w:after="0" w:line="237" w:lineRule="auto"/>
        <w:tabs>
          <w:tab w:leader="none" w:pos="46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$508.1 million, $458.4 million and $448.2 million in 2001, 2000 and 1999, respectively, of non-US revenues, principally related to the Company's Commerce segment. No single customer accounted for a significant amount of the Company's revenues in any period.</w:t>
      </w:r>
    </w:p>
    <w:p>
      <w:pPr>
        <w:spacing w:after="0" w:line="185" w:lineRule="exact"/>
        <w:rPr>
          <w:rFonts w:ascii="Courier New" w:cs="Courier New" w:eastAsia="Courier New" w:hAnsi="Courier New"/>
          <w:sz w:val="16"/>
          <w:szCs w:val="16"/>
          <w:color w:val="auto"/>
        </w:rPr>
      </w:pPr>
    </w:p>
    <w:p>
      <w:pPr>
        <w:ind w:left="464" w:right="3180" w:hanging="464"/>
        <w:spacing w:after="0" w:line="255" w:lineRule="auto"/>
        <w:tabs>
          <w:tab w:leader="none" w:pos="46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684"/>
          </w:cols>
          <w:pgMar w:left="236" w:top="654" w:right="979" w:bottom="1440" w:gutter="0" w:footer="0" w:header="0"/>
        </w:sectPr>
      </w:pPr>
    </w:p>
    <w:bookmarkStart w:id="64" w:name="page65"/>
    <w:bookmarkEnd w:id="64"/>
    <w:p>
      <w:pPr>
        <w:jc w:val="center"/>
        <w:ind w:right="34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480"/>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20"/>
                <w:szCs w:val="20"/>
                <w:color w:val="auto"/>
              </w:rPr>
            </w:pPr>
            <w:r>
              <w:rPr>
                <w:rFonts w:ascii="Courier New" w:cs="Courier New" w:eastAsia="Courier New" w:hAnsi="Courier New"/>
                <w:sz w:val="16"/>
                <w:szCs w:val="16"/>
                <w:color w:val="auto"/>
              </w:rPr>
              <w:t>13. Quarterly Financial Information (Unaudited)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21"/>
        </w:trPr>
        <w:tc>
          <w:tcPr>
            <w:tcW w:w="5580" w:type="dxa"/>
            <w:vAlign w:val="bottom"/>
          </w:tcPr>
          <w:p>
            <w:pPr>
              <w:spacing w:after="0"/>
              <w:rPr>
                <w:sz w:val="24"/>
                <w:szCs w:val="24"/>
                <w:color w:val="auto"/>
              </w:rPr>
            </w:pP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First</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Second</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Third</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Fourth</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5580" w:type="dxa"/>
            <w:vAlign w:val="bottom"/>
          </w:tcPr>
          <w:p>
            <w:pPr>
              <w:spacing w:after="0"/>
              <w:rPr>
                <w:sz w:val="15"/>
                <w:szCs w:val="15"/>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Quarter</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Quarter</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Quarter</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Quarter</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Year</w:t>
            </w:r>
          </w:p>
        </w:tc>
      </w:tr>
      <w:tr>
        <w:trPr>
          <w:trHeight w:val="180"/>
        </w:trPr>
        <w:tc>
          <w:tcPr>
            <w:tcW w:w="5580" w:type="dxa"/>
            <w:vAlign w:val="bottom"/>
          </w:tcPr>
          <w:p>
            <w:pPr>
              <w:spacing w:after="0"/>
              <w:rPr>
                <w:sz w:val="15"/>
                <w:szCs w:val="15"/>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80" w:type="dxa"/>
            <w:vAlign w:val="bottom"/>
          </w:tcPr>
          <w:p>
            <w:pPr>
              <w:spacing w:after="0"/>
              <w:rPr>
                <w:sz w:val="15"/>
                <w:szCs w:val="15"/>
                <w:color w:val="auto"/>
              </w:rPr>
            </w:pPr>
          </w:p>
        </w:tc>
        <w:tc>
          <w:tcPr>
            <w:tcW w:w="5400" w:type="dxa"/>
            <w:vAlign w:val="bottom"/>
            <w:gridSpan w:val="5"/>
          </w:tcPr>
          <w:p>
            <w:pPr>
              <w:jc w:val="right"/>
              <w:ind w:right="502"/>
              <w:spacing w:after="0"/>
              <w:rPr>
                <w:sz w:val="20"/>
                <w:szCs w:val="20"/>
                <w:color w:val="auto"/>
              </w:rPr>
            </w:pPr>
            <w:r>
              <w:rPr>
                <w:rFonts w:ascii="Courier New" w:cs="Courier New" w:eastAsia="Courier New" w:hAnsi="Courier New"/>
                <w:sz w:val="16"/>
                <w:szCs w:val="16"/>
                <w:color w:val="auto"/>
              </w:rPr>
              <w:t>(Dollars in millions, except per share data)</w:t>
            </w:r>
          </w:p>
        </w:tc>
      </w:tr>
      <w:tr>
        <w:trPr>
          <w:trHeight w:val="361"/>
        </w:trPr>
        <w:tc>
          <w:tcPr>
            <w:tcW w:w="55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Revenues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$2,196.1</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$2,298.5</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$2,355.5</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$2,824.1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$9,674.2</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loss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(100.5)</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(133.3)</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(178.2)</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(334.2)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(746.2)</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items and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cumulative effect of accounting change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616.7</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36.7</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(106.8)</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(321.0)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225.6</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per common share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Income (loss) before extraordinary items and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460"/>
              <w:spacing w:after="0"/>
              <w:rPr>
                <w:sz w:val="20"/>
                <w:szCs w:val="20"/>
                <w:color w:val="auto"/>
              </w:rPr>
            </w:pPr>
            <w:r>
              <w:rPr>
                <w:rFonts w:ascii="Courier New" w:cs="Courier New" w:eastAsia="Courier New" w:hAnsi="Courier New"/>
                <w:sz w:val="16"/>
                <w:szCs w:val="16"/>
                <w:color w:val="auto"/>
              </w:rPr>
              <w:t>cumulative effect of accounting change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0.65</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0.04</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(0.11)</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0.24</w:t>
            </w: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1.06</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0.04</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(0.11)</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0.64</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per common share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Income (loss) before extraordinary items and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460"/>
              <w:spacing w:after="0"/>
              <w:rPr>
                <w:sz w:val="20"/>
                <w:szCs w:val="20"/>
                <w:color w:val="auto"/>
              </w:rPr>
            </w:pPr>
            <w:r>
              <w:rPr>
                <w:rFonts w:ascii="Courier New" w:cs="Courier New" w:eastAsia="Courier New" w:hAnsi="Courier New"/>
                <w:sz w:val="16"/>
                <w:szCs w:val="16"/>
                <w:color w:val="auto"/>
              </w:rPr>
              <w:t>cumulative effect of accounting change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0.04</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(0.11)</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0.23</w:t>
            </w: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0.04</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(0.11)</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0.63</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amortization(1)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640.9</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700.4</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705.8</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654.7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2,701.8</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Revenues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$1,938.9</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$1,912.1</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$1,960.0</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$2,407.6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$8,218.6</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income (loss)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41.2</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(31.6)</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(56.4)</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(114.2)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(161.0)</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(186.4)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198.8</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1,249.1</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783.6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2,045.1</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per common share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Income (loss) before extraordinary items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1.37</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2.27</w:t>
            </w: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0.20</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1.37</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2.24</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per common share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Income (loss) before extraordinary items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0.20</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1.29</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2.16</w:t>
            </w: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0.19</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1.29</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w:t>
            </w:r>
          </w:p>
        </w:tc>
      </w:tr>
      <w:tr>
        <w:trPr>
          <w:trHeight w:val="180"/>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amortization(1) ......................................</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586.9</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602.8</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605.7</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674.9</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2,470.3</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(1) See Note 12, note 3.</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980"/>
          </w:cols>
          <w:pgMar w:left="240" w:top="654" w:right="679" w:bottom="1440" w:gutter="0" w:footer="0" w:header="0"/>
        </w:sectPr>
      </w:pPr>
    </w:p>
    <w:bookmarkStart w:id="65" w:name="page66"/>
    <w:bookmarkEnd w:id="65"/>
    <w:p>
      <w:pPr>
        <w:jc w:val="center"/>
        <w:ind w:right="28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820"/>
        <w:spacing w:after="0"/>
        <w:rPr>
          <w:sz w:val="20"/>
          <w:szCs w:val="20"/>
          <w:color w:val="auto"/>
        </w:rPr>
      </w:pPr>
      <w:r>
        <w:rPr>
          <w:rFonts w:ascii="Courier New" w:cs="Courier New" w:eastAsia="Courier New" w:hAnsi="Courier New"/>
          <w:sz w:val="16"/>
          <w:szCs w:val="16"/>
          <w:color w:val="auto"/>
        </w:rPr>
        <w:t>Years Ended December 31, 2001, 2000 and 1999 (Concluded)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Transitional Disclosure Relating to SFAS No. 142</w:t>
      </w:r>
    </w:p>
    <w:p>
      <w:pPr>
        <w:spacing w:after="0" w:line="185" w:lineRule="exact"/>
        <w:rPr>
          <w:sz w:val="20"/>
          <w:szCs w:val="20"/>
          <w:color w:val="auto"/>
        </w:rPr>
      </w:pPr>
    </w:p>
    <w:p>
      <w:pPr>
        <w:ind w:right="2920" w:firstLine="469"/>
        <w:spacing w:after="0" w:line="259" w:lineRule="auto"/>
        <w:rPr>
          <w:sz w:val="20"/>
          <w:szCs w:val="20"/>
          <w:color w:val="auto"/>
        </w:rPr>
      </w:pPr>
      <w:r>
        <w:rPr>
          <w:rFonts w:ascii="Courier New" w:cs="Courier New" w:eastAsia="Courier New" w:hAnsi="Courier New"/>
          <w:sz w:val="15"/>
          <w:szCs w:val="15"/>
          <w:color w:val="auto"/>
        </w:rPr>
        <w:t>The following pro forma financial information for the years ended December 31, 2001, 2000 and 1999 is presented as if SFAS No. 142 was adopted as of January 1, 1999 (amounts in millions, except per share data) (see Note 3):</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c>
          <w:tcPr>
            <w:tcW w:w="19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Ended December 31,</w:t>
            </w:r>
          </w:p>
        </w:tc>
      </w:tr>
      <w:tr>
        <w:trPr>
          <w:trHeight w:val="180"/>
        </w:trPr>
        <w:tc>
          <w:tcPr>
            <w:tcW w:w="7260" w:type="dxa"/>
            <w:vAlign w:val="bottom"/>
          </w:tcPr>
          <w:p>
            <w:pPr>
              <w:spacing w:after="0"/>
              <w:rPr>
                <w:sz w:val="15"/>
                <w:szCs w:val="15"/>
                <w:color w:val="auto"/>
              </w:rPr>
            </w:pPr>
          </w:p>
        </w:tc>
        <w:tc>
          <w:tcPr>
            <w:tcW w:w="30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88"/>
              </w:rPr>
              <w:t>2001</w:t>
            </w:r>
          </w:p>
        </w:tc>
        <w:tc>
          <w:tcPr>
            <w:tcW w:w="1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72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reported .............................................................</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608.6</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$ 2,021.5</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$ 1,065.7</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goodwill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334.8</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303.5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128.5</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equity method goodwill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franchise rights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1,083.7</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858.1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258.3</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adjusted .............................................................</w:t>
            </w: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$ 2,042.1</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$ 3,198.3</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$ 1,456.9</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7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Income before extraordinary items and cumulative effect of accounting</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change, as adjusted ...................................................</w:t>
            </w: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$ 1,659.1</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$ 3,221.9</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$ 1,507.9</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Basic EPS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reported .............................................................</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goodwill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0.35</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equity method goodwill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0.02</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franchise rights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1.14</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0.96</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adjusted .............................................................</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reported .............................................................</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goodwil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0.35</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equity method goodwill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0.02</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Amortization of franchise rights ......................................</w:t>
            </w:r>
          </w:p>
        </w:tc>
        <w:tc>
          <w:tcPr>
            <w:tcW w:w="3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1.12</w:t>
            </w:r>
          </w:p>
        </w:tc>
        <w:tc>
          <w:tcPr>
            <w:tcW w:w="1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0.90</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adjusted .............................................................</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80"/>
        </w:trPr>
        <w:tc>
          <w:tcPr>
            <w:tcW w:w="726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7260" w:type="dxa"/>
            <w:vAlign w:val="bottom"/>
          </w:tcPr>
          <w:p>
            <w:pPr>
              <w:jc w:val="right"/>
              <w:ind w:right="3342"/>
              <w:spacing w:after="0"/>
              <w:rPr>
                <w:sz w:val="20"/>
                <w:szCs w:val="20"/>
                <w:color w:val="auto"/>
              </w:rPr>
            </w:pPr>
            <w:r>
              <w:rPr>
                <w:rFonts w:ascii="Courier New" w:cs="Courier New" w:eastAsia="Courier New" w:hAnsi="Courier New"/>
                <w:sz w:val="16"/>
                <w:szCs w:val="16"/>
                <w:color w:val="auto"/>
              </w:rPr>
              <w:t>39</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320"/>
      </w:cols>
      <w:pgMar w:left="240" w:top="65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B03E0C6"/>
    <w:multiLevelType w:val="hybridMultilevel"/>
    <w:lvl w:ilvl="0">
      <w:lvlJc w:val="left"/>
      <w:lvlText w:val="(%1)"/>
      <w:numFmt w:val="lowerLetter"/>
      <w:start w:val="7"/>
    </w:lvl>
    <w:lvl w:ilvl="1">
      <w:lvlJc w:val="left"/>
      <w:lvlText w:val="(%2)"/>
      <w:numFmt w:val="lowerRoman"/>
      <w:start w:val="1"/>
    </w:lvl>
  </w:abstractNum>
  <w:abstractNum w:abstractNumId="6">
    <w:nsid w:val="189A769B"/>
    <w:multiLevelType w:val="hybridMultilevel"/>
    <w:lvl w:ilvl="0">
      <w:lvlJc w:val="left"/>
      <w:lvlText w:val="(%1)"/>
      <w:numFmt w:val="lowerLetter"/>
      <w:start w:val="18"/>
    </w:lvl>
    <w:lvl w:ilvl="1">
      <w:lvlJc w:val="left"/>
      <w:lvlText w:val="(%2)"/>
      <w:numFmt w:val="lowerRoman"/>
      <w:start w:val="1"/>
    </w:lvl>
    <w:lvl w:ilvl="2">
      <w:lvlJc w:val="left"/>
      <w:lvlText w:val="(%3)"/>
      <w:numFmt w:val="lowerLetter"/>
      <w:start w:val="1"/>
    </w:lvl>
  </w:abstractNum>
  <w:abstractNum w:abstractNumId="7">
    <w:nsid w:val="54E49EB4"/>
    <w:multiLevelType w:val="hybridMultilevel"/>
    <w:lvl w:ilvl="0">
      <w:lvlJc w:val="left"/>
      <w:lvlText w:val="(%1)"/>
      <w:numFmt w:val="lowerLetter"/>
      <w:start w:val="23"/>
    </w:lvl>
  </w:abstractNum>
  <w:abstractNum w:abstractNumId="8">
    <w:nsid w:val="71F32454"/>
    <w:multiLevelType w:val="hybridMultilevel"/>
    <w:lvl w:ilvl="0">
      <w:lvlJc w:val="left"/>
      <w:lvlText w:val="(%1)"/>
      <w:numFmt w:val="lowerLetter"/>
      <w:start w:val="27"/>
    </w:lvl>
    <w:lvl w:ilvl="1">
      <w:lvlJc w:val="left"/>
      <w:lvlText w:val="(%2)"/>
      <w:numFmt w:val="lowerRoman"/>
      <w:start w:val="1"/>
    </w:lvl>
  </w:abstractNum>
  <w:abstractNum w:abstractNumId="9">
    <w:nsid w:val="2CA88611"/>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10">
    <w:nsid w:val="836C40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2901D82"/>
    <w:multiLevelType w:val="hybridMultilevel"/>
    <w:lvl w:ilvl="0">
      <w:lvlJc w:val="left"/>
      <w:lvlText w:val="%1"/>
      <w:numFmt w:val="decimal"/>
      <w:start w:val="1"/>
    </w:lvl>
    <w:lvl w:ilvl="1">
      <w:lvlJc w:val="left"/>
      <w:lvlText w:val="(%2)"/>
      <w:numFmt w:val="lowerLetter"/>
      <w:start w:val="2"/>
    </w:lvl>
  </w:abstractNum>
  <w:abstractNum w:abstractNumId="12">
    <w:nsid w:val="3A95F874"/>
    <w:multiLevelType w:val="hybridMultilevel"/>
    <w:lvl w:ilvl="0">
      <w:lvlJc w:val="left"/>
      <w:lvlText w:val="%1."/>
      <w:numFmt w:val="decimal"/>
      <w:start w:val="4"/>
    </w:lvl>
    <w:lvl w:ilvl="1">
      <w:lvlJc w:val="left"/>
      <w:lvlText w:val="%2"/>
      <w:numFmt w:val="lowerLetter"/>
      <w:start w:val="1"/>
    </w:lvl>
  </w:abstractNum>
  <w:abstractNum w:abstractNumId="13">
    <w:nsid w:val="8138641"/>
    <w:multiLevelType w:val="hybridMultilevel"/>
    <w:lvl w:ilvl="0">
      <w:lvlJc w:val="left"/>
      <w:lvlText w:val="%1."/>
      <w:numFmt w:val="decimal"/>
      <w:start w:val="5"/>
    </w:lvl>
    <w:lvl w:ilvl="1">
      <w:lvlJc w:val="left"/>
      <w:lvlText w:val="(%2)"/>
      <w:numFmt w:val="lowerLetter"/>
      <w:start w:val="1"/>
    </w:lvl>
  </w:abstractNum>
  <w:abstractNum w:abstractNumId="14">
    <w:nsid w:val="1E7FF521"/>
    <w:multiLevelType w:val="hybridMultilevel"/>
    <w:lvl w:ilvl="0">
      <w:lvlJc w:val="left"/>
      <w:lvlText w:val="%1"/>
      <w:numFmt w:val="decimal"/>
      <w:start w:val="1"/>
    </w:lvl>
    <w:lvl w:ilvl="1">
      <w:lvlJc w:val="left"/>
      <w:lvlText w:val="(%2)"/>
      <w:numFmt w:val="lowerLetter"/>
      <w:start w:val="4"/>
    </w:lvl>
  </w:abstractNum>
  <w:abstractNum w:abstractNumId="15">
    <w:nsid w:val="7C3DBD3D"/>
    <w:multiLevelType w:val="hybridMultilevel"/>
    <w:lvl w:ilvl="0">
      <w:lvlJc w:val="left"/>
      <w:lvlText w:val="%1."/>
      <w:numFmt w:val="decimal"/>
      <w:start w:val="6"/>
    </w:lvl>
    <w:lvl w:ilvl="1">
      <w:lvlJc w:val="left"/>
      <w:lvlText w:val="(%2)"/>
      <w:numFmt w:val="lowerLetter"/>
      <w:start w:val="1"/>
    </w:lvl>
  </w:abstractNum>
  <w:abstractNum w:abstractNumId="16">
    <w:nsid w:val="737B8DDC"/>
    <w:multiLevelType w:val="hybridMultilevel"/>
    <w:lvl w:ilvl="0">
      <w:lvlJc w:val="left"/>
      <w:lvlText w:val="%1"/>
      <w:numFmt w:val="lowerLetter"/>
      <w:start w:val="1"/>
    </w:lvl>
    <w:lvl w:ilvl="1">
      <w:lvlJc w:val="left"/>
      <w:lvlText w:val="(%2)"/>
      <w:numFmt w:val="lowerLetter"/>
      <w:start w:val="1"/>
    </w:lvl>
  </w:abstractNum>
  <w:abstractNum w:abstractNumId="17">
    <w:nsid w:val="6CEAF087"/>
    <w:multiLevelType w:val="hybridMultilevel"/>
    <w:lvl w:ilvl="0">
      <w:lvlJc w:val="left"/>
      <w:lvlText w:val="(%1)"/>
      <w:numFmt w:val="lowerLetter"/>
      <w:start w:val="35"/>
    </w:lvl>
    <w:lvl w:ilvl="1">
      <w:lvlJc w:val="left"/>
      <w:lvlText w:val="(%2)"/>
      <w:numFmt w:val="lowerLetter"/>
      <w:start w:val="2"/>
    </w:lvl>
  </w:abstractNum>
  <w:abstractNum w:abstractNumId="18">
    <w:nsid w:val="22221A70"/>
    <w:multiLevelType w:val="hybridMultilevel"/>
    <w:lvl w:ilvl="0">
      <w:lvlJc w:val="left"/>
      <w:lvlText w:val="(%1)"/>
      <w:numFmt w:val="lowerLetter"/>
      <w:start w:val="4"/>
    </w:lvl>
  </w:abstractNum>
  <w:abstractNum w:abstractNumId="19">
    <w:nsid w:val="4516DDE9"/>
    <w:multiLevelType w:val="hybridMultilevel"/>
    <w:lvl w:ilvl="0">
      <w:lvlJc w:val="left"/>
      <w:lvlText w:val="(%1)"/>
      <w:numFmt w:val="lowerLetter"/>
      <w:start w:val="7"/>
    </w:lvl>
    <w:lvl w:ilvl="1">
      <w:lvlJc w:val="left"/>
      <w:lvlText w:val="(%2)"/>
      <w:numFmt w:val="lowerRoman"/>
      <w:start w:val="1"/>
    </w:lvl>
  </w:abstractNum>
  <w:abstractNum w:abstractNumId="20">
    <w:nsid w:val="3006C83E"/>
    <w:multiLevelType w:val="hybridMultilevel"/>
    <w:lvl w:ilvl="0">
      <w:lvlJc w:val="left"/>
      <w:lvlText w:val="(%1)"/>
      <w:numFmt w:val="lowerLetter"/>
      <w:start w:val="8"/>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1"/>
      <w:numFmt w:val="decimal"/>
      <w:start w:val="1"/>
    </w:lvl>
    <w:lvl w:ilvl="1">
      <w:lvlJc w:val="left"/>
      <w:lvlText w:val="(%2)"/>
      <w:numFmt w:val="lowerLetter"/>
      <w:start w:val="10"/>
    </w:lvl>
  </w:abstractNum>
  <w:abstractNum w:abstractNumId="23">
    <w:nsid w:val="5577F8E1"/>
    <w:multiLevelType w:val="hybridMultilevel"/>
    <w:lvl w:ilvl="0">
      <w:lvlJc w:val="left"/>
      <w:lvlText w:val="%1."/>
      <w:numFmt w:val="decimal"/>
      <w:start w:val="8"/>
    </w:lvl>
    <w:lvl w:ilvl="1">
      <w:lvlJc w:val="left"/>
      <w:lvlText w:val="%2"/>
      <w:numFmt w:val="lowerLetter"/>
      <w:start w:val="1"/>
    </w:lvl>
  </w:abstractNum>
  <w:abstractNum w:abstractNumId="24">
    <w:nsid w:val="440BADFC"/>
    <w:multiLevelType w:val="hybridMultilevel"/>
    <w:lvl w:ilvl="0">
      <w:lvlJc w:val="left"/>
      <w:lvlText w:val="(%1)"/>
      <w:numFmt w:val="lowerLetter"/>
      <w:start w:val="1"/>
    </w:lvl>
    <w:lvl w:ilvl="1">
      <w:lvlJc w:val="left"/>
      <w:lvlText w:val="(%2)"/>
      <w:numFmt w:val="lowerRoman"/>
      <w:start w:val="1"/>
    </w:lvl>
  </w:abstractNum>
  <w:abstractNum w:abstractNumId="25">
    <w:nsid w:val="5072367"/>
    <w:multiLevelType w:val="hybridMultilevel"/>
    <w:lvl w:ilvl="0">
      <w:lvlJc w:val="left"/>
      <w:lvlText w:val="(%1)"/>
      <w:numFmt w:val="lowerLetter"/>
      <w:start w:val="5"/>
    </w:lvl>
  </w:abstractNum>
  <w:abstractNum w:abstractNumId="26">
    <w:nsid w:val="3804823E"/>
    <w:multiLevelType w:val="hybridMultilevel"/>
    <w:lvl w:ilvl="0">
      <w:lvlJc w:val="left"/>
      <w:lvlText w:val="(%1)"/>
      <w:numFmt w:val="lowerRoman"/>
      <w:start w:val="1"/>
    </w:lvl>
  </w:abstractNum>
  <w:abstractNum w:abstractNumId="27">
    <w:nsid w:val="77465F01"/>
    <w:multiLevelType w:val="hybridMultilevel"/>
    <w:lvl w:ilvl="0">
      <w:lvlJc w:val="left"/>
      <w:lvlText w:val="(%1)"/>
      <w:numFmt w:val="lowerRoman"/>
      <w:start w:val="3"/>
    </w:lvl>
  </w:abstractNum>
  <w:abstractNum w:abstractNumId="28">
    <w:nsid w:val="7724C67E"/>
    <w:multiLevelType w:val="hybridMultilevel"/>
    <w:lvl w:ilvl="0">
      <w:lvlJc w:val="left"/>
      <w:lvlText w:val="%1"/>
      <w:numFmt w:val="decimal"/>
      <w:start w:val="1"/>
    </w:lvl>
    <w:lvl w:ilvl="1">
      <w:lvlJc w:val="left"/>
      <w:lvlText w:val="(%2)"/>
      <w:numFmt w:val="lowerLetter"/>
      <w:start w:val="7"/>
    </w:lvl>
  </w:abstractNum>
  <w:abstractNum w:abstractNumId="29">
    <w:nsid w:val="5C482A97"/>
    <w:multiLevelType w:val="hybridMultilevel"/>
    <w:lvl w:ilvl="0">
      <w:lvlJc w:val="left"/>
      <w:lvlText w:val="%1."/>
      <w:numFmt w:val="decimal"/>
      <w:start w:val="9"/>
    </w:lvl>
    <w:lvl w:ilvl="1">
      <w:lvlJc w:val="left"/>
      <w:lvlText w:val="%2"/>
      <w:numFmt w:val="lowerLetter"/>
      <w:start w:val="1"/>
    </w:lvl>
  </w:abstractNum>
  <w:abstractNum w:abstractNumId="30">
    <w:nsid w:val="2463B9EA"/>
    <w:multiLevelType w:val="hybridMultilevel"/>
    <w:lvl w:ilvl="0">
      <w:lvlJc w:val="left"/>
      <w:lvlText w:val="%1."/>
      <w:numFmt w:val="decimal"/>
      <w:start w:val="11"/>
    </w:lvl>
    <w:lvl w:ilvl="1">
      <w:lvlJc w:val="left"/>
      <w:lvlText w:val="(%2)"/>
      <w:numFmt w:val="lowerLetter"/>
      <w:start w:val="1"/>
    </w:lvl>
  </w:abstractNum>
  <w:abstractNum w:abstractNumId="31">
    <w:nsid w:val="5E884ADC"/>
    <w:multiLevelType w:val="hybridMultilevel"/>
    <w:lvl w:ilvl="0">
      <w:lvlJc w:val="left"/>
      <w:lvlText w:val="%1"/>
      <w:numFmt w:val="decimal"/>
      <w:start w:val="1"/>
    </w:lvl>
    <w:lvl w:ilvl="1">
      <w:lvlJc w:val="left"/>
      <w:lvlText w:val="(%2)"/>
      <w:numFmt w:val="lowerLetter"/>
      <w:start w:val="2"/>
    </w:lvl>
  </w:abstractNum>
  <w:abstractNum w:abstractNumId="32">
    <w:nsid w:val="51EAD36B"/>
    <w:multiLevelType w:val="hybridMultilevel"/>
    <w:lvl w:ilvl="0">
      <w:lvlJc w:val="left"/>
      <w:lvlText w:val="%1."/>
      <w:numFmt w:val="decimal"/>
      <w:start w:val="12"/>
    </w:lvl>
    <w:lvl w:ilvl="1">
      <w:lvlJc w:val="left"/>
      <w:lvlText w:val="(%2)"/>
      <w:numFmt w:val="lowerLetter"/>
      <w:start w:val="1"/>
    </w:lvl>
  </w:abstractNum>
  <w:abstractNum w:abstractNumId="33">
    <w:nsid w:val="2D517796"/>
    <w:multiLevelType w:val="hybridMultilevel"/>
    <w:lvl w:ilvl="0">
      <w:lvlJc w:val="left"/>
      <w:lvlText w:val="%1"/>
      <w:numFmt w:val="upperLetter"/>
      <w:start w:val="1"/>
    </w:lvl>
    <w:lvl w:ilvl="1">
      <w:lvlJc w:val="left"/>
      <w:lvlText w:val="%2."/>
      <w:numFmt w:val="decimal"/>
      <w:start w:val="15"/>
    </w:lvl>
    <w:lvl w:ilvl="2">
      <w:lvlJc w:val="left"/>
      <w:lvlText w:val="(%3)"/>
      <w:numFmt w:val="lowerLetter"/>
      <w:start w:val="1"/>
    </w:lvl>
    <w:lvl w:ilvl="3">
      <w:lvlJc w:val="left"/>
      <w:lvlText w:val="(%4)"/>
      <w:numFmt w:val="lowerRoman"/>
      <w:start w:val="1"/>
    </w:lvl>
  </w:abstractNum>
  <w:abstractNum w:abstractNumId="34">
    <w:nsid w:val="580BD78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3"/>
    </w:lvl>
  </w:abstractNum>
  <w:abstractNum w:abstractNumId="35">
    <w:nsid w:val="153EA438"/>
    <w:multiLevelType w:val="hybridMultilevel"/>
    <w:lvl w:ilvl="0">
      <w:lvlJc w:val="left"/>
      <w:lvlText w:val="%1."/>
      <w:numFmt w:val="decimal"/>
      <w:start w:val="16"/>
    </w:lvl>
    <w:lvl w:ilvl="1">
      <w:lvlJc w:val="left"/>
      <w:lvlText w:val="(%2)"/>
      <w:numFmt w:val="lowerLetter"/>
      <w:start w:val="1"/>
    </w:lvl>
  </w:abstractNum>
  <w:abstractNum w:abstractNumId="36">
    <w:nsid w:val="3855585C"/>
    <w:multiLevelType w:val="hybridMultilevel"/>
    <w:lvl w:ilvl="0">
      <w:lvlJc w:val="left"/>
      <w:lvlText w:val="1"/>
      <w:numFmt w:val="bullet"/>
      <w:start w:val="1"/>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1."/>
      <w:numFmt w:val="decimal"/>
      <w:start w:val="3"/>
    </w:lvl>
  </w:abstractNum>
  <w:abstractNum w:abstractNumId="39">
    <w:nsid w:val="2A487CB0"/>
    <w:multiLevelType w:val="hybridMultilevel"/>
    <w:lvl w:ilvl="0">
      <w:lvlJc w:val="left"/>
      <w:lvlText w:val="%1."/>
      <w:numFmt w:val="decimal"/>
      <w:start w:val="5"/>
    </w:lvl>
  </w:abstractNum>
  <w:abstractNum w:abstractNumId="40">
    <w:nsid w:val="1D4ED43B"/>
    <w:multiLevelType w:val="hybridMultilevel"/>
    <w:lvl w:ilvl="0">
      <w:lvlJc w:val="left"/>
      <w:lvlText w:val="%1."/>
      <w:numFmt w:val="decimal"/>
      <w:start w:val="133"/>
    </w:lvl>
  </w:abstractNum>
  <w:abstractNum w:abstractNumId="41">
    <w:nsid w:val="725A06FB"/>
    <w:multiLevelType w:val="hybridMultilevel"/>
    <w:lvl w:ilvl="0">
      <w:lvlJc w:val="left"/>
      <w:lvlText w:val="%1)"/>
      <w:numFmt w:val="decimal"/>
      <w:start w:val="6"/>
    </w:lvl>
  </w:abstractNum>
  <w:abstractNum w:abstractNumId="42">
    <w:nsid w:val="2CD89A32"/>
    <w:multiLevelType w:val="hybridMultilevel"/>
    <w:lvl w:ilvl="0">
      <w:lvlJc w:val="left"/>
      <w:lvlText w:val="%1."/>
      <w:numFmt w:val="decimal"/>
      <w:start w:val="8"/>
    </w:lvl>
  </w:abstractNum>
  <w:abstractNum w:abstractNumId="43">
    <w:nsid w:val="57E4CCAF"/>
    <w:multiLevelType w:val="hybridMultilevel"/>
    <w:lvl w:ilvl="0">
      <w:lvlJc w:val="left"/>
      <w:lvlText w:val="%1."/>
      <w:numFmt w:val="decimal"/>
      <w:start w:val="11"/>
    </w:lvl>
  </w:abstractNum>
  <w:abstractNum w:abstractNumId="44">
    <w:nsid w:val="7A6D8D3C"/>
    <w:multiLevelType w:val="hybridMultilevel"/>
    <w:lvl w:ilvl="0">
      <w:lvlJc w:val="left"/>
      <w:lvlText w:val="%1."/>
      <w:numFmt w:val="decimal"/>
      <w:start w:val="12"/>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2019-12-12T23:16:15Z</dcterms:created>
  <dcterms:modified xsi:type="dcterms:W3CDTF">2019-12-12T23:16:15Z</dcterms:modified>
</cp:coreProperties>
</file>