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3184_fwp-corp.htm"/>
      <w:bookmarkStart w:id="1" w:name="ksdp193184_fwpcorp"/>
      <w:bookmarkEnd w:id="0"/>
      <w:bookmarkEnd w:id="1"/>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br/>
        <w:t>Registration Statement Number 333-266390</w:t>
        <w:br/>
        <w:t>May 1, 2023</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 4.550% NOTES DUE 2029</w:t>
        <w:br/>
        <w:t>$1,000,000,000 4.800% NOTES DUE 2033</w:t>
        <w:br/>
        <w:t>$1,600,000,000 5.350% NOTES DUE 2053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$1,400,000,000 5.500% NOTES DUE 2064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Term Sheet</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06"/>
        <w:gridCol w:w="8699"/>
      </w:tblGrid>
      <w:tr>
        <w:trPr/>
        <w:tc>
          <w:tcPr>
            <w:tcW w:w="1506" w:type="dxa"/>
            <w:tcBorders/>
            <w:shd w:fill="auto" w:val="clear"/>
            <w:vAlign w:val="center"/>
          </w:tcPr>
          <w:p>
            <w:pPr>
              <w:pStyle w:val="TableContents"/>
              <w:spacing w:before="0" w:after="283"/>
              <w:ind w:left="0" w:right="0" w:hanging="0"/>
              <w:rPr/>
            </w:pPr>
            <w:r>
              <w:rPr/>
              <w:t>Issuer</w:t>
              <w:tab/>
            </w:r>
          </w:p>
        </w:tc>
        <w:tc>
          <w:tcPr>
            <w:tcW w:w="8699" w:type="dxa"/>
            <w:tcBorders/>
            <w:shd w:fill="auto" w:val="clear"/>
            <w:vAlign w:val="center"/>
          </w:tcPr>
          <w:p>
            <w:pPr>
              <w:pStyle w:val="TableContents"/>
              <w:spacing w:before="0" w:after="283"/>
              <w:ind w:left="0" w:right="0" w:hanging="0"/>
              <w:rPr/>
            </w:pPr>
            <w:r>
              <w:rPr/>
              <w:t>Comcast Corporation (the “</w:t>
            </w:r>
            <w:r>
              <w:rPr>
                <w:b/>
              </w:rPr>
              <w:t>Company</w:t>
            </w:r>
            <w:r>
              <w:rPr/>
              <w:t>”)</w:t>
            </w:r>
          </w:p>
        </w:tc>
      </w:tr>
      <w:tr>
        <w:trPr/>
        <w:tc>
          <w:tcPr>
            <w:tcW w:w="1506" w:type="dxa"/>
            <w:tcBorders/>
            <w:shd w:fill="auto" w:val="clear"/>
            <w:vAlign w:val="center"/>
          </w:tcPr>
          <w:p>
            <w:pPr>
              <w:pStyle w:val="TableContents"/>
              <w:spacing w:before="0" w:after="283"/>
              <w:rPr/>
            </w:pPr>
            <w:r>
              <w:rPr/>
              <w:t>Guarantors</w:t>
              <w:tab/>
            </w:r>
          </w:p>
        </w:tc>
        <w:tc>
          <w:tcPr>
            <w:tcW w:w="8699" w:type="dxa"/>
            <w:tcBorders/>
            <w:shd w:fill="auto" w:val="clear"/>
            <w:vAlign w:val="center"/>
          </w:tcPr>
          <w:p>
            <w:pPr>
              <w:pStyle w:val="TableContents"/>
              <w:spacing w:before="0" w:after="283"/>
              <w:ind w:left="0" w:right="0" w:hanging="0"/>
              <w:rPr/>
            </w:pPr>
            <w:r>
              <w:rPr/>
              <w:t>Comcast Cable Communications, LLC and NBCUniversal Media, LLC</w:t>
            </w:r>
          </w:p>
        </w:tc>
      </w:tr>
      <w:tr>
        <w:trPr/>
        <w:tc>
          <w:tcPr>
            <w:tcW w:w="1506" w:type="dxa"/>
            <w:tcBorders/>
            <w:shd w:fill="auto" w:val="clear"/>
            <w:vAlign w:val="center"/>
          </w:tcPr>
          <w:p>
            <w:pPr>
              <w:pStyle w:val="TableContents"/>
              <w:spacing w:before="0" w:after="283"/>
              <w:rPr/>
            </w:pPr>
            <w:r>
              <w:rPr/>
              <w:t>Issue of Securities</w:t>
              <w:tab/>
            </w:r>
          </w:p>
        </w:tc>
        <w:tc>
          <w:tcPr>
            <w:tcW w:w="8699"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 Notes due 2029</w:t>
              <w:br/>
              <w:t>4.800% Notes due 2033</w:t>
              <w:br/>
              <w:t>5.350% Notes due 2053</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Notes due 2064</w:t>
            </w:r>
          </w:p>
        </w:tc>
      </w:tr>
      <w:tr>
        <w:trPr/>
        <w:tc>
          <w:tcPr>
            <w:tcW w:w="1506" w:type="dxa"/>
            <w:tcBorders/>
            <w:shd w:fill="auto" w:val="clear"/>
            <w:vAlign w:val="center"/>
          </w:tcPr>
          <w:p>
            <w:pPr>
              <w:pStyle w:val="TableContents"/>
              <w:spacing w:before="0" w:after="283"/>
              <w:rPr/>
            </w:pPr>
            <w:r>
              <w:rPr/>
              <w:t>Denominations</w:t>
              <w:tab/>
            </w:r>
          </w:p>
        </w:tc>
        <w:tc>
          <w:tcPr>
            <w:tcW w:w="8699" w:type="dxa"/>
            <w:tcBorders/>
            <w:shd w:fill="auto" w:val="clear"/>
            <w:vAlign w:val="center"/>
          </w:tcPr>
          <w:p>
            <w:pPr>
              <w:pStyle w:val="TableContents"/>
              <w:spacing w:before="0" w:after="283"/>
              <w:ind w:left="0" w:right="0" w:hanging="0"/>
              <w:rPr/>
            </w:pPr>
            <w:r>
              <w:rPr/>
              <w:t>$2,000 and multiples of $1,000 in excess thereof</w:t>
            </w:r>
          </w:p>
        </w:tc>
      </w:tr>
      <w:tr>
        <w:trPr/>
        <w:tc>
          <w:tcPr>
            <w:tcW w:w="1506" w:type="dxa"/>
            <w:tcBorders/>
            <w:shd w:fill="auto" w:val="clear"/>
            <w:vAlign w:val="center"/>
          </w:tcPr>
          <w:p>
            <w:pPr>
              <w:pStyle w:val="TableContents"/>
              <w:spacing w:before="0" w:after="283"/>
              <w:rPr/>
            </w:pPr>
            <w:r>
              <w:rPr/>
              <w:t>Use of Proceeds</w:t>
              <w:tab/>
            </w:r>
          </w:p>
        </w:tc>
        <w:tc>
          <w:tcPr>
            <w:tcW w:w="8699" w:type="dxa"/>
            <w:tcBorders/>
            <w:shd w:fill="auto" w:val="clear"/>
            <w:vAlign w:val="center"/>
          </w:tcPr>
          <w:p>
            <w:pPr>
              <w:pStyle w:val="TableContents"/>
              <w:spacing w:before="0" w:after="283"/>
              <w:ind w:left="0" w:right="0" w:hanging="0"/>
              <w:rPr>
                <w:highlight w:val="white"/>
              </w:rPr>
            </w:pPr>
            <w:r>
              <w:rPr>
                <w:highlight w:val="white"/>
              </w:rPr>
              <w:t>The Company intends to use the net proceeds from the offering to fund the purchase of the securities accepted pursuant to its tender offers (collectively, the “</w:t>
            </w:r>
            <w:r>
              <w:rPr>
                <w:b/>
                <w:highlight w:val="white"/>
              </w:rPr>
              <w:t>Comcast Tender Offers</w:t>
            </w:r>
            <w:r>
              <w:rPr>
                <w:highlight w:val="white"/>
              </w:rPr>
              <w:t xml:space="preserve">”) to purchase for cash any and all of its 3.700% Notes due 2024, its Floating Rate Notes due 2024 and its 3.375% Notes due 2025, and the payment of related accrued and unpaid interest, premiums, fees and expenses. In the event that the Comcast Tender Offers are not consummated, or the net proceeds from the offering exceed the amount needed to fund the purchase of the securities accepted pursuant to the Comcast Tender Offers, the Company intends to use such net proceeds from the offering for general corporate purposes, including the repayment of debt. </w:t>
            </w:r>
          </w:p>
        </w:tc>
      </w:tr>
      <w:tr>
        <w:trPr/>
        <w:tc>
          <w:tcPr>
            <w:tcW w:w="1506" w:type="dxa"/>
            <w:tcBorders/>
            <w:shd w:fill="auto" w:val="clear"/>
            <w:vAlign w:val="center"/>
          </w:tcPr>
          <w:p>
            <w:pPr>
              <w:pStyle w:val="TableContents"/>
              <w:spacing w:before="0" w:after="283"/>
              <w:rPr/>
            </w:pPr>
            <w:r>
              <w:rPr/>
              <w:t>Indenture</w:t>
              <w:tab/>
            </w:r>
          </w:p>
        </w:tc>
        <w:tc>
          <w:tcPr>
            <w:tcW w:w="8699" w:type="dxa"/>
            <w:tcBorders/>
            <w:shd w:fill="auto" w:val="clear"/>
            <w:vAlign w:val="center"/>
          </w:tcPr>
          <w:p>
            <w:pPr>
              <w:pStyle w:val="TableContents"/>
              <w:spacing w:before="0" w:after="283"/>
              <w:ind w:left="0" w:right="0" w:hanging="0"/>
              <w:rPr/>
            </w:pPr>
            <w:r>
              <w:rPr/>
              <w:t>Indenture dated as of September 18, 2013 by and among the Company, the guarantors named therein and The Bank of New York Mellon, as trustee (the “</w:t>
            </w:r>
            <w:r>
              <w:rPr>
                <w:b/>
              </w:rPr>
              <w:t>Trustee</w:t>
            </w:r>
            <w:r>
              <w:rPr/>
              <w:t>”), as amended by the First Supplemental Indenture dated as of November 17, 2015 by and among the Company, the guarantors named therein and the Trustee and as further amended by the Second Supplemental Indenture dated as of July 29, 2022 by and among the Company, the guarantors named therein and the Trustee.</w:t>
            </w:r>
          </w:p>
        </w:tc>
      </w:tr>
      <w:tr>
        <w:trPr/>
        <w:tc>
          <w:tcPr>
            <w:tcW w:w="1506" w:type="dxa"/>
            <w:tcBorders/>
            <w:shd w:fill="auto" w:val="clear"/>
            <w:vAlign w:val="center"/>
          </w:tcPr>
          <w:p>
            <w:pPr>
              <w:pStyle w:val="TableContents"/>
              <w:spacing w:before="0" w:after="283"/>
              <w:rPr/>
            </w:pPr>
            <w:r>
              <w:rPr/>
              <w:t>Trustee</w:t>
              <w:tab/>
            </w:r>
          </w:p>
        </w:tc>
        <w:tc>
          <w:tcPr>
            <w:tcW w:w="8699" w:type="dxa"/>
            <w:tcBorders/>
            <w:shd w:fill="auto" w:val="clear"/>
            <w:vAlign w:val="center"/>
          </w:tcPr>
          <w:p>
            <w:pPr>
              <w:pStyle w:val="TableContents"/>
              <w:spacing w:before="0" w:after="283"/>
              <w:ind w:left="0" w:right="0" w:hanging="0"/>
              <w:rPr/>
            </w:pPr>
            <w:r>
              <w:rPr/>
              <w:t>The Bank of New York Mellon</w:t>
            </w:r>
          </w:p>
        </w:tc>
      </w:tr>
      <w:tr>
        <w:trPr/>
        <w:tc>
          <w:tcPr>
            <w:tcW w:w="1506" w:type="dxa"/>
            <w:tcBorders/>
            <w:shd w:fill="auto" w:val="clear"/>
            <w:vAlign w:val="center"/>
          </w:tcPr>
          <w:p>
            <w:pPr>
              <w:pStyle w:val="TableContents"/>
              <w:spacing w:before="0" w:after="283"/>
              <w:rPr/>
            </w:pPr>
            <w:r>
              <w:rPr/>
              <w:t>Expected Ratings</w:t>
            </w:r>
            <w:r>
              <w:rPr>
                <w:rFonts w:ascii="Times New Roman;Times;Serif" w:hAnsi="Times New Roman;Times;Serif"/>
                <w:position w:val="7"/>
                <w:sz w:val="16"/>
                <w:sz w:val="20"/>
              </w:rPr>
              <w:t>1</w:t>
            </w:r>
            <w:r>
              <w:rPr/>
              <w:tab/>
            </w:r>
          </w:p>
        </w:tc>
        <w:tc>
          <w:tcPr>
            <w:tcW w:w="8699" w:type="dxa"/>
            <w:tcBorders/>
            <w:shd w:fill="auto" w:val="clear"/>
            <w:vAlign w:val="center"/>
          </w:tcPr>
          <w:p>
            <w:pPr>
              <w:pStyle w:val="TableContents"/>
              <w:spacing w:before="0" w:after="283"/>
              <w:rPr/>
            </w:pPr>
            <w:r>
              <w:rPr/>
              <w:t>Moody’s: A3; S&amp;P: A-; Fitch: A-</w:t>
            </w:r>
          </w:p>
        </w:tc>
      </w:tr>
    </w:tbl>
    <w:p>
      <w:pPr>
        <w:pStyle w:val="TextBody"/>
        <w:rPr/>
      </w:pPr>
      <w:r>
        <w:rPr/>
        <w:t> </w:t>
      </w:r>
    </w:p>
    <w:p>
      <w:pPr>
        <w:pStyle w:val="TextBody"/>
        <w:spacing w:before="60" w:after="60"/>
        <w:jc w:val="left"/>
        <w:rPr>
          <w:bdr w:val="single" w:sz="8" w:space="1" w:color="000000"/>
        </w:rPr>
      </w:pPr>
      <w:r>
        <w:rPr>
          <w:bdr w:val="single" w:sz="8" w:space="1" w:color="000000"/>
        </w:rPr>
        <w:t> </w:t>
      </w:r>
    </w:p>
    <w:p>
      <w:pPr>
        <w:pStyle w:val="TextBody"/>
        <w:rPr/>
      </w:pPr>
      <w:r>
        <w:rPr>
          <w:b/>
          <w:position w:val="8"/>
          <w:sz w:val="19"/>
        </w:rPr>
        <w:t>1</w:t>
      </w:r>
      <w:r>
        <w:rPr/>
        <w:t xml:space="preserve"> </w:t>
      </w:r>
      <w:r>
        <w:rPr>
          <w:b/>
        </w:rPr>
        <w:t>A securities rating is not a recommendation to buy, sell or hold securities and may be subject to revision or withdrawal at any time.</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ind w:left="0" w:right="0" w:hanging="0"/>
              <w:rPr/>
            </w:pPr>
            <w:r>
              <w:rPr/>
              <w:t>Joint Book-Running Managers</w:t>
              <w:tab/>
            </w:r>
          </w:p>
        </w:tc>
        <w:tc>
          <w:tcPr>
            <w:tcW w:w="854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r>
      <w:tr>
        <w:trPr/>
        <w:tc>
          <w:tcPr>
            <w:tcW w:w="1661" w:type="dxa"/>
            <w:tcBorders/>
            <w:shd w:fill="auto" w:val="clear"/>
            <w:vAlign w:val="center"/>
          </w:tcPr>
          <w:p>
            <w:pPr>
              <w:pStyle w:val="TableContents"/>
              <w:spacing w:before="0" w:after="283"/>
              <w:rPr/>
            </w:pPr>
            <w:r>
              <w:rPr/>
              <w:t>Co-Managers</w:t>
              <w:tab/>
            </w:r>
          </w:p>
        </w:tc>
        <w:tc>
          <w:tcPr>
            <w:tcW w:w="854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Commerz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Suisse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Santander US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DNB Markets,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ICBC Standard Bank Plc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BNY Mellon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ING Financial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Intesa Sanpaolo S.p.A.</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NatWest Markets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AmeriVet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 King &amp; Associates,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MFR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Multi-Bank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Stern Brothers &amp; Co.</w:t>
            </w:r>
          </w:p>
        </w:tc>
      </w:tr>
      <w:tr>
        <w:trPr/>
        <w:tc>
          <w:tcPr>
            <w:tcW w:w="1661" w:type="dxa"/>
            <w:tcBorders/>
            <w:shd w:fill="auto" w:val="clear"/>
            <w:vAlign w:val="center"/>
          </w:tcPr>
          <w:p>
            <w:pPr>
              <w:pStyle w:val="TableContents"/>
              <w:spacing w:before="0" w:after="283"/>
              <w:rPr/>
            </w:pPr>
            <w:r>
              <w:rPr/>
              <w:t>Trade Date</w:t>
              <w:tab/>
            </w:r>
          </w:p>
        </w:tc>
        <w:tc>
          <w:tcPr>
            <w:tcW w:w="8544" w:type="dxa"/>
            <w:tcBorders/>
            <w:shd w:fill="auto" w:val="clear"/>
            <w:vAlign w:val="center"/>
          </w:tcPr>
          <w:p>
            <w:pPr>
              <w:pStyle w:val="TableContents"/>
              <w:spacing w:before="0" w:after="283"/>
              <w:ind w:left="0" w:right="0" w:hanging="0"/>
              <w:rPr/>
            </w:pPr>
            <w:r>
              <w:rPr/>
              <w:t>May 1, 2023</w:t>
            </w:r>
          </w:p>
        </w:tc>
      </w:tr>
      <w:tr>
        <w:trPr/>
        <w:tc>
          <w:tcPr>
            <w:tcW w:w="1661" w:type="dxa"/>
            <w:tcBorders/>
            <w:shd w:fill="auto" w:val="clear"/>
            <w:vAlign w:val="center"/>
          </w:tcPr>
          <w:p>
            <w:pPr>
              <w:pStyle w:val="TableContents"/>
              <w:spacing w:before="0" w:after="283"/>
              <w:rPr/>
            </w:pPr>
            <w:r>
              <w:rPr/>
              <w:t>Settlement Date</w:t>
              <w:tab/>
            </w:r>
          </w:p>
        </w:tc>
        <w:tc>
          <w:tcPr>
            <w:tcW w:w="8544" w:type="dxa"/>
            <w:tcBorders/>
            <w:shd w:fill="auto" w:val="clear"/>
            <w:vAlign w:val="center"/>
          </w:tcPr>
          <w:p>
            <w:pPr>
              <w:pStyle w:val="TableContents"/>
              <w:spacing w:before="0" w:after="283"/>
              <w:ind w:left="0" w:right="0" w:hanging="0"/>
              <w:rPr/>
            </w:pPr>
            <w:r>
              <w:rPr/>
              <w:t>May 9, 2023 (T+6)</w:t>
            </w:r>
          </w:p>
        </w:tc>
      </w:tr>
      <w:tr>
        <w:trPr/>
        <w:tc>
          <w:tcPr>
            <w:tcW w:w="1661" w:type="dxa"/>
            <w:tcBorders/>
            <w:shd w:fill="auto" w:val="clear"/>
            <w:vAlign w:val="center"/>
          </w:tcPr>
          <w:p>
            <w:pPr>
              <w:pStyle w:val="TableContents"/>
              <w:spacing w:before="0" w:after="283"/>
              <w:rPr/>
            </w:pPr>
            <w:r>
              <w:rPr/>
              <w:t>Risk Factors</w:t>
              <w:tab/>
            </w:r>
          </w:p>
        </w:tc>
        <w:tc>
          <w:tcPr>
            <w:tcW w:w="8544" w:type="dxa"/>
            <w:tcBorders/>
            <w:shd w:fill="auto" w:val="clear"/>
            <w:vAlign w:val="center"/>
          </w:tcPr>
          <w:p>
            <w:pPr>
              <w:pStyle w:val="TableContents"/>
              <w:spacing w:before="0" w:after="283"/>
              <w:ind w:left="0" w:right="0" w:hanging="0"/>
              <w:rPr/>
            </w:pPr>
            <w:r>
              <w:rPr/>
              <w:t>Investing in the notes involves certain risks. See “Item 1A-Risk Factors” beginning on page 24 of the Company’s Annual Report on Form 10-K for the year ended December 31, 2022.</w:t>
            </w:r>
          </w:p>
        </w:tc>
      </w:tr>
      <w:tr>
        <w:trPr/>
        <w:tc>
          <w:tcPr>
            <w:tcW w:w="1661" w:type="dxa"/>
            <w:tcBorders/>
            <w:shd w:fill="auto" w:val="clear"/>
            <w:vAlign w:val="center"/>
          </w:tcPr>
          <w:p>
            <w:pPr>
              <w:pStyle w:val="TableContents"/>
              <w:spacing w:before="0" w:after="283"/>
              <w:rPr/>
            </w:pPr>
            <w:r>
              <w:rPr/>
              <w:t>Concurrent Tender Offers</w:t>
              <w:tab/>
            </w:r>
          </w:p>
        </w:tc>
        <w:tc>
          <w:tcPr>
            <w:tcW w:w="854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the Company commenced the Comcast Tender Offers, and Sky Limited commenced a tender offer (the “</w:t>
            </w:r>
            <w:r>
              <w:rPr>
                <w:rFonts w:ascii="Times New Roman;Times;Serif" w:hAnsi="Times New Roman;Times;Serif"/>
                <w:b/>
                <w:i w:val="false"/>
                <w:caps w:val="false"/>
                <w:smallCaps w:val="false"/>
                <w:sz w:val="20"/>
              </w:rPr>
              <w:t>Sky Tender Offer</w:t>
            </w:r>
            <w:r>
              <w:rPr>
                <w:rFonts w:ascii="Times New Roman;Times;Serif" w:hAnsi="Times New Roman;Times;Serif"/>
                <w:b w:val="false"/>
                <w:i w:val="false"/>
                <w:caps w:val="false"/>
                <w:smallCaps w:val="false"/>
                <w:sz w:val="20"/>
              </w:rPr>
              <w:t>” and, together with the Comcast Tender Offers, the “</w:t>
            </w:r>
            <w:r>
              <w:rPr>
                <w:rFonts w:ascii="Times New Roman;Times;Serif" w:hAnsi="Times New Roman;Times;Serif"/>
                <w:b/>
                <w:i w:val="false"/>
                <w:caps w:val="false"/>
                <w:smallCaps w:val="false"/>
                <w:sz w:val="20"/>
              </w:rPr>
              <w:t>Tender Offers</w:t>
            </w:r>
            <w:r>
              <w:rPr>
                <w:rFonts w:ascii="Times New Roman;Times;Serif" w:hAnsi="Times New Roman;Times;Serif"/>
                <w:b w:val="false"/>
                <w:i w:val="false"/>
                <w:caps w:val="false"/>
                <w:smallCaps w:val="false"/>
                <w:sz w:val="20"/>
              </w:rPr>
              <w:t>”) to purchase for cash any and all of its 3.750% Senior Unsecured Notes due 2024. Sky intends to fund the purchase of the securities accepted pursuant to the Sky Tender Offer with cash on hand. As of the date hereof, there is $2.5 billion aggregate principal amount of the Company’s 3.700% Notes due 2024 outstanding, $500.0 million aggregate principal amount of the Company’s Floating Rate Notes due 2024 outstanding, $993.4 million aggregate principal amount of the Company’s</w:t>
            </w:r>
          </w:p>
        </w:tc>
      </w:tr>
    </w:tbl>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95"/>
        <w:gridCol w:w="8810"/>
      </w:tblGrid>
      <w:tr>
        <w:trPr/>
        <w:tc>
          <w:tcPr>
            <w:tcW w:w="1395" w:type="dxa"/>
            <w:tcBorders/>
            <w:shd w:fill="auto" w:val="clear"/>
            <w:vAlign w:val="center"/>
          </w:tcPr>
          <w:p>
            <w:pPr>
              <w:pStyle w:val="TableContents"/>
              <w:spacing w:before="0" w:after="283"/>
              <w:ind w:left="0" w:right="0" w:hanging="0"/>
              <w:rPr/>
            </w:pPr>
            <w:r>
              <w:rPr/>
              <w:t> </w:t>
            </w:r>
          </w:p>
        </w:tc>
        <w:tc>
          <w:tcPr>
            <w:tcW w:w="881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Notes due 2025 outstanding and $1.25 billion aggregate principal amount of Sky Limited’s 3.750% Senior Unsecured Notes due 2024 outstanding.</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Offers will expire on May 5, 2023 at 5:00 p.m., unless extended. The offering of the notes is not conditioned upon the completion of any or all of the Tender Offers. However, the Tender Offers are subject to a number of conditions that may be waived or changed. The Company and Sky Limited are permitted, subject to applicable law, to amend, extend, terminate or withdraw the Tender Offers, as applicable, and there can be no assurance that either the Company or Sky Limited will consummate the Tender Offers on the terms described herein or at all.</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Tender Offers is provided for informational purposes only does not constitute an offer to buy or the solicitation of an offer to sell any securities subject to the Tender Offers.</w:t>
            </w:r>
          </w:p>
        </w:tc>
      </w:tr>
      <w:tr>
        <w:trPr/>
        <w:tc>
          <w:tcPr>
            <w:tcW w:w="1395" w:type="dxa"/>
            <w:tcBorders/>
            <w:shd w:fill="auto" w:val="clear"/>
            <w:vAlign w:val="center"/>
          </w:tcPr>
          <w:p>
            <w:pPr>
              <w:pStyle w:val="TableContents"/>
              <w:spacing w:before="0" w:after="283"/>
              <w:rPr>
                <w:b/>
              </w:rPr>
            </w:pPr>
            <w:r>
              <w:rPr>
                <w:b/>
              </w:rPr>
              <w:t>4.550% Notes Due 2029</w:t>
            </w:r>
          </w:p>
        </w:tc>
        <w:tc>
          <w:tcPr>
            <w:tcW w:w="8810" w:type="dxa"/>
            <w:tcBorders/>
            <w:shd w:fill="auto" w:val="clear"/>
            <w:vAlign w:val="center"/>
          </w:tcPr>
          <w:p>
            <w:pPr>
              <w:pStyle w:val="TableContents"/>
              <w:spacing w:before="0" w:after="283"/>
              <w:ind w:left="0" w:right="0" w:hanging="0"/>
              <w:rPr/>
            </w:pPr>
            <w:r>
              <w:rPr/>
              <w:t> </w:t>
            </w:r>
          </w:p>
        </w:tc>
      </w:tr>
      <w:tr>
        <w:trPr/>
        <w:tc>
          <w:tcPr>
            <w:tcW w:w="1395" w:type="dxa"/>
            <w:tcBorders/>
            <w:shd w:fill="auto" w:val="clear"/>
            <w:vAlign w:val="center"/>
          </w:tcPr>
          <w:p>
            <w:pPr>
              <w:pStyle w:val="TableContents"/>
              <w:spacing w:before="0" w:after="283"/>
              <w:rPr/>
            </w:pPr>
            <w:r>
              <w:rPr/>
              <w:t>Aggregate Principal Amount</w:t>
              <w:tab/>
            </w:r>
          </w:p>
        </w:tc>
        <w:tc>
          <w:tcPr>
            <w:tcW w:w="8810" w:type="dxa"/>
            <w:tcBorders/>
            <w:shd w:fill="auto" w:val="clear"/>
            <w:vAlign w:val="center"/>
          </w:tcPr>
          <w:p>
            <w:pPr>
              <w:pStyle w:val="TableContents"/>
              <w:spacing w:before="0" w:after="283"/>
              <w:ind w:left="0" w:right="0" w:hanging="0"/>
              <w:rPr/>
            </w:pPr>
            <w:r>
              <w:rPr/>
              <w:t>$1,000,000,000</w:t>
            </w:r>
          </w:p>
        </w:tc>
      </w:tr>
      <w:tr>
        <w:trPr/>
        <w:tc>
          <w:tcPr>
            <w:tcW w:w="1395" w:type="dxa"/>
            <w:tcBorders/>
            <w:shd w:fill="auto" w:val="clear"/>
            <w:vAlign w:val="center"/>
          </w:tcPr>
          <w:p>
            <w:pPr>
              <w:pStyle w:val="TableContents"/>
              <w:spacing w:before="0" w:after="283"/>
              <w:rPr/>
            </w:pPr>
            <w:r>
              <w:rPr/>
              <w:t>Maturity Date</w:t>
              <w:tab/>
            </w:r>
          </w:p>
        </w:tc>
        <w:tc>
          <w:tcPr>
            <w:tcW w:w="8810" w:type="dxa"/>
            <w:tcBorders/>
            <w:shd w:fill="auto" w:val="clear"/>
            <w:vAlign w:val="center"/>
          </w:tcPr>
          <w:p>
            <w:pPr>
              <w:pStyle w:val="TableContents"/>
              <w:spacing w:before="0" w:after="283"/>
              <w:ind w:left="0" w:right="0" w:hanging="0"/>
              <w:rPr/>
            </w:pPr>
            <w:r>
              <w:rPr/>
              <w:t>January 15, 2029</w:t>
            </w:r>
          </w:p>
        </w:tc>
      </w:tr>
      <w:tr>
        <w:trPr/>
        <w:tc>
          <w:tcPr>
            <w:tcW w:w="1395" w:type="dxa"/>
            <w:tcBorders/>
            <w:shd w:fill="auto" w:val="clear"/>
            <w:vAlign w:val="center"/>
          </w:tcPr>
          <w:p>
            <w:pPr>
              <w:pStyle w:val="TableContents"/>
              <w:spacing w:before="0" w:after="283"/>
              <w:rPr/>
            </w:pPr>
            <w:r>
              <w:rPr/>
              <w:t>Interest Rate</w:t>
              <w:tab/>
            </w:r>
          </w:p>
        </w:tc>
        <w:tc>
          <w:tcPr>
            <w:tcW w:w="8810" w:type="dxa"/>
            <w:tcBorders/>
            <w:shd w:fill="auto" w:val="clear"/>
            <w:vAlign w:val="center"/>
          </w:tcPr>
          <w:p>
            <w:pPr>
              <w:pStyle w:val="TableContents"/>
              <w:spacing w:before="0" w:after="283"/>
              <w:ind w:left="0" w:right="0" w:hanging="0"/>
              <w:rPr/>
            </w:pPr>
            <w:r>
              <w:rPr/>
              <w:t>4.550% per annum, accruing from May 9, 2023 (calculated on the basis of a 360-day year consisting of twelve 30-day months)</w:t>
            </w:r>
          </w:p>
        </w:tc>
      </w:tr>
      <w:tr>
        <w:trPr/>
        <w:tc>
          <w:tcPr>
            <w:tcW w:w="1395" w:type="dxa"/>
            <w:tcBorders/>
            <w:shd w:fill="auto" w:val="clear"/>
            <w:vAlign w:val="center"/>
          </w:tcPr>
          <w:p>
            <w:pPr>
              <w:pStyle w:val="TableContents"/>
              <w:spacing w:before="0" w:after="283"/>
              <w:rPr/>
            </w:pPr>
            <w:r>
              <w:rPr/>
              <w:t>Interest Payment Dates</w:t>
              <w:tab/>
            </w:r>
          </w:p>
        </w:tc>
        <w:tc>
          <w:tcPr>
            <w:tcW w:w="8810" w:type="dxa"/>
            <w:tcBorders/>
            <w:shd w:fill="auto" w:val="clear"/>
            <w:vAlign w:val="center"/>
          </w:tcPr>
          <w:p>
            <w:pPr>
              <w:pStyle w:val="TableContents"/>
              <w:spacing w:before="0" w:after="283"/>
              <w:ind w:left="0" w:right="0" w:hanging="0"/>
              <w:rPr/>
            </w:pPr>
            <w:r>
              <w:rPr/>
              <w:t>January 15 and July 15, commencing January 15, 2024</w:t>
            </w:r>
          </w:p>
        </w:tc>
      </w:tr>
      <w:tr>
        <w:trPr/>
        <w:tc>
          <w:tcPr>
            <w:tcW w:w="1395" w:type="dxa"/>
            <w:tcBorders/>
            <w:shd w:fill="auto" w:val="clear"/>
            <w:vAlign w:val="center"/>
          </w:tcPr>
          <w:p>
            <w:pPr>
              <w:pStyle w:val="TableContents"/>
              <w:spacing w:before="0" w:after="283"/>
              <w:rPr/>
            </w:pPr>
            <w:r>
              <w:rPr/>
              <w:t>Benchmark Treasury</w:t>
              <w:tab/>
            </w:r>
          </w:p>
        </w:tc>
        <w:tc>
          <w:tcPr>
            <w:tcW w:w="8810" w:type="dxa"/>
            <w:tcBorders/>
            <w:shd w:fill="auto" w:val="clear"/>
            <w:vAlign w:val="center"/>
          </w:tcPr>
          <w:p>
            <w:pPr>
              <w:pStyle w:val="TableContents"/>
              <w:spacing w:before="0" w:after="283"/>
              <w:ind w:left="0" w:right="0" w:hanging="0"/>
              <w:rPr/>
            </w:pPr>
            <w:r>
              <w:rPr/>
              <w:t>UST 3.500% due April 30, 2028</w:t>
            </w:r>
          </w:p>
        </w:tc>
      </w:tr>
      <w:tr>
        <w:trPr/>
        <w:tc>
          <w:tcPr>
            <w:tcW w:w="1395" w:type="dxa"/>
            <w:tcBorders/>
            <w:shd w:fill="auto" w:val="clear"/>
            <w:vAlign w:val="center"/>
          </w:tcPr>
          <w:p>
            <w:pPr>
              <w:pStyle w:val="TableContents"/>
              <w:spacing w:before="0" w:after="283"/>
              <w:rPr/>
            </w:pPr>
            <w:r>
              <w:rPr/>
              <w:t>Benchmark Treasury Price/Yield</w:t>
              <w:tab/>
            </w:r>
          </w:p>
        </w:tc>
        <w:tc>
          <w:tcPr>
            <w:tcW w:w="8810" w:type="dxa"/>
            <w:tcBorders/>
            <w:shd w:fill="auto" w:val="clear"/>
            <w:vAlign w:val="center"/>
          </w:tcPr>
          <w:p>
            <w:pPr>
              <w:pStyle w:val="TableContents"/>
              <w:spacing w:before="0" w:after="283"/>
              <w:ind w:left="0" w:right="0" w:hanging="0"/>
              <w:rPr/>
            </w:pPr>
            <w:r>
              <w:rPr/>
              <w:t>99-11+ / 3.641%</w:t>
            </w:r>
          </w:p>
        </w:tc>
      </w:tr>
      <w:tr>
        <w:trPr/>
        <w:tc>
          <w:tcPr>
            <w:tcW w:w="1395" w:type="dxa"/>
            <w:tcBorders/>
            <w:shd w:fill="auto" w:val="clear"/>
            <w:vAlign w:val="center"/>
          </w:tcPr>
          <w:p>
            <w:pPr>
              <w:pStyle w:val="TableContents"/>
              <w:spacing w:before="0" w:after="283"/>
              <w:rPr/>
            </w:pPr>
            <w:r>
              <w:rPr/>
              <w:t>Spread to Benchmark Treasury</w:t>
              <w:tab/>
            </w:r>
          </w:p>
        </w:tc>
        <w:tc>
          <w:tcPr>
            <w:tcW w:w="8810" w:type="dxa"/>
            <w:tcBorders/>
            <w:shd w:fill="auto" w:val="clear"/>
            <w:vAlign w:val="center"/>
          </w:tcPr>
          <w:p>
            <w:pPr>
              <w:pStyle w:val="TableContents"/>
              <w:spacing w:before="0" w:after="283"/>
              <w:ind w:left="0" w:right="0" w:hanging="0"/>
              <w:rPr/>
            </w:pPr>
            <w:r>
              <w:rPr/>
              <w:t>+95 bps</w:t>
            </w:r>
          </w:p>
        </w:tc>
      </w:tr>
      <w:tr>
        <w:trPr/>
        <w:tc>
          <w:tcPr>
            <w:tcW w:w="1395" w:type="dxa"/>
            <w:tcBorders/>
            <w:shd w:fill="auto" w:val="clear"/>
            <w:vAlign w:val="center"/>
          </w:tcPr>
          <w:p>
            <w:pPr>
              <w:pStyle w:val="TableContents"/>
              <w:spacing w:before="0" w:after="283"/>
              <w:rPr/>
            </w:pPr>
            <w:r>
              <w:rPr/>
              <w:t>Yield to Maturity</w:t>
              <w:tab/>
            </w:r>
          </w:p>
        </w:tc>
        <w:tc>
          <w:tcPr>
            <w:tcW w:w="8810" w:type="dxa"/>
            <w:tcBorders/>
            <w:shd w:fill="auto" w:val="clear"/>
            <w:vAlign w:val="center"/>
          </w:tcPr>
          <w:p>
            <w:pPr>
              <w:pStyle w:val="TableContents"/>
              <w:spacing w:before="0" w:after="283"/>
              <w:ind w:left="0" w:right="0" w:hanging="0"/>
              <w:rPr/>
            </w:pPr>
            <w:r>
              <w:rPr/>
              <w:t>4.591%</w:t>
            </w:r>
          </w:p>
        </w:tc>
      </w:tr>
      <w:tr>
        <w:trPr/>
        <w:tc>
          <w:tcPr>
            <w:tcW w:w="1395" w:type="dxa"/>
            <w:tcBorders/>
            <w:shd w:fill="auto" w:val="clear"/>
            <w:vAlign w:val="center"/>
          </w:tcPr>
          <w:p>
            <w:pPr>
              <w:pStyle w:val="TableContents"/>
              <w:spacing w:before="0" w:after="283"/>
              <w:rPr/>
            </w:pPr>
            <w:r>
              <w:rPr/>
              <w:t>Optional Redemption</w:t>
              <w:tab/>
            </w:r>
          </w:p>
        </w:tc>
        <w:tc>
          <w:tcPr>
            <w:tcW w:w="881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15, 2028 (one (1) month prior to the maturity date of the 4.550% Notes due 2029) (the “</w:t>
            </w:r>
            <w:r>
              <w:rPr>
                <w:rFonts w:ascii="Times New Roman;Times;Serif" w:hAnsi="Times New Roman;Times;Serif"/>
                <w:b/>
                <w:i w:val="false"/>
                <w:caps w:val="false"/>
                <w:smallCaps w:val="false"/>
                <w:sz w:val="20"/>
              </w:rPr>
              <w:t>2029 Par Call Date</w:t>
            </w:r>
            <w:r>
              <w:rPr>
                <w:rFonts w:ascii="Times New Roman;Times;Serif" w:hAnsi="Times New Roman;Times;Serif"/>
                <w:b w:val="false"/>
                <w:i w:val="false"/>
                <w:caps w:val="false"/>
                <w:smallCaps w:val="false"/>
                <w:sz w:val="20"/>
              </w:rPr>
              <w:t>”), the Company may redeem the 4.550% Notes due 2029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4.550% Notes due 2029 matured on the 2029 Par Call Date) on a semi-annual basis (assuming a 360-day year consisting of twelve 30-day months) at the Treasury Rate (as defined below) plus 15 basis points, less (b) interest accrued to the date of redemption, and (2) 100% of the principal amount of the 4.550% Notes due 2029 to be</w:t>
            </w:r>
          </w:p>
        </w:tc>
      </w:tr>
    </w:tbl>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65"/>
        <w:gridCol w:w="8540"/>
      </w:tblGrid>
      <w:tr>
        <w:trPr/>
        <w:tc>
          <w:tcPr>
            <w:tcW w:w="1665" w:type="dxa"/>
            <w:tcBorders/>
            <w:shd w:fill="auto" w:val="clear"/>
            <w:vAlign w:val="center"/>
          </w:tcPr>
          <w:p>
            <w:pPr>
              <w:pStyle w:val="TableContents"/>
              <w:spacing w:before="0" w:after="283"/>
              <w:ind w:left="0" w:right="0" w:hanging="0"/>
              <w:rPr/>
            </w:pPr>
            <w:r>
              <w:rPr/>
              <w:t> </w:t>
            </w:r>
          </w:p>
        </w:tc>
        <w:tc>
          <w:tcPr>
            <w:tcW w:w="85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2029 Par Call Date, the Company may redeem the 4.550% Notes due 2029, in whole or in part, at any time and from time to time, at a redemption price equal to 100% of the principal amount of the 4.550% Notes due 2029 being redeemed plus accrued and unpaid interest thereon to the redemption date.</w:t>
            </w:r>
          </w:p>
        </w:tc>
      </w:tr>
      <w:tr>
        <w:trPr/>
        <w:tc>
          <w:tcPr>
            <w:tcW w:w="1665" w:type="dxa"/>
            <w:tcBorders/>
            <w:shd w:fill="auto" w:val="clear"/>
            <w:vAlign w:val="center"/>
          </w:tcPr>
          <w:p>
            <w:pPr>
              <w:pStyle w:val="TableContents"/>
              <w:spacing w:before="0" w:after="283"/>
              <w:rPr/>
            </w:pPr>
            <w:r>
              <w:rPr/>
              <w:t>Additional Issuances</w:t>
              <w:tab/>
            </w:r>
          </w:p>
        </w:tc>
        <w:tc>
          <w:tcPr>
            <w:tcW w:w="8540" w:type="dxa"/>
            <w:tcBorders/>
            <w:shd w:fill="auto" w:val="clear"/>
            <w:vAlign w:val="center"/>
          </w:tcPr>
          <w:p>
            <w:pPr>
              <w:pStyle w:val="TableContents"/>
              <w:spacing w:before="0" w:after="283"/>
              <w:ind w:left="0" w:right="0" w:hanging="0"/>
              <w:rPr/>
            </w:pPr>
            <w:r>
              <w:rPr/>
              <w:t>An unlimited amount of additional 4.550% Notes due 2029 may be issued. The 4.550% Notes due 2029 and any additional 4.550% Notes due 2029 that may be issued may be treated as a single series for all purposes under the Indenture.</w:t>
            </w:r>
          </w:p>
        </w:tc>
      </w:tr>
      <w:tr>
        <w:trPr/>
        <w:tc>
          <w:tcPr>
            <w:tcW w:w="1665" w:type="dxa"/>
            <w:tcBorders/>
            <w:shd w:fill="auto" w:val="clear"/>
            <w:vAlign w:val="center"/>
          </w:tcPr>
          <w:p>
            <w:pPr>
              <w:pStyle w:val="TableContents"/>
              <w:spacing w:before="0" w:after="283"/>
              <w:rPr/>
            </w:pPr>
            <w:r>
              <w:rPr/>
              <w:t>CUSIP / ISIN</w:t>
              <w:tab/>
            </w:r>
          </w:p>
        </w:tc>
        <w:tc>
          <w:tcPr>
            <w:tcW w:w="8540" w:type="dxa"/>
            <w:tcBorders/>
            <w:shd w:fill="auto" w:val="clear"/>
            <w:vAlign w:val="center"/>
          </w:tcPr>
          <w:p>
            <w:pPr>
              <w:pStyle w:val="TableContents"/>
              <w:spacing w:before="0" w:after="283"/>
              <w:ind w:left="0" w:right="0" w:hanging="0"/>
              <w:rPr/>
            </w:pPr>
            <w:r>
              <w:rPr/>
              <w:t>20030N ED9 / US20030NED93</w:t>
            </w:r>
          </w:p>
        </w:tc>
      </w:tr>
      <w:tr>
        <w:trPr/>
        <w:tc>
          <w:tcPr>
            <w:tcW w:w="1665" w:type="dxa"/>
            <w:tcBorders/>
            <w:shd w:fill="auto" w:val="clear"/>
            <w:vAlign w:val="center"/>
          </w:tcPr>
          <w:p>
            <w:pPr>
              <w:pStyle w:val="TableContents"/>
              <w:spacing w:before="0" w:after="283"/>
              <w:rPr/>
            </w:pPr>
            <w:r>
              <w:rPr/>
              <w:t>Public Offering Price</w:t>
              <w:tab/>
            </w:r>
          </w:p>
        </w:tc>
        <w:tc>
          <w:tcPr>
            <w:tcW w:w="8540" w:type="dxa"/>
            <w:tcBorders/>
            <w:shd w:fill="auto" w:val="clear"/>
            <w:vAlign w:val="center"/>
          </w:tcPr>
          <w:p>
            <w:pPr>
              <w:pStyle w:val="TableContents"/>
              <w:spacing w:before="0" w:after="283"/>
              <w:ind w:left="0" w:right="0" w:hanging="0"/>
              <w:rPr/>
            </w:pPr>
            <w:r>
              <w:rPr/>
              <w:t>99.784% plus accrued interest, if any, from May 9, 2023</w:t>
            </w:r>
          </w:p>
        </w:tc>
      </w:tr>
      <w:tr>
        <w:trPr/>
        <w:tc>
          <w:tcPr>
            <w:tcW w:w="1665" w:type="dxa"/>
            <w:tcBorders/>
            <w:shd w:fill="auto" w:val="clear"/>
            <w:vAlign w:val="center"/>
          </w:tcPr>
          <w:p>
            <w:pPr>
              <w:pStyle w:val="TableContents"/>
              <w:spacing w:before="0" w:after="283"/>
              <w:rPr/>
            </w:pPr>
            <w:r>
              <w:rPr/>
              <w:t>Underwriters’ Discount</w:t>
              <w:tab/>
            </w:r>
          </w:p>
        </w:tc>
        <w:tc>
          <w:tcPr>
            <w:tcW w:w="8540" w:type="dxa"/>
            <w:tcBorders/>
            <w:shd w:fill="auto" w:val="clear"/>
            <w:vAlign w:val="center"/>
          </w:tcPr>
          <w:p>
            <w:pPr>
              <w:pStyle w:val="TableContents"/>
              <w:spacing w:before="0" w:after="283"/>
              <w:ind w:left="0" w:right="0" w:hanging="0"/>
              <w:rPr/>
            </w:pPr>
            <w:r>
              <w:rPr/>
              <w:t>0.250%</w:t>
            </w:r>
          </w:p>
        </w:tc>
      </w:tr>
      <w:tr>
        <w:trPr/>
        <w:tc>
          <w:tcPr>
            <w:tcW w:w="1665" w:type="dxa"/>
            <w:tcBorders/>
            <w:shd w:fill="auto" w:val="clear"/>
            <w:vAlign w:val="center"/>
          </w:tcPr>
          <w:p>
            <w:pPr>
              <w:pStyle w:val="TableContents"/>
              <w:spacing w:before="0" w:after="283"/>
              <w:rPr/>
            </w:pPr>
            <w:r>
              <w:rPr/>
              <w:t>Net Proceeds to Comcast, Before Expenses</w:t>
              <w:tab/>
            </w:r>
          </w:p>
        </w:tc>
        <w:tc>
          <w:tcPr>
            <w:tcW w:w="8540" w:type="dxa"/>
            <w:tcBorders/>
            <w:shd w:fill="auto" w:val="clear"/>
            <w:vAlign w:val="center"/>
          </w:tcPr>
          <w:p>
            <w:pPr>
              <w:pStyle w:val="TableContents"/>
              <w:spacing w:before="0" w:after="283"/>
              <w:rPr/>
            </w:pPr>
            <w:r>
              <w:rPr/>
              <w:t>99.534% per $1,000 principal amount of 4.550% Notes due 2029; $995,340,000 total</w:t>
            </w:r>
          </w:p>
        </w:tc>
      </w:tr>
      <w:tr>
        <w:trPr/>
        <w:tc>
          <w:tcPr>
            <w:tcW w:w="1665" w:type="dxa"/>
            <w:tcBorders/>
            <w:shd w:fill="auto" w:val="clear"/>
            <w:vAlign w:val="center"/>
          </w:tcPr>
          <w:p>
            <w:pPr>
              <w:pStyle w:val="TableContents"/>
              <w:spacing w:before="0" w:after="283"/>
              <w:rPr>
                <w:b/>
              </w:rPr>
            </w:pPr>
            <w:r>
              <w:rPr>
                <w:b/>
              </w:rPr>
              <w:t>4.800% Notes Due 2033</w:t>
            </w:r>
          </w:p>
        </w:tc>
        <w:tc>
          <w:tcPr>
            <w:tcW w:w="8540" w:type="dxa"/>
            <w:tcBorders/>
            <w:shd w:fill="auto" w:val="clear"/>
            <w:vAlign w:val="center"/>
          </w:tcPr>
          <w:p>
            <w:pPr>
              <w:pStyle w:val="TableContents"/>
              <w:spacing w:before="0" w:after="283"/>
              <w:ind w:left="0" w:right="0" w:hanging="0"/>
              <w:rPr/>
            </w:pPr>
            <w:r>
              <w:rPr/>
              <w:t> </w:t>
            </w:r>
          </w:p>
        </w:tc>
      </w:tr>
      <w:tr>
        <w:trPr/>
        <w:tc>
          <w:tcPr>
            <w:tcW w:w="1665" w:type="dxa"/>
            <w:tcBorders/>
            <w:shd w:fill="auto" w:val="clear"/>
            <w:vAlign w:val="center"/>
          </w:tcPr>
          <w:p>
            <w:pPr>
              <w:pStyle w:val="TableContents"/>
              <w:spacing w:before="0" w:after="283"/>
              <w:rPr/>
            </w:pPr>
            <w:r>
              <w:rPr/>
              <w:t>Aggregate Principal Amount</w:t>
              <w:tab/>
            </w:r>
          </w:p>
        </w:tc>
        <w:tc>
          <w:tcPr>
            <w:tcW w:w="8540" w:type="dxa"/>
            <w:tcBorders/>
            <w:shd w:fill="auto" w:val="clear"/>
            <w:vAlign w:val="center"/>
          </w:tcPr>
          <w:p>
            <w:pPr>
              <w:pStyle w:val="TableContents"/>
              <w:spacing w:before="0" w:after="283"/>
              <w:ind w:left="0" w:right="0" w:hanging="0"/>
              <w:rPr/>
            </w:pPr>
            <w:r>
              <w:rPr/>
              <w:t>$1,000,000,000</w:t>
            </w:r>
          </w:p>
        </w:tc>
      </w:tr>
      <w:tr>
        <w:trPr/>
        <w:tc>
          <w:tcPr>
            <w:tcW w:w="1665" w:type="dxa"/>
            <w:tcBorders/>
            <w:shd w:fill="auto" w:val="clear"/>
            <w:vAlign w:val="center"/>
          </w:tcPr>
          <w:p>
            <w:pPr>
              <w:pStyle w:val="TableContents"/>
              <w:spacing w:before="0" w:after="283"/>
              <w:rPr/>
            </w:pPr>
            <w:r>
              <w:rPr/>
              <w:t>Maturity Date</w:t>
              <w:tab/>
            </w:r>
          </w:p>
        </w:tc>
        <w:tc>
          <w:tcPr>
            <w:tcW w:w="8540" w:type="dxa"/>
            <w:tcBorders/>
            <w:shd w:fill="auto" w:val="clear"/>
            <w:vAlign w:val="center"/>
          </w:tcPr>
          <w:p>
            <w:pPr>
              <w:pStyle w:val="TableContents"/>
              <w:spacing w:before="0" w:after="283"/>
              <w:ind w:left="0" w:right="0" w:hanging="0"/>
              <w:rPr/>
            </w:pPr>
            <w:r>
              <w:rPr/>
              <w:t>May 15, 2033</w:t>
            </w:r>
          </w:p>
        </w:tc>
      </w:tr>
      <w:tr>
        <w:trPr/>
        <w:tc>
          <w:tcPr>
            <w:tcW w:w="1665" w:type="dxa"/>
            <w:tcBorders/>
            <w:shd w:fill="auto" w:val="clear"/>
            <w:vAlign w:val="center"/>
          </w:tcPr>
          <w:p>
            <w:pPr>
              <w:pStyle w:val="TableContents"/>
              <w:spacing w:before="0" w:after="283"/>
              <w:rPr/>
            </w:pPr>
            <w:r>
              <w:rPr/>
              <w:t>Interest Rate</w:t>
              <w:tab/>
            </w:r>
          </w:p>
        </w:tc>
        <w:tc>
          <w:tcPr>
            <w:tcW w:w="8540" w:type="dxa"/>
            <w:tcBorders/>
            <w:shd w:fill="auto" w:val="clear"/>
            <w:vAlign w:val="center"/>
          </w:tcPr>
          <w:p>
            <w:pPr>
              <w:pStyle w:val="TableContents"/>
              <w:spacing w:before="0" w:after="283"/>
              <w:ind w:left="0" w:right="0" w:hanging="0"/>
              <w:rPr/>
            </w:pPr>
            <w:r>
              <w:rPr/>
              <w:t>4.800% per annum, accruing from May 9, 2023 (calculated on the basis of a 360-day year consisting of twelve 30-day months)</w:t>
            </w:r>
          </w:p>
        </w:tc>
      </w:tr>
      <w:tr>
        <w:trPr/>
        <w:tc>
          <w:tcPr>
            <w:tcW w:w="1665" w:type="dxa"/>
            <w:tcBorders/>
            <w:shd w:fill="auto" w:val="clear"/>
            <w:vAlign w:val="center"/>
          </w:tcPr>
          <w:p>
            <w:pPr>
              <w:pStyle w:val="TableContents"/>
              <w:spacing w:before="0" w:after="283"/>
              <w:rPr/>
            </w:pPr>
            <w:r>
              <w:rPr/>
              <w:t>Interest Payment Dates</w:t>
              <w:tab/>
            </w:r>
          </w:p>
        </w:tc>
        <w:tc>
          <w:tcPr>
            <w:tcW w:w="8540" w:type="dxa"/>
            <w:tcBorders/>
            <w:shd w:fill="auto" w:val="clear"/>
            <w:vAlign w:val="center"/>
          </w:tcPr>
          <w:p>
            <w:pPr>
              <w:pStyle w:val="TableContents"/>
              <w:spacing w:before="0" w:after="283"/>
              <w:ind w:left="0" w:right="0" w:hanging="0"/>
              <w:rPr/>
            </w:pPr>
            <w:r>
              <w:rPr/>
              <w:t>May 15 and November 15, commencing November 15, 2023</w:t>
            </w:r>
          </w:p>
        </w:tc>
      </w:tr>
      <w:tr>
        <w:trPr/>
        <w:tc>
          <w:tcPr>
            <w:tcW w:w="1665" w:type="dxa"/>
            <w:tcBorders/>
            <w:shd w:fill="auto" w:val="clear"/>
            <w:vAlign w:val="center"/>
          </w:tcPr>
          <w:p>
            <w:pPr>
              <w:pStyle w:val="TableContents"/>
              <w:spacing w:before="0" w:after="283"/>
              <w:rPr/>
            </w:pPr>
            <w:r>
              <w:rPr/>
              <w:t>Benchmark Treasury</w:t>
              <w:tab/>
            </w:r>
          </w:p>
        </w:tc>
        <w:tc>
          <w:tcPr>
            <w:tcW w:w="8540" w:type="dxa"/>
            <w:tcBorders/>
            <w:shd w:fill="auto" w:val="clear"/>
            <w:vAlign w:val="center"/>
          </w:tcPr>
          <w:p>
            <w:pPr>
              <w:pStyle w:val="TableContents"/>
              <w:spacing w:before="0" w:after="283"/>
              <w:ind w:left="0" w:right="0" w:hanging="0"/>
              <w:rPr/>
            </w:pPr>
            <w:r>
              <w:rPr/>
              <w:t>UST 3.500% due February 15, 2033</w:t>
            </w:r>
          </w:p>
        </w:tc>
      </w:tr>
      <w:tr>
        <w:trPr/>
        <w:tc>
          <w:tcPr>
            <w:tcW w:w="1665" w:type="dxa"/>
            <w:tcBorders/>
            <w:shd w:fill="auto" w:val="clear"/>
            <w:vAlign w:val="center"/>
          </w:tcPr>
          <w:p>
            <w:pPr>
              <w:pStyle w:val="TableContents"/>
              <w:spacing w:before="0" w:after="283"/>
              <w:rPr/>
            </w:pPr>
            <w:r>
              <w:rPr/>
              <w:t>Benchmark Treasury Price/Yield</w:t>
              <w:tab/>
            </w:r>
          </w:p>
        </w:tc>
        <w:tc>
          <w:tcPr>
            <w:tcW w:w="8540" w:type="dxa"/>
            <w:tcBorders/>
            <w:shd w:fill="auto" w:val="clear"/>
            <w:vAlign w:val="center"/>
          </w:tcPr>
          <w:p>
            <w:pPr>
              <w:pStyle w:val="TableContents"/>
              <w:spacing w:before="0" w:after="283"/>
              <w:ind w:left="0" w:right="0" w:hanging="0"/>
              <w:rPr/>
            </w:pPr>
            <w:r>
              <w:rPr/>
              <w:t>99-08+ / 3.589%</w:t>
            </w:r>
          </w:p>
        </w:tc>
      </w:tr>
      <w:tr>
        <w:trPr/>
        <w:tc>
          <w:tcPr>
            <w:tcW w:w="1665" w:type="dxa"/>
            <w:tcBorders/>
            <w:shd w:fill="auto" w:val="clear"/>
            <w:vAlign w:val="center"/>
          </w:tcPr>
          <w:p>
            <w:pPr>
              <w:pStyle w:val="TableContents"/>
              <w:spacing w:before="0" w:after="283"/>
              <w:rPr/>
            </w:pPr>
            <w:r>
              <w:rPr/>
              <w:t>Spread to Benchmark Treasury</w:t>
              <w:tab/>
            </w:r>
          </w:p>
        </w:tc>
        <w:tc>
          <w:tcPr>
            <w:tcW w:w="8540" w:type="dxa"/>
            <w:tcBorders/>
            <w:shd w:fill="auto" w:val="clear"/>
            <w:vAlign w:val="center"/>
          </w:tcPr>
          <w:p>
            <w:pPr>
              <w:pStyle w:val="TableContents"/>
              <w:spacing w:before="0" w:after="283"/>
              <w:ind w:left="0" w:right="0" w:hanging="0"/>
              <w:rPr/>
            </w:pPr>
            <w:r>
              <w:rPr/>
              <w:t>+125 bps</w:t>
            </w:r>
          </w:p>
        </w:tc>
      </w:tr>
      <w:tr>
        <w:trPr/>
        <w:tc>
          <w:tcPr>
            <w:tcW w:w="1665" w:type="dxa"/>
            <w:tcBorders/>
            <w:shd w:fill="auto" w:val="clear"/>
            <w:vAlign w:val="center"/>
          </w:tcPr>
          <w:p>
            <w:pPr>
              <w:pStyle w:val="TableContents"/>
              <w:spacing w:before="0" w:after="283"/>
              <w:rPr/>
            </w:pPr>
            <w:r>
              <w:rPr/>
              <w:t>Yield to Maturity</w:t>
              <w:tab/>
            </w:r>
          </w:p>
        </w:tc>
        <w:tc>
          <w:tcPr>
            <w:tcW w:w="8540" w:type="dxa"/>
            <w:tcBorders/>
            <w:shd w:fill="auto" w:val="clear"/>
            <w:vAlign w:val="center"/>
          </w:tcPr>
          <w:p>
            <w:pPr>
              <w:pStyle w:val="TableContents"/>
              <w:spacing w:before="0" w:after="283"/>
              <w:ind w:left="0" w:right="0" w:hanging="0"/>
              <w:rPr/>
            </w:pPr>
            <w:r>
              <w:rPr/>
              <w:t>4.839%</w:t>
            </w:r>
          </w:p>
        </w:tc>
      </w:tr>
      <w:tr>
        <w:trPr/>
        <w:tc>
          <w:tcPr>
            <w:tcW w:w="1665" w:type="dxa"/>
            <w:tcBorders/>
            <w:shd w:fill="auto" w:val="clear"/>
            <w:vAlign w:val="center"/>
          </w:tcPr>
          <w:p>
            <w:pPr>
              <w:pStyle w:val="TableContents"/>
              <w:spacing w:before="0" w:after="283"/>
              <w:rPr/>
            </w:pPr>
            <w:r>
              <w:rPr/>
              <w:t>Optional Redemption</w:t>
              <w:tab/>
            </w:r>
          </w:p>
        </w:tc>
        <w:tc>
          <w:tcPr>
            <w:tcW w:w="85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February 15, 2033 (three (3) months prior to the maturity date of the 4.800% Notes due 2033) (the “</w:t>
            </w:r>
            <w:r>
              <w:rPr>
                <w:rFonts w:ascii="Times New Roman;Times;Serif" w:hAnsi="Times New Roman;Times;Serif"/>
                <w:b/>
                <w:i w:val="false"/>
                <w:caps w:val="false"/>
                <w:smallCaps w:val="false"/>
                <w:sz w:val="20"/>
              </w:rPr>
              <w:t>2033 Par Call Date</w:t>
            </w:r>
            <w:r>
              <w:rPr>
                <w:rFonts w:ascii="Times New Roman;Times;Serif" w:hAnsi="Times New Roman;Times;Serif"/>
                <w:b w:val="false"/>
                <w:i w:val="false"/>
                <w:caps w:val="false"/>
                <w:smallCaps w:val="false"/>
                <w:sz w:val="20"/>
              </w:rPr>
              <w:t>”), the Company may redeem the 4.800% Notes due 2033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4.800% Notes due 2033 matured on the 2033 Par Call Date) on a semi-annual basis (assuming a 360-day year consisting of twelve 30-day months) at the Treasury Rate (as defined below) plus 20 basis points, less (b) interest</w:t>
            </w:r>
          </w:p>
        </w:tc>
      </w:tr>
    </w:tbl>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19"/>
        <w:gridCol w:w="8486"/>
      </w:tblGrid>
      <w:tr>
        <w:trPr/>
        <w:tc>
          <w:tcPr>
            <w:tcW w:w="1719" w:type="dxa"/>
            <w:tcBorders/>
            <w:shd w:fill="auto" w:val="clear"/>
            <w:vAlign w:val="center"/>
          </w:tcPr>
          <w:p>
            <w:pPr>
              <w:pStyle w:val="TableContents"/>
              <w:spacing w:before="0" w:after="283"/>
              <w:ind w:left="0" w:right="0" w:hanging="0"/>
              <w:rPr/>
            </w:pPr>
            <w:r>
              <w:rPr/>
              <w:t> </w:t>
            </w:r>
          </w:p>
        </w:tc>
        <w:tc>
          <w:tcPr>
            <w:tcW w:w="848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to the date of redemption, and (2) 100% of the principal amount of the 4.800% Notes due 2033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2033 Par Call Date, the Company may redeem the 4.800% Notes due 2033, in whole or in part, at any time and from time to time, at a redemption price equal to 100% of the principal amount of the 4.800% Notes due 2033 being redeemed plus accrued and unpaid interest thereon to the redemption date.</w:t>
            </w:r>
          </w:p>
        </w:tc>
      </w:tr>
      <w:tr>
        <w:trPr/>
        <w:tc>
          <w:tcPr>
            <w:tcW w:w="1719" w:type="dxa"/>
            <w:tcBorders/>
            <w:shd w:fill="auto" w:val="clear"/>
            <w:vAlign w:val="center"/>
          </w:tcPr>
          <w:p>
            <w:pPr>
              <w:pStyle w:val="TableContents"/>
              <w:spacing w:before="0" w:after="283"/>
              <w:rPr/>
            </w:pPr>
            <w:r>
              <w:rPr/>
              <w:t>Additional Issuances</w:t>
              <w:tab/>
            </w:r>
          </w:p>
        </w:tc>
        <w:tc>
          <w:tcPr>
            <w:tcW w:w="8486" w:type="dxa"/>
            <w:tcBorders/>
            <w:shd w:fill="auto" w:val="clear"/>
            <w:vAlign w:val="center"/>
          </w:tcPr>
          <w:p>
            <w:pPr>
              <w:pStyle w:val="TableContents"/>
              <w:spacing w:before="0" w:after="283"/>
              <w:ind w:left="0" w:right="0" w:hanging="0"/>
              <w:rPr/>
            </w:pPr>
            <w:r>
              <w:rPr/>
              <w:t>An unlimited amount of additional 4.800% Notes due 2033 may be issued. The 4.800% Notes due 2033 and any additional 4.800% Notes due 2033 that may be issued may be treated as a single series for all purposes under the Indenture.</w:t>
            </w:r>
          </w:p>
        </w:tc>
      </w:tr>
      <w:tr>
        <w:trPr/>
        <w:tc>
          <w:tcPr>
            <w:tcW w:w="1719" w:type="dxa"/>
            <w:tcBorders/>
            <w:shd w:fill="auto" w:val="clear"/>
            <w:vAlign w:val="center"/>
          </w:tcPr>
          <w:p>
            <w:pPr>
              <w:pStyle w:val="TableContents"/>
              <w:spacing w:before="0" w:after="283"/>
              <w:rPr/>
            </w:pPr>
            <w:r>
              <w:rPr/>
              <w:t>CUSIP / ISIN</w:t>
              <w:tab/>
            </w:r>
          </w:p>
        </w:tc>
        <w:tc>
          <w:tcPr>
            <w:tcW w:w="8486" w:type="dxa"/>
            <w:tcBorders/>
            <w:shd w:fill="auto" w:val="clear"/>
            <w:vAlign w:val="center"/>
          </w:tcPr>
          <w:p>
            <w:pPr>
              <w:pStyle w:val="TableContents"/>
              <w:spacing w:before="0" w:after="283"/>
              <w:ind w:left="0" w:right="0" w:hanging="0"/>
              <w:rPr/>
            </w:pPr>
            <w:r>
              <w:rPr/>
              <w:t>20030N EE7 / US20030NEE76</w:t>
            </w:r>
          </w:p>
        </w:tc>
      </w:tr>
      <w:tr>
        <w:trPr/>
        <w:tc>
          <w:tcPr>
            <w:tcW w:w="1719" w:type="dxa"/>
            <w:tcBorders/>
            <w:shd w:fill="auto" w:val="clear"/>
            <w:vAlign w:val="center"/>
          </w:tcPr>
          <w:p>
            <w:pPr>
              <w:pStyle w:val="TableContents"/>
              <w:spacing w:before="0" w:after="283"/>
              <w:rPr/>
            </w:pPr>
            <w:r>
              <w:rPr/>
              <w:t>Public Offering Price</w:t>
              <w:tab/>
            </w:r>
          </w:p>
        </w:tc>
        <w:tc>
          <w:tcPr>
            <w:tcW w:w="8486" w:type="dxa"/>
            <w:tcBorders/>
            <w:shd w:fill="auto" w:val="clear"/>
            <w:vAlign w:val="center"/>
          </w:tcPr>
          <w:p>
            <w:pPr>
              <w:pStyle w:val="TableContents"/>
              <w:spacing w:before="0" w:after="283"/>
              <w:ind w:left="0" w:right="0" w:hanging="0"/>
              <w:rPr/>
            </w:pPr>
            <w:r>
              <w:rPr/>
              <w:t>99.692% plus accrued interest, if any, from May 9, 2023</w:t>
            </w:r>
          </w:p>
        </w:tc>
      </w:tr>
      <w:tr>
        <w:trPr/>
        <w:tc>
          <w:tcPr>
            <w:tcW w:w="1719" w:type="dxa"/>
            <w:tcBorders/>
            <w:shd w:fill="auto" w:val="clear"/>
            <w:vAlign w:val="center"/>
          </w:tcPr>
          <w:p>
            <w:pPr>
              <w:pStyle w:val="TableContents"/>
              <w:spacing w:before="0" w:after="283"/>
              <w:rPr/>
            </w:pPr>
            <w:r>
              <w:rPr/>
              <w:t>Underwriters’ Discount</w:t>
              <w:tab/>
            </w:r>
          </w:p>
        </w:tc>
        <w:tc>
          <w:tcPr>
            <w:tcW w:w="8486" w:type="dxa"/>
            <w:tcBorders/>
            <w:shd w:fill="auto" w:val="clear"/>
            <w:vAlign w:val="center"/>
          </w:tcPr>
          <w:p>
            <w:pPr>
              <w:pStyle w:val="TableContents"/>
              <w:spacing w:before="0" w:after="283"/>
              <w:ind w:left="0" w:right="0" w:hanging="0"/>
              <w:rPr/>
            </w:pPr>
            <w:r>
              <w:rPr/>
              <w:t>0.400%</w:t>
            </w:r>
          </w:p>
        </w:tc>
      </w:tr>
      <w:tr>
        <w:trPr/>
        <w:tc>
          <w:tcPr>
            <w:tcW w:w="1719" w:type="dxa"/>
            <w:tcBorders/>
            <w:shd w:fill="auto" w:val="clear"/>
            <w:vAlign w:val="center"/>
          </w:tcPr>
          <w:p>
            <w:pPr>
              <w:pStyle w:val="TableContents"/>
              <w:spacing w:before="0" w:after="283"/>
              <w:rPr/>
            </w:pPr>
            <w:r>
              <w:rPr/>
              <w:t>Net Proceeds to Comcast, Before Expenses</w:t>
              <w:tab/>
            </w:r>
          </w:p>
        </w:tc>
        <w:tc>
          <w:tcPr>
            <w:tcW w:w="8486" w:type="dxa"/>
            <w:tcBorders/>
            <w:shd w:fill="auto" w:val="clear"/>
            <w:vAlign w:val="center"/>
          </w:tcPr>
          <w:p>
            <w:pPr>
              <w:pStyle w:val="TableContents"/>
              <w:spacing w:before="0" w:after="283"/>
              <w:rPr/>
            </w:pPr>
            <w:r>
              <w:rPr/>
              <w:t>99.292% per $1,000 principal amount of 4.800% Notes due 2033; $992,920,000 total</w:t>
            </w:r>
          </w:p>
        </w:tc>
      </w:tr>
      <w:tr>
        <w:trPr/>
        <w:tc>
          <w:tcPr>
            <w:tcW w:w="1719" w:type="dxa"/>
            <w:tcBorders/>
            <w:shd w:fill="auto" w:val="clear"/>
            <w:vAlign w:val="center"/>
          </w:tcPr>
          <w:p>
            <w:pPr>
              <w:pStyle w:val="TableContents"/>
              <w:spacing w:before="0" w:after="283"/>
              <w:rPr>
                <w:b/>
              </w:rPr>
            </w:pPr>
            <w:r>
              <w:rPr>
                <w:b/>
              </w:rPr>
              <w:t>5.350% Notes Due 2053</w:t>
            </w:r>
          </w:p>
        </w:tc>
        <w:tc>
          <w:tcPr>
            <w:tcW w:w="8486" w:type="dxa"/>
            <w:tcBorders/>
            <w:shd w:fill="auto" w:val="clear"/>
            <w:vAlign w:val="center"/>
          </w:tcPr>
          <w:p>
            <w:pPr>
              <w:pStyle w:val="TableContents"/>
              <w:spacing w:before="0" w:after="283"/>
              <w:ind w:left="0" w:right="0" w:hanging="0"/>
              <w:rPr/>
            </w:pPr>
            <w:r>
              <w:rPr/>
              <w:t> </w:t>
            </w:r>
          </w:p>
        </w:tc>
      </w:tr>
      <w:tr>
        <w:trPr/>
        <w:tc>
          <w:tcPr>
            <w:tcW w:w="1719" w:type="dxa"/>
            <w:tcBorders/>
            <w:shd w:fill="auto" w:val="clear"/>
            <w:vAlign w:val="center"/>
          </w:tcPr>
          <w:p>
            <w:pPr>
              <w:pStyle w:val="TableContents"/>
              <w:spacing w:before="0" w:after="283"/>
              <w:rPr/>
            </w:pPr>
            <w:r>
              <w:rPr/>
              <w:t>Aggregate Principal Amount</w:t>
              <w:tab/>
            </w:r>
          </w:p>
        </w:tc>
        <w:tc>
          <w:tcPr>
            <w:tcW w:w="8486" w:type="dxa"/>
            <w:tcBorders/>
            <w:shd w:fill="auto" w:val="clear"/>
            <w:vAlign w:val="center"/>
          </w:tcPr>
          <w:p>
            <w:pPr>
              <w:pStyle w:val="TableContents"/>
              <w:spacing w:before="0" w:after="283"/>
              <w:ind w:left="0" w:right="0" w:hanging="0"/>
              <w:rPr/>
            </w:pPr>
            <w:r>
              <w:rPr/>
              <w:t>$1,600,000,000</w:t>
            </w:r>
          </w:p>
        </w:tc>
      </w:tr>
      <w:tr>
        <w:trPr/>
        <w:tc>
          <w:tcPr>
            <w:tcW w:w="1719" w:type="dxa"/>
            <w:tcBorders/>
            <w:shd w:fill="auto" w:val="clear"/>
            <w:vAlign w:val="center"/>
          </w:tcPr>
          <w:p>
            <w:pPr>
              <w:pStyle w:val="TableContents"/>
              <w:spacing w:before="0" w:after="283"/>
              <w:rPr/>
            </w:pPr>
            <w:r>
              <w:rPr/>
              <w:t>Maturity Date</w:t>
              <w:tab/>
            </w:r>
          </w:p>
        </w:tc>
        <w:tc>
          <w:tcPr>
            <w:tcW w:w="8486" w:type="dxa"/>
            <w:tcBorders/>
            <w:shd w:fill="auto" w:val="clear"/>
            <w:vAlign w:val="center"/>
          </w:tcPr>
          <w:p>
            <w:pPr>
              <w:pStyle w:val="TableContents"/>
              <w:spacing w:before="0" w:after="283"/>
              <w:ind w:left="0" w:right="0" w:hanging="0"/>
              <w:rPr/>
            </w:pPr>
            <w:r>
              <w:rPr/>
              <w:t>May 15, 2053</w:t>
            </w:r>
          </w:p>
        </w:tc>
      </w:tr>
      <w:tr>
        <w:trPr/>
        <w:tc>
          <w:tcPr>
            <w:tcW w:w="1719" w:type="dxa"/>
            <w:tcBorders/>
            <w:shd w:fill="auto" w:val="clear"/>
            <w:vAlign w:val="center"/>
          </w:tcPr>
          <w:p>
            <w:pPr>
              <w:pStyle w:val="TableContents"/>
              <w:spacing w:before="0" w:after="283"/>
              <w:rPr/>
            </w:pPr>
            <w:r>
              <w:rPr/>
              <w:t>Interest Rate</w:t>
              <w:tab/>
            </w:r>
          </w:p>
        </w:tc>
        <w:tc>
          <w:tcPr>
            <w:tcW w:w="8486" w:type="dxa"/>
            <w:tcBorders/>
            <w:shd w:fill="auto" w:val="clear"/>
            <w:vAlign w:val="center"/>
          </w:tcPr>
          <w:p>
            <w:pPr>
              <w:pStyle w:val="TableContents"/>
              <w:spacing w:before="0" w:after="283"/>
              <w:ind w:left="0" w:right="0" w:hanging="0"/>
              <w:rPr/>
            </w:pPr>
            <w:r>
              <w:rPr/>
              <w:t>5.350% per annum, accruing from May 9, 2023 (calculated on the basis of a 360-day year consisting of twelve 30-day months)</w:t>
            </w:r>
          </w:p>
        </w:tc>
      </w:tr>
      <w:tr>
        <w:trPr/>
        <w:tc>
          <w:tcPr>
            <w:tcW w:w="1719" w:type="dxa"/>
            <w:tcBorders/>
            <w:shd w:fill="auto" w:val="clear"/>
            <w:vAlign w:val="center"/>
          </w:tcPr>
          <w:p>
            <w:pPr>
              <w:pStyle w:val="TableContents"/>
              <w:spacing w:before="0" w:after="283"/>
              <w:rPr/>
            </w:pPr>
            <w:r>
              <w:rPr/>
              <w:t>Interest Payment Dates</w:t>
              <w:tab/>
            </w:r>
          </w:p>
        </w:tc>
        <w:tc>
          <w:tcPr>
            <w:tcW w:w="8486" w:type="dxa"/>
            <w:tcBorders/>
            <w:shd w:fill="auto" w:val="clear"/>
            <w:vAlign w:val="center"/>
          </w:tcPr>
          <w:p>
            <w:pPr>
              <w:pStyle w:val="TableContents"/>
              <w:spacing w:before="0" w:after="283"/>
              <w:ind w:left="0" w:right="0" w:hanging="0"/>
              <w:rPr/>
            </w:pPr>
            <w:r>
              <w:rPr/>
              <w:t>May 15 and November 15, commencing November 15, 2023</w:t>
            </w:r>
          </w:p>
        </w:tc>
      </w:tr>
      <w:tr>
        <w:trPr/>
        <w:tc>
          <w:tcPr>
            <w:tcW w:w="1719" w:type="dxa"/>
            <w:tcBorders/>
            <w:shd w:fill="auto" w:val="clear"/>
            <w:vAlign w:val="center"/>
          </w:tcPr>
          <w:p>
            <w:pPr>
              <w:pStyle w:val="TableContents"/>
              <w:spacing w:before="0" w:after="283"/>
              <w:rPr/>
            </w:pPr>
            <w:r>
              <w:rPr/>
              <w:t>Benchmark Treasury</w:t>
              <w:tab/>
            </w:r>
          </w:p>
        </w:tc>
        <w:tc>
          <w:tcPr>
            <w:tcW w:w="8486" w:type="dxa"/>
            <w:tcBorders/>
            <w:shd w:fill="auto" w:val="clear"/>
            <w:vAlign w:val="center"/>
          </w:tcPr>
          <w:p>
            <w:pPr>
              <w:pStyle w:val="TableContents"/>
              <w:spacing w:before="0" w:after="283"/>
              <w:ind w:left="0" w:right="0" w:hanging="0"/>
              <w:rPr/>
            </w:pPr>
            <w:r>
              <w:rPr/>
              <w:t>UST 4.000% due November 15, 2052</w:t>
            </w:r>
          </w:p>
        </w:tc>
      </w:tr>
      <w:tr>
        <w:trPr/>
        <w:tc>
          <w:tcPr>
            <w:tcW w:w="1719" w:type="dxa"/>
            <w:tcBorders/>
            <w:shd w:fill="auto" w:val="clear"/>
            <w:vAlign w:val="center"/>
          </w:tcPr>
          <w:p>
            <w:pPr>
              <w:pStyle w:val="TableContents"/>
              <w:spacing w:before="0" w:after="283"/>
              <w:rPr/>
            </w:pPr>
            <w:r>
              <w:rPr/>
              <w:t>Benchmark Treasury Price/Yield</w:t>
              <w:tab/>
            </w:r>
          </w:p>
        </w:tc>
        <w:tc>
          <w:tcPr>
            <w:tcW w:w="8486" w:type="dxa"/>
            <w:tcBorders/>
            <w:shd w:fill="auto" w:val="clear"/>
            <w:vAlign w:val="center"/>
          </w:tcPr>
          <w:p>
            <w:pPr>
              <w:pStyle w:val="TableContents"/>
              <w:spacing w:before="0" w:after="283"/>
              <w:ind w:left="0" w:right="0" w:hanging="0"/>
              <w:rPr/>
            </w:pPr>
            <w:r>
              <w:rPr/>
              <w:t>103-00 / 3.829%</w:t>
            </w:r>
          </w:p>
        </w:tc>
      </w:tr>
      <w:tr>
        <w:trPr/>
        <w:tc>
          <w:tcPr>
            <w:tcW w:w="1719" w:type="dxa"/>
            <w:tcBorders/>
            <w:shd w:fill="auto" w:val="clear"/>
            <w:vAlign w:val="center"/>
          </w:tcPr>
          <w:p>
            <w:pPr>
              <w:pStyle w:val="TableContents"/>
              <w:spacing w:before="0" w:after="283"/>
              <w:rPr/>
            </w:pPr>
            <w:r>
              <w:rPr/>
              <w:t>Spread to Benchmark Treasury</w:t>
              <w:tab/>
            </w:r>
          </w:p>
        </w:tc>
        <w:tc>
          <w:tcPr>
            <w:tcW w:w="8486" w:type="dxa"/>
            <w:tcBorders/>
            <w:shd w:fill="auto" w:val="clear"/>
            <w:vAlign w:val="center"/>
          </w:tcPr>
          <w:p>
            <w:pPr>
              <w:pStyle w:val="TableContents"/>
              <w:spacing w:before="0" w:after="283"/>
              <w:ind w:left="0" w:right="0" w:hanging="0"/>
              <w:rPr/>
            </w:pPr>
            <w:r>
              <w:rPr/>
              <w:t>+155 bps</w:t>
            </w:r>
          </w:p>
        </w:tc>
      </w:tr>
      <w:tr>
        <w:trPr/>
        <w:tc>
          <w:tcPr>
            <w:tcW w:w="1719" w:type="dxa"/>
            <w:tcBorders/>
            <w:shd w:fill="auto" w:val="clear"/>
            <w:vAlign w:val="center"/>
          </w:tcPr>
          <w:p>
            <w:pPr>
              <w:pStyle w:val="TableContents"/>
              <w:spacing w:before="0" w:after="283"/>
              <w:rPr/>
            </w:pPr>
            <w:r>
              <w:rPr/>
              <w:t>Yield to Maturity</w:t>
              <w:tab/>
            </w:r>
          </w:p>
        </w:tc>
        <w:tc>
          <w:tcPr>
            <w:tcW w:w="8486" w:type="dxa"/>
            <w:tcBorders/>
            <w:shd w:fill="auto" w:val="clear"/>
            <w:vAlign w:val="center"/>
          </w:tcPr>
          <w:p>
            <w:pPr>
              <w:pStyle w:val="TableContents"/>
              <w:spacing w:before="0" w:after="283"/>
              <w:ind w:left="0" w:right="0" w:hanging="0"/>
              <w:rPr/>
            </w:pPr>
            <w:r>
              <w:rPr/>
              <w:t>5.379%</w:t>
            </w:r>
          </w:p>
        </w:tc>
      </w:tr>
      <w:tr>
        <w:trPr/>
        <w:tc>
          <w:tcPr>
            <w:tcW w:w="1719" w:type="dxa"/>
            <w:tcBorders/>
            <w:shd w:fill="auto" w:val="clear"/>
            <w:vAlign w:val="center"/>
          </w:tcPr>
          <w:p>
            <w:pPr>
              <w:pStyle w:val="TableContents"/>
              <w:spacing w:before="0" w:after="283"/>
              <w:rPr/>
            </w:pPr>
            <w:r>
              <w:rPr/>
              <w:t>Optional Redemption</w:t>
              <w:tab/>
            </w:r>
          </w:p>
        </w:tc>
        <w:tc>
          <w:tcPr>
            <w:tcW w:w="848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2052 (six (6) months prior to the maturity date of the 5.350% Notes due 2053) (the “</w:t>
            </w:r>
            <w:r>
              <w:rPr>
                <w:rFonts w:ascii="Times New Roman;Times;Serif" w:hAnsi="Times New Roman;Times;Serif"/>
                <w:b/>
                <w:i w:val="false"/>
                <w:caps w:val="false"/>
                <w:smallCaps w:val="false"/>
                <w:sz w:val="20"/>
              </w:rPr>
              <w:t>2053 Par Call Date</w:t>
            </w:r>
            <w:r>
              <w:rPr>
                <w:rFonts w:ascii="Times New Roman;Times;Serif" w:hAnsi="Times New Roman;Times;Serif"/>
                <w:b w:val="false"/>
                <w:i w:val="false"/>
                <w:caps w:val="false"/>
                <w:smallCaps w:val="false"/>
                <w:sz w:val="20"/>
              </w:rPr>
              <w:t>”), the Company may redeem the 5.350% Notes due 2053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5.350% Notes due 2053 matured on the 2053 Par Call Date) on a semi-annual basis (assuming a 360-day year</w:t>
            </w:r>
          </w:p>
        </w:tc>
      </w:tr>
    </w:tbl>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83"/>
        <w:gridCol w:w="8422"/>
      </w:tblGrid>
      <w:tr>
        <w:trPr/>
        <w:tc>
          <w:tcPr>
            <w:tcW w:w="1783" w:type="dxa"/>
            <w:tcBorders/>
            <w:shd w:fill="auto" w:val="clear"/>
            <w:vAlign w:val="center"/>
          </w:tcPr>
          <w:p>
            <w:pPr>
              <w:pStyle w:val="TableContents"/>
              <w:spacing w:before="0" w:after="283"/>
              <w:ind w:left="0" w:right="0" w:hanging="0"/>
              <w:rPr/>
            </w:pPr>
            <w:r>
              <w:rPr/>
              <w:t> </w:t>
            </w:r>
          </w:p>
        </w:tc>
        <w:tc>
          <w:tcPr>
            <w:tcW w:w="8422"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consisting of twelve 30-day months) at the Treasury Rate (as defined below) plus 25 basis points, less (b) interest accrued to the date of redemption, and (2) 100% of the principal amount of the 5.350% Notes due 2053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2053 Par Call Date, the Company may redeem the 5.350% Notes due 2053, in whole or in part, at any time and from time to time, at a redemption price equal to 100% of the principal amount of the 5.350% Notes due 2053 being redeemed plus accrued and unpaid interest thereon to the redemption date.</w:t>
            </w:r>
          </w:p>
        </w:tc>
      </w:tr>
      <w:tr>
        <w:trPr/>
        <w:tc>
          <w:tcPr>
            <w:tcW w:w="1783" w:type="dxa"/>
            <w:tcBorders/>
            <w:shd w:fill="auto" w:val="clear"/>
            <w:vAlign w:val="center"/>
          </w:tcPr>
          <w:p>
            <w:pPr>
              <w:pStyle w:val="TableContents"/>
              <w:spacing w:before="0" w:after="283"/>
              <w:rPr/>
            </w:pPr>
            <w:r>
              <w:rPr/>
              <w:t>Additional Issuances</w:t>
              <w:tab/>
            </w:r>
          </w:p>
        </w:tc>
        <w:tc>
          <w:tcPr>
            <w:tcW w:w="8422" w:type="dxa"/>
            <w:tcBorders/>
            <w:shd w:fill="auto" w:val="clear"/>
            <w:vAlign w:val="center"/>
          </w:tcPr>
          <w:p>
            <w:pPr>
              <w:pStyle w:val="TableContents"/>
              <w:spacing w:before="0" w:after="283"/>
              <w:ind w:left="0" w:right="0" w:hanging="0"/>
              <w:rPr/>
            </w:pPr>
            <w:r>
              <w:rPr/>
              <w:t>An unlimited amount of additional 5.350% Notes due 2053 may be issued. The 5.350% Notes due 2053 and any additional 5.350% Notes due 2053 that may be issued may be treated as a single series for all purposes under the Indenture.</w:t>
            </w:r>
          </w:p>
        </w:tc>
      </w:tr>
      <w:tr>
        <w:trPr/>
        <w:tc>
          <w:tcPr>
            <w:tcW w:w="1783" w:type="dxa"/>
            <w:tcBorders/>
            <w:shd w:fill="auto" w:val="clear"/>
            <w:vAlign w:val="center"/>
          </w:tcPr>
          <w:p>
            <w:pPr>
              <w:pStyle w:val="TableContents"/>
              <w:spacing w:before="0" w:after="283"/>
              <w:rPr/>
            </w:pPr>
            <w:r>
              <w:rPr/>
              <w:t>CUSIP / ISIN</w:t>
              <w:tab/>
            </w:r>
          </w:p>
        </w:tc>
        <w:tc>
          <w:tcPr>
            <w:tcW w:w="8422" w:type="dxa"/>
            <w:tcBorders/>
            <w:shd w:fill="auto" w:val="clear"/>
            <w:vAlign w:val="center"/>
          </w:tcPr>
          <w:p>
            <w:pPr>
              <w:pStyle w:val="TableContents"/>
              <w:spacing w:before="0" w:after="283"/>
              <w:ind w:left="0" w:right="0" w:hanging="0"/>
              <w:rPr/>
            </w:pPr>
            <w:r>
              <w:rPr/>
              <w:t>20030N EF4 / US20030NEF42</w:t>
            </w:r>
          </w:p>
        </w:tc>
      </w:tr>
      <w:tr>
        <w:trPr/>
        <w:tc>
          <w:tcPr>
            <w:tcW w:w="1783" w:type="dxa"/>
            <w:tcBorders/>
            <w:shd w:fill="auto" w:val="clear"/>
            <w:vAlign w:val="center"/>
          </w:tcPr>
          <w:p>
            <w:pPr>
              <w:pStyle w:val="TableContents"/>
              <w:spacing w:before="0" w:after="283"/>
              <w:rPr/>
            </w:pPr>
            <w:r>
              <w:rPr/>
              <w:t>Public Offering Price</w:t>
              <w:tab/>
            </w:r>
          </w:p>
        </w:tc>
        <w:tc>
          <w:tcPr>
            <w:tcW w:w="8422" w:type="dxa"/>
            <w:tcBorders/>
            <w:shd w:fill="auto" w:val="clear"/>
            <w:vAlign w:val="center"/>
          </w:tcPr>
          <w:p>
            <w:pPr>
              <w:pStyle w:val="TableContents"/>
              <w:spacing w:before="0" w:after="283"/>
              <w:ind w:left="0" w:right="0" w:hanging="0"/>
              <w:rPr/>
            </w:pPr>
            <w:r>
              <w:rPr/>
              <w:t>99.569% plus accrued interest, if any, from May 9, 2023</w:t>
            </w:r>
          </w:p>
        </w:tc>
      </w:tr>
      <w:tr>
        <w:trPr/>
        <w:tc>
          <w:tcPr>
            <w:tcW w:w="1783" w:type="dxa"/>
            <w:tcBorders/>
            <w:shd w:fill="auto" w:val="clear"/>
            <w:vAlign w:val="center"/>
          </w:tcPr>
          <w:p>
            <w:pPr>
              <w:pStyle w:val="TableContents"/>
              <w:spacing w:before="0" w:after="283"/>
              <w:rPr/>
            </w:pPr>
            <w:r>
              <w:rPr/>
              <w:t>Underwriters’ Discount</w:t>
              <w:tab/>
            </w:r>
          </w:p>
        </w:tc>
        <w:tc>
          <w:tcPr>
            <w:tcW w:w="8422" w:type="dxa"/>
            <w:tcBorders/>
            <w:shd w:fill="auto" w:val="clear"/>
            <w:vAlign w:val="center"/>
          </w:tcPr>
          <w:p>
            <w:pPr>
              <w:pStyle w:val="TableContents"/>
              <w:spacing w:before="0" w:after="283"/>
              <w:ind w:left="0" w:right="0" w:hanging="0"/>
              <w:rPr/>
            </w:pPr>
            <w:r>
              <w:rPr/>
              <w:t>0.750%</w:t>
            </w:r>
          </w:p>
        </w:tc>
      </w:tr>
      <w:tr>
        <w:trPr/>
        <w:tc>
          <w:tcPr>
            <w:tcW w:w="1783" w:type="dxa"/>
            <w:tcBorders/>
            <w:shd w:fill="auto" w:val="clear"/>
            <w:vAlign w:val="center"/>
          </w:tcPr>
          <w:p>
            <w:pPr>
              <w:pStyle w:val="TableContents"/>
              <w:spacing w:before="0" w:after="283"/>
              <w:rPr/>
            </w:pPr>
            <w:r>
              <w:rPr/>
              <w:t>Net Proceeds to Comcast, Before Expenses</w:t>
              <w:tab/>
            </w:r>
          </w:p>
        </w:tc>
        <w:tc>
          <w:tcPr>
            <w:tcW w:w="8422" w:type="dxa"/>
            <w:tcBorders/>
            <w:shd w:fill="auto" w:val="clear"/>
            <w:vAlign w:val="center"/>
          </w:tcPr>
          <w:p>
            <w:pPr>
              <w:pStyle w:val="TableContents"/>
              <w:spacing w:before="0" w:after="283"/>
              <w:rPr/>
            </w:pPr>
            <w:r>
              <w:rPr/>
              <w:t>98.819% per $1,000 principal amount of 5.350% Notes due 2053; $1,581,104,000 total</w:t>
            </w:r>
          </w:p>
        </w:tc>
      </w:tr>
      <w:tr>
        <w:trPr/>
        <w:tc>
          <w:tcPr>
            <w:tcW w:w="1783" w:type="dxa"/>
            <w:tcBorders/>
            <w:shd w:fill="auto" w:val="clear"/>
            <w:vAlign w:val="center"/>
          </w:tcPr>
          <w:p>
            <w:pPr>
              <w:pStyle w:val="TableContents"/>
              <w:spacing w:before="0" w:after="283"/>
              <w:rPr>
                <w:b/>
              </w:rPr>
            </w:pPr>
            <w:r>
              <w:rPr>
                <w:b/>
              </w:rPr>
              <w:t>5.500% Notes Due 2064</w:t>
            </w:r>
          </w:p>
        </w:tc>
        <w:tc>
          <w:tcPr>
            <w:tcW w:w="8422" w:type="dxa"/>
            <w:tcBorders/>
            <w:shd w:fill="auto" w:val="clear"/>
            <w:vAlign w:val="center"/>
          </w:tcPr>
          <w:p>
            <w:pPr>
              <w:pStyle w:val="TableContents"/>
              <w:spacing w:before="0" w:after="283"/>
              <w:ind w:left="0" w:right="0" w:hanging="0"/>
              <w:rPr/>
            </w:pPr>
            <w:r>
              <w:rPr/>
              <w:t> </w:t>
            </w:r>
          </w:p>
        </w:tc>
      </w:tr>
      <w:tr>
        <w:trPr/>
        <w:tc>
          <w:tcPr>
            <w:tcW w:w="1783" w:type="dxa"/>
            <w:tcBorders/>
            <w:shd w:fill="auto" w:val="clear"/>
            <w:vAlign w:val="center"/>
          </w:tcPr>
          <w:p>
            <w:pPr>
              <w:pStyle w:val="TableContents"/>
              <w:spacing w:before="0" w:after="283"/>
              <w:rPr/>
            </w:pPr>
            <w:r>
              <w:rPr/>
              <w:t>Aggregate Principal Amount</w:t>
              <w:tab/>
            </w:r>
          </w:p>
        </w:tc>
        <w:tc>
          <w:tcPr>
            <w:tcW w:w="8422" w:type="dxa"/>
            <w:tcBorders/>
            <w:shd w:fill="auto" w:val="clear"/>
            <w:vAlign w:val="center"/>
          </w:tcPr>
          <w:p>
            <w:pPr>
              <w:pStyle w:val="TableContents"/>
              <w:spacing w:before="0" w:after="283"/>
              <w:ind w:left="0" w:right="0" w:hanging="0"/>
              <w:rPr/>
            </w:pPr>
            <w:r>
              <w:rPr/>
              <w:t>$1,400,000,000</w:t>
            </w:r>
          </w:p>
        </w:tc>
      </w:tr>
      <w:tr>
        <w:trPr/>
        <w:tc>
          <w:tcPr>
            <w:tcW w:w="1783" w:type="dxa"/>
            <w:tcBorders/>
            <w:shd w:fill="auto" w:val="clear"/>
            <w:vAlign w:val="center"/>
          </w:tcPr>
          <w:p>
            <w:pPr>
              <w:pStyle w:val="TableContents"/>
              <w:spacing w:before="0" w:after="283"/>
              <w:rPr/>
            </w:pPr>
            <w:r>
              <w:rPr/>
              <w:t>Maturity Date</w:t>
              <w:tab/>
            </w:r>
          </w:p>
        </w:tc>
        <w:tc>
          <w:tcPr>
            <w:tcW w:w="8422" w:type="dxa"/>
            <w:tcBorders/>
            <w:shd w:fill="auto" w:val="clear"/>
            <w:vAlign w:val="center"/>
          </w:tcPr>
          <w:p>
            <w:pPr>
              <w:pStyle w:val="TableContents"/>
              <w:spacing w:before="0" w:after="283"/>
              <w:ind w:left="0" w:right="0" w:hanging="0"/>
              <w:rPr/>
            </w:pPr>
            <w:r>
              <w:rPr/>
              <w:t>May 15, 2064</w:t>
            </w:r>
          </w:p>
        </w:tc>
      </w:tr>
      <w:tr>
        <w:trPr/>
        <w:tc>
          <w:tcPr>
            <w:tcW w:w="1783" w:type="dxa"/>
            <w:tcBorders/>
            <w:shd w:fill="auto" w:val="clear"/>
            <w:vAlign w:val="center"/>
          </w:tcPr>
          <w:p>
            <w:pPr>
              <w:pStyle w:val="TableContents"/>
              <w:spacing w:before="0" w:after="283"/>
              <w:rPr/>
            </w:pPr>
            <w:r>
              <w:rPr/>
              <w:t>Interest Rate</w:t>
              <w:tab/>
            </w:r>
          </w:p>
        </w:tc>
        <w:tc>
          <w:tcPr>
            <w:tcW w:w="8422" w:type="dxa"/>
            <w:tcBorders/>
            <w:shd w:fill="auto" w:val="clear"/>
            <w:vAlign w:val="center"/>
          </w:tcPr>
          <w:p>
            <w:pPr>
              <w:pStyle w:val="TableContents"/>
              <w:spacing w:before="0" w:after="283"/>
              <w:ind w:left="0" w:right="0" w:hanging="0"/>
              <w:rPr/>
            </w:pPr>
            <w:r>
              <w:rPr/>
              <w:t>5.500% per annum, accruing from May 9, 2023 (calculated on the basis of a 360-day year consisting of twelve 30-day months)</w:t>
            </w:r>
          </w:p>
        </w:tc>
      </w:tr>
      <w:tr>
        <w:trPr/>
        <w:tc>
          <w:tcPr>
            <w:tcW w:w="1783" w:type="dxa"/>
            <w:tcBorders/>
            <w:shd w:fill="auto" w:val="clear"/>
            <w:vAlign w:val="center"/>
          </w:tcPr>
          <w:p>
            <w:pPr>
              <w:pStyle w:val="TableContents"/>
              <w:spacing w:before="0" w:after="283"/>
              <w:rPr/>
            </w:pPr>
            <w:r>
              <w:rPr/>
              <w:t>Interest Payment Dates</w:t>
              <w:tab/>
            </w:r>
          </w:p>
        </w:tc>
        <w:tc>
          <w:tcPr>
            <w:tcW w:w="8422" w:type="dxa"/>
            <w:tcBorders/>
            <w:shd w:fill="auto" w:val="clear"/>
            <w:vAlign w:val="center"/>
          </w:tcPr>
          <w:p>
            <w:pPr>
              <w:pStyle w:val="TableContents"/>
              <w:spacing w:before="0" w:after="283"/>
              <w:ind w:left="0" w:right="0" w:hanging="0"/>
              <w:rPr/>
            </w:pPr>
            <w:r>
              <w:rPr/>
              <w:t>May 15 and November 15, commencing November 15, 2023</w:t>
            </w:r>
          </w:p>
        </w:tc>
      </w:tr>
      <w:tr>
        <w:trPr/>
        <w:tc>
          <w:tcPr>
            <w:tcW w:w="1783" w:type="dxa"/>
            <w:tcBorders/>
            <w:shd w:fill="auto" w:val="clear"/>
            <w:vAlign w:val="center"/>
          </w:tcPr>
          <w:p>
            <w:pPr>
              <w:pStyle w:val="TableContents"/>
              <w:spacing w:before="0" w:after="283"/>
              <w:rPr/>
            </w:pPr>
            <w:r>
              <w:rPr/>
              <w:t>Benchmark Treasury</w:t>
              <w:tab/>
            </w:r>
          </w:p>
        </w:tc>
        <w:tc>
          <w:tcPr>
            <w:tcW w:w="8422" w:type="dxa"/>
            <w:tcBorders/>
            <w:shd w:fill="auto" w:val="clear"/>
            <w:vAlign w:val="center"/>
          </w:tcPr>
          <w:p>
            <w:pPr>
              <w:pStyle w:val="TableContents"/>
              <w:spacing w:before="0" w:after="283"/>
              <w:ind w:left="0" w:right="0" w:hanging="0"/>
              <w:rPr/>
            </w:pPr>
            <w:r>
              <w:rPr/>
              <w:t>UST 4.000% due November 15, 2052</w:t>
            </w:r>
          </w:p>
        </w:tc>
      </w:tr>
      <w:tr>
        <w:trPr/>
        <w:tc>
          <w:tcPr>
            <w:tcW w:w="1783" w:type="dxa"/>
            <w:tcBorders/>
            <w:shd w:fill="auto" w:val="clear"/>
            <w:vAlign w:val="center"/>
          </w:tcPr>
          <w:p>
            <w:pPr>
              <w:pStyle w:val="TableContents"/>
              <w:spacing w:before="0" w:after="283"/>
              <w:rPr/>
            </w:pPr>
            <w:r>
              <w:rPr/>
              <w:t>Benchmark Treasury Price/Yield</w:t>
              <w:tab/>
            </w:r>
          </w:p>
        </w:tc>
        <w:tc>
          <w:tcPr>
            <w:tcW w:w="8422" w:type="dxa"/>
            <w:tcBorders/>
            <w:shd w:fill="auto" w:val="clear"/>
            <w:vAlign w:val="center"/>
          </w:tcPr>
          <w:p>
            <w:pPr>
              <w:pStyle w:val="TableContents"/>
              <w:spacing w:before="0" w:after="283"/>
              <w:ind w:left="0" w:right="0" w:hanging="0"/>
              <w:rPr/>
            </w:pPr>
            <w:r>
              <w:rPr/>
              <w:t>103-00 / 3.829%</w:t>
            </w:r>
          </w:p>
        </w:tc>
      </w:tr>
      <w:tr>
        <w:trPr/>
        <w:tc>
          <w:tcPr>
            <w:tcW w:w="1783" w:type="dxa"/>
            <w:tcBorders/>
            <w:shd w:fill="auto" w:val="clear"/>
            <w:vAlign w:val="center"/>
          </w:tcPr>
          <w:p>
            <w:pPr>
              <w:pStyle w:val="TableContents"/>
              <w:spacing w:before="0" w:after="283"/>
              <w:rPr/>
            </w:pPr>
            <w:r>
              <w:rPr/>
              <w:t>Spread to Benchmark Treasury</w:t>
              <w:tab/>
            </w:r>
          </w:p>
        </w:tc>
        <w:tc>
          <w:tcPr>
            <w:tcW w:w="8422" w:type="dxa"/>
            <w:tcBorders/>
            <w:shd w:fill="auto" w:val="clear"/>
            <w:vAlign w:val="center"/>
          </w:tcPr>
          <w:p>
            <w:pPr>
              <w:pStyle w:val="TableContents"/>
              <w:spacing w:before="0" w:after="283"/>
              <w:ind w:left="0" w:right="0" w:hanging="0"/>
              <w:rPr/>
            </w:pPr>
            <w:r>
              <w:rPr/>
              <w:t>+170 bps</w:t>
            </w:r>
          </w:p>
        </w:tc>
      </w:tr>
      <w:tr>
        <w:trPr/>
        <w:tc>
          <w:tcPr>
            <w:tcW w:w="1783" w:type="dxa"/>
            <w:tcBorders/>
            <w:shd w:fill="auto" w:val="clear"/>
            <w:vAlign w:val="center"/>
          </w:tcPr>
          <w:p>
            <w:pPr>
              <w:pStyle w:val="TableContents"/>
              <w:spacing w:before="0" w:after="283"/>
              <w:rPr/>
            </w:pPr>
            <w:r>
              <w:rPr/>
              <w:t>Yield to Maturity</w:t>
              <w:tab/>
            </w:r>
          </w:p>
        </w:tc>
        <w:tc>
          <w:tcPr>
            <w:tcW w:w="8422" w:type="dxa"/>
            <w:tcBorders/>
            <w:shd w:fill="auto" w:val="clear"/>
            <w:vAlign w:val="center"/>
          </w:tcPr>
          <w:p>
            <w:pPr>
              <w:pStyle w:val="TableContents"/>
              <w:spacing w:before="0" w:after="283"/>
              <w:ind w:left="0" w:right="0" w:hanging="0"/>
              <w:rPr/>
            </w:pPr>
            <w:r>
              <w:rPr/>
              <w:t>5.529%</w:t>
            </w:r>
          </w:p>
        </w:tc>
      </w:tr>
      <w:tr>
        <w:trPr/>
        <w:tc>
          <w:tcPr>
            <w:tcW w:w="1783" w:type="dxa"/>
            <w:tcBorders/>
            <w:shd w:fill="auto" w:val="clear"/>
            <w:vAlign w:val="center"/>
          </w:tcPr>
          <w:p>
            <w:pPr>
              <w:pStyle w:val="TableContents"/>
              <w:spacing w:before="0" w:after="283"/>
              <w:rPr/>
            </w:pPr>
            <w:r>
              <w:rPr/>
              <w:t>Optional Redemption</w:t>
              <w:tab/>
            </w:r>
          </w:p>
        </w:tc>
        <w:tc>
          <w:tcPr>
            <w:tcW w:w="8422"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2063 (six (6) months prior to the maturity date of the 5.500% Notes due 2064) (the “</w:t>
            </w:r>
            <w:r>
              <w:rPr>
                <w:rFonts w:ascii="Times New Roman;Times;Serif" w:hAnsi="Times New Roman;Times;Serif"/>
                <w:b/>
                <w:i w:val="false"/>
                <w:caps w:val="false"/>
                <w:smallCaps w:val="false"/>
                <w:sz w:val="20"/>
              </w:rPr>
              <w:t>2064 Par Call Date</w:t>
            </w:r>
            <w:r>
              <w:rPr>
                <w:rFonts w:ascii="Times New Roman;Times;Serif" w:hAnsi="Times New Roman;Times;Serif"/>
                <w:b w:val="false"/>
                <w:i w:val="false"/>
                <w:caps w:val="false"/>
                <w:smallCaps w:val="false"/>
                <w:sz w:val="20"/>
              </w:rPr>
              <w:t>”; and, together with the 2029 Par Call Date, the 2033 Par Call Date and the 2053 Par Call Date, each a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Company may redeem the 5.500% Notes due 2064 at its option, in whole or in part, at any time and from time to time, at a redemption price (expressed as a percentage of the principal amount and rounded to three decimal places) equal to the greater of: (1) (a) the sum of the present values of the remaining</w:t>
            </w:r>
          </w:p>
        </w:tc>
      </w:tr>
    </w:tbl>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02"/>
        <w:gridCol w:w="8403"/>
      </w:tblGrid>
      <w:tr>
        <w:trPr/>
        <w:tc>
          <w:tcPr>
            <w:tcW w:w="1802" w:type="dxa"/>
            <w:tcBorders/>
            <w:shd w:fill="auto" w:val="clear"/>
            <w:vAlign w:val="center"/>
          </w:tcPr>
          <w:p>
            <w:pPr>
              <w:pStyle w:val="TableContents"/>
              <w:spacing w:before="0" w:after="283"/>
              <w:ind w:left="0" w:right="0" w:hanging="0"/>
              <w:rPr/>
            </w:pPr>
            <w:r>
              <w:rPr/>
              <w:t> </w:t>
            </w:r>
          </w:p>
        </w:tc>
        <w:tc>
          <w:tcPr>
            <w:tcW w:w="840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payments of principal and interest thereon discounted to the redemption date (assuming that the 5.500% Notes due 2064 matured on the 2064 Par Call Date) on a semi-annual basis (assuming a 360-day year consisting of twelve 30-day months) at the Treasury Rate (as defined below) plus 30 basis points, less (b) interest accrued to the date of redemption, and (2) 100% of the principal amount of the 5.500% Notes due 2064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2064 Par Call Date, the Company may redeem the 5.500% Notes due 2064, in whole or in part, at any time and from time to time, at a redemption price equal to 100% of the principal amount of the 5.500% Notes due 2064 being redeemed plus accrued and unpaid interest thereon to the redemption date.</w:t>
            </w:r>
          </w:p>
        </w:tc>
      </w:tr>
      <w:tr>
        <w:trPr/>
        <w:tc>
          <w:tcPr>
            <w:tcW w:w="1802" w:type="dxa"/>
            <w:tcBorders/>
            <w:shd w:fill="auto" w:val="clear"/>
            <w:vAlign w:val="center"/>
          </w:tcPr>
          <w:p>
            <w:pPr>
              <w:pStyle w:val="TableContents"/>
              <w:spacing w:before="0" w:after="283"/>
              <w:rPr/>
            </w:pPr>
            <w:r>
              <w:rPr/>
              <w:t>Additional Issuances</w:t>
              <w:tab/>
            </w:r>
          </w:p>
        </w:tc>
        <w:tc>
          <w:tcPr>
            <w:tcW w:w="8403" w:type="dxa"/>
            <w:tcBorders/>
            <w:shd w:fill="auto" w:val="clear"/>
            <w:vAlign w:val="center"/>
          </w:tcPr>
          <w:p>
            <w:pPr>
              <w:pStyle w:val="TableContents"/>
              <w:spacing w:before="0" w:after="283"/>
              <w:ind w:left="0" w:right="0" w:hanging="0"/>
              <w:rPr/>
            </w:pPr>
            <w:r>
              <w:rPr/>
              <w:t>An unlimited amount of additional 5.500% Notes due 2064 may be issued. The 5.500% Notes due 2064 and any additional 5.500% Notes due 2064 that may be issued may be treated as a single series for all purposes under the Indenture.</w:t>
            </w:r>
          </w:p>
        </w:tc>
      </w:tr>
      <w:tr>
        <w:trPr/>
        <w:tc>
          <w:tcPr>
            <w:tcW w:w="1802" w:type="dxa"/>
            <w:tcBorders/>
            <w:shd w:fill="auto" w:val="clear"/>
            <w:vAlign w:val="center"/>
          </w:tcPr>
          <w:p>
            <w:pPr>
              <w:pStyle w:val="TableContents"/>
              <w:spacing w:before="0" w:after="283"/>
              <w:rPr/>
            </w:pPr>
            <w:r>
              <w:rPr/>
              <w:t>CUSIP / ISIN</w:t>
              <w:tab/>
            </w:r>
          </w:p>
        </w:tc>
        <w:tc>
          <w:tcPr>
            <w:tcW w:w="8403" w:type="dxa"/>
            <w:tcBorders/>
            <w:shd w:fill="auto" w:val="clear"/>
            <w:vAlign w:val="center"/>
          </w:tcPr>
          <w:p>
            <w:pPr>
              <w:pStyle w:val="TableContents"/>
              <w:spacing w:before="0" w:after="283"/>
              <w:ind w:left="0" w:right="0" w:hanging="0"/>
              <w:rPr/>
            </w:pPr>
            <w:r>
              <w:rPr/>
              <w:t>20030N EG2 / US20030NEG25</w:t>
            </w:r>
          </w:p>
        </w:tc>
      </w:tr>
      <w:tr>
        <w:trPr/>
        <w:tc>
          <w:tcPr>
            <w:tcW w:w="1802" w:type="dxa"/>
            <w:tcBorders/>
            <w:shd w:fill="auto" w:val="clear"/>
            <w:vAlign w:val="center"/>
          </w:tcPr>
          <w:p>
            <w:pPr>
              <w:pStyle w:val="TableContents"/>
              <w:spacing w:before="0" w:after="283"/>
              <w:rPr/>
            </w:pPr>
            <w:r>
              <w:rPr/>
              <w:t>Public Offering Price</w:t>
              <w:tab/>
            </w:r>
          </w:p>
        </w:tc>
        <w:tc>
          <w:tcPr>
            <w:tcW w:w="8403" w:type="dxa"/>
            <w:tcBorders/>
            <w:shd w:fill="auto" w:val="clear"/>
            <w:vAlign w:val="center"/>
          </w:tcPr>
          <w:p>
            <w:pPr>
              <w:pStyle w:val="TableContents"/>
              <w:spacing w:before="0" w:after="283"/>
              <w:ind w:left="0" w:right="0" w:hanging="0"/>
              <w:rPr/>
            </w:pPr>
            <w:r>
              <w:rPr/>
              <w:t>99.530% plus accrued interest, if any, from May 9, 2023</w:t>
            </w:r>
          </w:p>
        </w:tc>
      </w:tr>
      <w:tr>
        <w:trPr/>
        <w:tc>
          <w:tcPr>
            <w:tcW w:w="1802" w:type="dxa"/>
            <w:tcBorders/>
            <w:shd w:fill="auto" w:val="clear"/>
            <w:vAlign w:val="center"/>
          </w:tcPr>
          <w:p>
            <w:pPr>
              <w:pStyle w:val="TableContents"/>
              <w:spacing w:before="0" w:after="283"/>
              <w:rPr/>
            </w:pPr>
            <w:r>
              <w:rPr/>
              <w:t>Underwriters’ Discount</w:t>
              <w:tab/>
            </w:r>
          </w:p>
        </w:tc>
        <w:tc>
          <w:tcPr>
            <w:tcW w:w="8403" w:type="dxa"/>
            <w:tcBorders/>
            <w:shd w:fill="auto" w:val="clear"/>
            <w:vAlign w:val="center"/>
          </w:tcPr>
          <w:p>
            <w:pPr>
              <w:pStyle w:val="TableContents"/>
              <w:spacing w:before="0" w:after="283"/>
              <w:ind w:left="0" w:right="0" w:hanging="0"/>
              <w:rPr/>
            </w:pPr>
            <w:r>
              <w:rPr/>
              <w:t>0.800%</w:t>
            </w:r>
          </w:p>
        </w:tc>
      </w:tr>
      <w:tr>
        <w:trPr/>
        <w:tc>
          <w:tcPr>
            <w:tcW w:w="1802" w:type="dxa"/>
            <w:tcBorders/>
            <w:shd w:fill="auto" w:val="clear"/>
            <w:vAlign w:val="center"/>
          </w:tcPr>
          <w:p>
            <w:pPr>
              <w:pStyle w:val="TableContents"/>
              <w:spacing w:before="0" w:after="283"/>
              <w:rPr/>
            </w:pPr>
            <w:r>
              <w:rPr/>
              <w:t>Net Proceeds to Comcast, Before Expenses</w:t>
              <w:tab/>
            </w:r>
          </w:p>
        </w:tc>
        <w:tc>
          <w:tcPr>
            <w:tcW w:w="8403" w:type="dxa"/>
            <w:tcBorders/>
            <w:shd w:fill="auto" w:val="clear"/>
            <w:vAlign w:val="center"/>
          </w:tcPr>
          <w:p>
            <w:pPr>
              <w:pStyle w:val="TableContents"/>
              <w:spacing w:before="0" w:after="283"/>
              <w:rPr/>
            </w:pPr>
            <w:r>
              <w:rPr/>
              <w:t>98.730% per $1,000 principal amount of 5.500% Notes due 2064; $1,382,220,000 total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“Treasury Rate” used for Optional Redemptions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Company shall select, as applicable: (1) the yield for the Treasury constant maturity on H.15 exactly equal to the period from the redemption date to the applicable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w:t>
      </w:r>
    </w:p>
    <w:p>
      <w:pPr>
        <w:pStyle w:val="TextBody"/>
        <w:spacing w:before="0" w:after="0"/>
        <w:ind w:left="0" w:right="0" w:firstLine="36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delivery of the notes will be made against payment therefor on or about May 9, 2023,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T+6, to specify an alternative settlement cycle at the time of any such trade to prevent failed settlement and should consult their own advisors.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Goldman Sachs &amp; Co. LLC at 1-866-471-2526, Morgan Stanley &amp; Co. LLC at 1-866-718-1649, SMBC Nikko Securities America, Inc. toll-free at 1-888-868-6856 or Wells Fargo Securities, LLC toll-free at 1-800-645-3751.</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spacing w:before="0" w:after="0"/>
        <w:ind w:left="0" w:right="0" w:firstLine="72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3293</Words>
  <CharactersWithSpaces>19715</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