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1"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RULE 13D-1(b), (c) AND (d) AND AMENDMENTS THERETO FILED PURSUANT TO</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RULE 13d-2(b)</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 *</w:t>
      </w: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Liberty Media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Issuer)</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Liberty Series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(Title of Class of Securities)</w:t>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530718105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(CUSIP Number)</w:t>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(Date of Event Which Requires Filing of This Statement)</w:t>
      </w:r>
    </w:p>
    <w:p>
      <w:pPr>
        <w:spacing w:after="0" w:line="23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260" w:hanging="67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w:t>
      </w:r>
    </w:p>
    <w:p>
      <w:pPr>
        <w:spacing w:after="0" w:line="279" w:lineRule="exact"/>
        <w:rPr>
          <w:sz w:val="24"/>
          <w:szCs w:val="24"/>
          <w:color w:val="auto"/>
        </w:rPr>
      </w:pPr>
    </w:p>
    <w:p>
      <w:pPr>
        <w:ind w:left="1260" w:hanging="67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 – 1(c)</w:t>
      </w:r>
    </w:p>
    <w:p>
      <w:pPr>
        <w:spacing w:after="0" w:line="279" w:lineRule="exact"/>
        <w:rPr>
          <w:sz w:val="24"/>
          <w:szCs w:val="24"/>
          <w:color w:val="auto"/>
        </w:rPr>
      </w:pPr>
    </w:p>
    <w:p>
      <w:pPr>
        <w:ind w:left="1260" w:hanging="678"/>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Rule 13d – 1(d)</w:t>
      </w:r>
    </w:p>
    <w:p>
      <w:pPr>
        <w:spacing w:after="0" w:line="238" w:lineRule="exact"/>
        <w:rPr>
          <w:rFonts w:ascii="Arial" w:cs="Arial" w:eastAsia="Arial" w:hAnsi="Arial"/>
          <w:sz w:val="18"/>
          <w:szCs w:val="18"/>
          <w:color w:val="auto"/>
        </w:rPr>
      </w:pPr>
    </w:p>
    <w:p>
      <w:pPr>
        <w:ind w:right="120" w:firstLine="263"/>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6" w:lineRule="exact"/>
        <w:rPr>
          <w:sz w:val="24"/>
          <w:szCs w:val="24"/>
          <w:color w:val="auto"/>
        </w:rPr>
      </w:pPr>
    </w:p>
    <w:p>
      <w:pPr>
        <w:ind w:firstLine="22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Page 1 of 11</w:t>
      </w:r>
    </w:p>
    <w:p>
      <w:pPr>
        <w:spacing w:after="0" w:line="200" w:lineRule="exact"/>
        <w:rPr>
          <w:sz w:val="24"/>
          <w:szCs w:val="24"/>
          <w:color w:val="auto"/>
        </w:rPr>
      </w:pPr>
    </w:p>
    <w:p>
      <w:pPr>
        <w:spacing w:after="0" w:line="280"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3340" w:type="dxa"/>
            <w:vAlign w:val="bottom"/>
          </w:tcPr>
          <w:p>
            <w:pPr>
              <w:ind w:left="296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2880" w:type="dxa"/>
            <w:vAlign w:val="bottom"/>
            <w:tcBorders>
              <w:left w:val="single" w:sz="8" w:color="auto"/>
              <w:bottom w:val="single" w:sz="8" w:color="auto"/>
              <w:right w:val="single" w:sz="8" w:color="auto"/>
            </w:tcBorders>
          </w:tcPr>
          <w:p>
            <w:pPr>
              <w:spacing w:after="0"/>
              <w:rPr>
                <w:sz w:val="10"/>
                <w:szCs w:val="10"/>
                <w:color w:val="auto"/>
              </w:rPr>
            </w:pPr>
          </w:p>
        </w:tc>
        <w:tc>
          <w:tcPr>
            <w:tcW w:w="33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3700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3700145"/>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QVC, Inc.</w:t>
      </w:r>
    </w:p>
    <w:p>
      <w:pPr>
        <w:spacing w:after="0" w:line="171"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14" w:lineRule="exact"/>
        <w:rPr>
          <w:sz w:val="24"/>
          <w:szCs w:val="24"/>
          <w:color w:val="auto"/>
        </w:rPr>
      </w:pPr>
    </w:p>
    <w:p>
      <w:pPr>
        <w:ind w:left="2020" w:hanging="793"/>
        <w:spacing w:after="0"/>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Delaware</w:t>
      </w:r>
    </w:p>
    <w:p>
      <w:pPr>
        <w:spacing w:after="0" w:line="62" w:lineRule="exact"/>
        <w:rPr>
          <w:sz w:val="24"/>
          <w:szCs w:val="24"/>
          <w:color w:val="auto"/>
        </w:rPr>
      </w:pPr>
    </w:p>
    <w:tbl>
      <w:tblPr>
        <w:tblLayout w:type="fixed"/>
        <w:tblInd w:w="580" w:type="dxa"/>
        <w:tblCellMar>
          <w:top w:w="0" w:type="dxa"/>
          <w:left w:w="0" w:type="dxa"/>
          <w:bottom w:w="0" w:type="dxa"/>
          <w:right w:w="0" w:type="dxa"/>
        </w:tblCellMar>
      </w:tblPr>
      <w:tr>
        <w:trPr>
          <w:trHeight w:val="305"/>
        </w:trPr>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NUMBER OF SHARES</w:t>
            </w:r>
          </w:p>
        </w:tc>
        <w:tc>
          <w:tcPr>
            <w:tcW w:w="4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59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 OWNED BY</w:t>
            </w:r>
          </w:p>
        </w:tc>
        <w:tc>
          <w:tcPr>
            <w:tcW w:w="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59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59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3920" w:type="dxa"/>
            <w:vAlign w:val="bottom"/>
            <w:tcBorders>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340"/>
          </w:cols>
          <w:pgMar w:left="240" w:top="450" w:right="319" w:bottom="0" w:gutter="0" w:footer="0" w:header="0"/>
        </w:sectPr>
      </w:pPr>
    </w:p>
    <w:bookmarkStart w:id="1" w:name="page2"/>
    <w:bookmarkEnd w:id="1"/>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2540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540635"/>
                    </a:xfrm>
                    <a:prstGeom prst="rect">
                      <a:avLst/>
                    </a:prstGeom>
                    <a:noFill/>
                  </pic:spPr>
                </pic:pic>
              </a:graphicData>
            </a:graphic>
          </wp:anchor>
        </w:drawing>
      </w:r>
    </w:p>
    <w:p>
      <w:pPr>
        <w:ind w:left="4500" w:hanging="376"/>
        <w:spacing w:after="0"/>
        <w:tabs>
          <w:tab w:leader="none" w:pos="4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sz w:val="20"/>
          <w:szCs w:val="20"/>
          <w:color w:val="auto"/>
        </w:rPr>
      </w:pPr>
    </w:p>
    <w:p>
      <w:pPr>
        <w:jc w:val="center"/>
        <w:ind w:left="4180"/>
        <w:spacing w:after="0"/>
        <w:rPr>
          <w:sz w:val="20"/>
          <w:szCs w:val="20"/>
          <w:color w:val="auto"/>
        </w:rPr>
      </w:pPr>
      <w:r>
        <w:rPr>
          <w:rFonts w:ascii="Arial" w:cs="Arial" w:eastAsia="Arial" w:hAnsi="Arial"/>
          <w:sz w:val="18"/>
          <w:szCs w:val="18"/>
          <w:color w:val="auto"/>
        </w:rPr>
        <w:t>-100,000,000-</w:t>
      </w:r>
    </w:p>
    <w:p>
      <w:pPr>
        <w:spacing w:after="0" w:line="171" w:lineRule="exact"/>
        <w:rPr>
          <w:sz w:val="20"/>
          <w:szCs w:val="20"/>
          <w:color w:val="auto"/>
        </w:rPr>
      </w:pPr>
    </w:p>
    <w:p>
      <w:pPr>
        <w:ind w:left="1440" w:hanging="79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-100,000,000-</w:t>
      </w:r>
    </w:p>
    <w:p>
      <w:pPr>
        <w:spacing w:after="0" w:line="171" w:lineRule="exact"/>
        <w:rPr>
          <w:sz w:val="20"/>
          <w:szCs w:val="20"/>
          <w:color w:val="auto"/>
        </w:rPr>
      </w:pPr>
    </w:p>
    <w:p>
      <w:pPr>
        <w:ind w:left="600"/>
        <w:spacing w:after="0"/>
        <w:tabs>
          <w:tab w:leader="none" w:pos="14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3.7%</w:t>
      </w:r>
    </w:p>
    <w:p>
      <w:pPr>
        <w:spacing w:after="0" w:line="1" w:lineRule="exact"/>
        <w:rPr>
          <w:rFonts w:ascii="Arial" w:cs="Arial" w:eastAsia="Arial" w:hAnsi="Arial"/>
          <w:sz w:val="18"/>
          <w:szCs w:val="18"/>
          <w:color w:val="auto"/>
        </w:rPr>
      </w:pPr>
    </w:p>
    <w:p>
      <w:pPr>
        <w:ind w:left="1440" w:right="6400" w:hanging="837"/>
        <w:spacing w:after="0" w:line="519"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437515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ind w:left="140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96"/>
              </w:rPr>
              <w:t>NAME OF REPORTING PERSON</w:t>
            </w:r>
          </w:p>
        </w:tc>
        <w:tc>
          <w:tcPr>
            <w:tcW w:w="32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89"/>
              </w:rPr>
              <w:t>Comcast Programming Holdings, Inc.</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80" w:type="dxa"/>
            <w:vAlign w:val="bottom"/>
          </w:tcPr>
          <w:p>
            <w:pPr>
              <w:spacing w:after="0"/>
              <w:rPr>
                <w:sz w:val="16"/>
                <w:szCs w:val="16"/>
                <w:color w:val="auto"/>
              </w:rPr>
            </w:pPr>
          </w:p>
        </w:tc>
        <w:tc>
          <w:tcPr>
            <w:tcW w:w="32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7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-100,000,000*-</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3.7%</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tcBorders>
            <w:gridSpan w:val="3"/>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98"/>
              </w:rPr>
              <w:t>TYPE OF REPORTING PERSON</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82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14" w:orient="portrait"/>
          <w:cols w:equalWidth="0" w:num="1">
            <w:col w:w="10280"/>
          </w:cols>
          <w:pgMar w:left="820" w:top="145" w:right="799" w:bottom="0" w:gutter="0" w:footer="0" w:header="0"/>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10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10795"/>
                    </a:xfrm>
                    <a:prstGeom prst="rect">
                      <a:avLst/>
                    </a:prstGeom>
                    <a:noFill/>
                  </pic:spPr>
                </pic:pic>
              </a:graphicData>
            </a:graphic>
          </wp:anchor>
        </w:drawing>
      </w:r>
    </w:p>
    <w:p>
      <w:pPr>
        <w:ind w:left="380" w:right="340" w:hanging="375"/>
        <w:spacing w:after="0" w:line="26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shares of Liberty Series A Common Stock, par value $.01 per share (“Series A Common Stock”), that are reported as beneficially owned by the Reporting Person are owned by Comcast QVC, Inc.</w:t>
      </w:r>
    </w:p>
    <w:p>
      <w:pPr>
        <w:spacing w:after="0" w:line="18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523875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10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Pr>
          <w:p>
            <w:pPr>
              <w:ind w:left="150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0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Comcast Holdings Corporation</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Pennsylvania</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0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-100,000,000*-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3.7%</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5"/>
              </w:rPr>
              <w:t>TYPE OF REPORTING PERSON</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700" w:hanging="4695"/>
        <w:spacing w:after="0" w:line="519" w:lineRule="auto"/>
        <w:tabs>
          <w:tab w:leader="none" w:pos="3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the shares of Series A Common Stock, that are reported as beneficially owned by the Reporting Person, are owned by Comcast QVC, Inc. 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515620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1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7180" w:type="dxa"/>
            <w:vAlign w:val="bottom"/>
          </w:tcPr>
          <w:p>
            <w:pPr>
              <w:ind w:left="2840"/>
              <w:spacing w:after="0"/>
              <w:rPr>
                <w:sz w:val="20"/>
                <w:szCs w:val="20"/>
                <w:color w:val="auto"/>
              </w:rPr>
            </w:pPr>
            <w:r>
              <w:rPr>
                <w:rFonts w:ascii="Arial" w:cs="Arial" w:eastAsia="Arial" w:hAnsi="Arial"/>
                <w:sz w:val="22"/>
                <w:szCs w:val="22"/>
                <w:b w:val="1"/>
                <w:bCs w:val="1"/>
                <w:color w:val="auto"/>
              </w:rPr>
              <w:t>13G</w:t>
            </w:r>
          </w:p>
        </w:tc>
      </w:tr>
      <w:tr>
        <w:trPr>
          <w:trHeight w:val="122"/>
        </w:trPr>
        <w:tc>
          <w:tcPr>
            <w:tcW w:w="3100" w:type="dxa"/>
            <w:vAlign w:val="bottom"/>
            <w:tcBorders>
              <w:left w:val="single" w:sz="8" w:color="auto"/>
              <w:bottom w:val="single" w:sz="8" w:color="auto"/>
              <w:right w:val="single" w:sz="8" w:color="auto"/>
            </w:tcBorders>
          </w:tcPr>
          <w:p>
            <w:pPr>
              <w:spacing w:after="0"/>
              <w:rPr>
                <w:sz w:val="10"/>
                <w:szCs w:val="10"/>
                <w:color w:val="auto"/>
              </w:rPr>
            </w:pPr>
          </w:p>
        </w:tc>
        <w:tc>
          <w:tcPr>
            <w:tcW w:w="7180" w:type="dxa"/>
            <w:vAlign w:val="bottom"/>
          </w:tcPr>
          <w:p>
            <w:pPr>
              <w:spacing w:after="0"/>
              <w:rPr>
                <w:sz w:val="10"/>
                <w:szCs w:val="10"/>
                <w:color w:val="auto"/>
              </w:rPr>
            </w:pPr>
          </w:p>
        </w:tc>
      </w:tr>
      <w:tr>
        <w:trPr>
          <w:trHeight w:val="250"/>
        </w:trPr>
        <w:tc>
          <w:tcPr>
            <w:tcW w:w="3100" w:type="dxa"/>
            <w:vAlign w:val="bottom"/>
            <w:tcBorders>
              <w:bottom w:val="single" w:sz="8" w:color="auto"/>
            </w:tcBorders>
          </w:tcPr>
          <w:p>
            <w:pPr>
              <w:spacing w:after="0"/>
              <w:rPr>
                <w:sz w:val="21"/>
                <w:szCs w:val="21"/>
                <w:color w:val="auto"/>
              </w:rPr>
            </w:pPr>
          </w:p>
        </w:tc>
        <w:tc>
          <w:tcPr>
            <w:tcW w:w="71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21590" cy="29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21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-20955</wp:posOffset>
            </wp:positionV>
            <wp:extent cx="21590"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210"/>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-20955</wp:posOffset>
            </wp:positionV>
            <wp:extent cx="21590"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210"/>
                    </a:xfrm>
                    <a:prstGeom prst="rect">
                      <a:avLst/>
                    </a:prstGeom>
                    <a:noFill/>
                  </pic:spPr>
                </pic:pic>
              </a:graphicData>
            </a:graphic>
          </wp:anchor>
        </w:drawing>
      </w:r>
    </w:p>
    <w:p>
      <w:pPr>
        <w:sectPr>
          <w:pgSz w:w="11900" w:h="16887" w:orient="portrait"/>
          <w:cols w:equalWidth="0" w:num="1">
            <w:col w:w="10540"/>
          </w:cols>
          <w:pgMar w:left="820" w:top="388" w:right="539" w:bottom="0" w:gutter="0" w:footer="0" w:header="0"/>
        </w:sectPr>
      </w:pPr>
    </w:p>
    <w:bookmarkStart w:id="3" w:name="page4"/>
    <w:bookmarkEnd w:id="3"/>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6348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1450" cy="6348095"/>
                    </a:xfrm>
                    <a:prstGeom prst="rect">
                      <a:avLst/>
                    </a:prstGeom>
                    <a:noFill/>
                  </pic:spPr>
                </pic:pic>
              </a:graphicData>
            </a:graphic>
          </wp:anchor>
        </w:drawing>
      </w:r>
    </w:p>
    <w:p>
      <w:pPr>
        <w:ind w:left="2020" w:hanging="793"/>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18" w:lineRule="exact"/>
        <w:rPr>
          <w:rFonts w:ascii="Arial" w:cs="Arial" w:eastAsia="Arial" w:hAnsi="Arial"/>
          <w:sz w:val="18"/>
          <w:szCs w:val="18"/>
          <w:color w:val="auto"/>
        </w:rPr>
      </w:pPr>
    </w:p>
    <w:p>
      <w:pPr>
        <w:ind w:left="2020" w:right="7320"/>
        <w:spacing w:after="0" w:line="332" w:lineRule="auto"/>
        <w:rPr>
          <w:rFonts w:ascii="Arial" w:cs="Arial" w:eastAsia="Arial" w:hAnsi="Arial"/>
          <w:sz w:val="18"/>
          <w:szCs w:val="18"/>
          <w:color w:val="auto"/>
        </w:rPr>
      </w:pPr>
      <w:r>
        <w:rPr>
          <w:rFonts w:ascii="Arial" w:cs="Arial" w:eastAsia="Arial" w:hAnsi="Arial"/>
          <w:sz w:val="16"/>
          <w:szCs w:val="16"/>
          <w:color w:val="auto"/>
        </w:rPr>
        <w:t>Comcast Corporation 27-0000798</w:t>
      </w:r>
    </w:p>
    <w:p>
      <w:pPr>
        <w:spacing w:after="0" w:line="8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2</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Pr>
          <w:p>
            <w:pPr>
              <w:jc w:val="right"/>
              <w:ind w:right="72"/>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3</w:t>
            </w:r>
          </w:p>
        </w:tc>
        <w:tc>
          <w:tcPr>
            <w:tcW w:w="3120" w:type="dxa"/>
            <w:vAlign w:val="bottom"/>
          </w:tcPr>
          <w:p>
            <w:pPr>
              <w:ind w:left="62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4</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Pennsylvania</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12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Pr>
          <w:p>
            <w:pPr>
              <w:spacing w:after="0"/>
              <w:rPr>
                <w:sz w:val="24"/>
                <w:szCs w:val="24"/>
                <w:color w:val="auto"/>
              </w:rPr>
            </w:pPr>
          </w:p>
        </w:tc>
        <w:tc>
          <w:tcPr>
            <w:tcW w:w="3120" w:type="dxa"/>
            <w:vAlign w:val="bottom"/>
            <w:tcBorders>
              <w:right w:val="single" w:sz="8" w:color="auto"/>
            </w:tcBorders>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120" w:type="dxa"/>
            <w:vAlign w:val="bottom"/>
            <w:tcBorders>
              <w:right w:val="single" w:sz="8" w:color="auto"/>
            </w:tcBorders>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120" w:type="dxa"/>
            <w:vAlign w:val="bottom"/>
            <w:tcBorders>
              <w:right w:val="single" w:sz="8" w:color="auto"/>
            </w:tcBorders>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120" w:type="dxa"/>
            <w:vAlign w:val="bottom"/>
            <w:tcBorders>
              <w:right w:val="single" w:sz="8" w:color="auto"/>
            </w:tcBorders>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Pr>
          <w:p>
            <w:pPr>
              <w:spacing w:after="0"/>
              <w:rPr>
                <w:sz w:val="7"/>
                <w:szCs w:val="7"/>
                <w:color w:val="auto"/>
              </w:rPr>
            </w:pPr>
          </w:p>
        </w:tc>
        <w:tc>
          <w:tcPr>
            <w:tcW w:w="3120" w:type="dxa"/>
            <w:vAlign w:val="bottom"/>
            <w:tcBorders>
              <w:right w:val="single" w:sz="8" w:color="auto"/>
            </w:tcBorders>
            <w:vMerge w:val="restart"/>
          </w:tcPr>
          <w:p>
            <w:pPr>
              <w:jc w:val="center"/>
              <w:ind w:right="732"/>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31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12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31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9</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-100,000,000*-</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10</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11</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12</w:t>
            </w:r>
          </w:p>
        </w:tc>
        <w:tc>
          <w:tcPr>
            <w:tcW w:w="3120" w:type="dxa"/>
            <w:vAlign w:val="bottom"/>
          </w:tcPr>
          <w:p>
            <w:pPr>
              <w:ind w:left="62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60" w:hanging="364"/>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of the shares of Series A Common Stock, that are reported as beneficially owned by the Reporting Person, are owned by Comcast QVC, Inc.</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Liberty Media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12300 Liberty Boulevard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Englewood, Colorado 80112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w:t>
      </w:r>
    </w:p>
    <w:p>
      <w:pPr>
        <w:sectPr>
          <w:pgSz w:w="11900" w:h="16880" w:orient="portrait"/>
          <w:cols w:equalWidth="0" w:num="1">
            <w:col w:w="10860"/>
          </w:cols>
          <w:pgMar w:left="240" w:top="172" w:right="799" w:bottom="0" w:gutter="0" w:footer="0" w:header="0"/>
        </w:sectPr>
      </w:pPr>
    </w:p>
    <w:bookmarkStart w:id="4" w:name="page5"/>
    <w:bookmarkEnd w:id="4"/>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Inc. is 1201 N. Market Street, Suite 1405, Wilmington, Delaware 19801.</w:t>
      </w:r>
    </w:p>
    <w:p>
      <w:pPr>
        <w:spacing w:after="0" w:line="213"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1500 Market Street, Philadelphia, PA 19102.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 Delaware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 – Delaware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 – Pennsylvania</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 – Pennsylvania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Liberty Series A Common Stock, par value $.01 per share (“Series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530718105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31" w:lineRule="exact"/>
        <w:rPr>
          <w:sz w:val="20"/>
          <w:szCs w:val="20"/>
          <w:color w:val="auto"/>
        </w:rPr>
      </w:pPr>
    </w:p>
    <w:p>
      <w:pPr>
        <w:ind w:left="880" w:hanging="531"/>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52" w:lineRule="exact"/>
        <w:rPr>
          <w:rFonts w:ascii="Arial" w:cs="Arial" w:eastAsia="Arial" w:hAnsi="Arial"/>
          <w:sz w:val="18"/>
          <w:szCs w:val="18"/>
          <w:color w:val="auto"/>
        </w:rPr>
      </w:pPr>
    </w:p>
    <w:p>
      <w:pPr>
        <w:ind w:left="880" w:hanging="5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52" w:lineRule="exact"/>
        <w:rPr>
          <w:rFonts w:ascii="Arial" w:cs="Arial" w:eastAsia="Arial" w:hAnsi="Arial"/>
          <w:sz w:val="18"/>
          <w:szCs w:val="18"/>
          <w:color w:val="auto"/>
        </w:rPr>
      </w:pPr>
    </w:p>
    <w:p>
      <w:pPr>
        <w:ind w:left="880" w:hanging="531"/>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52" w:lineRule="exact"/>
        <w:rPr>
          <w:rFonts w:ascii="Arial" w:cs="Arial" w:eastAsia="Arial" w:hAnsi="Arial"/>
          <w:sz w:val="18"/>
          <w:szCs w:val="18"/>
          <w:color w:val="auto"/>
        </w:rPr>
      </w:pPr>
    </w:p>
    <w:p>
      <w:pPr>
        <w:ind w:left="880" w:hanging="5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52" w:lineRule="exact"/>
        <w:rPr>
          <w:rFonts w:ascii="Arial" w:cs="Arial" w:eastAsia="Arial" w:hAnsi="Arial"/>
          <w:sz w:val="18"/>
          <w:szCs w:val="18"/>
          <w:color w:val="auto"/>
        </w:rPr>
      </w:pPr>
    </w:p>
    <w:p>
      <w:pPr>
        <w:ind w:left="880" w:hanging="531"/>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380" w:type="dxa"/>
            <w:vAlign w:val="bottom"/>
          </w:tcPr>
          <w:p>
            <w:pPr>
              <w:ind w:left="20"/>
              <w:spacing w:after="0"/>
              <w:rPr>
                <w:sz w:val="20"/>
                <w:szCs w:val="20"/>
                <w:color w:val="auto"/>
              </w:rPr>
            </w:pPr>
            <w:r>
              <w:rPr>
                <w:rFonts w:ascii="Arial" w:cs="Arial" w:eastAsia="Arial" w:hAnsi="Arial"/>
                <w:sz w:val="18"/>
                <w:szCs w:val="18"/>
                <w:color w:val="auto"/>
              </w:rPr>
              <w:t>(f)</w:t>
            </w:r>
          </w:p>
        </w:tc>
        <w:tc>
          <w:tcPr>
            <w:tcW w:w="9900" w:type="dxa"/>
            <w:vAlign w:val="bottom"/>
            <w:gridSpan w:val="2"/>
          </w:tcPr>
          <w:p>
            <w:pPr>
              <w:ind w:left="160"/>
              <w:spacing w:after="0"/>
              <w:rPr>
                <w:sz w:val="20"/>
                <w:szCs w:val="20"/>
                <w:color w:val="auto"/>
              </w:rPr>
            </w:pPr>
            <w:r>
              <w:rPr>
                <w:rFonts w:ascii="Arial" w:cs="Arial" w:eastAsia="Arial" w:hAnsi="Arial"/>
                <w:sz w:val="18"/>
                <w:szCs w:val="18"/>
                <w:color w:val="auto"/>
              </w:rPr>
              <w:t>o   An employee benefit plan or endowment fund in accordance with Rule 13d-1(b)(1)(ii)(F);</w:t>
            </w: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(g)</w:t>
            </w:r>
          </w:p>
        </w:tc>
        <w:tc>
          <w:tcPr>
            <w:tcW w:w="9900" w:type="dxa"/>
            <w:vAlign w:val="bottom"/>
            <w:gridSpan w:val="2"/>
          </w:tcPr>
          <w:p>
            <w:pPr>
              <w:ind w:left="160"/>
              <w:spacing w:after="0"/>
              <w:rPr>
                <w:sz w:val="20"/>
                <w:szCs w:val="20"/>
                <w:color w:val="auto"/>
              </w:rPr>
            </w:pPr>
            <w:r>
              <w:rPr>
                <w:rFonts w:ascii="Arial" w:cs="Arial" w:eastAsia="Arial" w:hAnsi="Arial"/>
                <w:sz w:val="18"/>
                <w:szCs w:val="18"/>
                <w:color w:val="auto"/>
              </w:rPr>
              <w:t>o   A parent holding company or control person in accordance with Rule 13d-1(b)(1)(ii)(G);</w:t>
            </w: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(h)</w:t>
            </w:r>
          </w:p>
        </w:tc>
        <w:tc>
          <w:tcPr>
            <w:tcW w:w="380" w:type="dxa"/>
            <w:vAlign w:val="bottom"/>
          </w:tcPr>
          <w:p>
            <w:pPr>
              <w:ind w:left="160"/>
              <w:spacing w:after="0"/>
              <w:rPr>
                <w:sz w:val="20"/>
                <w:szCs w:val="20"/>
                <w:color w:val="auto"/>
              </w:rPr>
            </w:pPr>
            <w:r>
              <w:rPr>
                <w:rFonts w:ascii="Arial" w:cs="Arial" w:eastAsia="Arial" w:hAnsi="Arial"/>
                <w:sz w:val="18"/>
                <w:szCs w:val="18"/>
                <w:color w:val="auto"/>
              </w:rPr>
              <w:t>o</w:t>
            </w:r>
          </w:p>
        </w:tc>
        <w:tc>
          <w:tcPr>
            <w:tcW w:w="9520" w:type="dxa"/>
            <w:vAlign w:val="bottom"/>
          </w:tcPr>
          <w:p>
            <w:pPr>
              <w:ind w:left="1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86"/>
        </w:trPr>
        <w:tc>
          <w:tcPr>
            <w:tcW w:w="380" w:type="dxa"/>
            <w:vAlign w:val="bottom"/>
          </w:tcPr>
          <w:p>
            <w:pPr>
              <w:ind w:left="20"/>
              <w:spacing w:after="0"/>
              <w:rPr>
                <w:sz w:val="20"/>
                <w:szCs w:val="20"/>
                <w:color w:val="auto"/>
              </w:rPr>
            </w:pPr>
            <w:r>
              <w:rPr>
                <w:rFonts w:ascii="Arial" w:cs="Arial" w:eastAsia="Arial" w:hAnsi="Arial"/>
                <w:sz w:val="18"/>
                <w:szCs w:val="18"/>
                <w:color w:val="auto"/>
              </w:rPr>
              <w:t>(i)</w:t>
            </w:r>
          </w:p>
        </w:tc>
        <w:tc>
          <w:tcPr>
            <w:tcW w:w="380" w:type="dxa"/>
            <w:vAlign w:val="bottom"/>
          </w:tcPr>
          <w:p>
            <w:pPr>
              <w:ind w:left="160"/>
              <w:spacing w:after="0"/>
              <w:rPr>
                <w:sz w:val="20"/>
                <w:szCs w:val="20"/>
                <w:color w:val="auto"/>
              </w:rPr>
            </w:pPr>
            <w:r>
              <w:rPr>
                <w:rFonts w:ascii="Arial" w:cs="Arial" w:eastAsia="Arial" w:hAnsi="Arial"/>
                <w:sz w:val="18"/>
                <w:szCs w:val="18"/>
                <w:color w:val="auto"/>
              </w:rPr>
              <w:t>o</w:t>
            </w:r>
          </w:p>
        </w:tc>
        <w:tc>
          <w:tcPr>
            <w:tcW w:w="9520" w:type="dxa"/>
            <w:vAlign w:val="bottom"/>
          </w:tcPr>
          <w:p>
            <w:pPr>
              <w:ind w:left="12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 3(c)(14) of the Investment Company Act;</w:t>
            </w:r>
          </w:p>
        </w:tc>
      </w:tr>
    </w:tbl>
    <w:p>
      <w:pPr>
        <w:spacing w:after="0" w:line="237" w:lineRule="exact"/>
        <w:rPr>
          <w:sz w:val="20"/>
          <w:szCs w:val="20"/>
          <w:color w:val="auto"/>
        </w:rPr>
      </w:pPr>
    </w:p>
    <w:p>
      <w:pPr>
        <w:ind w:left="880" w:hanging="51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920" w:hanging="550"/>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100,000,000</w:t>
      </w:r>
    </w:p>
    <w:p>
      <w:pPr>
        <w:spacing w:after="0" w:line="252" w:lineRule="exact"/>
        <w:rPr>
          <w:rFonts w:ascii="Arial" w:cs="Arial" w:eastAsia="Arial" w:hAnsi="Arial"/>
          <w:sz w:val="18"/>
          <w:szCs w:val="18"/>
          <w:color w:val="auto"/>
        </w:rPr>
      </w:pPr>
    </w:p>
    <w:p>
      <w:pPr>
        <w:ind w:left="920" w:hanging="55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3.7%</w:t>
      </w:r>
    </w:p>
    <w:p>
      <w:pPr>
        <w:spacing w:after="0" w:line="252" w:lineRule="exact"/>
        <w:rPr>
          <w:rFonts w:ascii="Arial" w:cs="Arial" w:eastAsia="Arial" w:hAnsi="Arial"/>
          <w:sz w:val="18"/>
          <w:szCs w:val="18"/>
          <w:color w:val="auto"/>
        </w:rPr>
      </w:pPr>
    </w:p>
    <w:p>
      <w:pPr>
        <w:ind w:left="280" w:right="6720" w:firstLine="90"/>
        <w:spacing w:after="0" w:line="563" w:lineRule="auto"/>
        <w:tabs>
          <w:tab w:leader="none" w:pos="9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Number of shares as to which such person has: (i)Sole power to vote or to direct the vote: -0-(ii)Shared power to vote or to direct the vote: 100,000,000 (iii)Sole power to dispose or to direct the disposition of: -0-</w:t>
      </w:r>
    </w:p>
    <w:p>
      <w:pPr>
        <w:spacing w:after="0" w:line="2"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(iv)Shared power to dispose or to direct the disposition of: 100,000,000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ectPr>
          <w:pgSz w:w="11900" w:h="16860" w:orient="portrait"/>
          <w:cols w:equalWidth="0" w:num="1">
            <w:col w:w="11180"/>
          </w:cols>
          <w:pgMar w:left="240" w:top="125" w:right="479" w:bottom="0" w:gutter="0" w:footer="0" w:header="0"/>
        </w:sectPr>
      </w:pPr>
    </w:p>
    <w:bookmarkStart w:id="5" w:name="page6"/>
    <w:bookmarkEnd w:id="5"/>
    <w:p>
      <w:pPr>
        <w:ind w:right="120" w:firstLine="27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owns 100,000,000 shares of Series A Common Stock.</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is a direct, wholly owned subsidiary of Comcast Programming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 is a direct, wholly owned subsidiary of Comcast Holdings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Date: January 27, 2005</w:t>
            </w:r>
          </w:p>
        </w:tc>
        <w:tc>
          <w:tcPr>
            <w:tcW w:w="5500" w:type="dxa"/>
            <w:vAlign w:val="bottom"/>
            <w:gridSpan w:val="4"/>
          </w:tcPr>
          <w:p>
            <w:pPr>
              <w:ind w:left="1900"/>
              <w:spacing w:after="0"/>
              <w:rPr>
                <w:sz w:val="20"/>
                <w:szCs w:val="20"/>
                <w:color w:val="auto"/>
              </w:rPr>
            </w:pPr>
            <w:r>
              <w:rPr>
                <w:rFonts w:ascii="Arial" w:cs="Arial" w:eastAsia="Arial" w:hAnsi="Arial"/>
                <w:sz w:val="18"/>
                <w:szCs w:val="18"/>
                <w:color w:val="auto"/>
              </w:rPr>
              <w:t>COMCAST QVC, INC</w:t>
            </w:r>
          </w:p>
        </w:tc>
      </w:tr>
      <w:tr>
        <w:trPr>
          <w:trHeight w:val="459"/>
        </w:trPr>
        <w:tc>
          <w:tcPr>
            <w:tcW w:w="3540" w:type="dxa"/>
            <w:vAlign w:val="bottom"/>
          </w:tcPr>
          <w:p>
            <w:pPr>
              <w:spacing w:after="0"/>
              <w:rPr>
                <w:sz w:val="24"/>
                <w:szCs w:val="24"/>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3060" w:type="dxa"/>
            <w:vAlign w:val="bottom"/>
            <w:gridSpan w:val="3"/>
          </w:tcPr>
          <w:p>
            <w:pPr>
              <w:spacing w:after="0"/>
              <w:rPr>
                <w:sz w:val="20"/>
                <w:szCs w:val="20"/>
                <w:color w:val="auto"/>
              </w:rPr>
            </w:pPr>
            <w:r>
              <w:rPr>
                <w:rFonts w:ascii="Arial" w:cs="Arial" w:eastAsia="Arial" w:hAnsi="Arial"/>
                <w:sz w:val="18"/>
                <w:szCs w:val="18"/>
                <w:color w:val="auto"/>
              </w:rPr>
              <w:t>/s/ James P. McCue</w:t>
            </w:r>
          </w:p>
        </w:tc>
      </w:tr>
      <w:tr>
        <w:trPr>
          <w:trHeight w:val="137"/>
        </w:trPr>
        <w:tc>
          <w:tcPr>
            <w:tcW w:w="35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329"/>
        </w:trPr>
        <w:tc>
          <w:tcPr>
            <w:tcW w:w="3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James P. McCue</w:t>
            </w:r>
          </w:p>
        </w:tc>
      </w:tr>
      <w:tr>
        <w:trPr>
          <w:trHeight w:val="243"/>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r>
      <w:tr>
        <w:trPr>
          <w:trHeight w:val="500"/>
        </w:trPr>
        <w:tc>
          <w:tcPr>
            <w:tcW w:w="3540" w:type="dxa"/>
            <w:vAlign w:val="bottom"/>
          </w:tcPr>
          <w:p>
            <w:pPr>
              <w:spacing w:after="0"/>
              <w:rPr>
                <w:sz w:val="24"/>
                <w:szCs w:val="24"/>
                <w:color w:val="auto"/>
              </w:rPr>
            </w:pPr>
          </w:p>
        </w:tc>
        <w:tc>
          <w:tcPr>
            <w:tcW w:w="5500" w:type="dxa"/>
            <w:vAlign w:val="bottom"/>
            <w:gridSpan w:val="4"/>
          </w:tcPr>
          <w:p>
            <w:pPr>
              <w:ind w:left="1900"/>
              <w:spacing w:after="0"/>
              <w:rPr>
                <w:sz w:val="20"/>
                <w:szCs w:val="20"/>
                <w:color w:val="auto"/>
              </w:rPr>
            </w:pPr>
            <w:r>
              <w:rPr>
                <w:rFonts w:ascii="Arial" w:cs="Arial" w:eastAsia="Arial" w:hAnsi="Arial"/>
                <w:sz w:val="18"/>
                <w:szCs w:val="18"/>
                <w:color w:val="auto"/>
                <w:w w:val="94"/>
              </w:rPr>
              <w:t>COMCAST PROGRAMMING HOLDINGS, INC.</w:t>
            </w:r>
          </w:p>
        </w:tc>
      </w:tr>
      <w:tr>
        <w:trPr>
          <w:trHeight w:val="473"/>
        </w:trPr>
        <w:tc>
          <w:tcPr>
            <w:tcW w:w="3540" w:type="dxa"/>
            <w:vAlign w:val="bottom"/>
          </w:tcPr>
          <w:p>
            <w:pPr>
              <w:spacing w:after="0"/>
              <w:rPr>
                <w:sz w:val="24"/>
                <w:szCs w:val="24"/>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3060" w:type="dxa"/>
            <w:vAlign w:val="bottom"/>
            <w:gridSpan w:val="3"/>
          </w:tcPr>
          <w:p>
            <w:pPr>
              <w:spacing w:after="0"/>
              <w:rPr>
                <w:sz w:val="20"/>
                <w:szCs w:val="20"/>
                <w:color w:val="auto"/>
              </w:rPr>
            </w:pPr>
            <w:r>
              <w:rPr>
                <w:rFonts w:ascii="Arial" w:cs="Arial" w:eastAsia="Arial" w:hAnsi="Arial"/>
                <w:sz w:val="18"/>
                <w:szCs w:val="18"/>
                <w:color w:val="auto"/>
              </w:rPr>
              <w:t>/s/ James P. McCue</w:t>
            </w:r>
          </w:p>
        </w:tc>
      </w:tr>
      <w:tr>
        <w:trPr>
          <w:trHeight w:val="137"/>
        </w:trPr>
        <w:tc>
          <w:tcPr>
            <w:tcW w:w="35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329"/>
        </w:trPr>
        <w:tc>
          <w:tcPr>
            <w:tcW w:w="3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James P. McCue</w:t>
            </w:r>
          </w:p>
        </w:tc>
      </w:tr>
      <w:tr>
        <w:trPr>
          <w:trHeight w:val="243"/>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00"/>
          </w:cols>
          <w:pgMar w:left="240" w:top="158" w:right="259" w:bottom="0" w:gutter="0" w:footer="0" w:header="0"/>
        </w:sectPr>
      </w:pPr>
    </w:p>
    <w:bookmarkStart w:id="6" w:name="page7"/>
    <w:bookmarkEnd w:id="6"/>
    <w:p>
      <w:pPr>
        <w:spacing w:after="0" w:line="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37"/>
        </w:trPr>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r>
      <w:tr>
        <w:trPr>
          <w:trHeight w:val="329"/>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500"/>
        </w:trPr>
        <w:tc>
          <w:tcPr>
            <w:tcW w:w="3480" w:type="dxa"/>
            <w:vAlign w:val="bottom"/>
            <w:gridSpan w:val="3"/>
          </w:tcPr>
          <w:p>
            <w:pPr>
              <w:spacing w:after="0"/>
              <w:rPr>
                <w:sz w:val="20"/>
                <w:szCs w:val="20"/>
                <w:color w:val="auto"/>
              </w:rPr>
            </w:pPr>
            <w:r>
              <w:rPr>
                <w:rFonts w:ascii="Arial" w:cs="Arial" w:eastAsia="Arial" w:hAnsi="Arial"/>
                <w:sz w:val="18"/>
                <w:szCs w:val="18"/>
                <w:color w:val="auto"/>
              </w:rPr>
              <w:t>COMCAST CORPORATION</w:t>
            </w:r>
          </w:p>
        </w:tc>
      </w:tr>
      <w:tr>
        <w:trPr>
          <w:trHeight w:val="47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37"/>
        </w:trPr>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r>
      <w:tr>
        <w:trPr>
          <w:trHeight w:val="329"/>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w:t>
      </w:r>
    </w:p>
    <w:p>
      <w:pPr>
        <w:spacing w:after="0" w:line="200" w:lineRule="exact"/>
        <w:rPr>
          <w:sz w:val="20"/>
          <w:szCs w:val="20"/>
          <w:color w:val="auto"/>
        </w:rPr>
      </w:pPr>
    </w:p>
    <w:p>
      <w:pPr>
        <w:spacing w:after="0" w:line="268" w:lineRule="exact"/>
        <w:rPr>
          <w:sz w:val="20"/>
          <w:szCs w:val="20"/>
          <w:color w:val="auto"/>
        </w:rPr>
      </w:pPr>
    </w:p>
    <w:p>
      <w:pPr>
        <w:ind w:left="1160" w:right="200" w:hanging="1147"/>
        <w:spacing w:after="0" w:line="268" w:lineRule="auto"/>
        <w:tabs>
          <w:tab w:leader="none" w:pos="114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8"/>
          <w:szCs w:val="18"/>
          <w:color w:val="auto"/>
        </w:rPr>
        <w:t>Termination of Joint Filing Agreement dated September 24, 2003 between Comcast QVC Inc., Comcast Programming Holdings, Inc., Comcast Holdings Corporation and 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TERMINATION OF JOINT FILING AGREEMENT</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EXECUTED PURSUANT TO RULE 13d-1(k)(1)</w:t>
      </w:r>
    </w:p>
    <w:p>
      <w:pPr>
        <w:spacing w:after="0" w:line="246"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The undersigned hereby terminate the Joint Filing Agreement among them dated September 24, 2003. This termination may be executed in any number of counterparts and all of such counterparts taken together shall constitute one and the same instrument.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Dated as of: January 27, 2005</w:t>
      </w:r>
    </w:p>
    <w:p>
      <w:pPr>
        <w:spacing w:after="0" w:line="23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QVC, INC</w:t>
      </w:r>
    </w:p>
    <w:p>
      <w:pPr>
        <w:spacing w:after="0" w:line="266" w:lineRule="exact"/>
        <w:rPr>
          <w:sz w:val="20"/>
          <w:szCs w:val="20"/>
          <w:color w:val="auto"/>
        </w:rPr>
      </w:pPr>
    </w:p>
    <w:p>
      <w:pPr>
        <w:ind w:left="54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97155</wp:posOffset>
            </wp:positionV>
            <wp:extent cx="1869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5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P. McCue</w:t>
      </w:r>
    </w:p>
    <w:p>
      <w:pPr>
        <w:spacing w:after="0" w:line="36"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9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PROGRAMMING HOLDINGS, INC.</w:t>
      </w:r>
    </w:p>
    <w:p>
      <w:pPr>
        <w:spacing w:after="0" w:line="266" w:lineRule="exact"/>
        <w:rPr>
          <w:sz w:val="20"/>
          <w:szCs w:val="20"/>
          <w:color w:val="auto"/>
        </w:rPr>
      </w:pPr>
    </w:p>
    <w:p>
      <w:pPr>
        <w:ind w:left="54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97155</wp:posOffset>
            </wp:positionV>
            <wp:extent cx="1869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5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P. McCue</w:t>
      </w:r>
    </w:p>
    <w:p>
      <w:pPr>
        <w:spacing w:after="0" w:line="36"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ectPr>
          <w:pgSz w:w="11900" w:h="16853" w:orient="portrait"/>
          <w:cols w:equalWidth="0" w:num="1">
            <w:col w:w="11420"/>
          </w:cols>
          <w:pgMar w:left="240" w:top="131" w:right="239" w:bottom="0" w:gutter="0" w:footer="0" w:header="0"/>
        </w:sectPr>
      </w:pPr>
    </w:p>
    <w:bookmarkStart w:id="7" w:name="page8"/>
    <w:bookmarkEnd w:id="7"/>
    <w:p>
      <w:pPr>
        <w:ind w:left="4240"/>
        <w:spacing w:after="0"/>
        <w:rPr>
          <w:sz w:val="20"/>
          <w:szCs w:val="20"/>
          <w:color w:val="auto"/>
        </w:rPr>
      </w:pPr>
      <w:r>
        <w:rPr>
          <w:rFonts w:ascii="Arial" w:cs="Arial" w:eastAsia="Arial" w:hAnsi="Arial"/>
          <w:sz w:val="18"/>
          <w:szCs w:val="18"/>
          <w:color w:val="auto"/>
        </w:rPr>
        <w:t>COMCAST HOLDINGS CORPORATION</w:t>
      </w:r>
    </w:p>
    <w:p>
      <w:pPr>
        <w:spacing w:after="0" w:line="266" w:lineRule="exact"/>
        <w:rPr>
          <w:sz w:val="20"/>
          <w:szCs w:val="20"/>
          <w:color w:val="auto"/>
        </w:rPr>
      </w:pPr>
    </w:p>
    <w:tbl>
      <w:tblPr>
        <w:tblLayout w:type="fixed"/>
        <w:tblInd w:w="42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37"/>
        </w:trPr>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r>
      <w:tr>
        <w:trPr>
          <w:trHeight w:val="329"/>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500"/>
        </w:trPr>
        <w:tc>
          <w:tcPr>
            <w:tcW w:w="3480" w:type="dxa"/>
            <w:vAlign w:val="bottom"/>
            <w:gridSpan w:val="3"/>
          </w:tcPr>
          <w:p>
            <w:pPr>
              <w:spacing w:after="0"/>
              <w:rPr>
                <w:sz w:val="20"/>
                <w:szCs w:val="20"/>
                <w:color w:val="auto"/>
              </w:rPr>
            </w:pPr>
            <w:r>
              <w:rPr>
                <w:rFonts w:ascii="Arial" w:cs="Arial" w:eastAsia="Arial" w:hAnsi="Arial"/>
                <w:sz w:val="18"/>
                <w:szCs w:val="18"/>
                <w:color w:val="auto"/>
              </w:rPr>
              <w:t>COMCAST CORPORATION</w:t>
            </w:r>
          </w:p>
        </w:tc>
      </w:tr>
      <w:tr>
        <w:trPr>
          <w:trHeight w:val="47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37"/>
        </w:trPr>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r>
      <w:tr>
        <w:trPr>
          <w:trHeight w:val="329"/>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11 of 11</w:t>
      </w:r>
    </w:p>
    <w:sectPr>
      <w:pgSz w:w="11900" w:h="16838" w:orient="portrait"/>
      <w:cols w:equalWidth="0" w:num="1">
        <w:col w:w="9019"/>
      </w:cols>
      <w:pgMar w:left="1440" w:top="3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x"/>
      <w:numFmt w:val="bullet"/>
      <w:start w:val="1"/>
    </w:lvl>
  </w:abstractNum>
  <w:abstractNum w:abstractNumId="2">
    <w:nsid w:val="4DB127F8"/>
    <w:multiLevelType w:val="hybridMultilevel"/>
    <w:lvl w:ilvl="0">
      <w:lvlJc w:val="left"/>
      <w:lvlText w:val="*"/>
      <w:numFmt w:val="bullet"/>
      <w:start w:val="1"/>
    </w:lvl>
    <w:lvl w:ilvl="1">
      <w:lvlJc w:val="left"/>
      <w:lvlText w:val="o"/>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4"/>
      <w:numFmt w:val="bullet"/>
      <w:start w:val="1"/>
    </w:lvl>
  </w:abstractNum>
  <w:abstractNum w:abstractNumId="7">
    <w:nsid w:val="140E0F76"/>
    <w:multiLevelType w:val="hybridMultilevel"/>
    <w:lvl w:ilvl="0">
      <w:lvlJc w:val="left"/>
      <w:lvlText w:val="8"/>
      <w:numFmt w:val="bullet"/>
      <w:start w:val="1"/>
    </w:lvl>
  </w:abstractNum>
  <w:abstractNum w:abstractNumId="8">
    <w:nsid w:val="3352255A"/>
    <w:multiLevelType w:val="hybridMultilevel"/>
    <w:lvl w:ilvl="0">
      <w:lvlJc w:val="left"/>
      <w:lvlText w:val="9"/>
      <w:numFmt w:val="bullet"/>
      <w:start w:val="1"/>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0"/>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2019-12-16T10:27:47Z</dcterms:created>
  <dcterms:modified xsi:type="dcterms:W3CDTF">2019-12-16T10:27:47Z</dcterms:modified>
</cp:coreProperties>
</file>