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1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360" w:type="dxa"/>
            <w:vAlign w:val="bottom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21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216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5354320</wp:posOffset>
            </wp:positionH>
            <wp:positionV relativeFrom="paragraph">
              <wp:posOffset>-605790</wp:posOffset>
            </wp:positionV>
            <wp:extent cx="8255" cy="606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4034790</wp:posOffset>
            </wp:positionH>
            <wp:positionV relativeFrom="paragraph">
              <wp:posOffset>-614045</wp:posOffset>
            </wp:positionV>
            <wp:extent cx="8255" cy="6146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4058920</wp:posOffset>
            </wp:positionH>
            <wp:positionV relativeFrom="paragraph">
              <wp:posOffset>-589915</wp:posOffset>
            </wp:positionV>
            <wp:extent cx="1278890" cy="5657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889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-1572260</wp:posOffset>
            </wp:positionH>
            <wp:positionV relativeFrom="paragraph">
              <wp:posOffset>36195</wp:posOffset>
            </wp:positionV>
            <wp:extent cx="6967855" cy="1614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614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060" w:space="420"/>
            <w:col w:w="86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ROBERTS BRIAN L</w:t>
        </w:r>
      </w:hyperlink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62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5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 of Board, Pres. &amp; CEO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21,857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09/17/2020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21,857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45.58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533,069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-2843530</wp:posOffset>
            </wp:positionV>
            <wp:extent cx="7033895" cy="28854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885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had previously elected to defer receipt of shares and to notionally reinvest the deferred compensation in another investment plan.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Elizabeth Wideman, Attorney-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09/21/2020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068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2781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06394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2020-09-21T16:37:07Z</dcterms:created>
  <dcterms:modified xsi:type="dcterms:W3CDTF">2020-09-21T16:37:07Z</dcterms:modified>
</cp:coreProperties>
</file>