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______________________________</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1760" w:right="3839" w:hanging="793"/>
        <w:spacing w:after="0" w:line="238" w:lineRule="auto"/>
        <w:tabs>
          <w:tab w:leader="none" w:pos="113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DECEMBER 31, 2002</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3" w:lineRule="exact"/>
        <w:rPr>
          <w:sz w:val="24"/>
          <w:szCs w:val="24"/>
          <w:color w:val="auto"/>
        </w:rPr>
      </w:pPr>
    </w:p>
    <w:p>
      <w:pPr>
        <w:ind w:left="1760" w:right="3479" w:hanging="793"/>
        <w:spacing w:after="0" w:line="238" w:lineRule="auto"/>
        <w:tabs>
          <w:tab w:leader="none" w:pos="131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Commission file number 000-50093</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(formerly AT&amp;T Comcast Corporation)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2" w:right="1440" w:bottom="0" w:gutter="0" w:footer="0" w:header="0"/>
        </w:sectPr>
      </w:pPr>
    </w:p>
    <w:p>
      <w:pPr>
        <w:spacing w:after="0" w:line="34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PENNSYLVANIA</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27-0000798</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0" w:lineRule="exact"/>
        <w:rPr>
          <w:sz w:val="24"/>
          <w:szCs w:val="24"/>
          <w:color w:val="auto"/>
        </w:rPr>
      </w:pPr>
    </w:p>
    <w:p>
      <w:pPr>
        <w:sectPr>
          <w:pgSz w:w="11900" w:h="16838" w:orient="portrait"/>
          <w:cols w:equalWidth="0" w:num="2">
            <w:col w:w="4060" w:space="720"/>
            <w:col w:w="5439"/>
          </w:cols>
          <w:pgMar w:left="240" w:top="232" w:right="1440" w:bottom="0" w:gutter="0" w:footer="0" w:header="0"/>
          <w:type w:val="continuous"/>
        </w:sectPr>
      </w:pPr>
    </w:p>
    <w:p>
      <w:pPr>
        <w:jc w:val="center"/>
        <w:ind w:left="36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3" w:lineRule="exact"/>
        <w:rPr>
          <w:sz w:val="24"/>
          <w:szCs w:val="24"/>
          <w:color w:val="auto"/>
        </w:rPr>
      </w:pPr>
    </w:p>
    <w:p>
      <w:pPr>
        <w:jc w:val="cente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420" w:space="720"/>
            <w:col w:w="5079"/>
          </w:cols>
          <w:pgMar w:left="240" w:top="232" w:right="1440" w:bottom="0" w:gutter="0" w:footer="0" w:header="0"/>
          <w:type w:val="continuous"/>
        </w:sectPr>
      </w:pPr>
    </w:p>
    <w:p>
      <w:pPr>
        <w:jc w:val="center"/>
        <w:ind w:right="311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7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Class A Common Stock, $0.01 par value</w:t>
      </w:r>
    </w:p>
    <w:p>
      <w:pPr>
        <w:spacing w:after="0" w:line="1"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Class A Special Common Stock, $0.01 par value</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____________________________</w:t>
      </w:r>
    </w:p>
    <w:p>
      <w:pPr>
        <w:spacing w:after="0" w:line="174" w:lineRule="exact"/>
        <w:rPr>
          <w:sz w:val="24"/>
          <w:szCs w:val="24"/>
          <w:color w:val="auto"/>
        </w:rPr>
      </w:pPr>
    </w:p>
    <w:p>
      <w:pPr>
        <w:jc w:val="both"/>
        <w:ind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32" w:right="1440" w:bottom="0" w:gutter="0" w:footer="0" w:header="0"/>
          <w:type w:val="continuous"/>
        </w:sectPr>
      </w:pPr>
    </w:p>
    <w:p>
      <w:pPr>
        <w:spacing w:after="0" w:line="4" w:lineRule="exact"/>
        <w:rPr>
          <w:sz w:val="24"/>
          <w:szCs w:val="24"/>
          <w:color w:val="auto"/>
        </w:rPr>
      </w:pPr>
    </w:p>
    <w:p>
      <w:pPr>
        <w:ind w:left="1760"/>
        <w:spacing w:after="0"/>
        <w:tabs>
          <w:tab w:leader="none" w:pos="246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_____</w:t>
      </w:r>
    </w:p>
    <w:p>
      <w:pPr>
        <w:spacing w:after="0" w:line="174" w:lineRule="exact"/>
        <w:rPr>
          <w:sz w:val="24"/>
          <w:szCs w:val="24"/>
          <w:color w:val="auto"/>
        </w:rPr>
      </w:pPr>
    </w:p>
    <w:p>
      <w:pPr>
        <w:sectPr>
          <w:pgSz w:w="11900" w:h="16838" w:orient="portrait"/>
          <w:cols w:equalWidth="0" w:num="3">
            <w:col w:w="3620" w:space="720"/>
            <w:col w:w="180" w:space="520"/>
            <w:col w:w="5179"/>
          </w:cols>
          <w:pgMar w:left="240" w:top="232" w:right="1440" w:bottom="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__________________________</w:t>
      </w:r>
    </w:p>
    <w:p>
      <w:pPr>
        <w:sectPr>
          <w:pgSz w:w="11900" w:h="16838" w:orient="portrait"/>
          <w:cols w:equalWidth="0" w:num="1">
            <w:col w:w="10219"/>
          </w:cols>
          <w:pgMar w:left="240" w:top="232" w:right="1440" w:bottom="0" w:gutter="0" w:footer="0" w:header="0"/>
          <w:type w:val="continuous"/>
        </w:sectPr>
      </w:pPr>
    </w:p>
    <w:p>
      <w:pPr>
        <w:spacing w:after="0" w:line="183" w:lineRule="exact"/>
        <w:rPr>
          <w:sz w:val="24"/>
          <w:szCs w:val="24"/>
          <w:color w:val="auto"/>
        </w:rPr>
      </w:pPr>
    </w:p>
    <w:p>
      <w:pPr>
        <w:jc w:val="both"/>
        <w:ind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pacing w:after="0" w:line="1" w:lineRule="exact"/>
        <w:rPr>
          <w:sz w:val="24"/>
          <w:szCs w:val="24"/>
          <w:color w:val="auto"/>
        </w:rPr>
      </w:pPr>
    </w:p>
    <w:p>
      <w:pPr>
        <w:ind w:left="6740"/>
        <w:spacing w:after="0"/>
        <w:tabs>
          <w:tab w:leader="none" w:pos="6980" w:val="left"/>
        </w:tabs>
        <w:rPr>
          <w:sz w:val="20"/>
          <w:szCs w:val="20"/>
          <w:color w:val="auto"/>
        </w:rPr>
      </w:pPr>
      <w:r>
        <w:rPr>
          <w:rFonts w:ascii="Courier New" w:cs="Courier New" w:eastAsia="Courier New" w:hAnsi="Courier New"/>
          <w:sz w:val="15"/>
          <w:szCs w:val="15"/>
          <w:color w:val="auto"/>
        </w:rPr>
        <w:t>[</w:t>
        <w:tab/>
        <w:t>]</w:t>
      </w:r>
    </w:p>
    <w:p>
      <w:pPr>
        <w:spacing w:after="0" w:line="17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ectPr>
          <w:pgSz w:w="11900" w:h="16838" w:orient="portrait"/>
          <w:cols w:equalWidth="0" w:num="1">
            <w:col w:w="10219"/>
          </w:cols>
          <w:pgMar w:left="240" w:top="232" w:right="1440" w:bottom="0" w:gutter="0" w:footer="0" w:header="0"/>
          <w:type w:val="continuous"/>
        </w:sectPr>
      </w:pPr>
    </w:p>
    <w:p>
      <w:pPr>
        <w:spacing w:after="0" w:line="174" w:lineRule="exact"/>
        <w:rPr>
          <w:sz w:val="24"/>
          <w:szCs w:val="24"/>
          <w:color w:val="auto"/>
        </w:rPr>
      </w:pPr>
    </w:p>
    <w:p>
      <w:pPr>
        <w:spacing w:after="0" w:line="271" w:lineRule="auto"/>
        <w:rPr>
          <w:sz w:val="20"/>
          <w:szCs w:val="20"/>
          <w:color w:val="auto"/>
        </w:rPr>
      </w:pPr>
      <w:r>
        <w:rPr>
          <w:rFonts w:ascii="Courier New" w:cs="Courier New" w:eastAsia="Courier New" w:hAnsi="Courier New"/>
          <w:sz w:val="14"/>
          <w:szCs w:val="14"/>
          <w:color w:val="auto"/>
        </w:rPr>
        <w:t>Indicate by check mark whether defined in Rule 12b-2 of the 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Registrant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is an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accelerated</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filer (as</w:t>
      </w:r>
    </w:p>
    <w:p>
      <w:pPr>
        <w:spacing w:after="0" w:line="350" w:lineRule="exact"/>
        <w:rPr>
          <w:sz w:val="24"/>
          <w:szCs w:val="24"/>
          <w:color w:val="auto"/>
        </w:rPr>
      </w:pPr>
    </w:p>
    <w:p>
      <w:pPr>
        <w:sectPr>
          <w:pgSz w:w="11900" w:h="16838" w:orient="portrait"/>
          <w:cols w:equalWidth="0" w:num="6">
            <w:col w:w="3000" w:space="0"/>
            <w:col w:w="280" w:space="180"/>
            <w:col w:w="880" w:space="180"/>
            <w:col w:w="440" w:space="180"/>
            <w:col w:w="980" w:space="180"/>
            <w:col w:w="3919"/>
          </w:cols>
          <w:pgMar w:left="240" w:top="232" w:right="1440" w:bottom="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_____</w:t>
      </w:r>
    </w:p>
    <w:p>
      <w:pPr>
        <w:spacing w:after="0" w:line="174" w:lineRule="exact"/>
        <w:rPr>
          <w:sz w:val="24"/>
          <w:szCs w:val="24"/>
          <w:color w:val="auto"/>
        </w:rPr>
      </w:pPr>
    </w:p>
    <w:p>
      <w:pPr>
        <w:sectPr>
          <w:pgSz w:w="11900" w:h="16838" w:orient="portrait"/>
          <w:cols w:equalWidth="0" w:num="4">
            <w:col w:w="2040" w:space="440"/>
            <w:col w:w="1140" w:space="720"/>
            <w:col w:w="180" w:space="520"/>
            <w:col w:w="5179"/>
          </w:cols>
          <w:pgMar w:left="240" w:top="232" w:right="1440" w:bottom="0" w:gutter="0" w:footer="0" w:header="0"/>
          <w:type w:val="continuous"/>
        </w:sectPr>
      </w:pPr>
    </w:p>
    <w:p>
      <w:pPr>
        <w:jc w:val="both"/>
        <w:ind w:right="3119"/>
        <w:spacing w:after="0" w:line="239" w:lineRule="auto"/>
        <w:rPr>
          <w:sz w:val="20"/>
          <w:szCs w:val="20"/>
          <w:color w:val="auto"/>
        </w:rPr>
      </w:pPr>
      <w:r>
        <w:rPr>
          <w:rFonts w:ascii="Courier New" w:cs="Courier New" w:eastAsia="Courier New" w:hAnsi="Courier New"/>
          <w:sz w:val="15"/>
          <w:szCs w:val="15"/>
          <w:color w:val="auto"/>
        </w:rPr>
        <w:t>As of June 30, 2002, the aggregate market value of the Class A Common Stock and Class A Special Common Stock held by non-affiliates of the Registrant was $505 million and $21.533 billion, respectively.</w:t>
      </w:r>
    </w:p>
    <w:p>
      <w:pPr>
        <w:spacing w:after="0" w:line="172" w:lineRule="exact"/>
        <w:rPr>
          <w:sz w:val="24"/>
          <w:szCs w:val="24"/>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w:t>
      </w:r>
    </w:p>
    <w:p>
      <w:pPr>
        <w:spacing w:after="0" w:line="3" w:lineRule="exact"/>
        <w:rPr>
          <w:sz w:val="24"/>
          <w:szCs w:val="24"/>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As of December 31, 2002, there were 1,355,373,648 shares of Class A Common Stock, 883,343,590 shares of Class A Special Common Stock and 9,444,375 shares of Class B Common Stock outstanding.</w:t>
      </w:r>
    </w:p>
    <w:p>
      <w:pPr>
        <w:spacing w:after="0" w:line="17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Part III - The Registrant's definitive Proxy Statement for its Annual Meeting of Shareholders presently scheduled to be held in May 2003.</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ORGANIZATION AND BUSINESS</w:t>
      </w:r>
    </w:p>
    <w:p>
      <w:pPr>
        <w:spacing w:after="0" w:line="174" w:lineRule="exact"/>
        <w:rPr>
          <w:sz w:val="24"/>
          <w:szCs w:val="24"/>
          <w:color w:val="auto"/>
        </w:rPr>
      </w:pPr>
    </w:p>
    <w:p>
      <w:pPr>
        <w:jc w:val="both"/>
        <w:ind w:right="3119"/>
        <w:spacing w:after="0" w:line="271" w:lineRule="auto"/>
        <w:rPr>
          <w:sz w:val="20"/>
          <w:szCs w:val="20"/>
          <w:color w:val="auto"/>
        </w:rPr>
      </w:pPr>
      <w:r>
        <w:rPr>
          <w:rFonts w:ascii="Courier New" w:cs="Courier New" w:eastAsia="Courier New" w:hAnsi="Courier New"/>
          <w:sz w:val="14"/>
          <w:szCs w:val="14"/>
          <w:color w:val="auto"/>
        </w:rPr>
        <w:t>Comcast Corporation was incorporated in December 2001 to effect the acquisition of AT&amp;T Corp.'s broadband business, which was consummated on November 18, 2002.</w:t>
      </w:r>
    </w:p>
    <w:p>
      <w:pPr>
        <w:spacing w:after="0" w:line="154" w:lineRule="exact"/>
        <w:rPr>
          <w:sz w:val="24"/>
          <w:szCs w:val="24"/>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The Company is involved in three principal lines of business: cable, commerce and content. The Company's cable business is principally involved in the</w:t>
      </w:r>
    </w:p>
    <w:p>
      <w:pPr>
        <w:sectPr>
          <w:pgSz w:w="11900" w:h="16838" w:orient="portrait"/>
          <w:cols w:equalWidth="0" w:num="1">
            <w:col w:w="10219"/>
          </w:cols>
          <w:pgMar w:left="240" w:top="232" w:right="1440" w:bottom="0" w:gutter="0" w:footer="0" w:header="0"/>
          <w:type w:val="continuous"/>
        </w:sectPr>
      </w:pPr>
    </w:p>
    <w:bookmarkStart w:id="1" w:name="page2"/>
    <w:bookmarkEnd w:id="1"/>
    <w:p>
      <w:pPr>
        <w:jc w:val="both"/>
        <w:ind w:left="9" w:right="3119"/>
        <w:spacing w:after="0"/>
        <w:rPr>
          <w:sz w:val="20"/>
          <w:szCs w:val="20"/>
          <w:color w:val="auto"/>
        </w:rPr>
      </w:pPr>
      <w:r>
        <w:rPr>
          <w:rFonts w:ascii="Courier New" w:cs="Courier New" w:eastAsia="Courier New" w:hAnsi="Courier New"/>
          <w:sz w:val="15"/>
          <w:szCs w:val="15"/>
          <w:color w:val="auto"/>
        </w:rPr>
        <w:t>development, management and operation of broadband communications networks in the United States. The Company conducts its commerce business through its consolidated subsidiary, QVC, Inc. QVC, an electronic retailer, markets a wide variety of products directly to consumers primarily on merchandise-focused television programs. The Company's content business is provided through the Company's consolidated programming investments, including Comcast Spectacor, E! Entertainment Television, The Golf Channel, Outdoor Life Network and G4, and through other programming investments.</w:t>
      </w:r>
    </w:p>
    <w:p>
      <w:pPr>
        <w:spacing w:after="0" w:line="177"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To simplify the Company's capital structure, effective with the acquisition of Broadband, the Company and four of its cable holding company subsidiaries fully and unconditionally guaranteed each other's debt securities and other indebtedness for borrowed money. Comcast Holdings is not a guarantor, and none of its debt is guaranteed.</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The following chart illustrates the Company's organizational structure on a simplified basis and does not reflect all of the Company's subsidiaries. Substantially all of the Company's operations are conducted at lower-tier subsidiaries.</w:t>
      </w:r>
    </w:p>
    <w:p>
      <w:pPr>
        <w:spacing w:after="0" w:line="174"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[GRAPHIC OMITTED]</w:t>
      </w:r>
    </w:p>
    <w:p>
      <w:pPr>
        <w:spacing w:after="0" w:line="171"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of guarantor group.</w:t>
      </w:r>
    </w:p>
    <w:p>
      <w:pPr>
        <w:spacing w:after="0" w:line="3" w:lineRule="exact"/>
        <w:rPr>
          <w:rFonts w:ascii="Courier New" w:cs="Courier New" w:eastAsia="Courier New" w:hAnsi="Courier New"/>
          <w:sz w:val="15"/>
          <w:szCs w:val="15"/>
          <w:color w:val="auto"/>
        </w:rPr>
      </w:pPr>
    </w:p>
    <w:p>
      <w:pPr>
        <w:jc w:val="both"/>
        <w:ind w:left="449" w:right="3119" w:hanging="449"/>
        <w:spacing w:after="0" w:line="260" w:lineRule="auto"/>
        <w:tabs>
          <w:tab w:leader="none" w:pos="4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MO of Delaware, Inc. (formerly, MediaOne of Delaware, Inc. and Continental Cablevision, Inc.) is an indirect subsidiary of Comcast MO Group, Inc. and was not originally part of the guarantor group. On March 12, 2003, we announced the successful completion of a bondholder consent solicitation related to $1.7 billion aggregate principal amount of its debt securities to permit it to become part of the cross-guarantee structure.</w:t>
      </w:r>
    </w:p>
    <w:p>
      <w:pPr>
        <w:spacing w:after="0" w:line="16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In the diagram above and throughout this Annual Report, we refer to Comcast Corporation (formerly AT&amp;T Comcast Corporation) as "Comcast"; Comcast and its consolidated subsidiaries as the "Company", "we", "us" and "our"; Comcast Holdings Corporation (formerly Comcast Corporation and our predecessor) as "Comcast Holdings"; Comcast Cable Communications Holdings, Inc. (formerly AT&amp;T Broadband Corp.) as "Comcast Cable Communications Holdings" or "Broadband"; Comcast Cable Communications, Inc. as "Comcast Cable"; Comcast MO Group, Inc. (formerly MediaOne Group, Inc.) as "Comcast MO Group"; Comcast Cable Holdings, LLC (formerly AT&amp;T Broadband, LLC and Tele-Communications, Inc.) as "Comcast Cable Holdings"; and Comcast MO of Delaware, Inc. (formerly, MediaOne of Delaware, Inc. and Continental Cablevision, Inc.) as "Comcast MO of Delaware."</w:t>
      </w:r>
    </w:p>
    <w:p>
      <w:pPr>
        <w:sectPr>
          <w:pgSz w:w="11900" w:h="16838" w:orient="portrait"/>
          <w:cols w:equalWidth="0" w:num="1">
            <w:col w:w="10228"/>
          </w:cols>
          <w:pgMar w:left="231" w:top="1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jc w:val="center"/>
              <w:ind w:left="2926"/>
              <w:spacing w:after="0"/>
              <w:rPr>
                <w:sz w:val="20"/>
                <w:szCs w:val="20"/>
                <w:color w:val="auto"/>
              </w:rPr>
            </w:pPr>
            <w:r>
              <w:rPr>
                <w:rFonts w:ascii="Courier New" w:cs="Courier New" w:eastAsia="Courier New" w:hAnsi="Courier New"/>
                <w:sz w:val="15"/>
                <w:szCs w:val="15"/>
                <w:color w:val="auto"/>
                <w:w w:val="98"/>
              </w:rPr>
              <w:t>COMCAST CORPORATION</w:t>
            </w: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960" w:type="dxa"/>
            <w:vAlign w:val="bottom"/>
            <w:gridSpan w:val="2"/>
          </w:tcPr>
          <w:p>
            <w:pPr>
              <w:jc w:val="center"/>
              <w:ind w:right="726"/>
              <w:spacing w:after="0"/>
              <w:rPr>
                <w:sz w:val="20"/>
                <w:szCs w:val="20"/>
                <w:color w:val="auto"/>
              </w:rPr>
            </w:pPr>
            <w:r>
              <w:rPr>
                <w:rFonts w:ascii="Courier New" w:cs="Courier New" w:eastAsia="Courier New" w:hAnsi="Courier New"/>
                <w:sz w:val="15"/>
                <w:szCs w:val="15"/>
                <w:color w:val="auto"/>
                <w:w w:val="98"/>
              </w:rPr>
              <w:t>2002 FORM 10-K ANNUAL REPORT</w:t>
            </w:r>
          </w:p>
        </w:tc>
        <w:tc>
          <w:tcPr>
            <w:tcW w:w="18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jc w:val="center"/>
              <w:ind w:left="2926"/>
              <w:spacing w:after="0"/>
              <w:rPr>
                <w:sz w:val="20"/>
                <w:szCs w:val="20"/>
                <w:color w:val="auto"/>
              </w:rPr>
            </w:pPr>
            <w:r>
              <w:rPr>
                <w:rFonts w:ascii="Courier New" w:cs="Courier New" w:eastAsia="Courier New" w:hAnsi="Courier New"/>
                <w:sz w:val="15"/>
                <w:szCs w:val="15"/>
                <w:color w:val="auto"/>
                <w:w w:val="99"/>
              </w:rPr>
              <w:t>TABLE OF CONTENTS</w:t>
            </w: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41"/>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2846"/>
              <w:spacing w:after="0"/>
              <w:rPr>
                <w:sz w:val="20"/>
                <w:szCs w:val="20"/>
                <w:color w:val="auto"/>
              </w:rPr>
            </w:pPr>
            <w:r>
              <w:rPr>
                <w:rFonts w:ascii="Courier New" w:cs="Courier New" w:eastAsia="Courier New" w:hAnsi="Courier New"/>
                <w:sz w:val="15"/>
                <w:szCs w:val="15"/>
                <w:color w:val="auto"/>
                <w:w w:val="96"/>
              </w:rPr>
              <w:t>PART I</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4A</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41"/>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2946"/>
              <w:spacing w:after="0"/>
              <w:rPr>
                <w:sz w:val="20"/>
                <w:szCs w:val="20"/>
                <w:color w:val="auto"/>
              </w:rPr>
            </w:pPr>
            <w:r>
              <w:rPr>
                <w:rFonts w:ascii="Courier New" w:cs="Courier New" w:eastAsia="Courier New" w:hAnsi="Courier New"/>
                <w:sz w:val="15"/>
                <w:szCs w:val="15"/>
                <w:color w:val="auto"/>
                <w:w w:val="98"/>
              </w:rPr>
              <w:t>PART II</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Market for the Registrant's Common Equity and 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Management's Discussion and Analysis of Financial 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Changes in and Disagreements with Accountants on Accounting and Financial 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1"/>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2846"/>
              <w:spacing w:after="0"/>
              <w:rPr>
                <w:sz w:val="20"/>
                <w:szCs w:val="20"/>
                <w:color w:val="auto"/>
              </w:rPr>
            </w:pPr>
            <w:r>
              <w:rPr>
                <w:rFonts w:ascii="Courier New" w:cs="Courier New" w:eastAsia="Courier New" w:hAnsi="Courier New"/>
                <w:sz w:val="15"/>
                <w:szCs w:val="15"/>
                <w:color w:val="auto"/>
                <w:w w:val="99"/>
              </w:rPr>
              <w:t>PART III</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Security Ownership of Certain Beneficial Owners and Management and 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Certain Relationships and Related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341"/>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2946"/>
              <w:spacing w:after="0"/>
              <w:rPr>
                <w:sz w:val="20"/>
                <w:szCs w:val="20"/>
                <w:color w:val="auto"/>
              </w:rPr>
            </w:pPr>
            <w:r>
              <w:rPr>
                <w:rFonts w:ascii="Courier New" w:cs="Courier New" w:eastAsia="Courier New" w:hAnsi="Courier New"/>
                <w:sz w:val="15"/>
                <w:szCs w:val="15"/>
                <w:color w:val="auto"/>
                <w:w w:val="98"/>
              </w:rPr>
              <w:t>PART IV</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Controls and Procedures.................................................................................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93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Exhibits, Financial Statement Schedules,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r>
      <w:tr>
        <w:trPr>
          <w:trHeight w:val="171"/>
        </w:trPr>
        <w:tc>
          <w:tcPr>
            <w:tcW w:w="6300" w:type="dxa"/>
            <w:vAlign w:val="bottom"/>
            <w:gridSpan w:val="3"/>
          </w:tcPr>
          <w:p>
            <w:pPr>
              <w:spacing w:after="0"/>
              <w:rPr>
                <w:sz w:val="20"/>
                <w:szCs w:val="20"/>
                <w:color w:val="auto"/>
              </w:rPr>
            </w:pPr>
            <w:r>
              <w:rPr>
                <w:rFonts w:ascii="Courier New" w:cs="Courier New" w:eastAsia="Courier New" w:hAnsi="Courier New"/>
                <w:sz w:val="13"/>
                <w:szCs w:val="13"/>
                <w:color w:val="auto"/>
                <w:w w:val="71"/>
              </w:rPr>
              <w:t>SIGNATURES.......................................................................................................</w:t>
            </w:r>
          </w:p>
        </w:tc>
        <w:tc>
          <w:tcPr>
            <w:tcW w:w="3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93</w:t>
            </w:r>
          </w:p>
        </w:tc>
      </w:tr>
      <w:tr>
        <w:trPr>
          <w:trHeight w:val="171"/>
        </w:trPr>
        <w:tc>
          <w:tcPr>
            <w:tcW w:w="10020" w:type="dxa"/>
            <w:vAlign w:val="bottom"/>
            <w:gridSpan w:val="4"/>
          </w:tcPr>
          <w:p>
            <w:pPr>
              <w:spacing w:after="0"/>
              <w:rPr>
                <w:sz w:val="20"/>
                <w:szCs w:val="20"/>
                <w:color w:val="auto"/>
              </w:rPr>
            </w:pPr>
            <w:r>
              <w:rPr>
                <w:rFonts w:ascii="Courier New" w:cs="Courier New" w:eastAsia="Courier New" w:hAnsi="Courier New"/>
                <w:sz w:val="15"/>
                <w:szCs w:val="15"/>
                <w:color w:val="auto"/>
                <w:w w:val="98"/>
              </w:rPr>
              <w:t>CERTIFICATIONS...................................................................................................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96</w:t>
            </w:r>
          </w:p>
        </w:tc>
      </w:tr>
      <w:tr>
        <w:trPr>
          <w:trHeight w:val="683"/>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1"/>
        </w:trPr>
        <w:tc>
          <w:tcPr>
            <w:tcW w:w="63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This Annual  Report on Form 10-K is for the year ended  December</w:t>
            </w:r>
          </w:p>
        </w:tc>
        <w:tc>
          <w:tcPr>
            <w:tcW w:w="3720" w:type="dxa"/>
            <w:vAlign w:val="bottom"/>
          </w:tcPr>
          <w:p>
            <w:pPr>
              <w:jc w:val="right"/>
              <w:ind w:right="2846"/>
              <w:spacing w:after="0"/>
              <w:rPr>
                <w:sz w:val="20"/>
                <w:szCs w:val="20"/>
                <w:color w:val="auto"/>
              </w:rPr>
            </w:pPr>
            <w:r>
              <w:rPr>
                <w:rFonts w:ascii="Courier New" w:cs="Courier New" w:eastAsia="Courier New" w:hAnsi="Courier New"/>
                <w:sz w:val="15"/>
                <w:szCs w:val="15"/>
                <w:color w:val="auto"/>
                <w:w w:val="96"/>
              </w:rPr>
              <w:t>31, 2002.</w:t>
            </w:r>
          </w:p>
        </w:tc>
        <w:tc>
          <w:tcPr>
            <w:tcW w:w="180" w:type="dxa"/>
            <w:vAlign w:val="bottom"/>
          </w:tcPr>
          <w:p>
            <w:pPr>
              <w:spacing w:after="0"/>
              <w:rPr>
                <w:sz w:val="24"/>
                <w:szCs w:val="24"/>
                <w:color w:val="auto"/>
              </w:rPr>
            </w:pPr>
          </w:p>
        </w:tc>
      </w:tr>
      <w:tr>
        <w:trPr>
          <w:trHeight w:val="171"/>
        </w:trPr>
        <w:tc>
          <w:tcPr>
            <w:tcW w:w="10020" w:type="dxa"/>
            <w:vAlign w:val="bottom"/>
            <w:gridSpan w:val="4"/>
          </w:tcPr>
          <w:p>
            <w:pPr>
              <w:spacing w:after="0"/>
              <w:rPr>
                <w:sz w:val="20"/>
                <w:szCs w:val="20"/>
                <w:color w:val="auto"/>
              </w:rPr>
            </w:pPr>
            <w:r>
              <w:rPr>
                <w:rFonts w:ascii="Courier New" w:cs="Courier New" w:eastAsia="Courier New" w:hAnsi="Courier New"/>
                <w:sz w:val="15"/>
                <w:szCs w:val="15"/>
                <w:color w:val="auto"/>
              </w:rPr>
              <w:t>This Annual Report modifies and supersedes  documents filed prior to this Annual</w:t>
            </w:r>
          </w:p>
        </w:tc>
        <w:tc>
          <w:tcPr>
            <w:tcW w:w="1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Report. The</w:t>
            </w:r>
          </w:p>
        </w:tc>
        <w:tc>
          <w:tcPr>
            <w:tcW w:w="896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w w:val="98"/>
              </w:rPr>
              <w:t>SEC allows us to "incorporate by reference" information that we file</w:t>
            </w:r>
          </w:p>
        </w:tc>
        <w:tc>
          <w:tcPr>
            <w:tcW w:w="1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with them,</w:t>
            </w:r>
          </w:p>
        </w:tc>
        <w:tc>
          <w:tcPr>
            <w:tcW w:w="5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which means that we can  disclose  important  information</w:t>
            </w:r>
          </w:p>
        </w:tc>
        <w:tc>
          <w:tcPr>
            <w:tcW w:w="3720" w:type="dxa"/>
            <w:vAlign w:val="bottom"/>
          </w:tcPr>
          <w:p>
            <w:pPr>
              <w:jc w:val="right"/>
              <w:ind w:right="2846"/>
              <w:spacing w:after="0"/>
              <w:rPr>
                <w:sz w:val="20"/>
                <w:szCs w:val="20"/>
                <w:color w:val="auto"/>
              </w:rPr>
            </w:pPr>
            <w:r>
              <w:rPr>
                <w:rFonts w:ascii="Courier New" w:cs="Courier New" w:eastAsia="Courier New" w:hAnsi="Courier New"/>
                <w:sz w:val="15"/>
                <w:szCs w:val="15"/>
                <w:color w:val="auto"/>
                <w:w w:val="96"/>
              </w:rPr>
              <w:t>to you by</w:t>
            </w:r>
          </w:p>
        </w:tc>
        <w:tc>
          <w:tcPr>
            <w:tcW w:w="180" w:type="dxa"/>
            <w:vAlign w:val="bottom"/>
          </w:tcPr>
          <w:p>
            <w:pPr>
              <w:spacing w:after="0"/>
              <w:rPr>
                <w:sz w:val="14"/>
                <w:szCs w:val="14"/>
                <w:color w:val="auto"/>
              </w:rPr>
            </w:pPr>
          </w:p>
        </w:tc>
      </w:tr>
    </w:tbl>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referring you directly to those documents. Information incorporated by reference is considered to be part of this Annual Report. In addition, information that we file with the SEC in the future will automatically update and supersede information contained in this Annual Report.</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You should carefully review the information contained in this Annual Report, and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ectPr>
          <w:pgSz w:w="11900" w:h="16838" w:orient="portrait"/>
          <w:cols w:equalWidth="0" w:num="1">
            <w:col w:w="10219"/>
          </w:cols>
          <w:pgMar w:left="240" w:top="969" w:right="1440" w:bottom="1440" w:gutter="0" w:footer="0" w:header="0"/>
        </w:sectPr>
      </w:pPr>
    </w:p>
    <w:bookmarkStart w:id="3" w:name="page4"/>
    <w:bookmarkEnd w:id="3"/>
    <w:p>
      <w:pPr>
        <w:ind w:left="9"/>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4" w:lineRule="exact"/>
        <w:rPr>
          <w:sz w:val="20"/>
          <w:szCs w:val="20"/>
          <w:color w:val="auto"/>
        </w:rPr>
      </w:pPr>
    </w:p>
    <w:p>
      <w:pPr>
        <w:jc w:val="both"/>
        <w:ind w:left="9" w:right="3119" w:firstLine="444"/>
        <w:spacing w:after="0" w:line="259" w:lineRule="auto"/>
        <w:rPr>
          <w:sz w:val="20"/>
          <w:szCs w:val="20"/>
          <w:color w:val="auto"/>
        </w:rPr>
      </w:pPr>
      <w:r>
        <w:rPr>
          <w:rFonts w:ascii="Courier New" w:cs="Courier New" w:eastAsia="Courier New" w:hAnsi="Courier New"/>
          <w:sz w:val="14"/>
          <w:szCs w:val="14"/>
          <w:color w:val="auto"/>
        </w:rPr>
        <w:t>We were incorporated in December 2001 under the name AT&amp;T Comcast Corporation to effect the acquisition of AT&amp;T Corp.'s broadband business, which we refer to as "Broadband." The acquisition, which we refer to as the "Broadband acquisition," was consummated on November 18, 2002. On November 18, 2002, we changed our name from AT&amp;T Comcast Corporation to Comcast Corporation. For purposes of this Annual Report, we treat Comcast Holdings Corporation (formerly Comcast Corporation and now a wholly owned subsidiary) as our predecessor and as the accounting acquiror of Broadband. In this Annual Report, we refer to cable operations owned prior to the Broadband acquisition as "historical", and those we acquired in the Broadband acquisition as "newly acquired."</w:t>
      </w:r>
    </w:p>
    <w:p>
      <w:pPr>
        <w:spacing w:after="0" w:line="16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As a result of the Broadband acquisition, we have newly acquired cable operations in communities in which we do not have established relationships with the subscribers, franchising authority and community leaders.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76"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Factors that may cause our actual results to differ materially from any of our forward-looking statements presented in this Annual Report include, but are not limited to:</w:t>
      </w:r>
    </w:p>
    <w:p>
      <w:pPr>
        <w:spacing w:after="0" w:line="175" w:lineRule="exact"/>
        <w:rPr>
          <w:sz w:val="20"/>
          <w:szCs w:val="20"/>
          <w:color w:val="auto"/>
        </w:rPr>
      </w:pPr>
    </w:p>
    <w:p>
      <w:pPr>
        <w:ind w:left="449" w:right="311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successfully integrate Broadband or the integration may be more difficult, time-consuming or costly than we expect,</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realize the combination benefits we expect from the Broadband acquisition or these benefits may take longer to achieve, and</w:t>
      </w:r>
    </w:p>
    <w:p>
      <w:pPr>
        <w:spacing w:after="0" w:line="4"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incur greater-than-expected operating costs, financing costs, subscriber loss and business disruption, including, without limitation, difficulties in maintaining relationships with employees, subscribers, suppliers or franchising authorities, following the Broadband acquisition.</w:t>
      </w:r>
    </w:p>
    <w:p>
      <w:pPr>
        <w:spacing w:after="0" w:line="158"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addition, our businesses may be affected by, among other things:</w:t>
      </w:r>
    </w:p>
    <w:p>
      <w:pPr>
        <w:spacing w:after="0" w:line="171"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3"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As more fully described elsewhere in this Annual Report, the Broadband acquisition substantially increased the size of our cable operations and caused significant changes in our capital structure. As a result, direct comparisons of our results of operations and financial condition for periods prior to November 18, 2002 to subsequent periods are not meaningful.</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 BUSINESS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We are a Pennsylvania corporation and were incorporated in December 2001 under the name AT&amp;T Comcast Corporation to effect the Broadband acquisition, which was consummated on November 18, 2002.</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We are involved in three principal lines of business:</w:t>
      </w:r>
    </w:p>
    <w:p>
      <w:pPr>
        <w:sectPr>
          <w:pgSz w:w="11900" w:h="16838" w:orient="portrait"/>
          <w:cols w:equalWidth="0" w:num="1">
            <w:col w:w="10228"/>
          </w:cols>
          <w:pgMar w:left="231" w:top="799" w:right="1440" w:bottom="287" w:gutter="0" w:footer="0" w:header="0"/>
        </w:sectPr>
      </w:pPr>
    </w:p>
    <w:p>
      <w:pPr>
        <w:spacing w:after="0" w:line="174" w:lineRule="exact"/>
        <w:rPr>
          <w:sz w:val="20"/>
          <w:szCs w:val="20"/>
          <w:color w:val="auto"/>
        </w:rPr>
      </w:pPr>
    </w:p>
    <w:p>
      <w:pPr>
        <w:ind w:left="889" w:hanging="445"/>
        <w:spacing w:after="0" w:line="258" w:lineRule="auto"/>
        <w:tabs>
          <w:tab w:leader="none" w:pos="8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Cable-through communications phone service,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3119"/>
        <w:spacing w:after="0" w:line="271" w:lineRule="auto"/>
        <w:rPr>
          <w:sz w:val="20"/>
          <w:szCs w:val="20"/>
          <w:color w:val="auto"/>
        </w:rPr>
      </w:pPr>
      <w:r>
        <w:rPr>
          <w:rFonts w:ascii="Courier New" w:cs="Courier New" w:eastAsia="Courier New" w:hAnsi="Courier New"/>
          <w:sz w:val="14"/>
          <w:szCs w:val="14"/>
          <w:color w:val="auto"/>
        </w:rPr>
        <w:t>the development,  management and operation of broadband networks,  including  video,  high-speed  Internet and</w:t>
      </w:r>
    </w:p>
    <w:p>
      <w:pPr>
        <w:spacing w:after="0" w:line="154" w:lineRule="exact"/>
        <w:rPr>
          <w:sz w:val="20"/>
          <w:szCs w:val="20"/>
          <w:color w:val="auto"/>
        </w:rPr>
      </w:pPr>
    </w:p>
    <w:p>
      <w:pPr>
        <w:sectPr>
          <w:pgSz w:w="11900" w:h="16838" w:orient="portrait"/>
          <w:cols w:equalWidth="0" w:num="2">
            <w:col w:w="2129" w:space="80"/>
            <w:col w:w="8019"/>
          </w:cols>
          <w:pgMar w:left="231" w:top="799" w:right="1440" w:bottom="287" w:gutter="0" w:footer="0" w:header="0"/>
          <w:type w:val="continuous"/>
        </w:sectPr>
      </w:pPr>
    </w:p>
    <w:p>
      <w:pPr>
        <w:ind w:left="889" w:hanging="445"/>
        <w:spacing w:after="0" w:line="236" w:lineRule="auto"/>
        <w:tabs>
          <w:tab w:leader="none" w:pos="8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Commerce-through QVC, our electronic retail- ing subsidiary, and</w:t>
      </w:r>
    </w:p>
    <w:p>
      <w:pPr>
        <w:spacing w:after="0" w:line="4" w:lineRule="exact"/>
        <w:rPr>
          <w:rFonts w:ascii="Courier New" w:cs="Courier New" w:eastAsia="Courier New" w:hAnsi="Courier New"/>
          <w:sz w:val="15"/>
          <w:szCs w:val="15"/>
          <w:color w:val="auto"/>
        </w:rPr>
      </w:pPr>
    </w:p>
    <w:p>
      <w:pPr>
        <w:jc w:val="both"/>
        <w:ind w:left="889" w:right="3119" w:hanging="445"/>
        <w:spacing w:after="0"/>
        <w:tabs>
          <w:tab w:leader="none" w:pos="8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 39.1 million homes, and provided digital cable to more than 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180"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Through QVC, we market a wide variety of products directly to consumers primarily on merchandise-focused</w:t>
      </w:r>
    </w:p>
    <w:p>
      <w:pPr>
        <w:sectPr>
          <w:pgSz w:w="11900" w:h="16838" w:orient="portrait"/>
          <w:cols w:equalWidth="0" w:num="1">
            <w:col w:w="10228"/>
          </w:cols>
          <w:pgMar w:left="231" w:top="799" w:right="1440" w:bottom="287" w:gutter="0" w:footer="0" w:header="0"/>
          <w:type w:val="continuous"/>
        </w:sectPr>
      </w:pPr>
    </w:p>
    <w:bookmarkStart w:id="4" w:name="page5"/>
    <w:bookmarkEnd w:id="4"/>
    <w:p>
      <w:pPr>
        <w:jc w:val="both"/>
        <w:ind w:right="3119"/>
        <w:spacing w:after="0" w:line="239" w:lineRule="auto"/>
        <w:rPr>
          <w:sz w:val="20"/>
          <w:szCs w:val="20"/>
          <w:color w:val="auto"/>
        </w:rPr>
      </w:pPr>
      <w:r>
        <w:rPr>
          <w:rFonts w:ascii="Courier New" w:cs="Courier New" w:eastAsia="Courier New" w:hAnsi="Courier New"/>
          <w:sz w:val="15"/>
          <w:szCs w:val="15"/>
          <w:color w:val="auto"/>
        </w:rPr>
        <w:t>television programs. As of December 31, 2002, QVC was available, on a full and part-time basis, to 85.9 million homes in the United States, 11.4 million homes in the United Kingdom, 25.8 million homes in Germany and 8.4 million homes in Japan.</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 site. The information posted on our web site is not incorporated into this Annual Report.</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Refer to Note 14 to our consolidated financial statements included in Item 8 for information about our operations by business segment.</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Broadband Acquisition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November 18, 2002, we consummated the Broadband acquisition. The consideration to complete the Broadband acquisition was $50.780 billion, consisting of 1.348 billion shares of our common stock and options valued at $25.495 billion, assumed Broadband debt of $24.860 billion and $425 million of transaction costs directly related to the Broadband acquisition. Refer to Note 5 to our consolidated financial statements included in Item 8 for more information about the Broadband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 Restructuring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a result of the Broadband acquisition, we now own AT&amp;T's 27.6% interest in Time Warner Entertainment Company L.P., or TWE. In August 2002, we and AT&amp;T reached agreement with AOL Time Warner, Inc. to restructure the TWE partnership. Upon closing of the restructuring agreement, we will receive $1.5 billion in common stock of AOL Time Warner, valued at the time of closing, and an approximate 21% equity interest in a new cable company, expected to be named Time Warner Cable, Inc., or TWC, serving 10.8 million subscribers. We also will receive $2.1 billion in cash. We will receive certain priority demand and other registration rights with respect to the AOL Time Warner and TWC shares that should facilitate their disposition or monetization. The closing of the TWE restructuring is expected to occur by the end of the second quarter of 2003, and is subject to customary closing conditions.</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TWC will be formed from TWE's existing cable properties and additional cable properties to be contributed by AOL Time Warner. AOL Time Warner will assume complete ownership of TWE's major content assets, which include Home Box Office (HBO), Warner Bros. and stakes in The WB Network, Comedy Central and Court TV. Pursuant to the order of the Federal Communications Commission, or FCC, we have placed our entire interest in TWE in trust. Any non-cash consideration received by us with respect to our interest in TWE as a result of the TWE restructuring, including the AOL Time Warner and TWC common stock, will also be placed in this trust. We will account for our investment in TWE (or any successor securities) under the cost method as we will not have the ability to exercise significant influence over the operating and financial policies of TWE, AOL Time Warner or TWC.</w:t>
      </w:r>
    </w:p>
    <w:p>
      <w:pPr>
        <w:spacing w:after="0" w:line="180"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Under the trust, the trustee will have exclusive authority to exercise any management or governance rights associated with the securities in trust. The trustee will also have the obligation, subject to our rights as described in the last sentence of this paragraph, to exercise available registration rights to effect the sale of such securities in a manner intended to maximize the value received consistent with the goal of disposing such securities in their entirety by November 2007. Following this time, if any securities remain in trust, the trustee will be obligated to dispose of them as quickly as possible, and in any event by May 2008. The trustee is also obligated, through November 2007, to effect certain specified types of sale or monetization transactions with respect to the securities as may be proposed by us from time to time.</w:t>
      </w:r>
    </w:p>
    <w:p>
      <w:pPr>
        <w:spacing w:after="0" w:line="16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As a condition of the closing of the TWE restructuring, we will enter into a three-year non- exclusive agreement with AOL Time Warner under which the AOL High-Speed Broadband service would be made available on a portion of our cable systems passing about 10 million homes.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Bresnan Transaction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February 2003, we announced that we had entered into a definitive agreement with Bresnan Broadband Holdings, LLC and Bresnan Communications, LLC for us to transfer to Bresnan cable systems serving approximately 317,000 subscribers in Montana, Wyoming, Colorado and Utah that we had acquired in connection with the Broadband acquisition. We will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631" w:right="1440" w:bottom="1440" w:gutter="0" w:footer="0" w:header="0"/>
        </w:sectPr>
      </w:pPr>
    </w:p>
    <w:bookmarkStart w:id="5" w:name="page6"/>
    <w:bookmarkEnd w:id="5"/>
    <w:p>
      <w:pPr>
        <w:jc w:val="both"/>
        <w:ind w:right="3119"/>
        <w:spacing w:after="0"/>
        <w:rPr>
          <w:sz w:val="20"/>
          <w:szCs w:val="20"/>
          <w:color w:val="auto"/>
        </w:rPr>
      </w:pPr>
      <w:r>
        <w:rPr>
          <w:rFonts w:ascii="Courier New" w:cs="Courier New" w:eastAsia="Courier New" w:hAnsi="Courier New"/>
          <w:sz w:val="15"/>
          <w:szCs w:val="15"/>
          <w:color w:val="auto"/>
        </w:rPr>
        <w:t>receive approximately $525 million in cash, plus preferred and common equity interests in Bresnan Broadband Holdings, in exchange for these cable systems. The assets for these cable systems are reported as assets held for sale in our consolidated balance sheet at December 31, 2002 and the results of operations for the period from November 19, 2002 through December 31, 2002 for these cable systems are presented as discontinued operations in our consolidated statement of operations. We have not included these cable systems in our cable operating statistics. We expect this transaction to close by March 31, 2003, subject to customary closing conditions.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Put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connection with the Broadband acquisition, we acquired an indirect interest in a cable joint venture with Charter Communications, Inc. In April 2002, AT&amp;T exercised its rights to cause Paul G. Allen, Charter's Chairman, or his designee to purchase this indirect interest for approximately $725 million in cash. The parties agreed to delay the settlement of the purchase until April 14, 2003 while they negotiated alternatives to the purchase. We currently believe that Mr. Allen or his designee will purchase our indirect interest as described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Cross-Guarantee Structure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To simplify our capital structure, effective with the acquisition of Broadband, we and four of our cable holding company subsidiaries fully and unconditionally guaranteed each other's debt securities and other indebtedness for borrowed money. Comcast Holdings is not a guarantor, and none of its debt is guaranteed. As of December 31, 2002, $24.729 billion of our and our subsidiaries' debt securities were entitled to the benefits of the cross-guarantee structure. Comcast MO of Delaware, Inc. (formerly, MediaOne of Delaware, Inc. and Continental Cablevision, Inc.) was not originally part of the cross-guarantee structure. On March 12, 2003, we announced the successful completion of a bondholder consent solicitation related to Comcast MO of Delaware's $1.7 billion aggregate principal amount in debt securities to permit it to become part of the cross- guarantee structure.</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31" w:right="1440" w:bottom="1440" w:gutter="0" w:footer="0" w:header="0"/>
        </w:sectPr>
      </w:pPr>
    </w:p>
    <w:bookmarkStart w:id="6" w:name="page7"/>
    <w:bookmarkEnd w:id="6"/>
    <w:p>
      <w:pPr>
        <w:spacing w:after="0" w:line="4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DESCRIPTION OF OUR BUSINESSES</w:t>
      </w:r>
    </w:p>
    <w:p>
      <w:pPr>
        <w:spacing w:after="0" w:line="174" w:lineRule="exact"/>
        <w:rPr>
          <w:sz w:val="20"/>
          <w:szCs w:val="20"/>
          <w:color w:val="auto"/>
        </w:rPr>
      </w:pPr>
    </w:p>
    <w:p>
      <w:pPr>
        <w:jc w:val="both"/>
        <w:ind w:left="9" w:right="1940" w:firstLine="799"/>
        <w:spacing w:after="0" w:line="238" w:lineRule="auto"/>
        <w:rPr>
          <w:sz w:val="20"/>
          <w:szCs w:val="20"/>
          <w:color w:val="auto"/>
        </w:rPr>
      </w:pPr>
      <w:r>
        <w:rPr>
          <w:rFonts w:ascii="Courier New" w:cs="Courier New" w:eastAsia="Courier New" w:hAnsi="Courier New"/>
          <w:sz w:val="15"/>
          <w:szCs w:val="15"/>
          <w:color w:val="auto"/>
        </w:rPr>
        <w:t>We are involved in three principal lines of business: Cable, Commerce and Content. The following section describes each of these lines of business.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Cable</w:t>
      </w:r>
    </w:p>
    <w:p>
      <w:pPr>
        <w:spacing w:after="0" w:line="174" w:lineRule="exact"/>
        <w:rPr>
          <w:sz w:val="20"/>
          <w:szCs w:val="20"/>
          <w:color w:val="auto"/>
        </w:rPr>
      </w:pPr>
    </w:p>
    <w:p>
      <w:pPr>
        <w:jc w:val="both"/>
        <w:ind w:left="9" w:right="1940"/>
        <w:spacing w:after="0" w:line="261" w:lineRule="auto"/>
        <w:rPr>
          <w:sz w:val="20"/>
          <w:szCs w:val="20"/>
          <w:color w:val="auto"/>
        </w:rPr>
      </w:pPr>
      <w:r>
        <w:rPr>
          <w:rFonts w:ascii="Courier New" w:cs="Courier New" w:eastAsia="Courier New" w:hAnsi="Courier New"/>
          <w:sz w:val="14"/>
          <w:szCs w:val="14"/>
          <w:color w:val="auto"/>
        </w:rPr>
        <w:t>We currently are the largest cable operator in the United States. As of December 31, 2002, our consolidated cable operations served 21.3 million subscribers in 41 states, passed 39.1 million homes, and provided digital cable to more than 6.6 million subscribers, high-speed Internet to more than 3.6 million subscribers and phone service to more than 1.4 million subscribers.</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The table  below  summarizes  certain  information</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our cable</w:t>
            </w:r>
          </w:p>
        </w:tc>
        <w:tc>
          <w:tcPr>
            <w:tcW w:w="16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systems as of</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December 31 (homes and subscribers in thousands):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1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2002(1)</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4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Newly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Acquired</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Historical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2001(2)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1999(2)</w:t>
            </w:r>
          </w:p>
        </w:tc>
      </w:tr>
      <w:tr>
        <w:trPr>
          <w:trHeight w:val="171"/>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35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Homes Passed (3).....................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39,150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24,961</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14,189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12,679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9,522</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Subscribers</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21,305</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12,766</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8,471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5,720</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Penetration</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Digital Cable</w:t>
            </w:r>
          </w:p>
        </w:tc>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"Digital Ready" Subscribers (5)......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21,305</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12,766</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7,258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4,637</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Subscribers</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6,620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4,374</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454</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Penetration</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High-Speed Internet</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 Homes (7)................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30,072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17,461</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12,611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6,360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3,259</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Subscribers</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3,620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2,094</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Penetration</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Phone (8)</w:t>
            </w:r>
          </w:p>
        </w:tc>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 Homes (7)................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8,712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8,438</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Subscribers</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1,438</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1,398</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w w:val="96"/>
              </w:rPr>
              <w:t>Penetration</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4" w:lineRule="exact"/>
        <w:rPr>
          <w:sz w:val="20"/>
          <w:szCs w:val="20"/>
          <w:color w:val="auto"/>
        </w:rPr>
      </w:pPr>
    </w:p>
    <w:p>
      <w:pPr>
        <w:jc w:val="both"/>
        <w:ind w:left="529" w:right="1940" w:hanging="529"/>
        <w:spacing w:after="0"/>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we consummated the Broadband acquisition. For information as of December 31, 2002, we provide data with respect to cable systems attributable to Comcast Holdings Corporation (formerly Comcast Corporation and now our wholly owned subsidiary) under the heading "Historical" and data with respect to cable systems attributable to Broadband under the heading "Newly Acquired." The Broadband acquisition substantially increased the size of our cable operations and direct comparisons of our cable information for periods prior to November 18, 2002 to subsequent periods are not meaningful. The information as of December 31, 2002 excludes the operating statistics for the cable systems held for sale to Bresnan.</w:t>
      </w:r>
    </w:p>
    <w:p>
      <w:pPr>
        <w:spacing w:after="0" w:line="8" w:lineRule="exact"/>
        <w:rPr>
          <w:rFonts w:ascii="Courier New" w:cs="Courier New" w:eastAsia="Courier New" w:hAnsi="Courier New"/>
          <w:sz w:val="15"/>
          <w:szCs w:val="15"/>
          <w:color w:val="auto"/>
        </w:rPr>
      </w:pPr>
    </w:p>
    <w:p>
      <w:pPr>
        <w:jc w:val="both"/>
        <w:ind w:left="529" w:right="1940" w:hanging="529"/>
        <w:spacing w:after="0"/>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December 31, 2000 and January 1, 2001, we completed our cable systems exchanges with AT&amp;T and Adelphia Communications, respectively. In April and June 2001, we acquired cable systems serving an aggregate of approximately 697,000 subscribers from AT&amp;T. The subscriber information as of December 31, 2000 excludes the effects of our exchange with AT&amp;T.</w:t>
      </w:r>
    </w:p>
    <w:p>
      <w:pPr>
        <w:spacing w:after="0" w:line="6" w:lineRule="exact"/>
        <w:rPr>
          <w:rFonts w:ascii="Courier New" w:cs="Courier New" w:eastAsia="Courier New" w:hAnsi="Courier New"/>
          <w:sz w:val="15"/>
          <w:szCs w:val="15"/>
          <w:color w:val="auto"/>
        </w:rPr>
      </w:pPr>
    </w:p>
    <w:p>
      <w:pPr>
        <w:jc w:val="both"/>
        <w:ind w:left="529" w:right="1940" w:hanging="529"/>
        <w:spacing w:after="0" w:line="239"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 As described in Note 4 below, in the case of certain multiple dwelling units, or MDUs, homes "passed" are counted on an adjusted basis.</w:t>
      </w:r>
    </w:p>
    <w:p>
      <w:pPr>
        <w:spacing w:after="0" w:line="5" w:lineRule="exact"/>
        <w:rPr>
          <w:rFonts w:ascii="Courier New" w:cs="Courier New" w:eastAsia="Courier New" w:hAnsi="Courier New"/>
          <w:sz w:val="15"/>
          <w:szCs w:val="15"/>
          <w:color w:val="auto"/>
        </w:rPr>
      </w:pPr>
    </w:p>
    <w:p>
      <w:pPr>
        <w:jc w:val="both"/>
        <w:ind w:left="529" w:right="1940" w:hanging="529"/>
        <w:spacing w:after="0" w:line="239"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a dwelling or commercial unit with one or more television sets connected to a system counts as one cable subscriber. In the case of certain MDUs, we count cable subscribers on an FCC equivalent basis.</w:t>
      </w:r>
    </w:p>
    <w:p>
      <w:pPr>
        <w:spacing w:after="0" w:line="4" w:lineRule="exact"/>
        <w:rPr>
          <w:rFonts w:ascii="Courier New" w:cs="Courier New" w:eastAsia="Courier New" w:hAnsi="Courier New"/>
          <w:sz w:val="15"/>
          <w:szCs w:val="15"/>
          <w:color w:val="auto"/>
        </w:rPr>
      </w:pPr>
    </w:p>
    <w:p>
      <w:pPr>
        <w:ind w:left="529" w:right="1940" w:hanging="529"/>
        <w:spacing w:after="0" w:line="238"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subscriber is "digital ready" if the subscriber is in a market where we have launched our digital cable service.</w:t>
      </w:r>
    </w:p>
    <w:p>
      <w:pPr>
        <w:spacing w:after="0" w:line="4" w:lineRule="exact"/>
        <w:rPr>
          <w:rFonts w:ascii="Courier New" w:cs="Courier New" w:eastAsia="Courier New" w:hAnsi="Courier New"/>
          <w:sz w:val="15"/>
          <w:szCs w:val="15"/>
          <w:color w:val="auto"/>
        </w:rPr>
      </w:pPr>
    </w:p>
    <w:p>
      <w:pPr>
        <w:jc w:val="both"/>
        <w:ind w:left="529" w:right="1940" w:hanging="529"/>
        <w:spacing w:after="0" w:line="239"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digital converter boxes counts as one digital cable subscriber. On average, as of December 31, 2002, each digital cable subscriber had 1.4 digital set-top boxes.</w:t>
      </w:r>
    </w:p>
    <w:p>
      <w:pPr>
        <w:spacing w:after="0" w:line="4" w:lineRule="exact"/>
        <w:rPr>
          <w:rFonts w:ascii="Courier New" w:cs="Courier New" w:eastAsia="Courier New" w:hAnsi="Courier New"/>
          <w:sz w:val="15"/>
          <w:szCs w:val="15"/>
          <w:color w:val="auto"/>
        </w:rPr>
      </w:pPr>
    </w:p>
    <w:p>
      <w:pPr>
        <w:jc w:val="both"/>
        <w:ind w:left="529" w:right="1940" w:hanging="529"/>
        <w:spacing w:after="0" w:line="239"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"available" if we can connect it to our distribution system without further upgrading the transmission lines and we offer the service in that area.</w:t>
      </w:r>
    </w:p>
    <w:p>
      <w:pPr>
        <w:spacing w:after="0" w:line="4" w:lineRule="exact"/>
        <w:rPr>
          <w:rFonts w:ascii="Courier New" w:cs="Courier New" w:eastAsia="Courier New" w:hAnsi="Courier New"/>
          <w:sz w:val="15"/>
          <w:szCs w:val="15"/>
          <w:color w:val="auto"/>
        </w:rPr>
      </w:pPr>
    </w:p>
    <w:p>
      <w:pPr>
        <w:ind w:left="529" w:right="1940" w:hanging="529"/>
        <w:spacing w:after="0" w:line="238"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Broadband acquisition, the number of phone "available" homes and subscribers was not material.</w:t>
      </w:r>
    </w:p>
    <w:p>
      <w:pPr>
        <w:spacing w:after="0" w:line="200" w:lineRule="exact"/>
        <w:rPr>
          <w:sz w:val="20"/>
          <w:szCs w:val="20"/>
          <w:color w:val="auto"/>
        </w:rPr>
      </w:pPr>
    </w:p>
    <w:p>
      <w:pPr>
        <w:spacing w:after="0" w:line="31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Cable Services</w:t>
      </w:r>
    </w:p>
    <w:p>
      <w:pPr>
        <w:spacing w:after="0" w:line="174" w:lineRule="exact"/>
        <w:rPr>
          <w:sz w:val="20"/>
          <w:szCs w:val="20"/>
          <w:color w:val="auto"/>
        </w:rPr>
      </w:pPr>
    </w:p>
    <w:p>
      <w:pPr>
        <w:jc w:val="both"/>
        <w:ind w:left="9" w:right="1940" w:firstLine="444"/>
        <w:spacing w:after="0" w:line="259" w:lineRule="auto"/>
        <w:rPr>
          <w:sz w:val="20"/>
          <w:szCs w:val="20"/>
          <w:color w:val="auto"/>
        </w:rPr>
      </w:pPr>
      <w:r>
        <w:rPr>
          <w:rFonts w:ascii="Courier New" w:cs="Courier New" w:eastAsia="Courier New" w:hAnsi="Courier New"/>
          <w:sz w:val="14"/>
          <w:szCs w:val="14"/>
          <w:color w:val="auto"/>
        </w:rPr>
        <w:t>We offer a variety of services over our cable networks, including traditional analog video, digital cable, high-speed Internet and phone service. Available service offerings depend on the bandwidth capacity of the cable system. The greater the bandwidth, the greater the information carrying capacity of the system. Prior to the Broadband acquisition, 86% of our cable subscribers were served by a system with a capacity of at least 750-MHz and 95% with a capacity of at least 550-MHz and capable of handling two-way communications. As of December 31, 2002, approximately 82% of our cable subscribers were served by a system with a capacity of at least 550-MHz and capable of handling two-way communications. We expect to make substantial capital expenditures over the next two years to complete the rebuild and upgrade of the newly acquired 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7,382</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4,511</w:t>
      </w:r>
    </w:p>
    <w:p>
      <w:pPr>
        <w:spacing w:after="0" w:line="1"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61.1%</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1,570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1,804</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51</w:t>
      </w:r>
    </w:p>
    <w:p>
      <w:pPr>
        <w:spacing w:after="0" w:line="1"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2.8%</w:t>
      </w:r>
    </w:p>
    <w:p>
      <w:pPr>
        <w:sectPr>
          <w:pgSz w:w="11900" w:h="16879" w:orient="portrait"/>
          <w:cols w:equalWidth="0" w:num="2">
            <w:col w:w="9049" w:space="180"/>
            <w:col w:w="999"/>
          </w:cols>
          <w:pgMar w:left="231" w:top="628" w:right="1440" w:bottom="0" w:gutter="0" w:footer="0" w:header="0"/>
        </w:sectPr>
      </w:pPr>
    </w:p>
    <w:bookmarkStart w:id="7" w:name="page8"/>
    <w:bookmarkEnd w:id="7"/>
    <w:p>
      <w:pPr>
        <w:ind w:right="3119"/>
        <w:spacing w:after="0" w:line="238" w:lineRule="auto"/>
        <w:rPr>
          <w:sz w:val="20"/>
          <w:szCs w:val="20"/>
          <w:color w:val="auto"/>
        </w:rPr>
      </w:pPr>
      <w:r>
        <w:rPr>
          <w:rFonts w:ascii="Courier New" w:cs="Courier New" w:eastAsia="Courier New" w:hAnsi="Courier New"/>
          <w:sz w:val="15"/>
          <w:szCs w:val="15"/>
          <w:color w:val="auto"/>
        </w:rPr>
        <w:t>systems. By deploying fiber optic cable and upgrading the technical quality of our cable networks, we can increase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141" w:right="1440" w:bottom="1440" w:gutter="0" w:footer="0" w:header="0"/>
        </w:sectPr>
      </w:pPr>
    </w:p>
    <w:bookmarkStart w:id="8" w:name="page9"/>
    <w:bookmarkEnd w:id="8"/>
    <w:p>
      <w:pPr>
        <w:jc w:val="both"/>
        <w:ind w:right="3119"/>
        <w:spacing w:after="0" w:line="239" w:lineRule="auto"/>
        <w:rPr>
          <w:sz w:val="20"/>
          <w:szCs w:val="20"/>
          <w:color w:val="auto"/>
        </w:rPr>
      </w:pPr>
      <w:r>
        <w:rPr>
          <w:rFonts w:ascii="Courier New" w:cs="Courier New" w:eastAsia="Courier New" w:hAnsi="Courier New"/>
          <w:sz w:val="15"/>
          <w:szCs w:val="15"/>
          <w:color w:val="auto"/>
        </w:rPr>
        <w:t>the reliability and capacity of our systems and we can deliver additional video programming and other services such as enhanced digital video, high-speed Internet and phone.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Traditional Analog Video Services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used by subscribers.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offer a full range of traditional analog video services. We tailor both our basic channel line-up and our additional channel offerings to each system according to demographics, programming preferences and local regulation. Our analog service offerings include the following:</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Basic programming. Our basic cable service typically consists of between 10-20 channels of programming. This service generally consists of programming provided by national television networks, local broadcast television stations, locally-originated programming, including governmental and public access, and limited satellite-delivered programming.</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Expanded basic programming. Our expanded basic cable service, which may vary in size depending on the system's channel capacity, generally includes a group of satellite-delivered or non-broadcast channels in addition to the basic channel line-up.</w:t>
      </w:r>
    </w:p>
    <w:p>
      <w:pPr>
        <w:spacing w:after="0" w:line="176"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Premium services. Our premium services generally offer, without commercial interruption, feature motion pictures, live and taped sporting events, concerts and other special features. The charge for premium services depends upon the type and number of premium channels selected by the subscriber.</w:t>
      </w:r>
    </w:p>
    <w:p>
      <w:pPr>
        <w:spacing w:after="0" w:line="16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Pay-per-view programming. Our pay-per-view service permits our subscribers to order, for a separate fee, individual feature motion pictures and special event programs, such as professional boxing, professional wrestling and concerts on an unedited, commercial-free basis.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Digital Cable Services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Digital compression technology enables us to substantially increase the number of channels our cable systems can carry, thereby providing a significant number of additional programming choices to our subscribers. Digital compression technology can convert up to twelve analog signals into a digital format and compress these signals into the bandwidth normally occupied by one analog signal. At the home, a set-top video terminal, often referred to as a "digital set-top box," converts the digital signal into analog signals that can be viewed on a television set.</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Subscribers typically pay us on a monthly basis for digital cable services and generally may discontinue services at any time. Monthly rates vary generally according to the level of service and the number of digital set-top boxes selected by the subscriber.</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Subscribers to our digital cable service receive one or more of the following:</w:t>
      </w:r>
    </w:p>
    <w:p>
      <w:pPr>
        <w:spacing w:after="0" w:line="172" w:lineRule="exact"/>
        <w:rPr>
          <w:sz w:val="20"/>
          <w:szCs w:val="20"/>
          <w:color w:val="auto"/>
        </w:rPr>
      </w:pPr>
    </w:p>
    <w:p>
      <w:pPr>
        <w:ind w:left="1060" w:hanging="537"/>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interactive program guide,</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channels of digital music,</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expanded basic programming,</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"multiplexes" of premium channels which are varied as to time of broadcast or programming content theme,</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pay-per-view programming, such as more pay-per-view options and/or frequent showings of the most popular films,</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video-on-demand service, commonly known as VOD, including popular television programs at no additional charge, and</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high-definition television.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have and will continue to upgrade our cable systems so that we are able to provide these and other new services such as interactive television to our subscribers.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Residential subscribers can connect their personal computers via cable modems to access online information, including the Internet, at faster speeds than that of conventional modems. Prior to March 2002, in areas served by our cable systems we marketed high- speed Internet services operated by a third-party Internet service provider. By March 2002, we had moved all of our high-speed Internet subscribers to our own high- speed Internet gateway. In addition to offering our own high-speed Internet service, we have agreements with a number of third-party Internet service providers, or ISPs, under which we make available access to our facilities and the ISP markets a high-speed Internet service that is provided over our cable systems. We also provide businesses with Internet connectivity solutions and networked business applications.</w:t>
      </w:r>
    </w:p>
    <w:p>
      <w:pPr>
        <w:sectPr>
          <w:pgSz w:w="11900" w:h="16838" w:orient="portrait"/>
          <w:cols w:equalWidth="0" w:num="1">
            <w:col w:w="10219"/>
          </w:cols>
          <w:pgMar w:left="240" w:top="631" w:right="1440" w:bottom="0" w:gutter="0" w:footer="0" w:header="0"/>
        </w:sectPr>
      </w:pPr>
    </w:p>
    <w:bookmarkStart w:id="9" w:name="page10"/>
    <w:bookmarkEnd w:id="9"/>
    <w:p>
      <w:pPr>
        <w:ind w:left="216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9019"/>
          </w:cols>
          <w:pgMar w:left="1440" w:top="141" w:right="1440" w:bottom="1440" w:gutter="0" w:footer="0" w:header="0"/>
        </w:sectPr>
      </w:pPr>
    </w:p>
    <w:bookmarkStart w:id="10" w:name="page11"/>
    <w:bookmarkEnd w:id="10"/>
    <w:p>
      <w:pPr>
        <w:spacing w:after="0" w:line="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some of the areas where cable plant has been upgraded, we use our cable network to provide local telephone services and to resell third-party long distance services to our phone subscribers. We currently offer phone services to subscribers in 15 markets.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Sales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generate revenues from the sale of advertising time to local, regional and national advertisers on non- broadcast channels we carry over our cable systems.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Revenue Sources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also generate revenues from installation services, commissions from third-party electronic retailing and from other services.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sales efforts are primarily directed toward generating incremental revenues in our franchise areas and increasing the number of subscribers we serve. We sell our products and services through:</w:t>
      </w:r>
    </w:p>
    <w:p>
      <w:pPr>
        <w:spacing w:after="0" w:line="172" w:lineRule="exact"/>
        <w:rPr>
          <w:sz w:val="20"/>
          <w:szCs w:val="20"/>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television advertising,</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and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outlets.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generally acquire a license for the programming we sell to our subscribers by paying a monthly fee to the licensor on a per subscriber per channel basis. Our programming costs are increased by:</w:t>
      </w:r>
    </w:p>
    <w:p>
      <w:pPr>
        <w:spacing w:after="0" w:line="172" w:lineRule="exact"/>
        <w:rPr>
          <w:sz w:val="20"/>
          <w:szCs w:val="20"/>
          <w:color w:val="auto"/>
        </w:rPr>
      </w:pPr>
    </w:p>
    <w:p>
      <w:pPr>
        <w:ind w:left="1060" w:hanging="537"/>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the number of subscribers,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subscribers, and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expect this increase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Service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organized most of our cable systems into geographic clusters. Clustering improves our ability to sell advertising, enhances our ability to efficiently introduce and market new products, and allows us to more efficiently and effectively provide customer service and support. As part of our clustering strategy, we have consolidated our local customer service operations of our historical operations into large regional call centers. These regional call centers have technologically advanced telephone systems that provide 24-hour per day, 7-day per week call answering capability, telemarketing and other services. In 2003, we anticipate opening new call centers and expanding certain of our existing call centers to provide customer service and support to the newly acquired cable systems.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Analog Video and Digital Cable Services</w:t>
      </w:r>
    </w:p>
    <w:p>
      <w:pPr>
        <w:spacing w:after="0" w:line="174"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Our cable systems compete with a number of different sources which provide news, information and entertainment programming to consumers, including:</w:t>
      </w:r>
    </w:p>
    <w:p>
      <w:pPr>
        <w:spacing w:after="0" w:line="154" w:lineRule="exact"/>
        <w:rPr>
          <w:sz w:val="20"/>
          <w:szCs w:val="20"/>
          <w:color w:val="auto"/>
        </w:rPr>
      </w:pPr>
    </w:p>
    <w:p>
      <w:pPr>
        <w:jc w:val="both"/>
        <w:ind w:left="1060" w:right="3119" w:hanging="537"/>
        <w:spacing w:after="0" w:line="239"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use direct broadcast satellite, or DBS, systems that transmit satellite signals containing video programming, data and other information to receiving dishes of varying sizes located on the subscriber's premises,</w:t>
      </w:r>
    </w:p>
    <w:p>
      <w:pPr>
        <w:sectPr>
          <w:pgSz w:w="11900" w:h="16868" w:orient="portrait"/>
          <w:cols w:equalWidth="0" w:num="1">
            <w:col w:w="10219"/>
          </w:cols>
          <w:pgMar w:left="240" w:top="799" w:right="1440" w:bottom="0" w:gutter="0" w:footer="0" w:header="0"/>
        </w:sectPr>
      </w:pPr>
    </w:p>
    <w:bookmarkStart w:id="11" w:name="page12"/>
    <w:bookmarkEnd w:id="11"/>
    <w:p>
      <w:pPr>
        <w:ind w:left="537" w:right="3119" w:hanging="537"/>
        <w:spacing w:after="0" w:line="271" w:lineRule="auto"/>
        <w:tabs>
          <w:tab w:leader="none" w:pos="53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television broadcast stations that provide off-air programming which can be received using an antenna and a television set,</w:t>
      </w:r>
    </w:p>
    <w:p>
      <w:pPr>
        <w:spacing w:after="0" w:line="153" w:lineRule="exact"/>
        <w:rPr>
          <w:rFonts w:ascii="Courier New" w:cs="Courier New" w:eastAsia="Courier New" w:hAnsi="Courier New"/>
          <w:sz w:val="14"/>
          <w:szCs w:val="14"/>
          <w:color w:val="auto"/>
        </w:rPr>
      </w:pPr>
    </w:p>
    <w:p>
      <w:pPr>
        <w:ind w:left="537" w:right="3119" w:hanging="537"/>
        <w:spacing w:after="0" w:line="238" w:lineRule="auto"/>
        <w:tabs>
          <w:tab w:leader="none" w:pos="5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SMATVs, which generally</w:t>
      </w:r>
    </w:p>
    <w:p>
      <w:pPr>
        <w:spacing w:after="0" w:line="172" w:lineRule="exact"/>
        <w:rPr>
          <w:rFonts w:ascii="Courier New" w:cs="Courier New" w:eastAsia="Courier New" w:hAnsi="Courier New"/>
          <w:sz w:val="15"/>
          <w:szCs w:val="15"/>
          <w:color w:val="auto"/>
        </w:rPr>
      </w:pPr>
    </w:p>
    <w:p>
      <w:pPr>
        <w:ind w:left="3017" w:hanging="177"/>
        <w:spacing w:after="0"/>
        <w:tabs>
          <w:tab w:leader="none" w:pos="301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9696"/>
          </w:cols>
          <w:pgMar w:left="763" w:top="312" w:right="1440" w:bottom="1440" w:gutter="0" w:footer="0" w:header="0"/>
        </w:sectPr>
      </w:pPr>
    </w:p>
    <w:bookmarkStart w:id="12" w:name="page13"/>
    <w:bookmarkEnd w:id="12"/>
    <w:p>
      <w:pPr>
        <w:ind w:left="1060" w:right="3119"/>
        <w:spacing w:after="0" w:line="238" w:lineRule="auto"/>
        <w:rPr>
          <w:sz w:val="20"/>
          <w:szCs w:val="20"/>
          <w:color w:val="auto"/>
        </w:rPr>
      </w:pPr>
      <w:r>
        <w:rPr>
          <w:rFonts w:ascii="Courier New" w:cs="Courier New" w:eastAsia="Courier New" w:hAnsi="Courier New"/>
          <w:sz w:val="15"/>
          <w:szCs w:val="15"/>
          <w:color w:val="auto"/>
        </w:rPr>
        <w:t>serve condominiums, apartment and office complexes and residential developments,</w:t>
      </w:r>
    </w:p>
    <w:p>
      <w:pPr>
        <w:spacing w:after="0" w:line="175" w:lineRule="exact"/>
        <w:rPr>
          <w:sz w:val="20"/>
          <w:szCs w:val="20"/>
          <w:color w:val="auto"/>
        </w:rPr>
      </w:pPr>
    </w:p>
    <w:p>
      <w:pPr>
        <w:jc w:val="both"/>
        <w:ind w:left="1060" w:right="3119" w:hanging="537"/>
        <w:spacing w:after="0" w:line="239"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operators who build and operate wireline communications systems in the same communities that we serve, including those operating as franchised cable operations or under an alternative regulatory scheme known as Open Video Systems, or OVS,</w:t>
      </w:r>
    </w:p>
    <w:p>
      <w:pPr>
        <w:spacing w:after="0" w:line="176"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 including Internet distribution of movies,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stores and home video products.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recent years, Congress has enacted legislation and the FCC has adopted regulatory policies intended to provide a favorable operating environment for existing competitors and for potential new competitors to our cable systems. These competitors include DBS, wireline communications providers, also known as overbuilders, SMATVs and Multichannel Multipoint Distribution Service, or MMDS. The FCC has recently created a new wireless service, known as Multichannel Video Distribution and Data Service, or MVDDS, that we also expect to compete with our cable systems. In order to compete effectively, our cable systems strive to provide, at a reasonable price to subscribers, new products and services, superior technical performance, superior customer service and a greater variety of video programming.</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DBS Systems. According to recent government and industry reports, conventional, medium and high-power satellites currently provide video programming to over 20 million customers in the United States. DBS providers with high-power satellites typically offer to their subscribers more than 300 channels of programming, including programming services substantially similar to those provided by our cable systems. Two companies, DIRECTV and EchoStar, provide service to substantially all of these DBS subscribers.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DBS service can be received throughout the continental United States through the installation of a small roof top or side-mounted antenna. DBS systems use video compression technology to increase channel capacity and digital technology to improve the quality and quantity of the signals transmitted to their subscribers. Our digital cable service is competitive with the programming, channel capacity and the digital quality of signals delivered to subscribers by DBS systems.</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Federal legislation establishes, among other things, a permanent compulsory copyright license that permits satellite carriers to retransmit local broadcast television signals to subscribers who reside in the local television station's market. These companies are transmitting local broadcast signals in most markets which we serve. As a result, satellite carriers are competitive to cable system operators like us because they offer programming which closely resembles what we offer. These satellite carriers are attempting to expand their service offerings to include, among other things, high-speed Internet service.</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SMATV. Our cable systems also compete for subscribers with SMATV systems. SMATV system operators typically are not subject to regulation like local franchised cable system operators. SMATV systems offer subscribers both improved reception of local television stations and many of the same satellite- delivered programming services offered by franchised cable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systems access to these complexes.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Overbuilds. We operate our cable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 Certain facilities-based competitors offer cable and other communications services in various areas where we hold franchises. We anticipate that facilities-based competitors will develop in other franchise areas that we serve.</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Local telephone companies. Federal law allows local telephone companies to provide, directly to subscribers, a wide variety of services that are competitive with our cable services, including video and Internet services within and outside their telephone service areas. Telephone companies and other businesses construct and operate communications facilities that provide access to the Internet and distribute interactive computer-based services, data and other non-video services to homes and businesses.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631" w:right="1440" w:bottom="286" w:gutter="0" w:footer="0" w:header="0"/>
        </w:sectPr>
      </w:pPr>
    </w:p>
    <w:bookmarkStart w:id="13" w:name="page14"/>
    <w:bookmarkEnd w:id="13"/>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Most of our cable systems are currently offering high-speed Internet services to subscribers. These systems compete with a number of other companies, many of whom have substantial resources, such as:</w:t>
      </w:r>
    </w:p>
    <w:p>
      <w:pPr>
        <w:spacing w:after="0" w:line="172" w:lineRule="exact"/>
        <w:rPr>
          <w:sz w:val="20"/>
          <w:szCs w:val="20"/>
          <w:color w:val="auto"/>
        </w:rPr>
      </w:pPr>
    </w:p>
    <w:p>
      <w:pPr>
        <w:ind w:left="1060" w:hanging="537"/>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ISPs,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 and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deployment of digital subscriber line, or DSL, technology allows Internet access to be provided to subscribers over telephone lines at data transmission speeds substantially greater than that of conventional analog modems. Numerous companies, including telephone companies, have introduced DSL service, and certain telephone companies are seeking to provide high- speed Internet services without regard to present service boundaries and other regulatory restrictions. The FCC recently adopted an order that will reduce the obligations of local telephone companies to offer their broadband facilities on a wholesale basis to competitors, and the FCC is considering further measures to deregulate the retail broadband offerings of local telephone companies as well. Congress may also consider measures to deregulate such broadband offerings.</w:t>
      </w:r>
    </w:p>
    <w:p>
      <w:pPr>
        <w:spacing w:after="0" w:line="16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 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phone service competes against incumbent local exchange carriers, cellular telephone service providers and competitive local exchange carriers (including established long distance companies) in the provision of local voice services. Many of these carriers are expanding their offerings to include high-speed Internet service, such as DSL. The incumbent local exchange carriers have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expect advances in communications technology, as well as changes in the marketplace and the regulatory and legislative environment to occur in the future. We refer you to page 11 for a detailed discussion of legislative and regulatory factors. Other new technologies and services may develop and may compete with services that our cable systems offer. Consequently, we are unable to predict the effect that ongoing or future developments might have on our business and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QVC is a domestic and international electronic media general merchandise retailer which produces and distributes merchandise-focused television programs, via satellite, to affiliated video program distributors for retransmission to subscribers. At QVC, program hosts and guests describe and demonstrate the products and viewers place orders directly with QVC. As of December 31, 2002, QVC was available, on a full and part-time basis, to 85.9 million homes in the United States, 11.4 million homes in the United Kingdom ("UK"), 25.8 million homes in Germany and 8.4 million homes in Japan. We estimate that 13.3 million homes in Germany have programmed their television sets to receive this service. We own approximately 57% of QVC.</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March 3, 2003, we announced that Liberty Media Corporation delivered a notice to us, pursuant to the stockholders agreement between us and Liberty, that triggers an exit rights process with respect to Liberty's approximate 42% interest in QVC. We and Liberty will attempt to negotiate the fair market value of QVC prior to March 31, 2003. If we and Liberty cannot agree, an appraisal process will determine the value of QVC. We will then have the right to purchase Liberty's interest in QVC at the determined value. We may pay Liberty for the QVC stock in cash, in a promissory note maturing not more than three years after issuance, in our equity securities or in a combination of these, subject to Liberty's right to request payment in all equity securities and the parties' obligation to use reasonable efforts to consummate the purchase in the most tax efficient method available (provided that we are not required to issue securities representing more than 4.9% of the outstanding equity or vote of our common stock). If we elect not to purchase Liberty's interest in QVC, Liberty then will have a similar right to purchase our approximate 57% interest in QVC. If neither we nor Liberty elect to purchase the interest of the other, then we and Liberty are required to use our best efforts to sell QVC; either company is permitted to be a purchaser in any such sale. We and Liberty may agree not to enter into a transaction, or may agree to a transaction other than that specified in the</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969" w:right="1440" w:bottom="0" w:gutter="0" w:footer="0" w:header="0"/>
        </w:sectPr>
      </w:pPr>
    </w:p>
    <w:bookmarkStart w:id="14" w:name="page15"/>
    <w:bookmarkEnd w:id="14"/>
    <w:p>
      <w:pPr>
        <w:jc w:val="both"/>
        <w:ind w:right="3119"/>
        <w:spacing w:after="0" w:line="239" w:lineRule="auto"/>
        <w:rPr>
          <w:sz w:val="20"/>
          <w:szCs w:val="20"/>
          <w:color w:val="auto"/>
        </w:rPr>
      </w:pPr>
      <w:r>
        <w:rPr>
          <w:rFonts w:ascii="Courier New" w:cs="Courier New" w:eastAsia="Courier New" w:hAnsi="Courier New"/>
          <w:sz w:val="15"/>
          <w:szCs w:val="15"/>
          <w:color w:val="auto"/>
        </w:rPr>
        <w:t>stockholders agreement. Under the current terms of the stockholders agreement between us and Liberty, we would no longer control QVC if we elect not to purchase Liberty's interest in QVC.</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QVC sells a variety of consumer products and accessories including jewelry, housewares, electronics, apparel and accessories, collectibles, toys and cosmetics. QVC purchases, or obtains on consignment, products from domestic and foreign manufacturers and wholesalers, often on favorable terms based on the volume of the transactions. QVC intends to continue introducing new products and product lines. QVC does not depend upon any one particular supplier for any significant portion of its inventory. QVC's business is seasonal, with the highest amount of net sales occurring in the fourth quarter.</w:t>
      </w:r>
    </w:p>
    <w:p>
      <w:pPr>
        <w:spacing w:after="0" w:line="161"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Viewers place orders to purchase QVC merchandise by either calling a toll-free telephone number to speak to a telemarketing operator, by using their touch-tone telephone to call QVC's integrated automated ordering system which gives customers the ability to place orders without speaking to a telemarketing operator, or by using their personal computer to place orders on QVC.com.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from its distribution centers, typically within 24 hours after receipt of an order. QVC's return policy permits customers to return, within 30 days, any merchandise purchased for a full refund of the purchase price and original shipping charges.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United States, QVC is transmitted live 24 hours a day, 7 days a week, to 65.5 million cable television homes. An additional 0.4 million cable television homes receive QVC on a less than full time basis and 20.0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QVC also offers an interactive shopping service, QVC.com, on the Internet. QVC.com offers a diverse array of merchandise, on-line, 24 hours a day, 7 days a week. QVC.com also maintains a mailing list which e- mails product news to customers who choose to receive it.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Transmission</w:t>
      </w:r>
    </w:p>
    <w:p>
      <w:pPr>
        <w:spacing w:after="0" w:line="174" w:lineRule="exact"/>
        <w:rPr>
          <w:sz w:val="20"/>
          <w:szCs w:val="20"/>
          <w:color w:val="auto"/>
        </w:rPr>
      </w:pPr>
    </w:p>
    <w:p>
      <w:pPr>
        <w:jc w:val="both"/>
        <w:ind w:right="3119" w:firstLine="435"/>
        <w:spacing w:after="0"/>
        <w:tabs>
          <w:tab w:leader="none" w:pos="7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transponder on a communications satellite transmits the QVC domestic signal. QVC subleases transponders for the transmission of its signals to the UK, Germany and Japan. QVC has made arrangements in the U.S. for redundant coverage through other satellites in case of a failure. To date, QVC has never had an interruption in programming due to transponder failure. We cannot offer assurances that there will not be an interruption or termination of satellite transmission due to transponder failure. Interruption or termination could have a material adverse effect on QVC's results of operations.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Distributors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QVC has entered into affiliation agreements with video program distributors to carry QVC programming. There are no charges to the programming distributors for the distribution of QVC. In return for carrying QVC, each programming distributor receives an allocated portion, based upon market share, of up to five percent of the net sales of merchandise sold to customers located in the programming distributor's service area. QVC has entered into multi-year affiliation agreements with various cable and satellite system operators for carriage of QVC programming. The terms of most affiliation agreements are automatically renewable for one-year terms unless terminated by either party on at least 90 days notice prior to the end of the term. Most of the affiliation agreements provide for the programming distributor to broadcast commercials regarding QVC on other channels and to distribute QVC's advertising material to subscribers.</w:t>
      </w:r>
    </w:p>
    <w:p>
      <w:pPr>
        <w:spacing w:after="0" w:line="180"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QVC's business depends on its affiliation with programming distributors for the transmission of QVC programming. If a significant number of homes were no longer served because of termination or non-renewal of affiliation agreements, our financial results could be adversely affected. QVC has incentive programs to induce programming distributors to enter into or extend affiliation agreements, to increase the number of homes under existing affiliation agreements, or to enhance channel placement of the QVC programming. These incentives include various forms of marketing, carriage and launch support. QVC will continue to recruit additional programming distributors and seek to enlarge its audience.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QVC operates in a highly competitive environment. As a general merchandise retailer, QVC competes for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631" w:right="1440" w:bottom="628" w:gutter="0" w:footer="0" w:header="0"/>
        </w:sectPr>
      </w:pPr>
    </w:p>
    <w:bookmarkStart w:id="15" w:name="page16"/>
    <w:bookmarkEnd w:id="15"/>
    <w:p>
      <w:pPr>
        <w:jc w:val="both"/>
        <w:ind w:right="3119"/>
        <w:spacing w:after="0"/>
        <w:rPr>
          <w:sz w:val="20"/>
          <w:szCs w:val="20"/>
          <w:color w:val="auto"/>
        </w:rPr>
      </w:pPr>
      <w:r>
        <w:rPr>
          <w:rFonts w:ascii="Courier New" w:cs="Courier New" w:eastAsia="Courier New" w:hAnsi="Courier New"/>
          <w:sz w:val="15"/>
          <w:szCs w:val="15"/>
          <w:color w:val="auto"/>
        </w:rPr>
        <w:t>consumer expenditures with the entire retail industry, including department, discount, warehouse and specialty stores, mail order and other direct sellers, Internet retailers, shopping center and mall tenants and conventional retail stores. On television, QVC competes with other programs for channel space and viewer loyalty against similar electronic retailing programming, as well as against alternative programming supplied by other sources, including news, public affairs, entertainment and sports programmers. The use of digital compression provides programming distributors with greater channel capacity. While greater channel capacity increases the opportunity for QVC to be distributed, it also may adversely impact QVC's ability to compete for television viewers to the extent it results in higher channel position, placement of QVC in separate programming tiers, or the addition of competitive channels.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have made investments in cable television networks and other programming-related enterprises as a means of generating additional revenues and subscriber interest. Our consolidated programming investments as of December 31, 2002 include:</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Economic</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Ownership</w:t>
      </w:r>
    </w:p>
    <w:p>
      <w:pPr>
        <w:spacing w:after="0" w:line="1" w:lineRule="exact"/>
        <w:rPr>
          <w:sz w:val="20"/>
          <w:szCs w:val="20"/>
          <w:color w:val="auto"/>
        </w:rPr>
      </w:pPr>
    </w:p>
    <w:p>
      <w:pPr>
        <w:spacing w:after="0"/>
        <w:tabs>
          <w:tab w:leader="none" w:pos="3520" w:val="left"/>
          <w:tab w:leader="none" w:pos="6620" w:val="left"/>
        </w:tabs>
        <w:rPr>
          <w:sz w:val="20"/>
          <w:szCs w:val="20"/>
          <w:color w:val="auto"/>
        </w:rPr>
      </w:pPr>
      <w:r>
        <w:rPr>
          <w:rFonts w:ascii="Courier New" w:cs="Courier New" w:eastAsia="Courier New" w:hAnsi="Courier New"/>
          <w:sz w:val="15"/>
          <w:szCs w:val="15"/>
          <w:color w:val="auto"/>
        </w:rPr>
        <w:t>Investment</w:t>
      </w:r>
      <w:r>
        <w:rPr>
          <w:sz w:val="20"/>
          <w:szCs w:val="20"/>
          <w:color w:val="auto"/>
        </w:rPr>
        <w:tab/>
      </w: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4"/>
          <w:szCs w:val="14"/>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Comcast Spectacor</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66.3%</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Live sporting events, concerts and other events</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Comcast SportsNet</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78.3</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Comcast SportsNet Mid-Atlantic</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Cable Sports Southeast</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62.2</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E! Entertainment</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50.1</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w w:val="98"/>
              </w:rPr>
              <w:t>Entertainment-related news and original programming</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Style</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50.1</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Lifestyle-related programming</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The Golf Channel</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91.3</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Golf-related programming</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Outdoor Life Network</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Outdoor sports and leisure programming</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CN8-The Comcast Network</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Regional and local programming</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G4</w:t>
            </w:r>
          </w:p>
        </w:tc>
        <w:tc>
          <w:tcPr>
            <w:tcW w:w="14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93.6</w:t>
            </w:r>
          </w:p>
        </w:tc>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Programming focused on video and computer games</w:t>
            </w:r>
          </w:p>
        </w:tc>
      </w:tr>
    </w:tbl>
    <w:p>
      <w:pPr>
        <w:spacing w:after="0" w:line="200" w:lineRule="exact"/>
        <w:rPr>
          <w:sz w:val="20"/>
          <w:szCs w:val="20"/>
          <w:color w:val="auto"/>
        </w:rPr>
      </w:pPr>
    </w:p>
    <w:p>
      <w:pPr>
        <w:spacing w:after="0" w:line="31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Programming Investments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Comcast Spectacor. Comcast Spectacor is our group of businesses that perform live sporting events and that own or manage facilities and venues for sports activities, sports events, concerts and other special events. Comcast Spectacor consists principally of the Philadelphia Flyers NHL hockey team, the Philadelphia 76ers NBA basketball team and two large multi-purpose arenas in Philadelphia.</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interests in Comcast Spectacor owned by the minority owner group based on the appraised fair market value. If we do not exercise this option, we and the minority owner group would then be required to use our best efforts to sell Comcast Spectacor.</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Comcast SportsNet. Comcast SportsNet, or CSN, is our 24-hour terrestrially-delivered network which provides sports-related programming, including the Philadelphia Flyers NHL hockey team, the Philadelphia 76ers NBA basketball team and the Philadelphia Phillies MLB baseball team to approximately 2.9 million subscribers in the Philadelphia region. The exit process described in the previous paragraph includes the minority owner group's interest in CSN.</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Comcast SportsNet Mid-Atlantic. Comcast SportsNet Mid-Atlantic, or CSN Mid-Atlantic, is our 24-hour satellite-delivered network which provides sports-related programming, including the Baltimore Orioles MLB baseball team, the Washington Wizards NBA basketball team and the Washington Capitals NHL hockey team. CSN Mid-Atlantic serves approximately 4.3 million subscribers primarily in Delaware, Maryland, Pennsylvania, Virginia, Washington, D.C. and West Virginia.</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Cable Sports Southeast. Cable Sports Southeast, or CSS, is a satellite-delivered network which provides sports-related programming and sports news geared toward college athletics to approximately 3.9 million subscribers primarily in Alabama, Arkansas, Florida, Georgia, Kentucky, Mississippi, North Carolina, South Carolina and Tennessee.</w:t>
      </w:r>
    </w:p>
    <w:p>
      <w:pPr>
        <w:spacing w:after="0" w:line="174"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E! Entertainment. E! Entertainment is our 24-hour network with programming dedicated to the world of entertainment. Programming formats include behind-the-</w:t>
      </w:r>
    </w:p>
    <w:p>
      <w:pPr>
        <w:spacing w:after="0" w:line="32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631" w:right="1440" w:bottom="798" w:gutter="0" w:footer="0" w:header="0"/>
        </w:sectPr>
      </w:pPr>
    </w:p>
    <w:bookmarkStart w:id="16" w:name="page17"/>
    <w:bookmarkEnd w:id="16"/>
    <w:p>
      <w:pPr>
        <w:jc w:val="both"/>
        <w:ind w:right="3119"/>
        <w:spacing w:after="0" w:line="239" w:lineRule="auto"/>
        <w:rPr>
          <w:sz w:val="20"/>
          <w:szCs w:val="20"/>
          <w:color w:val="auto"/>
        </w:rPr>
      </w:pPr>
      <w:r>
        <w:rPr>
          <w:rFonts w:ascii="Courier New" w:cs="Courier New" w:eastAsia="Courier New" w:hAnsi="Courier New"/>
          <w:sz w:val="15"/>
          <w:szCs w:val="15"/>
          <w:color w:val="auto"/>
        </w:rPr>
        <w:t>scenes specials, original movies and series, news, talk shows and comprehensive coverage of entertainment industry awards shows and film festivals worldwide. The network has distribution to approximately 71 million subscribers in the United States.</w:t>
      </w:r>
    </w:p>
    <w:p>
      <w:pPr>
        <w:spacing w:after="0" w:line="17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hold the majority of our interest in E! Entertainment through Comcast Entertainment Holdings, LLC, which is owned 50.1% by us and 49.9% by The Walt Disney Company. Under a limited liability company agreement between Disney and us,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6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Style. Style, a division of E! Entertainment, is our 24-hour network dedicated to fashion, home design, beauty, health, fitness and more, with distribution to approximately 24 million subscribers in the United States.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Golf Channel. The Golf Channel is our 24-hour network devoted exclusively to golf programming with distribution to approximately 47 million subscribers in the United States. The programming schedule includes live tournaments, golf instruction programs and golf news.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Outdoor Life Network. Outdoor Life Network is our 24-hour network devoted exclusively to outdoor adventure sports and outdoor leisure recreation with distribution to approximately 43 million subscribers in the United States. Its programming features the premiere events and series in a wide range of outdoor activities including biking, sailing, skiing, snowboarding, professional bullriding and fishing.</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CN8-The Comcast Network. CN8-The Comcast Network is our regional programming network delivered to approximately 6 million cable subscribers in Maryland, Delaware, Pennsylvania, New Jersey, Connecticut, Massachusetts and New Hampshire. CN8 provides exclusive original programs, including news, talk, high school, college and professional sports, cooking, music, comedy and other family-oriented entertainment.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G4. G4 is our 24-hour network dedicated to the world of video games. Targeted to young viewers 12-34, G4 is committed to creating a lifestyle brand that is the source of entertainment, news and information about electronic games, including video, computer, online and wireless platforms. We launched G4 in April 2002. G4 has distribution to approximately 9 million subscribers.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Other Programming Interests. We also own other non-controlling interests in programming investments including iN DEMAND, a pay-per-view and video-on- demand service, the Discovery Health Channel, Fox Sports New England, New England Cable News and Pittsburgh Cable News Channel.</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Our cable and phone businesses are subject to numerous regulatory requirements, prohibitions and limitations imposed by various federal and state laws, local ordinances and our franchise agreements. Our commerce and content businesses are generally not subject to direct governmental regulation. Our high-speed Internet business, while not currently regulated, may be subject to regulation in the future. Laws and regulations affect the prices we can charge for some services, such as basic cable service and associated customer-premises equipment, the costs we incur - for example, for attaching our wires to poles owned by utility companies, the relationships we establish with our suppliers, subscribers and competitors, and many other aspects of our business.</w:t>
      </w:r>
    </w:p>
    <w:p>
      <w:pPr>
        <w:spacing w:after="0" w:line="16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most significant federal law affecting our cable businesses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 and desist orders and the imposition of other administrative sanctions, such as the revocation of FCC licenses needed to operate some of the transmission facilities we use in connection with our cable businesses.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we are currently in substantial</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801" w:right="1440" w:bottom="798" w:gutter="0" w:footer="0" w:header="0"/>
        </w:sectPr>
      </w:pPr>
    </w:p>
    <w:bookmarkStart w:id="17" w:name="page18"/>
    <w:bookmarkEnd w:id="17"/>
    <w:p>
      <w:pPr>
        <w:jc w:val="both"/>
        <w:ind w:right="3119"/>
        <w:spacing w:after="0"/>
        <w:rPr>
          <w:sz w:val="20"/>
          <w:szCs w:val="20"/>
          <w:color w:val="auto"/>
        </w:rPr>
      </w:pPr>
      <w:r>
        <w:rPr>
          <w:rFonts w:ascii="Courier New" w:cs="Courier New" w:eastAsia="Courier New" w:hAnsi="Courier New"/>
          <w:sz w:val="15"/>
          <w:szCs w:val="15"/>
          <w:color w:val="auto"/>
        </w:rPr>
        <w:t>compliance with all applicable statutory and regulatory requirements imposed by, or under, the Communications Act, but caution that the precise requirements of the law are not always clear. Moreover, many laws and regulations can be interpreted in after-the-fact enforcement proceedings or private 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cable business can be significantly affected by the enactment of new legislation. Owing in part to the "public interest" ramifications traditionally associated with ownership of electronic media, Congress seriously considers the enactment of new legislative requirements virtually every year. Even though new laws infrequently result, we always face the risk that Congress will approve legislation significantly affecting the cable industry.</w:t>
      </w:r>
    </w:p>
    <w:p>
      <w:pPr>
        <w:spacing w:after="0" w:line="18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A major objective of Congress and the FCC is to increase competition in all communications services, including those central to our business. For example, over the last ten years, Congress removed barriers to local telephone companies offering video services in their local service areas, and the FCC has authorized MVDDS, a new wireless service for providing multichannel video programming, and may soon consider a proposal that could allow utility power lines to be used to provide video and high-speed Internet services. Our cable business could be affected by any new competitors that enter the video marketplace as a result of these and similar efforts by Congress or the FCC. In particular, we could be materially disadvantaged if we are subject to new regulations that do not equally affect our satellite, wireline and wireless competitors.</w:t>
      </w:r>
    </w:p>
    <w:p>
      <w:pPr>
        <w:spacing w:after="0" w:line="165"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There are potential risks associated with various proceedings that are currently pending at the FCC, in the courts, and before federal and state legislatures and local franchise authorities. We believe few of these proceedings hold the potential to materially affect our ability to conduct our cable business. Among the more substantial areas of exposure are the following:</w:t>
      </w:r>
    </w:p>
    <w:p>
      <w:pPr>
        <w:spacing w:after="0" w:line="162"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Broadband Acquisition. The FCC approved the Broadband acquisition in November 2002 subject to various conditions. The most significant are a requirement for the divestiture of our interest in TWE, a requirement that the TWE interest be placed in trust pending divesture, and safeguards that limit our involvement in the programming-related activities of TWE and two partnerships held jointly by us and TWE. Complying with these conditions will limit our flexibility as to the timing and nature of a sale of the TWE interest and, in the interim, will constrain our business dealings with TWE and AOL Time Warner. We have fully complied with those conditions, and are committed to meeting our obligations under the FCC's merger order going-forward.</w:t>
      </w:r>
    </w:p>
    <w:p>
      <w:pPr>
        <w:spacing w:after="0" w:line="16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Ownership Limits. The FCC is considering imposing "horizontal ownership limits" that would limit the percentage of multichannel video subscribers - those that subscribe to cable, DBS, MMDS and other multichannel distributors - that any single provider could serve nationwide. A federal appellate court struck down the previous 30% limit, and the FCC is now considering this issue anew. As we already serve nearly 29% of multichannel video subscribers, limits similar to those originally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had also been invalidated by the federal appellate court). While our video programming interests are modest, new vertical limits could affect our content- related business plans. Finally, the FCC is considering revisions to its ownership attribution rules that would affect which cable subscribers are counted under any horizontal ownership limit and which programming interests are counted for purposes of a vertical ownership limit.</w:t>
      </w:r>
    </w:p>
    <w:p>
      <w:pPr>
        <w:spacing w:after="0" w:line="16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Pricing. The Communications Act and the FCC's regulations and policies limit the prices that cable systems may charge for basic services and equipment in communities that are not subject to effective competition, as defined by federal law. Failure to comply with these rate rules could result in rate reductions and refunds for subscribers. In addition, various advocacy groups are urging Congress to impose new rate regulations on the cable industry. We cannot now predict whether or when Congress may agree to these or similar proposals. Also, various competitors are trying to persuade the FCC and the Justice Department to limit our ability to respond to increased competition by offering promotions or other discounts in an effort to retain existing subscribers or regain those we have lost. We believe our competitive pricing practices are lawful and pro-competitive. If we cannot make individualized offers to subscribers that would otherwise choose a different provider, our subscriber attrition may increase, or our overall prices may need to be reduced, or both.</w:t>
      </w:r>
    </w:p>
    <w:p>
      <w:pPr>
        <w:spacing w:after="0" w:line="16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High-Speed Internet Service. Ever since high-speed cable Internet service was introduced, some local governments and various competitors sought to impose regulatory requirements on how we deal with third-party ISPs. Thus far, only a few local governments have</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631" w:right="1440" w:bottom="1140" w:gutter="0" w:footer="0" w:header="0"/>
        </w:sectPr>
      </w:pPr>
    </w:p>
    <w:bookmarkStart w:id="18" w:name="page19"/>
    <w:bookmarkEnd w:id="18"/>
    <w:p>
      <w:pPr>
        <w:jc w:val="both"/>
        <w:ind w:right="3119"/>
        <w:spacing w:after="0"/>
        <w:rPr>
          <w:sz w:val="20"/>
          <w:szCs w:val="20"/>
          <w:color w:val="auto"/>
        </w:rPr>
      </w:pPr>
      <w:r>
        <w:rPr>
          <w:rFonts w:ascii="Courier New" w:cs="Courier New" w:eastAsia="Courier New" w:hAnsi="Courier New"/>
          <w:sz w:val="15"/>
          <w:szCs w:val="15"/>
          <w:color w:val="auto"/>
        </w:rPr>
        <w:t>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 a decision by a federal appellate court is expected later this year. 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Internet Regulation. Congress and federal regulators have adopted a wide range of measures affecting Internet use, including, for example, consumer privacy, copyright protection, defamation liability, taxation and obscenity, and state and local governmental organizations have adopted Internet-related regulations, as well. These various governmental jurisdictions are also considering additional regulations in these and other areas, such as service pricing, service and product quality, and intellectual property ownership. The adoption of new laws or the adaptation of existing laws to the Internet could have a material adverse effect on our Internet business.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Must-Carry/Retransmission Consent. Cable companies are currently subject to a requirement that they carry, without compensation, the programming transmitted by most commercial and non-commercial local television stations. Alternatively, local television stations may negotiate for "retransmission consent," that is, terms and conditions to govern our ability to transmit the TV broadcast signals that cable subscribers expect to receive. As broadcasters transition from analog to digital transmission technologies, the FCC is considering whether to require cable companies to simultaneously carry both analog and digital signals of a single broadcaster, and once digital carriage is required, whether cable companies may be required to carry multiple digital program streams that each broadcaster may transmit. If either of those questions is answered in the affirmative, we would have less freedom to allocate the usable spectrum of our cable plant to provide the services that we believe will be of greatest interest to our subscribers. This could diminish our ability to attract and retain subscribers. We cannot now predict whether the FCC will impose these or similar carriage obligations on us.</w:t>
      </w:r>
    </w:p>
    <w:p>
      <w:pPr>
        <w:spacing w:after="0" w:line="18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Program Access. The Communications Act and the FCC's "program access" rules prevent satellite video programmers affiliated with cable operators from favoring cable operators over competing multichannel video distributors, such as DBS, and limit the ability of such programmers to offer exclusive programming arrangements to cable operators. The FCC recently extended the exclusivity restrictions through October 2007. The FCC has concluded that the program access rules do not apply to programming services, such as Comcast SportsNet, that are delivered terrestrially. However, the FCC has indicated that it may reconsider how it regulates cable operators with regional sports programming interests in its cable ownership rulemaking. Any decision by the FCC or Congress to single out for new regulation cable operators like us who have regional sports programming interests, could have an adverse impact on our cable and programming businesses. Some initiatives are underway to enact program access-type regulations at the state or local level. We believe any such regulations would be preempted by federal law or otherwise unlawful, but we cannot predict at this time whether such regulations will be enacted or enforceable.</w:t>
      </w:r>
    </w:p>
    <w:p>
      <w:pPr>
        <w:spacing w:after="0" w:line="16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Consumer Electronics Equipment Compatibility. The FCC has launched a rulemaking to implement a recent agreement between the cable and consumer electronics industries aimed at promoting the manufacture of "plug- and-play" TV sets that can connect directly to the cable network without the need for a set-top box. The FCC is considering adopting a number of proposed rules that would, among other things: direct cable operators to implement technical standards in their networks to support these digital television sets; require operators to provide a sufficient supply of conditional access devices to subscribers who want to receive scrambled programming services on their digital television sets; and require operators to support basic home recording rights and copy protection rules for digital programming content. Failure by the FCC to implement the agreement could adversely affect our relationships with consumer electronics retail outlets (where DBS has traditionally enjoyed an advantage) and slow the growth of subscribership to our digital cable service.</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Phone Service. Our phone business is subject to federal, state and local regulation. In general, the Communications Act imposes interconnection requirements and universal service obligations on all telecommunications service providers, including those that provide traditional circuit-switched phone service over cable facilities, and more significant regulations on incumbent local exchange carriers, such as Verizon and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631" w:right="1440" w:bottom="1140" w:gutter="0" w:footer="0" w:header="0"/>
        </w:sectPr>
      </w:pPr>
    </w:p>
    <w:bookmarkStart w:id="19" w:name="page20"/>
    <w:bookmarkEnd w:id="19"/>
    <w:p>
      <w:pPr>
        <w:jc w:val="both"/>
        <w:ind w:right="3119"/>
        <w:spacing w:after="0"/>
        <w:rPr>
          <w:sz w:val="20"/>
          <w:szCs w:val="20"/>
          <w:color w:val="auto"/>
        </w:rPr>
      </w:pPr>
      <w:r>
        <w:rPr>
          <w:rFonts w:ascii="Courier New" w:cs="Courier New" w:eastAsia="Courier New" w:hAnsi="Courier New"/>
          <w:sz w:val="15"/>
          <w:szCs w:val="15"/>
          <w:color w:val="auto"/>
        </w:rPr>
        <w:t>SBC. The FCC has initiated several rulemakings which, in the aggregate, could significantly change the rules that apply to telephone competition, including the relationship between wireless and wireline providers, long distance and local providers, and incumbents and new entrants, and it is unclear how those proceedings will affect our phone business. We are also conducting trials of Internet Protocol phone service on our cable network, and will begin a limited commercial offering in 2003. While the FCC and most state public utility commissions have thus far refrained from regulating Internet Protocol phone service, it is uncertain whether regulators will continue to follow that approach.</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Franchise Matters. Cable operators generally operate their cable systems pursuant to non-exclusive franchises granted by a franchising authority or other state or local governmental entity.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79"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State Taxes. Some states are considering imposing new taxes, including sales taxes, on cable service. We cannot predict at this time whether such taxes will be enacted or what impact they might have on our business.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Other Regulatory Issues. There are a number of other regulatory matters under review by Congress, the FCC, and other federal agencies that could affect our cable business. We briefly highlight those issues below:</w:t>
      </w:r>
    </w:p>
    <w:p>
      <w:pPr>
        <w:spacing w:after="0" w:line="175" w:lineRule="exact"/>
        <w:rPr>
          <w:sz w:val="20"/>
          <w:szCs w:val="20"/>
          <w:color w:val="auto"/>
        </w:rPr>
      </w:pPr>
    </w:p>
    <w:p>
      <w:pPr>
        <w:jc w:val="both"/>
        <w:ind w:left="1060" w:right="3119"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Cable/Broadcast Cross-Ownership: The FCC eliminated regulations precluding the cross- ownership of a national broadcasting network and a cable system and, pursuant to a federal court order, the FCC recently repealed its regulations prohibiting the common ownership of other broadcasting interests and cable systems in the same geographical areas.</w:t>
      </w:r>
    </w:p>
    <w:p>
      <w:pPr>
        <w:spacing w:after="0" w:line="175" w:lineRule="exact"/>
        <w:rPr>
          <w:rFonts w:ascii="Courier New" w:cs="Courier New" w:eastAsia="Courier New" w:hAnsi="Courier New"/>
          <w:sz w:val="15"/>
          <w:szCs w:val="15"/>
          <w:color w:val="auto"/>
        </w:rPr>
      </w:pPr>
    </w:p>
    <w:p>
      <w:pPr>
        <w:jc w:val="both"/>
        <w:ind w:left="1060" w:right="3119"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Tier Buy Through: The Communications Act requires cable operators to allow subscribers to purchase premium or pay-per-view services without the necessity of subscribing to any tier of service, other than the basic service tier. The applicability of this rule in certain situations remains unclear, and adverse decisions by the FCC on this issue could affect our pricing and packaging of such services.</w:t>
      </w:r>
    </w:p>
    <w:p>
      <w:pPr>
        <w:spacing w:after="0" w:line="175" w:lineRule="exact"/>
        <w:rPr>
          <w:rFonts w:ascii="Courier New" w:cs="Courier New" w:eastAsia="Courier New" w:hAnsi="Courier New"/>
          <w:sz w:val="15"/>
          <w:szCs w:val="15"/>
          <w:color w:val="auto"/>
        </w:rPr>
      </w:pPr>
    </w:p>
    <w:p>
      <w:pPr>
        <w:jc w:val="both"/>
        <w:ind w:left="1060" w:right="3119"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Access/PEG: The Communications Act permits franchising authorities to require cable operators to set aside channels for public, educational and governmental access programming, and requires a cable system with 36 or more activated channels to designate a significant portion of its channel capacity for commercial leased access by third parties to provide programming that may compete with services offered by the cable operator. Neither Congress nor the FCC is considering changes to these requirements, but it is always possible that revisions could be made that would place further burdens on the channel capacity of our cable systems.</w:t>
      </w:r>
    </w:p>
    <w:p>
      <w:pPr>
        <w:spacing w:after="0" w:line="178" w:lineRule="exact"/>
        <w:rPr>
          <w:rFonts w:ascii="Courier New" w:cs="Courier New" w:eastAsia="Courier New" w:hAnsi="Courier New"/>
          <w:sz w:val="15"/>
          <w:szCs w:val="15"/>
          <w:color w:val="auto"/>
        </w:rPr>
      </w:pPr>
    </w:p>
    <w:p>
      <w:pPr>
        <w:jc w:val="both"/>
        <w:ind w:left="1060" w:right="3119" w:hanging="537"/>
        <w:spacing w:after="0" w:line="239"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Obscenity: The Communications Act prohibits the transmission of obscene programming over cable systems. Some members of Congress and the FCC and some consumers have expressed concerns about the distribution of certain adult programming over cable systems.</w:t>
      </w:r>
    </w:p>
    <w:p>
      <w:pPr>
        <w:spacing w:after="0" w:line="176" w:lineRule="exact"/>
        <w:rPr>
          <w:rFonts w:ascii="Courier New" w:cs="Courier New" w:eastAsia="Courier New" w:hAnsi="Courier New"/>
          <w:sz w:val="15"/>
          <w:szCs w:val="15"/>
          <w:color w:val="auto"/>
        </w:rPr>
      </w:pPr>
    </w:p>
    <w:p>
      <w:pPr>
        <w:jc w:val="both"/>
        <w:ind w:left="1060" w:right="3119" w:hanging="537"/>
        <w:spacing w:after="0" w:line="260"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Set-Top Box Regulation: Current FCC rules bar cable operators from leasing subscribers integrated digital set-top boxes effective January 1, 2005. We have urged elimination of the ban on the grounds that it will limit consumer choice, increase the cost of set-top box equipment, and slow the deployment of digital cable services, but there is no assurance that the FCC will accept our position.</w:t>
      </w:r>
    </w:p>
    <w:p>
      <w:pPr>
        <w:spacing w:after="0" w:line="163" w:lineRule="exact"/>
        <w:rPr>
          <w:rFonts w:ascii="Courier New" w:cs="Courier New" w:eastAsia="Courier New" w:hAnsi="Courier New"/>
          <w:sz w:val="14"/>
          <w:szCs w:val="14"/>
          <w:color w:val="auto"/>
        </w:rPr>
      </w:pPr>
    </w:p>
    <w:p>
      <w:pPr>
        <w:jc w:val="both"/>
        <w:ind w:left="1060" w:right="3119" w:hanging="537"/>
        <w:spacing w:after="0" w:line="260"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MDU Access: The FCC has adopted rules to promote competitive entry into the MDU market. These rules are intended to make it easier for new multichannel video service providers to compete with established cable operators. Although the FCC has declined to prohibit exclusive MDU service agreements held by incumbent cable operators including us, that decision could be appealed and possibly changed.</w:t>
      </w:r>
    </w:p>
    <w:p>
      <w:pPr>
        <w:spacing w:after="0" w:line="163" w:lineRule="exact"/>
        <w:rPr>
          <w:rFonts w:ascii="Courier New" w:cs="Courier New" w:eastAsia="Courier New" w:hAnsi="Courier New"/>
          <w:sz w:val="14"/>
          <w:szCs w:val="14"/>
          <w:color w:val="auto"/>
        </w:rPr>
      </w:pPr>
    </w:p>
    <w:p>
      <w:pPr>
        <w:jc w:val="both"/>
        <w:ind w:left="1060" w:right="3119" w:hanging="537"/>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Pole Attachments: The Communications Act requires that utilities provide cable systems with nondiscriminatory access to any pole, conduit or right-of-way controlled by the utility, and the FCC has adopted rules, upheld by the courts, that regulate the rates utilities may charge for such access. The utilities continue to litigate various aspects of the FCC's pole attachment rulemakings, and recent court decisions leave open the possibility that the FCC could alter the pole attachment rate levels paid by cable</w:t>
      </w:r>
    </w:p>
    <w:p>
      <w:pPr>
        <w:spacing w:after="0" w:line="344"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19"/>
          </w:cols>
          <w:pgMar w:left="240" w:top="631" w:right="1440" w:bottom="628" w:gutter="0" w:footer="0" w:header="0"/>
        </w:sectPr>
      </w:pPr>
    </w:p>
    <w:bookmarkStart w:id="20" w:name="page21"/>
    <w:bookmarkEnd w:id="20"/>
    <w:p>
      <w:pPr>
        <w:jc w:val="both"/>
        <w:ind w:left="1060" w:right="3119"/>
        <w:spacing w:after="0" w:line="239" w:lineRule="auto"/>
        <w:rPr>
          <w:sz w:val="20"/>
          <w:szCs w:val="20"/>
          <w:color w:val="auto"/>
        </w:rPr>
      </w:pPr>
      <w:r>
        <w:rPr>
          <w:rFonts w:ascii="Courier New" w:cs="Courier New" w:eastAsia="Courier New" w:hAnsi="Courier New"/>
          <w:sz w:val="15"/>
          <w:szCs w:val="15"/>
          <w:color w:val="auto"/>
        </w:rPr>
        <w:t>operators that provide high-speed Internet and cable television offerings over those attachments, although the FCC has given no indication that it will do so. Adverse decisions in these proceedings could potentially increase our pole attachment costs.</w:t>
      </w:r>
    </w:p>
    <w:p>
      <w:pPr>
        <w:spacing w:after="0" w:line="176" w:lineRule="exact"/>
        <w:rPr>
          <w:sz w:val="20"/>
          <w:szCs w:val="20"/>
          <w:color w:val="auto"/>
        </w:rPr>
      </w:pPr>
    </w:p>
    <w:p>
      <w:pPr>
        <w:jc w:val="both"/>
        <w:ind w:left="1060" w:right="3119" w:hanging="537"/>
        <w:spacing w:after="0"/>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Privacy Regulation: The Communications Act generally restricts the nonconsensual collection and disclosure of subscribers' personal information by cable operators. A strict interpretation of the Communications Act could severely limit the ability of service providers to collect and use personal information for commercial purposes. In addition, the Federal Trade Commission has adopted rules that will place sharp limits on the telemarketing practices of cable operators, and the FCC is considering adopting similar rules as well.</w:t>
      </w:r>
    </w:p>
    <w:p>
      <w:pPr>
        <w:spacing w:after="0" w:line="177" w:lineRule="exact"/>
        <w:rPr>
          <w:rFonts w:ascii="Courier New" w:cs="Courier New" w:eastAsia="Courier New" w:hAnsi="Courier New"/>
          <w:sz w:val="15"/>
          <w:szCs w:val="15"/>
          <w:color w:val="auto"/>
        </w:rPr>
      </w:pPr>
    </w:p>
    <w:p>
      <w:pPr>
        <w:jc w:val="both"/>
        <w:ind w:left="1060" w:right="3119" w:hanging="537"/>
        <w:spacing w:after="0"/>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Copyright Regulation. In exchange for filing certain reports and contributing a percentage of their revenue to a U.S. federal copyright royalty pool, cable operators can obtain blanket permission to retransmit copyrighted material on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In addition, we pay standard industry licensing fees to use music in the programs we provide to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8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Areas:  The FCC actively  regulates other aspects of our cable</w:t>
      </w:r>
    </w:p>
    <w:p>
      <w:pPr>
        <w:spacing w:after="0" w:line="12" w:lineRule="exact"/>
        <w:rPr>
          <w:rFonts w:ascii="Courier New" w:cs="Courier New" w:eastAsia="Courier New" w:hAnsi="Courier New"/>
          <w:sz w:val="14"/>
          <w:szCs w:val="14"/>
          <w:color w:val="auto"/>
        </w:rPr>
      </w:pPr>
    </w:p>
    <w:p>
      <w:pPr>
        <w:jc w:val="both"/>
        <w:ind w:left="106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business, including, among other things: (1) the blackout of syndicated, network, and sports programming; (2) customer service standards; (3) advertising in children's programming; (4) political advertising; (5) origination cablecasting; (6) sponsorship identification; (7) closed captioning of video programming; (8) equal employment opportunity; (9) lottery programming; (10) emergency alert systems; and (11) technical standards relating to operation of the cable network. The FCC is not considering any significant revisions to these rules at this time, but we are unable to predict how these regulations might be changed in the future and how any such changes might affect our business.</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all these areas and a variety of others, we face the potential of increased regulation. Given the intensely competitive nature of every aspect of our business, we believe that increased regulation is not warranted. We can not provide any assurance, however, that regulation of our business will not increase.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2002, we had approximately 82,000 employees. Of these employees, approximately 60,000 were associated with cable, approximately 15,000 were associated with commerce and approximately 7,000 were associated with our other divisions. Approximately 4,000 of our employees are covered by collective bargaining agreements or have organized but are not covered by collective bargaining agreements. We believe that our relationships with our employees are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central receiving apparatus, distribution cables, servers, analog and digital converters, cable modems,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Television studios, customer service call centers, business offices, product warehouses and distribution centers are the principal physical assets of our commerce operations. These assets include QVC's studios and offices, Studio Park, located in West Chester, Pennsylvania, and office, customer service call centers and warehouses in the US, UK, Germany and Japan. QVC owns the majority of these assets. In order to keep pace with technological advances, QVC is maintaining, periodically upgrading and rebuilding the physical</w:t>
      </w:r>
    </w:p>
    <w:p>
      <w:pPr>
        <w:spacing w:after="0" w:line="33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80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components of our commerce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actions against AT&amp;T described above, where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33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Some of the entities formerly attributed to Broadband which are now our subsidiaries are parties to an affiliation term sheet with Starz Encore Group LLC, an affiliate of Liberty Media Corporation, which extends to 2022. The term sheet requires annual fixed price payments, subject to adjustment for various factors, including inflation. The term sheet also requires us to pay two-thirds of Starz Encore's programming costs above levels designated in the term sheet. Excess programming costs that may be</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628" w:right="1440" w:bottom="628" w:gutter="0" w:footer="0" w:header="0"/>
        </w:sectPr>
      </w:pPr>
    </w:p>
    <w:bookmarkStart w:id="22" w:name="page23"/>
    <w:bookmarkEnd w:id="22"/>
    <w:p>
      <w:pPr>
        <w:jc w:val="both"/>
        <w:ind w:right="3119"/>
        <w:spacing w:after="0" w:line="238" w:lineRule="auto"/>
        <w:rPr>
          <w:sz w:val="20"/>
          <w:szCs w:val="20"/>
          <w:color w:val="auto"/>
        </w:rPr>
      </w:pPr>
      <w:r>
        <w:rPr>
          <w:rFonts w:ascii="Courier New" w:cs="Courier New" w:eastAsia="Courier New" w:hAnsi="Courier New"/>
          <w:sz w:val="15"/>
          <w:szCs w:val="15"/>
          <w:color w:val="auto"/>
        </w:rPr>
        <w:t>payable by us in future years are not presently estimable, and could be significant.</w:t>
      </w:r>
    </w:p>
    <w:p>
      <w:pPr>
        <w:spacing w:after="0" w:line="175"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By letter dated May 29, 2001, Broadband disputed the enforceability of the excess programming pass- 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34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November 18, 2002, we filed suit against Starz Encore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programming is acquired and transmitted by our cable systems. On January 8, 2003, Starz Encore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January 31, 2003, Starz Encore filed an amended complaint in its lawsuit against Broadband in Colorado state court. The amended complaint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177"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we are now bound by the master agreement to use CSG as our exclusive provider for certain billing and customer care services; (iii) tortious interference with prospective contractual relations; and (iv) civil conspiracy. A hearing in the arbitration is scheduled to commence on May 5, 2003.</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631" w:right="1440" w:bottom="969" w:gutter="0" w:footer="0" w:header="0"/>
        </w:sectPr>
      </w:pPr>
    </w:p>
    <w:bookmarkStart w:id="23" w:name="page24"/>
    <w:bookmarkEnd w:id="23"/>
    <w:p>
      <w:pPr>
        <w:jc w:val="both"/>
        <w:ind w:right="3119"/>
        <w:spacing w:after="0" w:line="239" w:lineRule="auto"/>
        <w:rPr>
          <w:sz w:val="20"/>
          <w:szCs w:val="20"/>
          <w:color w:val="auto"/>
        </w:rPr>
      </w:pPr>
      <w:r>
        <w:rPr>
          <w:rFonts w:ascii="Courier New" w:cs="Courier New" w:eastAsia="Courier New" w:hAnsi="Courier New"/>
          <w:sz w:val="15"/>
          <w:szCs w:val="15"/>
          <w:color w:val="auto"/>
        </w:rPr>
        <w:t>or stay the lawsuit on the ground that the issues raised by the complaint could be wholly or substantially determined by the above-mentioned arbitration. By Order dated February 10, 2003, the Court stayed the lawsuit until further notice.</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January 8, 2003, Liberty Digital, Inc. filed a complaint in Colorado state court against us and Comcast Cable Holdings, LLC (formerly AT&amp;T Broadband LLC and Tele-Communications, Inc.), our wholly 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79"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In management's opinion, the final disposition of the Starz Encore, CSG and Liberty Digital contractual disputes is not expected to have a material adverse effect on our consolidated financial position or results of operations. However, no assurance can be given that any adverse outcome would not be material to our consolidated financial position or results of operations.</w:t>
      </w:r>
    </w:p>
    <w:p>
      <w:pPr>
        <w:spacing w:after="0" w:line="162"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are subject to other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631" w:right="1440" w:bottom="1440" w:gutter="0" w:footer="0" w:header="0"/>
        </w:sectPr>
      </w:pPr>
    </w:p>
    <w:bookmarkStart w:id="24" w:name="page25"/>
    <w:bookmarkEnd w:id="24"/>
    <w:p>
      <w:pPr>
        <w:spacing w:after="0"/>
        <w:tabs>
          <w:tab w:leader="none" w:pos="112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4"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Except as explained below for our Chairman of the Board and our Chief Executive Officer, the current term of office of each of our officers expires at the first meeting of our Board of Directors following the next Annual Meeting of Shareholders, presently scheduled to be held in May 2003, or as soon thereafter as each of their successors is elected and qualified. The following table sets forth certain information concerning our executive officers, including their ages, positions and tenure as of December 31, 2002:</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Officer</w:t>
            </w:r>
          </w:p>
        </w:tc>
        <w:tc>
          <w:tcPr>
            <w:tcW w:w="528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Age</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Since</w:t>
            </w:r>
          </w:p>
        </w:tc>
        <w:tc>
          <w:tcPr>
            <w:tcW w:w="5280" w:type="dxa"/>
            <w:vAlign w:val="bottom"/>
          </w:tcPr>
          <w:p>
            <w:pPr>
              <w:ind w:left="1660"/>
              <w:spacing w:after="0"/>
              <w:rPr>
                <w:sz w:val="20"/>
                <w:szCs w:val="20"/>
                <w:color w:val="auto"/>
              </w:rPr>
            </w:pPr>
            <w:r>
              <w:rPr>
                <w:rFonts w:ascii="Courier New" w:cs="Courier New" w:eastAsia="Courier New" w:hAnsi="Courier New"/>
                <w:sz w:val="15"/>
                <w:szCs w:val="15"/>
                <w:color w:val="auto"/>
              </w:rPr>
              <w:t>Position with Comcast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528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1969</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Executive and Finance Committee of</w:t>
            </w:r>
          </w:p>
        </w:tc>
      </w:tr>
      <w:tr>
        <w:trPr>
          <w:trHeight w:val="171"/>
        </w:trPr>
        <w:tc>
          <w:tcPr>
            <w:tcW w:w="2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the Board of Directors;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C. Michael Armstrong</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64</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2002</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Directors;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1986</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Executive Officer;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69</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1969</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Vice Chairman; Director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54</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1990</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Co-Chief Financial Officer; Executive Vice President</w:t>
            </w:r>
          </w:p>
        </w:tc>
      </w:tr>
      <w:tr>
        <w:trPr>
          <w:trHeight w:val="171"/>
        </w:trPr>
        <w:tc>
          <w:tcPr>
            <w:tcW w:w="2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80" w:type="dxa"/>
            <w:vAlign w:val="bottom"/>
          </w:tcPr>
          <w:p>
            <w:pPr>
              <w:ind w:left="500"/>
              <w:spacing w:after="0"/>
              <w:rPr>
                <w:sz w:val="20"/>
                <w:szCs w:val="20"/>
                <w:color w:val="auto"/>
              </w:rPr>
            </w:pPr>
            <w:r>
              <w:rPr>
                <w:rFonts w:ascii="Courier New" w:cs="Courier New" w:eastAsia="Courier New" w:hAnsi="Courier New"/>
                <w:sz w:val="15"/>
                <w:szCs w:val="15"/>
                <w:color w:val="auto"/>
              </w:rPr>
              <w:t>and Treasurer</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Stephen B. Burke</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44</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1998</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David L. Cohen</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47</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2002</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55</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1988</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Co-Chief Financial Officer; Executive Vice President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Arthur R. Block</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48</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1993</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General Counsel; Secretary</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Lawrence J. Salva</w:t>
            </w: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46</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2000</w:t>
            </w:r>
          </w:p>
        </w:tc>
        <w:tc>
          <w:tcPr>
            <w:tcW w:w="52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and Controller</w:t>
            </w:r>
          </w:p>
        </w:tc>
      </w:tr>
    </w:tbl>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____________________</w:t>
      </w:r>
    </w:p>
    <w:p>
      <w:pPr>
        <w:spacing w:after="0" w:line="174"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Ralph J. Roberts has served as a director and as our Chairman of the Executive and Finance Committee of the Board of Directors since November 2002. Prior to November 2002, Mr. Roberts served as a director and Chairman of the Board of Directors of Comcast Holdings for more than five years. He is the father of Mr. Brian L. Roberts.</w:t>
      </w:r>
    </w:p>
    <w:p>
      <w:pPr>
        <w:spacing w:after="0" w:line="174" w:lineRule="exact"/>
        <w:rPr>
          <w:sz w:val="20"/>
          <w:szCs w:val="20"/>
          <w:color w:val="auto"/>
        </w:rPr>
      </w:pPr>
    </w:p>
    <w:p>
      <w:pPr>
        <w:jc w:val="both"/>
        <w:ind w:right="3620" w:firstLine="435"/>
        <w:spacing w:after="0" w:line="260" w:lineRule="auto"/>
        <w:tabs>
          <w:tab w:leader="none" w:pos="79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Armstrong has served as a director and as our Chairman of the Board of Directors since November 2002. Mr. Armstrong has notified us that as of May 7, 2003, the date of our 2003 annual shareholders meeting, he will exercise his election to become Non-Executive Chairman of the Board of Directors. Prior to November 2002, Mr. Armstrong served as Chairman and Chief Executive Officer of AT&amp;T since 1997. Mr. Armstrong was formerly the Chairman and Chief Executive Officer of Hughes Electronics, a publicly traded tracking stock of General Motors Corporation. Mr. Armstrong is also a director of Citigroup Inc.</w:t>
      </w:r>
    </w:p>
    <w:p>
      <w:pPr>
        <w:spacing w:after="0" w:line="161"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Brian L. Roberts has served as a director and as our President and Chief Executive Officer since November 2002. Upon Mr. Armstrong's election to become Non-Executive Chairman of the Board of Directors, Mr. Roberts will become our Chairman of the Board of Directors. Prior to November 2002, Mr. Roberts served as a director and President of Comcast Holdings for more than five years. As of December 31, 2002, Mr. Roberts has sole voting power over approximately 33 1/3% of the combined voting power of our two classes of voting common stock. He is a son of Mr. Ralph J. Roberts. Mr. Roberts is also a director of Comcast Holdings and The Bank of New York Company, Inc.</w:t>
      </w:r>
    </w:p>
    <w:p>
      <w:pPr>
        <w:spacing w:after="0" w:line="177" w:lineRule="exact"/>
        <w:rPr>
          <w:sz w:val="20"/>
          <w:szCs w:val="20"/>
          <w:color w:val="auto"/>
        </w:rPr>
      </w:pPr>
    </w:p>
    <w:p>
      <w:pPr>
        <w:jc w:val="both"/>
        <w:ind w:right="3620" w:firstLine="444"/>
        <w:spacing w:after="0" w:line="261" w:lineRule="auto"/>
        <w:rPr>
          <w:sz w:val="20"/>
          <w:szCs w:val="20"/>
          <w:color w:val="auto"/>
        </w:rPr>
      </w:pPr>
      <w:r>
        <w:rPr>
          <w:rFonts w:ascii="Courier New" w:cs="Courier New" w:eastAsia="Courier New" w:hAnsi="Courier New"/>
          <w:sz w:val="14"/>
          <w:szCs w:val="14"/>
          <w:color w:val="auto"/>
        </w:rPr>
        <w:t>Julian A. Brodsky has served as a director and as our Vice Chairman since November 2002. Prior to November 2002, he served as a director and Vice Chairman of Comcast Holdings for more than five years. Mr. Brodsky is also Chairman of Comcast Interactive Capital, LP, a venture fund that is consolidated in our financial statements. He is also a director of RBB Fund, Inc. and NDS Group plc.</w:t>
      </w:r>
    </w:p>
    <w:p>
      <w:pPr>
        <w:spacing w:after="0" w:line="162" w:lineRule="exact"/>
        <w:rPr>
          <w:sz w:val="20"/>
          <w:szCs w:val="20"/>
          <w:color w:val="auto"/>
        </w:rPr>
      </w:pPr>
    </w:p>
    <w:p>
      <w:pPr>
        <w:jc w:val="both"/>
        <w:ind w:right="3620" w:firstLine="444"/>
        <w:spacing w:after="0"/>
        <w:rPr>
          <w:sz w:val="20"/>
          <w:szCs w:val="20"/>
          <w:color w:val="auto"/>
        </w:rPr>
      </w:pPr>
      <w:r>
        <w:rPr>
          <w:rFonts w:ascii="Courier New" w:cs="Courier New" w:eastAsia="Courier New" w:hAnsi="Courier New"/>
          <w:sz w:val="15"/>
          <w:szCs w:val="15"/>
          <w:color w:val="auto"/>
        </w:rPr>
        <w:t>John R. Alchin has served as our Co-Chief Financial Officer, Executive Vice President and Treasurer since November 2002. Prior to November 2002, Mr. Alchin served as an Executive Vice President and Treasurer of Comcast Holdings since January 2000. Prior to January 2000, Mr. Alchin served as a Senior Vice President and Treasurer of Comcast Holdings for more than five years. Mr. Alchin is also a director of BNY Capital Markets, Inc.</w:t>
      </w:r>
    </w:p>
    <w:p>
      <w:pPr>
        <w:spacing w:after="0" w:line="175" w:lineRule="exact"/>
        <w:rPr>
          <w:sz w:val="20"/>
          <w:szCs w:val="20"/>
          <w:color w:val="auto"/>
        </w:rPr>
      </w:pPr>
    </w:p>
    <w:p>
      <w:pPr>
        <w:jc w:val="both"/>
        <w:ind w:right="3620" w:firstLine="444"/>
        <w:spacing w:after="0" w:line="260" w:lineRule="auto"/>
        <w:rPr>
          <w:sz w:val="20"/>
          <w:szCs w:val="20"/>
          <w:color w:val="auto"/>
        </w:rPr>
      </w:pPr>
      <w:r>
        <w:rPr>
          <w:rFonts w:ascii="Courier New" w:cs="Courier New" w:eastAsia="Courier New" w:hAnsi="Courier New"/>
          <w:sz w:val="14"/>
          <w:szCs w:val="14"/>
          <w:color w:val="auto"/>
        </w:rPr>
        <w:t>Stephen B. Burke has served as our Executive Vice President and President of Comcast Cable and Comcast Cable Communications Holdings since November 2002. Prior to November 2002, Mr. Burke served as an Executive Vice President of Comcast Holdings and President of Comcast Cable since January 2000. Mr. Burke joined Comcast Holdings in June 1998 as Senior Vice President and President of Comcast Cable. Prior to joining Comcast Holdings, Mr. Burke served with The Walt Disney Company as President of ABC Broadcasting from January 1996 to June 1998. Mr. Burke is also a director of Bank One Corporation.</w:t>
      </w:r>
    </w:p>
    <w:p>
      <w:pPr>
        <w:spacing w:after="0" w:line="161" w:lineRule="exact"/>
        <w:rPr>
          <w:sz w:val="20"/>
          <w:szCs w:val="20"/>
          <w:color w:val="auto"/>
        </w:rPr>
      </w:pPr>
    </w:p>
    <w:p>
      <w:pPr>
        <w:jc w:val="both"/>
        <w:ind w:right="3620" w:firstLine="444"/>
        <w:spacing w:after="0" w:line="238" w:lineRule="auto"/>
        <w:rPr>
          <w:sz w:val="20"/>
          <w:szCs w:val="20"/>
          <w:color w:val="auto"/>
        </w:rPr>
      </w:pPr>
      <w:r>
        <w:rPr>
          <w:rFonts w:ascii="Courier New" w:cs="Courier New" w:eastAsia="Courier New" w:hAnsi="Courier New"/>
          <w:sz w:val="15"/>
          <w:szCs w:val="15"/>
          <w:color w:val="auto"/>
        </w:rPr>
        <w:t>David L. Cohen has served as our Executive Vice President since November 2002. Mr. Cohen joined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720"/>
          </w:cols>
          <w:pgMar w:left="240" w:top="628" w:right="939" w:bottom="1440" w:gutter="0" w:footer="0" w:header="0"/>
        </w:sectPr>
      </w:pPr>
    </w:p>
    <w:bookmarkStart w:id="25" w:name="page26"/>
    <w:bookmarkEnd w:id="25"/>
    <w:p>
      <w:pPr>
        <w:ind w:left="9" w:right="3119"/>
        <w:spacing w:after="0" w:line="258" w:lineRule="auto"/>
        <w:rPr>
          <w:sz w:val="20"/>
          <w:szCs w:val="20"/>
          <w:color w:val="auto"/>
        </w:rPr>
      </w:pPr>
      <w:r>
        <w:rPr>
          <w:rFonts w:ascii="Courier New" w:cs="Courier New" w:eastAsia="Courier New" w:hAnsi="Courier New"/>
          <w:sz w:val="14"/>
          <w:szCs w:val="14"/>
          <w:color w:val="auto"/>
        </w:rPr>
        <w:t>Comcast Holdings in July 2002 as an Executive Vice President. Prior to that time, he was partner in, and Chairman of, the law firm of Ballard Spahr Andrews</w:t>
      </w:r>
    </w:p>
    <w:p>
      <w:pPr>
        <w:ind w:left="9" w:right="3119" w:hanging="9"/>
        <w:spacing w:after="0" w:line="238" w:lineRule="auto"/>
        <w:tabs>
          <w:tab w:leader="none" w:pos="2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Ingersoll, LLP for more than five years. Mr. Cohen is also a director of Comcast Holdings.</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Lawrence S. Smith has served as our Co-Chief Financial Officer and Executive Vice President since November 2002. Prior to November 2002, Mr. Smith served as an Executive Vice President of Comcast Holdings for more than five years. For more than five years prior to January 2000, Mr. Smith served as Principal Accounting Officer of Comcast Holdings. Mr. Smith is also a director of Comcast Holdings.</w:t>
      </w:r>
    </w:p>
    <w:p>
      <w:pPr>
        <w:spacing w:after="0" w:line="175" w:lineRule="exact"/>
        <w:rPr>
          <w:sz w:val="20"/>
          <w:szCs w:val="20"/>
          <w:color w:val="auto"/>
        </w:rPr>
      </w:pPr>
    </w:p>
    <w:p>
      <w:pPr>
        <w:jc w:val="both"/>
        <w:ind w:left="9" w:right="3119" w:firstLine="444"/>
        <w:spacing w:after="0" w:line="260" w:lineRule="auto"/>
        <w:rPr>
          <w:sz w:val="20"/>
          <w:szCs w:val="20"/>
          <w:color w:val="auto"/>
        </w:rPr>
      </w:pPr>
      <w:r>
        <w:rPr>
          <w:rFonts w:ascii="Courier New" w:cs="Courier New" w:eastAsia="Courier New" w:hAnsi="Courier New"/>
          <w:sz w:val="14"/>
          <w:szCs w:val="14"/>
          <w:color w:val="auto"/>
        </w:rPr>
        <w:t>Arthur R. Block has served as our Senior Vice President, General Counsel and Secretary since November 2002. Prior to November 2002, Mr. Block served as General Counsel of Comcast Holdings since June 2000 and as Senior Vice President of Comcast Holdings since January 2000. Prior to January 2000, Mr. Block served as Vice President and Senior Deputy General Counsel of Comcast Holdings for more than five years. Mr. Block is also a director of Comcast Holdings.</w:t>
      </w:r>
    </w:p>
    <w:p>
      <w:pPr>
        <w:spacing w:after="0" w:line="16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Lawrence J. Salva has served as our Senior Vice President and Controller since November 2002. Mr. Salva joined Comcast Holdings in January 2000 as Senior Vice President and Chief Accounting Officer. Prior to that time, Mr. Salva was a national accounting consulting partner in the public accounting firm of PricewaterhouseCoopers for more than five years.</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5 MARKET FOR THE REGISTRANT'S COMMON EQUITY AND RELATED STOCKHOLDER</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MATTERS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Our Class A common stock is included on Nasdaq under the symbol CMCSA and our Class A Special common stock is included on Nasdaq under the symbol CMCSK. There is no established public trading market for our Class B common stock. Our Class B common stock can be converted, on a share for share basis, into Class A or Class A Special common stock. The following table sets forth, for the indicated periods, the closing price range of our Class A and Class A Special common stock as furnished by Nasdaq.</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Class A</w:t>
            </w:r>
          </w:p>
        </w:tc>
      </w:tr>
      <w:tr>
        <w:trPr>
          <w:trHeight w:val="171"/>
        </w:trPr>
        <w:tc>
          <w:tcPr>
            <w:tcW w:w="4520" w:type="dxa"/>
            <w:vAlign w:val="bottom"/>
          </w:tcPr>
          <w:p>
            <w:pPr>
              <w:spacing w:after="0"/>
              <w:rPr>
                <w:sz w:val="14"/>
                <w:szCs w:val="14"/>
                <w:color w:val="auto"/>
              </w:rPr>
            </w:pPr>
          </w:p>
        </w:tc>
        <w:tc>
          <w:tcPr>
            <w:tcW w:w="26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Class A</w:t>
            </w:r>
          </w:p>
        </w:tc>
        <w:tc>
          <w:tcPr>
            <w:tcW w:w="27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Special</w:t>
            </w:r>
          </w:p>
        </w:tc>
      </w:tr>
      <w:tr>
        <w:trPr>
          <w:trHeight w:val="171"/>
        </w:trPr>
        <w:tc>
          <w:tcPr>
            <w:tcW w:w="452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520" w:type="dxa"/>
            <w:vAlign w:val="bottom"/>
          </w:tcPr>
          <w:p>
            <w:pPr>
              <w:spacing w:after="0"/>
              <w:rPr>
                <w:sz w:val="14"/>
                <w:szCs w:val="14"/>
                <w:color w:val="auto"/>
              </w:rPr>
            </w:pP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High</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Low</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High</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452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$45.25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$38.06</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$45.88</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$38.69</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44.75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38.88</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45.50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39.50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42.70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32.79</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43.30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32.51</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40.06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34.95</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40.18</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35.19</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$37.13</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$30.10</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$37.33</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$29.65</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33.67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23.35</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32.15</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22.33</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25.87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17.57</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25.12</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26.78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17.40</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26.24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16.93</w:t>
            </w:r>
          </w:p>
        </w:tc>
      </w:tr>
    </w:tbl>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____________________</w:t>
      </w:r>
    </w:p>
    <w:p>
      <w:pPr>
        <w:spacing w:after="0" w:line="174"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Our Board of Directors eliminated the quarterly cash dividend on all classes of our common stock in March 1999. We do not intend to pay dividends on our Class A, Class A Special or Class B common stock for the foreseeable future.</w:t>
      </w:r>
    </w:p>
    <w:p>
      <w:pPr>
        <w:spacing w:after="0" w:line="159"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Holders of our Class A common stock in the aggregate hold 66 2/3% of the aggregate voting power of our capital stock. The number of votes that each share of our Class A common stock will have at any given time will depend on the number of shares of Class A common stock and Class B common stock then outstanding. If you hold shares of our Class A Special common stock, you cannot vote in the election of directors or otherwise, except where class voting is required by law. In that case, if you hold Class A Special common stock, you will have the same number of votes per share as each share of Class A common stock. Our Class B common stock has a 33 1/3%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81"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As of December 31, 2002, there were 1,410,983 record holders of our Class A common stock, 4,981 record holders of our Class A Special common stock and three record holders of our Class B common stock.</w:t>
      </w:r>
    </w:p>
    <w:p>
      <w:pPr>
        <w:spacing w:after="0" w:line="200" w:lineRule="exact"/>
        <w:rPr>
          <w:sz w:val="20"/>
          <w:szCs w:val="20"/>
          <w:color w:val="auto"/>
        </w:rPr>
      </w:pPr>
    </w:p>
    <w:p>
      <w:pPr>
        <w:spacing w:after="0" w:line="31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28"/>
          </w:cols>
          <w:pgMar w:left="231" w:top="801" w:right="1440" w:bottom="628" w:gutter="0" w:footer="0" w:header="0"/>
        </w:sectPr>
      </w:pPr>
    </w:p>
    <w:bookmarkStart w:id="26" w:name="page27"/>
    <w:bookmarkEnd w:id="26"/>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24"/>
                <w:szCs w:val="24"/>
                <w:color w:val="auto"/>
              </w:rPr>
            </w:pPr>
          </w:p>
        </w:tc>
      </w:tr>
      <w:tr>
        <w:trPr>
          <w:trHeight w:val="171"/>
        </w:trPr>
        <w:tc>
          <w:tcPr>
            <w:tcW w:w="45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2002(1)</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520" w:type="dxa"/>
            <w:vAlign w:val="bottom"/>
          </w:tcPr>
          <w:p>
            <w:pPr>
              <w:spacing w:after="0"/>
              <w:rPr>
                <w:sz w:val="14"/>
                <w:szCs w:val="14"/>
                <w:color w:val="auto"/>
              </w:rPr>
            </w:pPr>
          </w:p>
        </w:tc>
        <w:tc>
          <w:tcPr>
            <w:tcW w:w="5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520" w:type="dxa"/>
            <w:vAlign w:val="bottom"/>
          </w:tcPr>
          <w:p>
            <w:pPr>
              <w:spacing w:after="0"/>
              <w:rPr>
                <w:sz w:val="14"/>
                <w:szCs w:val="14"/>
                <w:color w:val="auto"/>
              </w:rPr>
            </w:pPr>
          </w:p>
        </w:tc>
        <w:tc>
          <w:tcPr>
            <w:tcW w:w="5240" w:type="dxa"/>
            <w:vAlign w:val="bottom"/>
            <w:gridSpan w:val="5"/>
          </w:tcPr>
          <w:p>
            <w:pPr>
              <w:jc w:val="right"/>
              <w:ind w:right="546"/>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$9,836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$6,632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$5,513</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557</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Discontinued operations............................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Cumulative effect of accounting change.............</w:t>
            </w:r>
          </w:p>
        </w:tc>
        <w:tc>
          <w:tcPr>
            <w:tcW w:w="98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 (loss)..................................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(274)</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972</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per common share (2)</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 (loss) from continuing operations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before cumulative effect of accounting</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98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w:t>
            </w:r>
          </w:p>
        </w:tc>
      </w:tr>
      <w:tr>
        <w:trPr>
          <w:trHeight w:val="171"/>
        </w:trPr>
        <w:tc>
          <w:tcPr>
            <w:tcW w:w="4520" w:type="dxa"/>
            <w:vAlign w:val="bottom"/>
          </w:tcPr>
          <w:p>
            <w:pPr>
              <w:spacing w:after="0"/>
              <w:rPr>
                <w:sz w:val="14"/>
                <w:szCs w:val="14"/>
                <w:color w:val="auto"/>
              </w:rPr>
            </w:pPr>
          </w:p>
        </w:tc>
        <w:tc>
          <w:tcPr>
            <w:tcW w:w="422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w w:val="98"/>
              </w:rPr>
              <w:t>========== ============= ========== ==========</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stockholders per common share (2)</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 (loss) from continuing operations</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before cumulative effect of accounting</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 .......</w:t>
            </w:r>
          </w:p>
        </w:tc>
        <w:tc>
          <w:tcPr>
            <w:tcW w:w="98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w:t>
            </w:r>
          </w:p>
        </w:tc>
      </w:tr>
      <w:tr>
        <w:trPr>
          <w:trHeight w:val="171"/>
        </w:trPr>
        <w:tc>
          <w:tcPr>
            <w:tcW w:w="4520" w:type="dxa"/>
            <w:vAlign w:val="bottom"/>
          </w:tcPr>
          <w:p>
            <w:pPr>
              <w:spacing w:after="0"/>
              <w:rPr>
                <w:sz w:val="14"/>
                <w:szCs w:val="14"/>
                <w:color w:val="auto"/>
              </w:rPr>
            </w:pPr>
          </w:p>
        </w:tc>
        <w:tc>
          <w:tcPr>
            <w:tcW w:w="422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w w:val="98"/>
              </w:rPr>
              <w:t>========== ============= ========== ==========</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dividends declared per common share (2).......</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$.0467</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 (3):</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assets.......................................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$113,105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$38,261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$35,874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$28,823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$14,711</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Working capital....................................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(8,307)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4,786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2,505</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27,957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11,742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10,517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8,707</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5,464</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w w:val="98"/>
              </w:rPr>
              <w:t>Stockholders' equity...............................</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38,329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14,473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14,086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10,341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3,815</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amortization (4)..............................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$3,691</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$1,880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$1,496</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2,995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1,068</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(1,292)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1,341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809</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(1,272)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449" w:right="31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in Item 7 of this Annual Report for a discussion of events which affect the comparability of the information reflected in this financial data.</w:t>
      </w:r>
    </w:p>
    <w:p>
      <w:pPr>
        <w:spacing w:after="0" w:line="5"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for our two-for-one stock split in the form of a 100% stock dividend in May 1999.</w:t>
      </w:r>
    </w:p>
    <w:p>
      <w:pPr>
        <w:spacing w:after="0" w:line="4" w:lineRule="exact"/>
        <w:rPr>
          <w:rFonts w:ascii="Courier New" w:cs="Courier New" w:eastAsia="Courier New" w:hAnsi="Courier New"/>
          <w:sz w:val="15"/>
          <w:szCs w:val="15"/>
          <w:color w:val="auto"/>
        </w:rPr>
      </w:pPr>
    </w:p>
    <w:p>
      <w:pPr>
        <w:jc w:val="both"/>
        <w:ind w:left="449" w:right="3119" w:hanging="449"/>
        <w:spacing w:after="0" w:line="258" w:lineRule="auto"/>
        <w:tabs>
          <w:tab w:leader="none" w:pos="44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18, 2002, we completed the acquisition of Broadband. Our estimates associated with the accounting for the Broadband acquisition have and will continue to change as final reports from valuation specialists are obtained and additional information becomes available regarding assets acquired and liabilities assumed. Since the publication of our 2002 year end earnings release, the ongoing valuation and allocation process has resulted in inconsequential changes to the balance sheet, primarily affecting non-amortizable intangible assets and related deferred tax liabilities. Changes in the amounts assigned to other acquisition related assets and liabilities may affect operating results, or gains or losses upon the disposition of assets acquired, in future periods.</w:t>
      </w:r>
    </w:p>
    <w:p>
      <w:pPr>
        <w:spacing w:after="0" w:line="1" w:lineRule="exact"/>
        <w:rPr>
          <w:rFonts w:ascii="Courier New" w:cs="Courier New" w:eastAsia="Courier New" w:hAnsi="Courier New"/>
          <w:sz w:val="14"/>
          <w:szCs w:val="14"/>
          <w:color w:val="auto"/>
        </w:rPr>
      </w:pPr>
    </w:p>
    <w:p>
      <w:pPr>
        <w:jc w:val="both"/>
        <w:ind w:left="449" w:right="311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"EBITDA." EBITDA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EBITDA is frequently used as one of the bases for comparing businesses in our industries, although our measure of EBITDA may not be comparable to similarly titled measures of other companies. EBITDA is the primary basis used by our management to measure the operating performance of our businesses. EBITDA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10"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our consolidated statement of cash flows which is included in Item 8 of this Annual Report.</w:t>
      </w:r>
    </w:p>
    <w:p>
      <w:pPr>
        <w:sectPr>
          <w:pgSz w:w="11900" w:h="16838" w:orient="portrait"/>
          <w:cols w:equalWidth="0" w:num="1">
            <w:col w:w="10228"/>
          </w:cols>
          <w:pgMar w:left="231" w:top="628" w:right="1440" w:bottom="289" w:gutter="0" w:footer="0" w:header="0"/>
        </w:sectPr>
      </w:pPr>
    </w:p>
    <w:bookmarkStart w:id="27" w:name="page28"/>
    <w:bookmarkEnd w:id="27"/>
    <w:p>
      <w:pPr>
        <w:ind w:left="2080"/>
        <w:spacing w:after="0"/>
        <w:rPr>
          <w:sz w:val="20"/>
          <w:szCs w:val="20"/>
          <w:color w:val="auto"/>
        </w:rPr>
      </w:pPr>
      <w:r>
        <w:rPr>
          <w:rFonts w:ascii="Courier New" w:cs="Courier New" w:eastAsia="Courier New" w:hAnsi="Courier New"/>
          <w:sz w:val="14"/>
          <w:szCs w:val="14"/>
          <w:color w:val="auto"/>
        </w:rPr>
        <w:t>- 21 -</w:t>
      </w:r>
    </w:p>
    <w:p>
      <w:pPr>
        <w:sectPr>
          <w:pgSz w:w="11900" w:h="16838" w:orient="portrait"/>
          <w:cols w:equalWidth="0" w:num="1">
            <w:col w:w="9019"/>
          </w:cols>
          <w:pgMar w:left="1440" w:top="141" w:right="1440" w:bottom="1440" w:gutter="0" w:footer="0" w:header="0"/>
        </w:sectPr>
      </w:pPr>
    </w:p>
    <w:bookmarkStart w:id="28" w:name="page29"/>
    <w:bookmarkEnd w:id="28"/>
    <w:p>
      <w:pPr>
        <w:ind w:left="620" w:right="4019" w:hanging="620"/>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grown significantly in recent years through both strategic acquisitions and growth in our existing businesses. On November 18, 2002, we completed the acquisition of AT&amp;T Corp.'s broadband business (the "Broadband acquisition"). The Broadband acquisition substantially increased the size of our cable operations and caused significant changes in our capital structure, including a substantially higher amount of debt. As a result, direct comparisons of our results of operations and financial condition for periods prior to November 18, 2002 to subsequent periods are not meaningful.</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February 2003, we announced that we had entered into a definitive agreement with Bresnan Broadband Holdings, LLC and Bresnan Communications, LLC (together "Bresnan") pursuant to which we agreed to transfer to Bresnan cable systems serving approximately 317,000 subscribers in Montana, Wyoming, Colorado and Utah that we had acquired in connection with the Broadband acquisition. We reflect these systems as assets held for sale in our consolidated balance sheet and as discontinued operations in our consolidated statement of operations. Accordingly, we have excluded these systems' results in our discussions of liquidity and capital resources, statement of cash flows and results of operations for all periods presented.</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Refer to "General Developments of Our Business" in Part I and Note 5 to our financial statements included in Item 8 for a discussion of our acquisitions and other significant events.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and Subjective Estimates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following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that affect the reported amounts of assets, liabilities, revenues and expenses, and related disclosure of contingent assets and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Refer to Note 2 to our financial statements included in Item 8 for a discussion of our accounting policies with respect to these and other items.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Judgments and Estimates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believe our judgments and related estimates associated with the impairment testing and valuation of our cable franchise rights, and the valuation of acquisition related assets, liabilities and legal contingencies, to be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presented below.</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Impairment Testing and Valuation of Cable Franchise Rights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cable systems are constructed and operated under non-exclusive franchises granted by state or local governmental authorities for varying lengths of time. As of December 31, 2002, we served approximately 4,600 franchise areas in the United States. We have concluded that our cable franchise rights have an indefinite useful life since there are no legal, regulatory, contractual, competitive, economic or other factors limiting the period over which these rights will contribute to our cash flows. Accordingly, our cable franchise rights are not subject to amortization but are assessed periodically for impairment in accordance with Statement of Financial Accounting Standards ("SFAS") No. 142, "Goodwill and Other Intangible Assets."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acquired these franchise rights either directly from local franchise authorities or through many separate cable system acquisitions that include multiple franchise territories. Upon acquisition, we integrate the individual franchise territories into our national footprint. While our Cable Division is organized nationally into six geographic divisions, which are further organized into geographic clusters of cable systems, we operate our cable operations and their associated franchise rights as a single asset, essentially inseparable from one another.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631" w:right="1440" w:bottom="628" w:gutter="0" w:footer="0" w:header="0"/>
        </w:sectPr>
      </w:pPr>
    </w:p>
    <w:bookmarkStart w:id="29" w:name="page30"/>
    <w:bookmarkEnd w:id="29"/>
    <w:p>
      <w:pPr>
        <w:jc w:val="both"/>
        <w:ind w:right="3119"/>
        <w:spacing w:after="0"/>
        <w:rPr>
          <w:sz w:val="20"/>
          <w:szCs w:val="20"/>
          <w:color w:val="auto"/>
        </w:rPr>
      </w:pPr>
      <w:r>
        <w:rPr>
          <w:rFonts w:ascii="Courier New" w:cs="Courier New" w:eastAsia="Courier New" w:hAnsi="Courier New"/>
          <w:sz w:val="15"/>
          <w:szCs w:val="15"/>
          <w:color w:val="auto"/>
        </w:rPr>
        <w:t>We have concluded that the preponderance of indicators in Emerging Issues Task Force ("EITF") 02-7, "Unit of Accounting for Testing Impairment of Indefinite-Lived Intangible Assets," supports the testing of our cable franchise rights for impairment at the cable segment level, which is the same unit of accounting used by us to test cable-related goodwill for impairment.</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assess the recoverability of our cable franchise rights annually or more frequently whenever events or changes in circumstances indicate that the carrying amount may not be recoverable. We estimate the fair value of our cable franchise rights primarily based on a multiple of operating income before depreciation and amortization ("EBITDA") generated by the underlying assets. The EBITDA multiple used in our evaluation is determined based on our analyses of current market transactions, profitability information, including estimated future operating results, trends or other determinants of fair value. We also consider other valuation methods such as discounted cash flow analyses. If the value of our cable franchise rights determined by these evaluations is less than its carrying amount, an impairment charge would be recognized for the difference between the estimated fair value and the carrying value of the assets. Future adverse changes in market conditions or poor operating results of the related business may indicate an inability to recover the carrying value of the assets, thereby possibly requiring a future impairment charge.</w:t>
      </w:r>
    </w:p>
    <w:p>
      <w:pPr>
        <w:spacing w:after="0" w:line="163"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As more fully described in Note 5 to our financial statements included in Item 8 (see Acquisition of Broadband), the fair value of the shares issued for Broadband was based on the date the non-equity, or "other" consideration being paid was substantively changed from the terms of the original merger agreement. The fair value of the shares issued for Broadband based on the new measurement date was approximately one-half the fair value assigned to the shares as of the date of the original merger agreement. Accordingly, the effect of the modification was to reduce by approximately one-half (approximately $23 billion) the value assigned to the equity consideration issued in connection with the Broadband acquisition. As a significant portion of the purchase price was allocated to indefinite-lived cable franchise rights and to goodwill, the reduction in the fair value of the equity consideration reduces the likelihood of a future impairment charge related to our cable franchise rights or goodwill.</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carrying amount of cable franchise rights related to our historical cable systems is significantly less than their current estimated fair value largely because we acquired many of these rights directly from local franchise authorities rather than through separate cable system acquisitions. Conversely, the carrying amount of cable franchise rights for our more recent cable system acquisitions has not been significantly reduced through amortization (and has not been reduced at all for acquisitions made subsequent to the adoption of SFAS No. 142). Nevertheless, testing for impairment at the cable segment level reduces the likelihood of a future impairment charge related to our cable franchise rights.</w:t>
      </w:r>
    </w:p>
    <w:p>
      <w:pPr>
        <w:spacing w:after="0" w:line="178"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Fair Value of Acquisition Related Assets, Liabilities and Legal Contingencies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allocate the purchase price of acquired companies to the tangible and intangible assets acquired and liabilities assumed based on their estimated fair values. In determining fair value, management is required to make estimates and assumptions that affect the recorded amounts. To assist in this process, third party valuation specialists are engaged to value certain of these assets and liabilities.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Estimates used in valuing acquired assets and liabilities include but are not limited to: expected future cash flows; market rate assumptions for contractual obligations; actuarial assumptions for benefit plans; settlement plans for litigation and contingencies; and appropriate discount rates. Management's estimates of fair value are based upon assumptions believed to be reasonable, but which are inherently uncertain. In addition, estimated liabilities to exit activities of the acquired operations, including the exiting of contractual obligations and the termination of employees, are subject to change as management continues its assessment of operations and finalizes its integration plans.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assets and assumed liabilities related to the Broadband acquisition requiring significant judgment in estimating fair value include investments, cable franchise rights, franchise related customer relationships, assumed contractual and other obligations, and costs related to terminating certain of Broadband's contractual obligations and employees. In addition, we are party to certain Broadband legal contingencies, including those described in Item 3, Legal Proceedings. If, based on information available, a potential loss arising from these lawsuits, claims and actions was deemed probable and reasonably estimable, we recorded the estimated liability in the purchase price allocation. While management believes the recorded liabilities are adequate, additional information related to these cases is still being obtained. In addition, the inherent limitations in the estimation process may cause future actual losses to exceed expected losses.</w:t>
      </w:r>
    </w:p>
    <w:p>
      <w:pPr>
        <w:spacing w:after="0" w:line="180"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Our estimates associated with the accounting for the Broadband acquisition have and will continue to change as final reports from valuation specialists are obtained and additional information becomes available regarding</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631" w:right="1440" w:bottom="798" w:gutter="0" w:footer="0" w:header="0"/>
        </w:sectPr>
      </w:pPr>
    </w:p>
    <w:bookmarkStart w:id="30" w:name="page31"/>
    <w:bookmarkEnd w:id="30"/>
    <w:p>
      <w:pPr>
        <w:spacing w:after="0" w:line="31"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assets acquired and liabilities assumed. Since the publication of our 2002 year end earnings release, the ongoing valuation and allocation process has resulted in inconsequential changes to the balance sheet, primarily affecting non-amortizable intangible assets and related deferred tax liabilities. Changes in the amounts assigned to other acquisition related assets and liabilities may affect operating results, or gains or losses upon the disposition of assets acquired, in future periods.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cable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Available sources of financing to fund these requirements include:</w:t>
      </w:r>
    </w:p>
    <w:p>
      <w:pPr>
        <w:spacing w:after="0" w:line="174" w:lineRule="exact"/>
        <w:rPr>
          <w:sz w:val="20"/>
          <w:szCs w:val="20"/>
          <w:color w:val="auto"/>
        </w:rPr>
      </w:pPr>
    </w:p>
    <w:p>
      <w:pPr>
        <w:ind w:left="1060" w:right="3119" w:hanging="537"/>
        <w:spacing w:after="0" w:line="23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existing cash and cash equivalents, which totaled $781 million as of December 31, 2002,</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available under our and our subsidiaries' lines of credit, which totaled $5.949 billion as of December 31, 2002,</w:t>
      </w:r>
    </w:p>
    <w:p>
      <w:pPr>
        <w:spacing w:after="0" w:line="174" w:lineRule="exact"/>
        <w:rPr>
          <w:rFonts w:ascii="Courier New" w:cs="Courier New" w:eastAsia="Courier New" w:hAnsi="Courier New"/>
          <w:sz w:val="15"/>
          <w:szCs w:val="15"/>
          <w:color w:val="auto"/>
        </w:rPr>
      </w:pPr>
    </w:p>
    <w:p>
      <w:pPr>
        <w:jc w:val="both"/>
        <w:ind w:left="1060" w:right="3119" w:hanging="537"/>
        <w:spacing w:after="0" w:line="239"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of approximately $525 million from the sale of cable systems to Bresnan Broadband Holdings, LLC and Bresnan Communications, LLC, a transaction we expect will close by the end of the first quarter of 2003,</w:t>
      </w:r>
    </w:p>
    <w:p>
      <w:pPr>
        <w:spacing w:after="0" w:line="176" w:lineRule="exact"/>
        <w:rPr>
          <w:rFonts w:ascii="Courier New" w:cs="Courier New" w:eastAsia="Courier New" w:hAnsi="Courier New"/>
          <w:sz w:val="15"/>
          <w:szCs w:val="15"/>
          <w:color w:val="auto"/>
        </w:rPr>
      </w:pPr>
    </w:p>
    <w:p>
      <w:pPr>
        <w:jc w:val="both"/>
        <w:ind w:left="1060" w:right="3119" w:hanging="537"/>
        <w:spacing w:after="0" w:line="239"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of approximately $725 million from the sale of our interest in a cable joint venture with Charter Communications, Inc., a transaction we expect to close in April 2003, and</w:t>
      </w:r>
    </w:p>
    <w:p>
      <w:pPr>
        <w:spacing w:after="0" w:line="175" w:lineRule="exact"/>
        <w:rPr>
          <w:rFonts w:ascii="Courier New" w:cs="Courier New" w:eastAsia="Courier New" w:hAnsi="Courier New"/>
          <w:sz w:val="15"/>
          <w:szCs w:val="15"/>
          <w:color w:val="auto"/>
        </w:rPr>
      </w:pPr>
    </w:p>
    <w:p>
      <w:pPr>
        <w:jc w:val="both"/>
        <w:ind w:left="1060" w:right="3119" w:hanging="537"/>
        <w:spacing w:after="0" w:line="239"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sales or restructurings of our other investments, including $2.1 billion of cash due upon the restructuring of Time Warner Entertainment L.P. ("TWE").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addition, as more fully described in Note 5 to our financial statements included in Item 8 (see TWE Restructuring), upon closing of the TWE restructuring agreement, we will receive $1.5 billion in common stock of AOL Time Warner and an approximate 21% equity interest in Time Warner Cable, Inc.</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Refer to the Contractual Obligations table on page 29 and to Note 13 to our financial statements included in Item 8 for a discussion of our commitments and contingencies.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We have traditionally maintained significant levels of cash and cash equivalents to meet our short-term liquidity requirements. Our cash equivalents are recorded at fair value. Cash and cash equivalents as of December 31, 2002 were $781 million, substantially all of which is unrestricted.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A significant portion of our investments are in publicly traded companies and are reflected at fair value, which fluctuates with market changes.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Refer to Note 6 to our financial statements included in Item 8 for a discussion of our investments.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2003, we expect to incur approximately $4.2 billion of capital expenditures in our cable, commerce and content businesses, including approximately $4 billion for our cable operations.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anticipate capital expenditures for years subsequent to 2003 will continue to be significant. As of December 31, 2002, we do not have any significant contractual obligations for capital expenditures.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expect our 2003 cable capital expenditures will include approximately $1.3 billion for the upgrading and rebuilding of certain of our cable systems, approximately</w:t>
      </w:r>
    </w:p>
    <w:p>
      <w:pPr>
        <w:sectPr>
          <w:pgSz w:w="11900" w:h="16869" w:orient="portrait"/>
          <w:cols w:equalWidth="0" w:num="1">
            <w:col w:w="10219"/>
          </w:cols>
          <w:pgMar w:left="240" w:top="631" w:right="1440" w:bottom="0" w:gutter="0" w:footer="0" w:header="0"/>
        </w:sectPr>
      </w:pPr>
    </w:p>
    <w:bookmarkStart w:id="31" w:name="page32"/>
    <w:bookmarkEnd w:id="31"/>
    <w:p>
      <w:pPr>
        <w:ind w:left="208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9019"/>
          </w:cols>
          <w:pgMar w:left="1440" w:top="312" w:right="1440" w:bottom="1440" w:gutter="0" w:footer="0" w:header="0"/>
        </w:sectPr>
      </w:pPr>
    </w:p>
    <w:bookmarkStart w:id="32" w:name="page33"/>
    <w:bookmarkEnd w:id="32"/>
    <w:p>
      <w:pPr>
        <w:jc w:val="both"/>
        <w:ind w:right="3119"/>
        <w:spacing w:after="0" w:line="239" w:lineRule="auto"/>
        <w:rPr>
          <w:sz w:val="20"/>
          <w:szCs w:val="20"/>
          <w:color w:val="auto"/>
        </w:rPr>
      </w:pPr>
      <w:r>
        <w:rPr>
          <w:rFonts w:ascii="Courier New" w:cs="Courier New" w:eastAsia="Courier New" w:hAnsi="Courier New"/>
          <w:sz w:val="15"/>
          <w:szCs w:val="15"/>
          <w:color w:val="auto"/>
        </w:rPr>
        <w:t>$1.8 billion for the deployment of cable modems, digital converters and new service offerings, and approximately $0.9 billion for recurring capital projects.</w:t>
      </w:r>
    </w:p>
    <w:p>
      <w:pPr>
        <w:spacing w:after="0" w:line="175"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We expect to substantially complete the upgrade and rebuild of the newly acquired systems by the end of 2004 for a total cost of $2.2 billion to $2.5 billion. The amount of our capital expenditures for years subsequent to 2003 will depend on numerous factors, some of which are beyond our control including:</w:t>
      </w:r>
    </w:p>
    <w:p>
      <w:pPr>
        <w:spacing w:after="0" w:line="158" w:lineRule="exact"/>
        <w:rPr>
          <w:sz w:val="20"/>
          <w:szCs w:val="20"/>
          <w:color w:val="auto"/>
        </w:rPr>
      </w:pPr>
    </w:p>
    <w:p>
      <w:pPr>
        <w:ind w:left="1060" w:hanging="537"/>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 and</w:t>
      </w:r>
    </w:p>
    <w:p>
      <w:pPr>
        <w:spacing w:after="0" w:line="174" w:lineRule="exact"/>
        <w:rPr>
          <w:rFonts w:ascii="Courier New" w:cs="Courier New" w:eastAsia="Courier New" w:hAnsi="Courier New"/>
          <w:sz w:val="15"/>
          <w:szCs w:val="15"/>
          <w:color w:val="auto"/>
        </w:rPr>
      </w:pPr>
    </w:p>
    <w:p>
      <w:pPr>
        <w:ind w:left="440" w:right="4719" w:firstLine="83"/>
        <w:spacing w:after="0" w:line="478" w:lineRule="auto"/>
        <w:tabs>
          <w:tab w:leader="none" w:pos="10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rate of deployment of new services. Commerce</w:t>
      </w:r>
    </w:p>
    <w:p>
      <w:pPr>
        <w:spacing w:after="0" w:line="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2003, we expect to incur approximately $125 million of capital expenditures for QVC, primarily to maintain QVC's distribution facilities and information systems. Capital expenditures in QVC's international operations represent nearly 40% of QVC's total capital expenditures.</w:t>
      </w:r>
    </w:p>
    <w:p>
      <w:pPr>
        <w:spacing w:after="0" w:line="17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On March 3, 2003, we announced that Liberty Media Corporation delivered a notice to us, pursuant to the stockholders agreement between us and Liberty, that triggers an exit rights process with respect to Liberty's approximate 42% interest in QVC. We and Liberty will attempt to negotiate the fair market value of QVC prior to March 31, 2003. If we and Liberty cannot agree, an appraisal process will determine the value of QVC. We will then have the right to purchase Liberty's interest in QVC at the determined value. We may pay Liberty for the QVC stock in cash, in a promissory note maturing not more than three years after issuance, in our equity securities or in a combination of these, subject to Liberty's right to request payment in all equity securities and the parties' obligation to use reasonable efforts to consummate the purchase in the most tax efficient method available (provided that we are not required to issue securities representing more than 4.9% of the outstanding equity or vote of our common stock). If we elect not to purchase Liberty's interest in QVC, Liberty then will have a similar right to purchase our approximate 57% interest in QVC. If neither we nor Liberty elect to purchase the interest of the other, then we and Liberty are required to use our best efforts to sell QVC; either company is permitted to be a purchaser in any such sale. We and Liberty may agree not to enter into a transaction, or may agree to a transaction other than that specified in the stockholders agreement. Under the current terms of the stockholders agreement between us and Liberty, we would no longer control QVC if we elect not to purchase Liberty's interest in QVC.</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Affiliation Agreements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Certain of our content subsidiaries and QVC enter into multi-year affiliation agreements with various cable and satellite system operators for carriage of their respective programming. In connection with these affiliation agreements, we generally pay a fee to the cable or satellite operator based upon the number of subscribers. During 2003, we expect to incur $150 million to $200 million related to these affiliation agreements, excluding amounts applicable to our cable systems.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2002 and 2001, our debt, including capital lease obligations, was $34.910 billion and $12.202 billion, respectively. The $22.708 billion increase from December 31, 2001 to December 31, 2002 results from the effects of the Broadband acquisition, offset by the effects of net debt repayments. Included in our debt as of December 31, 2002 was short-term debt and current portion of long-term debt of $6.953 billion.</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January and March 2003, we sold an aggregate of $3.0 billion of public debt consisting of $600 million of 5.85% senior notes due 2010, $900 million of 6.50% senior notes due 2015, $750 million of 5.50% senior notes due 2011 and $750 million of 7.05% senior notes due 2033. We used all of the net proceeds from the offerings to repay a portion of our short-term debt.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a result of the Broadband acquisition, we assumed notes exchangeable into the common stock of Cablevision NY Group Class A common stock, Microsoft Corporation ("Microsoft") common stock, Vodafone ADRs, and Comcast Class A Special common stock (together, the "Exchangeable Notes"). At maturity the Exchangeable Notes are mandatorily redeemable at our option into (i) a number of shares of common stock or ADRs equal to the underlying shares multiplied by an exchange ratio (as defined), or (ii) its cash equivalent. The maturity value of the Exchangeable Notes varies based upon the fair market value of the security to which it is indexed. The Exchangeable Notes are collateralized by our investments in Cablevision, Microsoft and Vodafone, respectively, and our Class A Special common stock held in treasury.</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2002, our debt includes an aggregate of $5.459 billion of Exchangeable Notes, including $1.555 billion and $3.904 billion within current portion of long-term debt and long-term debt, respectively. As of December 31, 2002, our investments include Cablevision, Microsoft and Vodafone securities with an aggregate fair value of $4.420 billion, including $1.993 billion and $2.427 billion within short-term and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19"/>
          </w:cols>
          <w:pgMar w:left="240" w:top="631" w:right="1440" w:bottom="457" w:gutter="0" w:footer="0" w:header="0"/>
        </w:sectPr>
      </w:pPr>
    </w:p>
    <w:bookmarkStart w:id="33" w:name="page34"/>
    <w:bookmarkEnd w:id="33"/>
    <w:p>
      <w:pPr>
        <w:jc w:val="both"/>
        <w:ind w:right="3360"/>
        <w:spacing w:after="0" w:line="261" w:lineRule="auto"/>
        <w:rPr>
          <w:sz w:val="20"/>
          <w:szCs w:val="20"/>
          <w:color w:val="auto"/>
        </w:rPr>
      </w:pPr>
      <w:r>
        <w:rPr>
          <w:rFonts w:ascii="Courier New" w:cs="Courier New" w:eastAsia="Courier New" w:hAnsi="Courier New"/>
          <w:sz w:val="14"/>
          <w:szCs w:val="14"/>
          <w:color w:val="auto"/>
        </w:rPr>
        <w:t>noncurrent investments, respectively. Upon closing of the Broadband acquisition, we classified the Comcast shares, which are held by a subsidiary of ours, as treasury stock within stockholders' equity. As of December 31, 2002, the securities held by us collateralizing the Exchangeable Notes were sufficient to satisfy the debt obligations associated with the outstanding Exchangeable Notes.</w:t>
      </w:r>
    </w:p>
    <w:p>
      <w:pPr>
        <w:spacing w:after="0" w:line="162" w:lineRule="exact"/>
        <w:rPr>
          <w:sz w:val="20"/>
          <w:szCs w:val="20"/>
          <w:color w:val="auto"/>
        </w:rPr>
      </w:pPr>
    </w:p>
    <w:p>
      <w:pPr>
        <w:jc w:val="both"/>
        <w:ind w:right="3360" w:firstLine="444"/>
        <w:spacing w:after="0"/>
        <w:rPr>
          <w:sz w:val="20"/>
          <w:szCs w:val="20"/>
          <w:color w:val="auto"/>
        </w:rPr>
      </w:pPr>
      <w:r>
        <w:rPr>
          <w:rFonts w:ascii="Courier New" w:cs="Courier New" w:eastAsia="Courier New" w:hAnsi="Courier New"/>
          <w:sz w:val="15"/>
          <w:szCs w:val="15"/>
          <w:color w:val="auto"/>
        </w:rPr>
        <w:t>Excluding the effects of interest rate risk management instruments, 31.8% and 13.4% of our long- term debt, including short-term debt and current portion, as of December 31, 2002 and 2001, respectively, was at variable rates. The increase from December 31, 2001 to December 31, 2002 in the percentage of our variable rate debt was due principally to the effects of the Broadband acquisition.</w:t>
      </w:r>
    </w:p>
    <w:p>
      <w:pPr>
        <w:spacing w:after="0" w:line="175" w:lineRule="exact"/>
        <w:rPr>
          <w:sz w:val="20"/>
          <w:szCs w:val="20"/>
          <w:color w:val="auto"/>
        </w:rPr>
      </w:pPr>
    </w:p>
    <w:p>
      <w:pPr>
        <w:jc w:val="both"/>
        <w:ind w:right="3360" w:firstLine="444"/>
        <w:spacing w:after="0" w:line="239" w:lineRule="auto"/>
        <w:rPr>
          <w:sz w:val="20"/>
          <w:szCs w:val="20"/>
          <w:color w:val="auto"/>
        </w:rPr>
      </w:pPr>
      <w:r>
        <w:rPr>
          <w:rFonts w:ascii="Courier New" w:cs="Courier New" w:eastAsia="Courier New" w:hAnsi="Courier New"/>
          <w:sz w:val="15"/>
          <w:szCs w:val="15"/>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76" w:lineRule="exact"/>
        <w:rPr>
          <w:sz w:val="20"/>
          <w:szCs w:val="20"/>
          <w:color w:val="auto"/>
        </w:rPr>
      </w:pPr>
    </w:p>
    <w:p>
      <w:pPr>
        <w:jc w:val="both"/>
        <w:ind w:right="3360" w:firstLine="444"/>
        <w:spacing w:after="0" w:line="238" w:lineRule="auto"/>
        <w:rPr>
          <w:sz w:val="20"/>
          <w:szCs w:val="20"/>
          <w:color w:val="auto"/>
        </w:rPr>
      </w:pPr>
      <w:r>
        <w:rPr>
          <w:rFonts w:ascii="Courier New" w:cs="Courier New" w:eastAsia="Courier New" w:hAnsi="Courier New"/>
          <w:sz w:val="15"/>
          <w:szCs w:val="15"/>
          <w:color w:val="auto"/>
        </w:rPr>
        <w:t>Refer to Notes 8 and 10 to our financial statements included in Item 8 for a discussion of our financing activities.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174" w:lineRule="exact"/>
        <w:rPr>
          <w:sz w:val="20"/>
          <w:szCs w:val="20"/>
          <w:color w:val="auto"/>
        </w:rPr>
      </w:pPr>
    </w:p>
    <w:p>
      <w:pPr>
        <w:jc w:val="both"/>
        <w:ind w:right="3360" w:firstLine="444"/>
        <w:spacing w:after="0"/>
        <w:rPr>
          <w:sz w:val="20"/>
          <w:szCs w:val="20"/>
          <w:color w:val="auto"/>
        </w:rPr>
      </w:pPr>
      <w:r>
        <w:rPr>
          <w:rFonts w:ascii="Courier New" w:cs="Courier New" w:eastAsia="Courier New" w:hAnsi="Courier New"/>
          <w:sz w:val="15"/>
          <w:szCs w:val="15"/>
          <w:color w:val="auto"/>
        </w:rPr>
        <w:t>We are exposed to the market risk of adverse changes in interest rates. We maintain a mix of fixed and variable rate debt and enter into various derivative transactions pursuant to our policies to manage the volatility relating to these exposures. We monitor our interest rate risk exposures using techniques including market value and sensitivity analyses. We do not hold or issue any derivative financial instruments for trading purposes and are not a party to leveraged instruments.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79" w:lineRule="exact"/>
        <w:rPr>
          <w:sz w:val="20"/>
          <w:szCs w:val="20"/>
          <w:color w:val="auto"/>
        </w:rPr>
      </w:pPr>
    </w:p>
    <w:p>
      <w:pPr>
        <w:jc w:val="both"/>
        <w:ind w:right="3360" w:firstLine="444"/>
        <w:spacing w:after="0"/>
        <w:rPr>
          <w:sz w:val="20"/>
          <w:szCs w:val="20"/>
          <w:color w:val="auto"/>
        </w:rPr>
      </w:pPr>
      <w:r>
        <w:rPr>
          <w:rFonts w:ascii="Courier New" w:cs="Courier New" w:eastAsia="Courier New" w:hAnsi="Courier New"/>
          <w:sz w:val="15"/>
          <w:szCs w:val="15"/>
          <w:color w:val="auto"/>
        </w:rPr>
        <w:t>We use interest rate exchange agreements ("Swaps") to exchange, at specified intervals, the difference between fixed and variable interest amounts calculated by reference to an agreed-upon notional principal amount. We use interest rate lock agreements ("Rate Locks") to hedge the risk that cash flows related to the interest payments on an anticipated issuance or assumption of fixed rate debt may be adversely affected by interest rate fluctuations. We use interest rate cap agreements ("Caps") to lock in a maximum interest rate should variable rates rise, but enable us to otherwise pay lower market rates. We use interest rate collar agreements ("Collars") to limit our exposure to and benefits from interest rate fluctuations on variable rate debt to within a certain range of rates.</w:t>
      </w:r>
    </w:p>
    <w:p>
      <w:pPr>
        <w:spacing w:after="0" w:line="179" w:lineRule="exact"/>
        <w:rPr>
          <w:sz w:val="20"/>
          <w:szCs w:val="20"/>
          <w:color w:val="auto"/>
        </w:rPr>
      </w:pPr>
    </w:p>
    <w:p>
      <w:pPr>
        <w:jc w:val="both"/>
        <w:ind w:right="3360" w:firstLine="444"/>
        <w:spacing w:after="0" w:line="239"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us as of December 31, 2002 (dollars 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Fair</w:t>
            </w:r>
          </w:p>
        </w:tc>
      </w:tr>
      <w:tr>
        <w:trPr>
          <w:trHeight w:val="171"/>
        </w:trPr>
        <w:tc>
          <w:tcPr>
            <w:tcW w:w="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Value at</w:t>
            </w:r>
          </w:p>
        </w:tc>
      </w:tr>
      <w:tr>
        <w:trPr>
          <w:trHeight w:val="171"/>
        </w:trPr>
        <w:tc>
          <w:tcPr>
            <w:tcW w:w="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Thereafter</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12/31/02</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Fixed Rate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$2,162</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$1,789</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$14,363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$25,719</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Rate............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w:t>
            </w:r>
          </w:p>
        </w:tc>
        <w:tc>
          <w:tcPr>
            <w:tcW w:w="980" w:type="dxa"/>
            <w:vAlign w:val="bottom"/>
          </w:tcPr>
          <w:p>
            <w:pPr>
              <w:spacing w:after="0"/>
              <w:rPr>
                <w:sz w:val="14"/>
                <w:szCs w:val="14"/>
                <w:color w:val="auto"/>
              </w:rPr>
            </w:pP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$4,791</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$11,108</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Rate............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spacing w:after="0"/>
              <w:rPr>
                <w:sz w:val="14"/>
                <w:szCs w:val="14"/>
                <w:color w:val="auto"/>
              </w:rPr>
            </w:pP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 Instruments</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Variable to Fixed Swaps.............</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$608</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$488</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 Rate.................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Receive Rate.............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Fixed to Variable Swaps.............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 Rate.................</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980" w:type="dxa"/>
            <w:vAlign w:val="bottom"/>
          </w:tcPr>
          <w:p>
            <w:pPr>
              <w:spacing w:after="0"/>
              <w:rPr>
                <w:sz w:val="14"/>
                <w:szCs w:val="14"/>
                <w:color w:val="auto"/>
              </w:rPr>
            </w:pPr>
          </w:p>
        </w:tc>
      </w:tr>
      <w:tr>
        <w:trPr>
          <w:trHeight w:val="171"/>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Receive Rate.............</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w:t>
            </w:r>
          </w:p>
        </w:tc>
        <w:tc>
          <w:tcPr>
            <w:tcW w:w="980" w:type="dxa"/>
            <w:vAlign w:val="bottom"/>
          </w:tcPr>
          <w:p>
            <w:pPr>
              <w:spacing w:after="0"/>
              <w:rPr>
                <w:sz w:val="14"/>
                <w:szCs w:val="14"/>
                <w:color w:val="auto"/>
              </w:rPr>
            </w:pPr>
          </w:p>
        </w:tc>
      </w:tr>
    </w:tbl>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360" w:firstLine="444"/>
        <w:spacing w:after="0"/>
        <w:rPr>
          <w:sz w:val="20"/>
          <w:szCs w:val="20"/>
          <w:color w:val="auto"/>
        </w:rPr>
      </w:pPr>
      <w:r>
        <w:rPr>
          <w:rFonts w:ascii="Courier New" w:cs="Courier New" w:eastAsia="Courier New" w:hAnsi="Courier New"/>
          <w:sz w:val="15"/>
          <w:szCs w:val="15"/>
          <w:color w:val="auto"/>
        </w:rPr>
        <w:t>The notional amounts of interest rate instruments, as presented in the table above, are used to measure interest to be paid or received and do not represent the amount of exposure to credit loss. The estimated fair value approximates the proceeds to settle the outstanding contracts. We estimate interest rates on variable debt using the average implied forward London Interbank Offer Rate ("LIBOR") rates for the year of maturity based on the yield curve in effect at December 31, 2002, plus the borrowing margin in effect for each credit facility at</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460"/>
          </w:cols>
          <w:pgMar w:left="240" w:top="631" w:right="1199" w:bottom="969" w:gutter="0" w:footer="0" w:header="0"/>
        </w:sectPr>
      </w:pPr>
    </w:p>
    <w:bookmarkStart w:id="34" w:name="page35"/>
    <w:bookmarkEnd w:id="34"/>
    <w:p>
      <w:pPr>
        <w:spacing w:after="0" w:line="32"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December 31, 2002. We estimate average receive rates on the Variable to Fixed Swaps using the average implied forward LIBOR rates for the year of maturity based on the yield curve in effect at December 31, 2002. While Swaps, Rate Locks, Caps and Collars represent an integral part of our interest rate risk management program, their incremental effect on interest expense for the years ended December 31, 2002, 2001 and 2000 was not significant.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Equity Price Risk Management</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the common stock of certain of our investments accounted for as trading securities. Refer to Note 6 to our financial statements included in Item 8 for a discussion of our Prepaid Forward Sales.</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change in the fair value of our investments accounted for as trading securities was substantially offset by the changes in the fair value of the Equity Collars, the derivative components of the ZONES, the Exchangeable Notes and the Prepaid Forward Sales. See "Results of Operations - Investment Income (Expense)" below.</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Accumulated Other Comprehensive Income (Loss)</w:t>
      </w:r>
    </w:p>
    <w:p>
      <w:pPr>
        <w:spacing w:after="0" w:line="174" w:lineRule="exact"/>
        <w:rPr>
          <w:sz w:val="20"/>
          <w:szCs w:val="20"/>
          <w:color w:val="auto"/>
        </w:rPr>
      </w:pPr>
    </w:p>
    <w:p>
      <w:pPr>
        <w:jc w:val="both"/>
        <w:ind w:left="9" w:right="3119" w:firstLine="444"/>
        <w:spacing w:after="0" w:line="260" w:lineRule="auto"/>
        <w:rPr>
          <w:sz w:val="20"/>
          <w:szCs w:val="20"/>
          <w:color w:val="auto"/>
        </w:rPr>
      </w:pPr>
      <w:r>
        <w:rPr>
          <w:rFonts w:ascii="Courier New" w:cs="Courier New" w:eastAsia="Courier New" w:hAnsi="Courier New"/>
          <w:sz w:val="14"/>
          <w:szCs w:val="14"/>
          <w:color w:val="auto"/>
        </w:rPr>
        <w:t>The change in accumulated other comprehensive income (loss) from December 31, 2001 to December 31, 2002 is principally attributable to unrealized losses on our Rate Locks classified as cash flow hedges entered into in 2002, to declines in unrealized gains on our investments classified as available for sale held throughout the period, and to realized losses on sales of investments and investment impairment losses on investments classified as available for sale during 2002. Refer to Notes 6 and 8 to our financial statements in Item 8.</w:t>
      </w:r>
    </w:p>
    <w:p>
      <w:pPr>
        <w:spacing w:after="0" w:line="160"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Off-Balance Sheet Arrangements and Aggregate Contractual Obligations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In January 2003, the Securities and Exchange Commission ("SEC") issued final rules which require the disclosure of material off-balance sheet arrangements and known contractual obligations as of the most recent balance sheet date. The new rules are effective with our 2003 Annual Report. The disclosures below are based on the requirements of the new rules.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We do not have any off-balance sheet arrangements that are reasonably likely to have a current or future effect on our financial condition, results of operations, liquidity, capital expenditures or capital resources, as defined under the new rules. Refer to Notes 8 and 13 to our financial statements included in Item 8 of this Annual Report for a description of our obligations related to guarantees, operating leases and other commitments.</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We have summarized our known contractual obligations as of December 31, 2002, and the effect such obligations are expected to have on our liquidity and cash flow in future periods, in a tabular format prescribed by the new SEC rules. Refer to Note 8 to our financial statements included in Item 8 for a description of our long-term debt. Refer to Note 13 to our financial statements included in Item 8 for a description of our operating lease and purchase obligations. Refer to Note 5 to our financial statements included in Item 8 for a description of our acquisition related obligations.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Contractual Obligations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Payments Due by Period</w:t>
            </w:r>
          </w:p>
        </w:tc>
        <w:tc>
          <w:tcPr>
            <w:tcW w:w="102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More</w:t>
            </w:r>
          </w:p>
        </w:tc>
      </w:t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than 5</w:t>
            </w:r>
          </w:p>
        </w:tc>
      </w:tr>
      <w:tr>
        <w:trPr>
          <w:trHeight w:val="171"/>
        </w:trPr>
        <w:tc>
          <w:tcPr>
            <w:tcW w:w="430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Year 1</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2 - 3</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4 - 5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43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(dollars in millions)</w:t>
            </w:r>
          </w:p>
        </w:tc>
        <w:tc>
          <w:tcPr>
            <w:tcW w:w="1020" w:type="dxa"/>
            <w:vAlign w:val="bottom"/>
          </w:tcPr>
          <w:p>
            <w:pPr>
              <w:spacing w:after="0"/>
              <w:rPr>
                <w:sz w:val="14"/>
                <w:szCs w:val="14"/>
                <w:color w:val="auto"/>
              </w:rPr>
            </w:pPr>
          </w:p>
        </w:tc>
      </w:tr>
      <w:tr>
        <w:trPr>
          <w:trHeight w:val="512"/>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Debt obligations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$34,678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$6,936</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$10,474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$14,345</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Operating lease obligations.....................</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Purchase obligations (1)........................</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long-term liabilities reflected</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on the balance sheet</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w w:val="99"/>
              </w:rPr>
              <w:t>Acquisition related obligations (2)........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w w:val="99"/>
              </w:rPr>
              <w:t>Other long-term obligations (3)............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1"/>
        </w:trPr>
        <w:tc>
          <w:tcPr>
            <w:tcW w:w="43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$40,715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$8,594</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$12,185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$16,124</w:t>
            </w:r>
          </w:p>
        </w:tc>
      </w:tr>
      <w:tr>
        <w:trPr>
          <w:trHeight w:val="171"/>
        </w:trPr>
        <w:tc>
          <w:tcPr>
            <w:tcW w:w="43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5" w:lineRule="exact"/>
        <w:rPr>
          <w:sz w:val="20"/>
          <w:szCs w:val="20"/>
          <w:color w:val="auto"/>
        </w:rPr>
      </w:pPr>
    </w:p>
    <w:p>
      <w:pPr>
        <w:jc w:val="both"/>
        <w:ind w:left="449" w:right="311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obligations consist of agreements to purchase goods and services that are enforceable and legally binding on us and that specify all significant terms including fixed or minimum quantities to be purchased, price provisions and timing of the transaction. Our purchase obligations consist of the employment agreements that we, through Comcast Spectacor, have with both players and coaches of our professional sports teams and license agreements that our programming networks have entered into for programs and sporting events which will be available</w:t>
      </w:r>
    </w:p>
    <w:p>
      <w:pPr>
        <w:spacing w:after="0" w:line="344"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w:t>
      </w:r>
    </w:p>
    <w:p>
      <w:pPr>
        <w:sectPr>
          <w:pgSz w:w="11900" w:h="16870" w:orient="portrait"/>
          <w:cols w:equalWidth="0" w:num="1">
            <w:col w:w="10228"/>
          </w:cols>
          <w:pgMar w:left="231" w:top="631" w:right="1440" w:bottom="0" w:gutter="0" w:footer="0" w:header="0"/>
        </w:sectPr>
      </w:pPr>
    </w:p>
    <w:bookmarkStart w:id="35" w:name="page36"/>
    <w:bookmarkEnd w:id="35"/>
    <w:p>
      <w:pPr>
        <w:spacing w:after="0" w:line="29"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for telecast subsequent to December 31, 2002. Certain of these employment agreements, which provide for payments that are guaranteed regardless of employee injury or termination, are covered by disability insurance if certain conditions are met.</w:t>
      </w:r>
    </w:p>
    <w:p>
      <w:pPr>
        <w:spacing w:after="0" w:line="6" w:lineRule="exact"/>
        <w:rPr>
          <w:sz w:val="20"/>
          <w:szCs w:val="20"/>
          <w:color w:val="auto"/>
        </w:rPr>
      </w:pPr>
    </w:p>
    <w:p>
      <w:pPr>
        <w:jc w:val="both"/>
        <w:ind w:left="449" w:right="3119" w:hanging="449"/>
        <w:spacing w:after="0" w:line="239" w:lineRule="auto"/>
        <w:tabs>
          <w:tab w:leader="none" w:pos="4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related obligations consist primarily of costs related to terminating employees, costs relating to exiting contractual obligations, and other assumed contractual obligations of the acquired entity.</w:t>
      </w:r>
    </w:p>
    <w:p>
      <w:pPr>
        <w:spacing w:after="0" w:line="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long-term obligations consist principally of our deferred compensation obligations, pension, post-retirement and post-employment benefit obligations, and program rights payable under license agreements.</w:t>
      </w:r>
    </w:p>
    <w:p>
      <w:pPr>
        <w:spacing w:after="0" w:line="200" w:lineRule="exact"/>
        <w:rPr>
          <w:sz w:val="20"/>
          <w:szCs w:val="20"/>
          <w:color w:val="auto"/>
        </w:rPr>
      </w:pPr>
    </w:p>
    <w:p>
      <w:pPr>
        <w:spacing w:after="0" w:line="31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Statement of Cash Flows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Cash and cash equivalents increased $431 million as of December 31, 2002 from December 31, 2001. The increase in cash and cash equivalents resulted from cash flows from operating, financing and investing activities as explained below.</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Net cash provided by operating activities from continuing operations amounted to $2.995 billion for the year ended December 31, 2002, due principally to our operating income before depreciation and amortization (see "Results of Operations"), offset by changes in working capital as a result of the timing of receipts and disbursements and the effects of net interest and current income tax expense.</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Net cash used in financing activities from continuing operations includes borrowings and repayments of debt, proceeds from settlements of Swaps, issuances and repurchases of our equity securities and deferred financing costs. Net cash used in financing activities from continuing operations was $1.292 billion for the year ended December 31, 2002. During 2002, we borrowed $8.759 billion, consisting of:</w:t>
      </w:r>
    </w:p>
    <w:p>
      <w:pPr>
        <w:spacing w:after="0" w:line="172" w:lineRule="exact"/>
        <w:rPr>
          <w:sz w:val="20"/>
          <w:szCs w:val="20"/>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$7.180 billion under our New Credit Facilities,</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$1.135 billion under revolving credit facilities, and</w:t>
      </w:r>
    </w:p>
    <w:p>
      <w:pPr>
        <w:spacing w:after="0" w:line="174" w:lineRule="exact"/>
        <w:rPr>
          <w:rFonts w:ascii="Courier New" w:cs="Courier New" w:eastAsia="Courier New" w:hAnsi="Courier New"/>
          <w:sz w:val="15"/>
          <w:szCs w:val="15"/>
          <w:color w:val="auto"/>
        </w:rPr>
      </w:pPr>
    </w:p>
    <w:p>
      <w:pPr>
        <w:ind w:left="449" w:right="3839" w:firstLine="83"/>
        <w:spacing w:after="0" w:line="516" w:lineRule="auto"/>
        <w:tabs>
          <w:tab w:leader="none" w:pos="107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$444 million under Comcast Cable's commercial paper program. During 2002, we repaid $9.808 billion of our debt, consisting of:</w:t>
      </w:r>
    </w:p>
    <w:p>
      <w:pPr>
        <w:ind w:left="1069" w:right="3119" w:hanging="537"/>
        <w:spacing w:after="0" w:line="238" w:lineRule="auto"/>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$5.85 billion of Broadband intercompany indebtedness due at closing of the Broadband acquisition,</w:t>
      </w:r>
    </w:p>
    <w:p>
      <w:pPr>
        <w:spacing w:after="0" w:line="172"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$1.525 billion on certain of our revolving credit facilities,</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$1.023 billion of our Zero Coupon Debentures,</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$841 million under Comcast Cable's commercial paper program,</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 million of short-term debt,</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of our senior subordinated debentures, and</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$119 million under capital leases and other.</w:t>
      </w:r>
    </w:p>
    <w:p>
      <w:pPr>
        <w:spacing w:after="0" w:line="345"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During 2002, we received proceeds of $57 million from settlement of certain of our Swaps, and incurred $332 million of deferred financing costs.</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Net cash used in investing activities from continuing operations includes the effects of acquisitions, net of cash acquired, purchases of investments, capital expenditures and additions to intangible assets, offset by proceeds from sales of investments. Net cash used in investing activities from continuing operations was $1.272 billion for the year ended December 31, 2002.</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During 2002, acquisitions, net of cash acquired, amounted to $251 million, related primarily to our acquisition of Broadband. Capital expenditures were $1.975 billion and additions to intangible and other noncurrent assets were $221 million, including $65 million related to the satellite and cable television affiliation agreements of QVC and our content subsidiaries. Such amounts were offset, in part, by proceeds from sales and settlements of investments of $1.263 billion.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effects of the Broadband acquisition and our other recent acquisitions were to increase our revenues and expenses, resulting in increases in our operating income before depreciation and amortization. The increases in our property and equipment, intangible assets and long-term debt, and the corresponding increases in depreciation expense and interest expense from 2001 to 2002 are primarily due to the effects of the Broadband acquisition, and the increases from 2000 to 2001 are primarily due to the effects of our acquisitions, our cable systems exchanges and our increased levels of capital expenditures.</w:t>
      </w:r>
    </w:p>
    <w:p>
      <w:pPr>
        <w:spacing w:after="0" w:line="177"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As the effect of the Broadband acquisition was to substantially increase the size of our cable operations, direct comparisons of our results of operations and financial condition for periods prior to November 18, 2002 to subsequent periods are not meaningful. Refer to "Pro Forma 2002 Results" below</w:t>
      </w:r>
    </w:p>
    <w:p>
      <w:pPr>
        <w:sectPr>
          <w:pgSz w:w="11900" w:h="16868" w:orient="portrait"/>
          <w:cols w:equalWidth="0" w:num="1">
            <w:col w:w="10228"/>
          </w:cols>
          <w:pgMar w:left="231" w:top="631" w:right="1440" w:bottom="0" w:gutter="0" w:footer="0" w:header="0"/>
        </w:sectPr>
      </w:pPr>
    </w:p>
    <w:bookmarkStart w:id="36" w:name="page37"/>
    <w:bookmarkEnd w:id="36"/>
    <w:p>
      <w:pPr>
        <w:jc w:val="both"/>
        <w:ind w:right="3119"/>
        <w:spacing w:after="0" w:line="238" w:lineRule="auto"/>
        <w:rPr>
          <w:sz w:val="20"/>
          <w:szCs w:val="20"/>
          <w:color w:val="auto"/>
        </w:rPr>
      </w:pPr>
      <w:r>
        <w:rPr>
          <w:rFonts w:ascii="Courier New" w:cs="Courier New" w:eastAsia="Courier New" w:hAnsi="Courier New"/>
          <w:sz w:val="15"/>
          <w:szCs w:val="15"/>
          <w:color w:val="auto"/>
        </w:rPr>
        <w:t>for our 2002 supplemental pro forma financial information prepared as if the Broadband acquisition occurred on January 1, 2002.</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Refer to Notes 5 and 12 to our financial statements included in Item 8 for a discussion of our acquisitions and cable systems exchanges, and of the effect of these</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19"/>
          </w:cols>
          <w:pgMar w:left="240" w:top="141" w:right="1440" w:bottom="1440" w:gutter="0" w:footer="0" w:header="0"/>
        </w:sectPr>
      </w:pPr>
    </w:p>
    <w:bookmarkStart w:id="37" w:name="page38"/>
    <w:bookmarkEnd w:id="37"/>
    <w:p>
      <w:pPr>
        <w:ind w:left="9"/>
        <w:spacing w:after="0"/>
        <w:rPr>
          <w:sz w:val="20"/>
          <w:szCs w:val="20"/>
          <w:color w:val="auto"/>
        </w:rPr>
      </w:pPr>
      <w:r>
        <w:rPr>
          <w:rFonts w:ascii="Courier New" w:cs="Courier New" w:eastAsia="Courier New" w:hAnsi="Courier New"/>
          <w:sz w:val="15"/>
          <w:szCs w:val="15"/>
          <w:color w:val="auto"/>
        </w:rPr>
        <w:t>transactions on our balance sheet.</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We adopted SFAS No. 142 on January 1, 2002, as required by the new statement. See "Amortization" on page 32 for a discussion of the impact the adoption of the new statement had on our consolidated financial condition and results of operations.</w:t>
      </w:r>
    </w:p>
    <w:p>
      <w:pPr>
        <w:spacing w:after="0" w:line="176"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Our summarized consolidated financial information for the three years ended December 31, 2002 is as follows (dollars in millions, "NM" denotes percentage is not meaningful):</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3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30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December 31,</w:t>
            </w:r>
          </w:p>
        </w:tc>
        <w:tc>
          <w:tcPr>
            <w:tcW w:w="20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Increase/(Decrease)</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$9,836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$2,624</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2,514</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279</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5,976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4,652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1,324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28.5</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1,211</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46.6</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Amortization....................................................</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(1,948)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2,405</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NM</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(734)</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Investment income (expense).....................................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(1,667)</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NM</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Equity in net losses of affiliates..............................</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255.2</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Other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(99.8)</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Income tax expense..............................................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32.5</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cumulative effect of accounting change.......................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NM</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(1) ......</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$3,691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$2,670</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$1,021</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38.2%</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4"/>
                <w:szCs w:val="24"/>
                <w:color w:val="auto"/>
              </w:rPr>
            </w:pPr>
          </w:p>
        </w:tc>
        <w:tc>
          <w:tcPr>
            <w:tcW w:w="23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760" w:type="dxa"/>
            <w:vAlign w:val="bottom"/>
          </w:tcPr>
          <w:p>
            <w:pPr>
              <w:spacing w:after="0"/>
              <w:rPr>
                <w:sz w:val="14"/>
                <w:szCs w:val="14"/>
                <w:color w:val="auto"/>
              </w:rPr>
            </w:pPr>
          </w:p>
        </w:tc>
        <w:tc>
          <w:tcPr>
            <w:tcW w:w="230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December 31,</w:t>
            </w:r>
          </w:p>
        </w:tc>
        <w:tc>
          <w:tcPr>
            <w:tcW w:w="20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Increase/(Decrease)</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$9,836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$1,479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3,614</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1,038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28.7</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44.7</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Amortization....................................................</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423</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23.7</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loss..................................................</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585</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363.4</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(728)</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0.8</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Investment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984</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78</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Income related to indexed debt..................................</w:t>
            </w:r>
          </w:p>
        </w:tc>
        <w:tc>
          <w:tcPr>
            <w:tcW w:w="120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Equity in net losses of affiliates..............................</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31.8</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Other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Income tax expense..............................................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(67.1)</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39.1</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Income before cumulative effect of accounting change............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(88.9%)</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(1) ......</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$2,458</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r>
      <w:tr>
        <w:trPr>
          <w:trHeight w:val="171"/>
        </w:trPr>
        <w:tc>
          <w:tcPr>
            <w:tcW w:w="57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____________</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5" w:lineRule="exact"/>
        <w:rPr>
          <w:sz w:val="20"/>
          <w:szCs w:val="20"/>
          <w:color w:val="auto"/>
        </w:rPr>
      </w:pPr>
    </w:p>
    <w:p>
      <w:pPr>
        <w:jc w:val="both"/>
        <w:ind w:left="449" w:right="3119" w:hanging="449"/>
        <w:spacing w:after="0"/>
        <w:tabs>
          <w:tab w:leader="none" w:pos="4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"EBITDA." EBITDA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EBITDA is frequently used as one of the bases for comparing businesses in our industries, although our measure of EBITDA may not be comparable to similarly titled measures of other companies. EBITDA is the primary basis used by our management to measure the operating performance of our businesses. EBITDA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9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w:t>
      </w:r>
    </w:p>
    <w:p>
      <w:pPr>
        <w:sectPr>
          <w:pgSz w:w="11900" w:h="16838" w:orient="portrait"/>
          <w:cols w:equalWidth="0" w:num="1">
            <w:col w:w="10228"/>
          </w:cols>
          <w:pgMar w:left="231" w:top="457" w:right="1440" w:bottom="969"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Consolidated Operating Results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The increases in consolidated revenues from 2001 to 2002 and from 2000 to 2001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growth in our historical operations and the effects of our acquisitions in 2001.</w:t>
      </w:r>
    </w:p>
    <w:p>
      <w:pPr>
        <w:spacing w:after="0" w:line="16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On January 1, 2002, we adopted EITF 01-9, "Accounting for Consideration Given to a Customer (Including a Reseller of the Vendor's Products)" and EITF 01-14, "Income Statement Characterization of Reimbursements Received for 'Out-of-Pocket' Expenses Incurred." We have reclassified our statement of operations for all periods presented to reflect the adoption of EITF 01-9 and EITF 01-14. The changes in classification had no impact on our reported operating income (loss) or financial condition. Refer to Note 2 to our financial statements included in Item 8 for a discussion of EITF 01-9 and EITF 01-14.</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increases in cost of goods sold from electronic retailing.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The increases in consolidated operating, selling, general and administrative expenses from 2001 to 2002 and from 2000 to 2001 are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 and the effects of our acquisitions in 2001.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increases in depreciation expense from 2001 to 2002 and from 2000 to 2001 are primarily attributable to our Cable segment and are principally due to the effects of our recent acquisitions, our cable systems exchanges and our increased levels of capital expenditures. Depreciation expense in our Commerce segment was essentially unchanged. The remaining increases in depreciation expense from 2000 to 2001 are primarily the result of increases in depreciation in our content operations, principally due to the effects of our acquisitions and increased levels of capital expenditures.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Of the $1.948 billion decrease in amortization expense from 2001 to 2002, $2.002 billion is attributable to the adoption of SFAS No. 142 on January 1, 2002. The remaining change is primarily the result of increases in amortization expense in our content operations, principally due to the effects of our acquisitions. The $423 million increase in amortization expense from 2000 to 2001 is primarily due to the effects of our acquisitions. Refer to Note 7 to our financial statements included in Item 8 for the pro forma impact of adoption of SFAS No. 142 on amortization expense.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14 to our financial statements included in Item 8 for a summary of our financial data by business segment.</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19"/>
          </w:cols>
          <w:pgMar w:left="240" w:top="799" w:right="1440" w:bottom="1440" w:gutter="0" w:footer="0" w:header="0"/>
        </w:sectPr>
      </w:pPr>
    </w:p>
    <w:bookmarkStart w:id="39" w:name="page40"/>
    <w:bookmarkEnd w:id="39"/>
    <w:p>
      <w:pPr>
        <w:ind w:left="440"/>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both"/>
        <w:ind w:right="620" w:firstLine="444"/>
        <w:spacing w:after="0"/>
        <w:rPr>
          <w:sz w:val="20"/>
          <w:szCs w:val="20"/>
          <w:color w:val="auto"/>
        </w:rPr>
      </w:pPr>
      <w:r>
        <w:rPr>
          <w:rFonts w:ascii="Courier New" w:cs="Courier New" w:eastAsia="Courier New" w:hAnsi="Courier New"/>
          <w:sz w:val="15"/>
          <w:szCs w:val="15"/>
          <w:color w:val="auto"/>
        </w:rPr>
        <w:t>The following table presents financial information for our Cable segment (dollars in millions). The effect of the Broadband acquisition was to substantially increase the size of our cable operations, thereby increasing our revenues and expenses, resulting in increases in our operating income before depreciation and amortization. Accordingly, direct comparisons of our results of operations for periods prior to November 18, 2002 to subsequent periods are not meaningful. Refer to "Pro Forma 2002 Results" below for our 2002 supplemental pro forma financial information prepared as if the Broadband acquisition occurred on January 1, 2002.</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r>
      <w:tr>
        <w:trPr>
          <w:trHeight w:val="171"/>
        </w:trPr>
        <w:tc>
          <w:tcPr>
            <w:tcW w:w="55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Video.........................................................</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$4,278</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High-speed Internet...........................................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Advertising sales.............................................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Franchise fees................................................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5,323</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3,269</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amortization (a)..............................................</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$2,054</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r>
      <w:tr>
        <w:trPr>
          <w:trHeight w:val="171"/>
        </w:trPr>
        <w:tc>
          <w:tcPr>
            <w:tcW w:w="55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Video.........................................................</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$3,651</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High-speed Internet...........................................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Advertising sales.............................................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Franchise fees................................................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2,459</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w w:val="99"/>
              </w:rPr>
              <w:t>amortization (a).........................................</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$1,903</w:t>
            </w:r>
          </w:p>
        </w:tc>
      </w:tr>
      <w:tr>
        <w:trPr>
          <w:trHeight w:val="171"/>
        </w:trPr>
        <w:tc>
          <w:tcPr>
            <w:tcW w:w="55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29.</w:t>
      </w:r>
    </w:p>
    <w:p>
      <w:pPr>
        <w:spacing w:after="0" w:line="200" w:lineRule="exact"/>
        <w:rPr>
          <w:sz w:val="20"/>
          <w:szCs w:val="20"/>
          <w:color w:val="auto"/>
        </w:rPr>
      </w:pPr>
    </w:p>
    <w:p>
      <w:pPr>
        <w:spacing w:after="0" w:line="315" w:lineRule="exact"/>
        <w:rPr>
          <w:sz w:val="20"/>
          <w:szCs w:val="20"/>
          <w:color w:val="auto"/>
        </w:rPr>
      </w:pPr>
    </w:p>
    <w:p>
      <w:pPr>
        <w:jc w:val="both"/>
        <w:ind w:right="620" w:firstLine="444"/>
        <w:spacing w:after="0" w:line="259" w:lineRule="auto"/>
        <w:rPr>
          <w:sz w:val="20"/>
          <w:szCs w:val="20"/>
          <w:color w:val="auto"/>
        </w:rPr>
      </w:pPr>
      <w:r>
        <w:rPr>
          <w:rFonts w:ascii="Courier New" w:cs="Courier New" w:eastAsia="Courier New" w:hAnsi="Courier New"/>
          <w:sz w:val="14"/>
          <w:szCs w:val="14"/>
          <w:color w:val="auto"/>
        </w:rPr>
        <w:t>Video revenue consists of our basic, expanded basic, premium, pay-per-view, equipment and digital cable services. Of the $1.238 billion and $627 million increases in video revenues from 2001 to 2002 and from 2000 to 2001, $945 million and $339 million, respectively, are attributable to the effects of our acquisitions of cable systems and $293 million and $288 million, respectively, relate to changes in rates and subscriber growth in our historical operations, driven principally by growth in digital subscribers, and to a lesser extent, to the effects of a higher- priced digital service offering made in the second half of 2000. During 2002, we added approximately 4,374,000 digital subscribers as a result of the Broadband acquisition and we added approximately 505,000 digital subscribers through growth in our historical operations. During 2001 and 2000, through acquisitions and growth in our historical operations, we added approximately 534,000 and 753,000 digital subscribers, respectively.</w:t>
      </w:r>
    </w:p>
    <w:p>
      <w:pPr>
        <w:spacing w:after="0" w:line="164" w:lineRule="exact"/>
        <w:rPr>
          <w:sz w:val="20"/>
          <w:szCs w:val="20"/>
          <w:color w:val="auto"/>
        </w:rPr>
      </w:pPr>
    </w:p>
    <w:p>
      <w:pPr>
        <w:jc w:val="both"/>
        <w:ind w:right="620" w:firstLine="444"/>
        <w:spacing w:after="0"/>
        <w:rPr>
          <w:sz w:val="20"/>
          <w:szCs w:val="20"/>
          <w:color w:val="auto"/>
        </w:rPr>
      </w:pPr>
      <w:r>
        <w:rPr>
          <w:rFonts w:ascii="Courier New" w:cs="Courier New" w:eastAsia="Courier New" w:hAnsi="Courier New"/>
          <w:sz w:val="15"/>
          <w:szCs w:val="15"/>
          <w:color w:val="auto"/>
        </w:rPr>
        <w:t>The increases in high-speed Internet revenue from 2001 to 2002 and from 2000 to 2001 are primarily due to the addition of high-speed Internet subscribers. During 2002, we added approximately 2,094,000 high-speed Internet subscribers as a result of the Broadband acquisition and we added approximately 578,000 high- speed Internet subscribers through growth in our historical operations. During 2001 and 2000, through acquisitions and growth in our historical operations, we added approximately 548,000 and 258,000 high-speed Internet subscribers, respectively.</w:t>
      </w:r>
    </w:p>
    <w:p>
      <w:pPr>
        <w:spacing w:after="0" w:line="177" w:lineRule="exact"/>
        <w:rPr>
          <w:sz w:val="20"/>
          <w:szCs w:val="20"/>
          <w:color w:val="auto"/>
        </w:rPr>
      </w:pPr>
    </w:p>
    <w:p>
      <w:pPr>
        <w:jc w:val="both"/>
        <w:ind w:right="620" w:firstLine="444"/>
        <w:spacing w:after="0"/>
        <w:rPr>
          <w:sz w:val="20"/>
          <w:szCs w:val="20"/>
          <w:color w:val="auto"/>
        </w:rPr>
      </w:pPr>
      <w:r>
        <w:rPr>
          <w:rFonts w:ascii="Courier New" w:cs="Courier New" w:eastAsia="Courier New" w:hAnsi="Courier New"/>
          <w:sz w:val="15"/>
          <w:szCs w:val="15"/>
          <w:color w:val="auto"/>
        </w:rPr>
        <w:t>The increase in advertising sales revenue from 2001 to 2002 is due to the effects of the Broadband acquisition, as well as to the effects of a stronger advertising market and the continued leveraging of our market-wide fiber interconnects. The increase in advertising sales revenue from 2000 to 2001 was attributable to the effects of new advertising contracts, market-wide fiber interconnects and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Increase</w:t>
      </w:r>
    </w:p>
    <w:p>
      <w:pPr>
        <w:spacing w:after="0" w:line="1" w:lineRule="exact"/>
        <w:rPr>
          <w:sz w:val="20"/>
          <w:szCs w:val="20"/>
          <w:color w:val="auto"/>
        </w:rPr>
      </w:pPr>
    </w:p>
    <w:p>
      <w:pPr>
        <w:ind w:left="1320" w:hanging="1058"/>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143.2</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45.4</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73.3</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38.1</w:t>
            </w:r>
          </w:p>
        </w:tc>
      </w:tr>
      <w:tr>
        <w:trPr>
          <w:trHeight w:val="34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Increase</w:t>
      </w:r>
    </w:p>
    <w:p>
      <w:pPr>
        <w:spacing w:after="0" w:line="1" w:lineRule="exact"/>
        <w:rPr>
          <w:sz w:val="20"/>
          <w:szCs w:val="20"/>
          <w:color w:val="auto"/>
        </w:rPr>
      </w:pPr>
    </w:p>
    <w:p>
      <w:pPr>
        <w:ind w:left="1320" w:hanging="1058"/>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157.9</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51.6</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w:t>
            </w:r>
          </w:p>
        </w:tc>
      </w:tr>
    </w:tbl>
    <w:p>
      <w:pPr>
        <w:spacing w:after="0" w:line="171" w:lineRule="exact"/>
        <w:rPr>
          <w:sz w:val="20"/>
          <w:szCs w:val="20"/>
          <w:color w:val="auto"/>
        </w:rPr>
      </w:pPr>
    </w:p>
    <w:p>
      <w:pPr>
        <w:ind w:left="1320" w:hanging="881"/>
        <w:spacing w:after="0"/>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32.9</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279"/>
        <w:spacing w:after="0"/>
        <w:tabs>
          <w:tab w:leader="none" w:pos="34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720" w:space="440"/>
            <w:col w:w="2059"/>
          </w:cols>
          <w:pgMar w:left="240" w:top="799" w:right="1440" w:bottom="457" w:gutter="0" w:footer="0" w:header="0"/>
        </w:sectPr>
      </w:pPr>
    </w:p>
    <w:bookmarkStart w:id="40" w:name="page41"/>
    <w:bookmarkEnd w:id="40"/>
    <w:p>
      <w:pPr>
        <w:jc w:val="both"/>
        <w:ind w:right="3119"/>
        <w:spacing w:after="0" w:line="238" w:lineRule="auto"/>
        <w:rPr>
          <w:sz w:val="20"/>
          <w:szCs w:val="20"/>
          <w:color w:val="auto"/>
        </w:rPr>
      </w:pPr>
      <w:r>
        <w:rPr>
          <w:rFonts w:ascii="Courier New" w:cs="Courier New" w:eastAsia="Courier New" w:hAnsi="Courier New"/>
          <w:sz w:val="15"/>
          <w:szCs w:val="15"/>
          <w:color w:val="auto"/>
        </w:rPr>
        <w:t>the continued leveraging of our existing fiber networks, helping to offset an otherwise weak advertising environment.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Other revenue includes phone revenues, installation revenues, guide revenues, commissions from electronic retailing, revenues of our regional sports programming networks and revenue from other product offerings. The increase from 2001 to 2002 in other revenue is primarily attributable to increased phone revenues and other product revenues as a result of the Broadband acquisition. The increase from 2000 to 2001 in other revenue is primarily attributable to the effects of our acquisition of Home Team Sports (now known as CSN Mid-Atlantic). The remaining increases from 2000 to 2001 and from 2001 to 2002 are attributable to growth in our historical operations.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increase in operating, selling, general and administrative expenses from 2001 to 2002 is primarily attributable to the effects of the Broadband acquisition, as well as to the effects of increases in the costs of cable programming, increases in labor costs and other volume- related expenses in our historical operations, and, to a lesser extent, to the effects of high-speed Internet subscriber growth.</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September 28, 2001, At Home Corporation ("At Home"), our former provider of high-speed Internet services, filed for protection under Chapter 11 of the U.S. Bankruptcy Code. In October 2001, we amended our agreement with At Home to continue service to our existing and new subscribers during October and November 2001. We agreed to be charged a higher rate than we had incurred under our previous agreement. On December 3, 2001, we reached a definitive agreement, approved by the Bankruptcy Court, with At Home pursuant to which At Home agreed to continue to provide high-speed Internet services to our existing and new subscribers through February 28, 2002. In December 2001, we began to transfer our high-speed Internet subscribers from the At Home network to our new Comcast-owned and managed network. We completed this transition in February 2002. Operating expenses in our consolidated statement of operations for the year ended December 31, 2001 include $140 million of net incremental expenses incurred in the fourth quarter of 2001 in the continuation of service to and transition of our high-speed Internet subscribers from At Home's network to our network.</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remaining increases from 2000 to 2001 in operating, selling, general and administrative expenses are primarily due to the effects of our acquisitions and exchanges of cable systems, as well as to the effects of increases in the costs of cable programming, high-speed Internet subscriber growth, and, to a lesser extent, increases in labor costs and other volume related expenses in our historical operations.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and exchanges of cable systems. We anticipate the cost of cable programming will increase in the future as cable programming rates increase and additional sources of cable programming become available.</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19"/>
          </w:cols>
          <w:pgMar w:left="240" w:top="631" w:right="1440" w:bottom="1440" w:gutter="0" w:footer="0" w:header="0"/>
        </w:sectPr>
      </w:pPr>
    </w:p>
    <w:bookmarkStart w:id="41" w:name="page42"/>
    <w:bookmarkEnd w:id="41"/>
    <w:p>
      <w:pPr>
        <w:ind w:left="440"/>
        <w:spacing w:after="0"/>
        <w:rPr>
          <w:sz w:val="20"/>
          <w:szCs w:val="20"/>
          <w:color w:val="auto"/>
        </w:rPr>
      </w:pPr>
      <w:r>
        <w:rPr>
          <w:rFonts w:ascii="Courier New" w:cs="Courier New" w:eastAsia="Courier New" w:hAnsi="Courier New"/>
          <w:sz w:val="15"/>
          <w:szCs w:val="15"/>
          <w:color w:val="auto"/>
        </w:rPr>
        <w:t>Commerce</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operating results for our Commerce segment, which consists of QVC, Inc. and subsidiaries (dollars 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44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December 31,</w:t>
            </w:r>
          </w:p>
        </w:tc>
        <w:tc>
          <w:tcPr>
            <w:tcW w:w="18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$4,381</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2,793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amortization (a).........................................</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$858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1"/>
        </w:trPr>
        <w:tc>
          <w:tcPr>
            <w:tcW w:w="5620" w:type="dxa"/>
            <w:vAlign w:val="bottom"/>
          </w:tcPr>
          <w:p>
            <w:pPr>
              <w:spacing w:after="0"/>
              <w:rPr>
                <w:sz w:val="24"/>
                <w:szCs w:val="24"/>
                <w:color w:val="auto"/>
              </w:rPr>
            </w:pPr>
          </w:p>
        </w:tc>
        <w:tc>
          <w:tcPr>
            <w:tcW w:w="244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62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December 31,</w:t>
            </w:r>
          </w:p>
        </w:tc>
        <w:tc>
          <w:tcPr>
            <w:tcW w:w="18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$3,917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$3,536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2,514</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681</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amortization (a).........................................</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$722</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29.</w:t>
      </w:r>
    </w:p>
    <w:p>
      <w:pPr>
        <w:spacing w:after="0" w:line="200" w:lineRule="exact"/>
        <w:rPr>
          <w:sz w:val="20"/>
          <w:szCs w:val="20"/>
          <w:color w:val="auto"/>
        </w:rPr>
      </w:pPr>
    </w:p>
    <w:p>
      <w:pPr>
        <w:spacing w:after="0" w:line="315"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Of the $464 million and $381 million increases in net sales from electronic retailing from 2001 to 2002 and from 2000 to 2001, $296 million and $332 million, respectively, is attributable to increases in net sales in the United States. This growth is principally the result of increases in the average number of homes receiving QVC services and in net sales per home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2002</w:t>
            </w:r>
          </w:p>
        </w:tc>
        <w:tc>
          <w:tcPr>
            <w:tcW w:w="19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Increase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w w:val="98"/>
              </w:rPr>
              <w:t>average number of homes in U.S....................</w:t>
            </w:r>
          </w:p>
        </w:tc>
        <w:tc>
          <w:tcPr>
            <w:tcW w:w="19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3.6%</w:t>
            </w:r>
          </w:p>
        </w:tc>
        <w:tc>
          <w:tcPr>
            <w:tcW w:w="1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Increase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w w:val="98"/>
              </w:rPr>
              <w:t>net sales per home in U.S.........................</w:t>
            </w:r>
          </w:p>
        </w:tc>
        <w:tc>
          <w:tcPr>
            <w:tcW w:w="19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5.3%</w:t>
            </w:r>
          </w:p>
        </w:tc>
        <w:tc>
          <w:tcPr>
            <w:tcW w:w="1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6.5%</w:t>
            </w:r>
          </w:p>
        </w:tc>
      </w:tr>
    </w:tbl>
    <w:p>
      <w:pPr>
        <w:spacing w:after="0" w:line="34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sales will depend increasingly on continued additions of new customers from homes already receiving the QVC service and continued growth in repeat sales to existing customers.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remaining increases of $168 million and $49 million in net sales from electronic retailing from 2001 to 2002 and from 2000 to 2001 are primarily attributable to increases in net sales in Germany, Japan and the United Kingdom, offset, in part, by the effects of fluctuations in foreign currency exchange rates during the periods.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increases in cost of goods sold from 2001 to 2002 and from 2000 to 2001 are primarily related to the growth in net sales. The increases in gross margin are primarily due to the effects of increases in product margins.</w:t>
      </w:r>
    </w:p>
    <w:p>
      <w:pPr>
        <w:spacing w:after="0" w:line="17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increases in operating, selling, general and administrative expenses from 2001 to 2002 and from 2000 to 2001 are primarily attributable to higher variable costs and personnel costs associated with the increase in sales volume.</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19"/>
          </w:cols>
          <w:pgMar w:left="240" w:top="628" w:right="1440" w:bottom="1440" w:gutter="0" w:footer="0" w:header="0"/>
        </w:sectPr>
      </w:pPr>
    </w:p>
    <w:bookmarkStart w:id="42" w:name="page43"/>
    <w:bookmarkEnd w:id="42"/>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increase in interest expense from 2001 to 2002 is due to our increased amount of debt outstanding as a result of the Broadband acquisition. The increase in interest expense from 2000 to 2001 is primarily due to the increases in our net borrowings.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anticipate that, for the foreseeable future, interest expense will be significant. We believe we will continue to be able to meet our obligations through our ability both to generate operating income before depreciation and amortization and to obtain external financing.</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310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and dividend income...........................................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(Losses) gains on sales and exchanges of investments, net..............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 impairment losses...........................................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Reclassification of unrealized gains...................................</w:t>
            </w:r>
          </w:p>
        </w:tc>
        <w:tc>
          <w:tcPr>
            <w:tcW w:w="10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1,330</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Unrealized (loss) gain on trading securities...........................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(1,569)</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285</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1966"/>
              <w:spacing w:after="0"/>
              <w:rPr>
                <w:sz w:val="20"/>
                <w:szCs w:val="20"/>
                <w:color w:val="auto"/>
              </w:rPr>
            </w:pPr>
            <w:r>
              <w:rPr>
                <w:rFonts w:ascii="Courier New" w:cs="Courier New" w:eastAsia="Courier New" w:hAnsi="Courier New"/>
                <w:sz w:val="15"/>
                <w:szCs w:val="15"/>
                <w:color w:val="auto"/>
                <w:w w:val="97"/>
              </w:rPr>
              <w:t>Mark to market adjustments on derivatives related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 trading securities.............................................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Mark to market adjustments on derivatives and hedged items.............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 (expense).......................................</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investment impairment losses for the years ended December 31, 2002 and 2001 relate principally to an other than temporary decline in our investment in AT&amp;T.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the year ended December 31, 2001, we wrote-off our investment in At Home common stock based upon a decline in the investment that was considered other than temporary. In connection with the realization of this impairment loss, we reclassified to investment income (expense) the accumulated unrealized gain of $238 million on our investment in At Home common stock which was previously recorded as a component of accumulated other comprehensive income (loss). We recorded this accumulated unrealized gain prior to our designation of our right under a stockholders' agreement as a hedge of our investment in the At Home common stock.</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June 2001, we and AT&amp;T entered into an Amended and Restated Share Issuance Agreement (the "Share Issuance Agreement"). AT&amp;T issued to us approximately 80.3 million unregistered shares of AT&amp;T common stock and we agreed to settle our right under the Share Exchange Agreement to exchange an aggregate 31.2 million At Home shares and warrants held by us for shares of AT&amp;T common stock. Under the terms of the Share Issuance Agreement, we retained the At Home shares and warrants held by us. We recorded to investment income (expense) a pre-tax gain of $296 million, representing the fair value of the increased consideration received by us to settle our right under the Share Exchange Agreement.</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connection with the reclassification of our investment in Sprint PCS from an available for sale security to a trading security in 2001, we reclassified to investment income (expense) the accumulated unrealized gain of $1.092 billion on our investment in Sprint PCS which was previously recorded as a component of accumulated other comprehensive income (loss).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Related to Indexed Debt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Prior to the adoption of SFAS No. 133 on January 1, 2001, we accounted for the ZONES as an indexed debt instrument since the maturity value is dependent upon the fair value of Sprint PCS common stock. During the year ended December 31, 2000, we recorded income related to indexed debt of $666 million to reflect the fair value of the underlying Sprint PCS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Losses of Affiliates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increase in equity in net losses of affiliates from 2001 to 2002 is primarily due to other than temporary declines in certain of our equity method investees, the effects of our additional investments, changes in the net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19"/>
          </w:cols>
          <w:pgMar w:left="240" w:top="799" w:right="1440" w:bottom="457" w:gutter="0" w:footer="0" w:header="0"/>
        </w:sectPr>
      </w:pPr>
    </w:p>
    <w:bookmarkStart w:id="43" w:name="page44"/>
    <w:bookmarkEnd w:id="43"/>
    <w:p>
      <w:pPr>
        <w:jc w:val="both"/>
        <w:ind w:right="3119"/>
        <w:spacing w:after="0" w:line="261" w:lineRule="auto"/>
        <w:rPr>
          <w:sz w:val="20"/>
          <w:szCs w:val="20"/>
          <w:color w:val="auto"/>
        </w:rPr>
      </w:pPr>
      <w:r>
        <w:rPr>
          <w:rFonts w:ascii="Courier New" w:cs="Courier New" w:eastAsia="Courier New" w:hAnsi="Courier New"/>
          <w:sz w:val="14"/>
          <w:szCs w:val="14"/>
          <w:color w:val="auto"/>
        </w:rPr>
        <w:t>income or loss of our equity method investees, as well as to the effects of the discontinuance of amortization of equity method goodwill as a result of the adoption of SFAS No. 142 on January 1, 2002. The increase from 2000 to 2001 is primarily attributable to the effects of our additional investments, as well as the effects of changes in the net income or loss of our equity method investees.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October 30, 2001, we acquired from Fox Entertainment Group, Inc. ("Fox Entertainment") the approximate 83.2% interest in Outdoor Life Network ("OLN") not previously owned by us. Upon closing of the acquisition, we exchanged our 14.5% interest in Speedvision Network ("SVN"), together with a previously made loan, for Fox Entertainment's interest in OLN. In connection with the exchange of our interest in SVN, we recorded a pre-tax gain of $107 million, representing the difference between the estimated fair value of our interest in SVN as of the closing date of the transaction and our cost basis in SVN.</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a pre-tax gain of $1.199 billion, representing the difference between the estimated fair value of $1.799 billion as of the closing date of the transaction and our cost basis in the systems exchanged.</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December 31, 2000, we completed our cable systems exchange with AT&amp;T. We received cable systems serving approximately 770,000 subscribers from AT&amp;T and AT&amp;T received certain of our cable systems serving approximately 700,000 subscribers. We recorded a pre-tax gain of $1.711 billion, representing the difference between the estimated fair value of $2.840 billion as of the closing date of the transaction and our cost basis in the systems exchanged.</w:t>
      </w:r>
    </w:p>
    <w:p>
      <w:pPr>
        <w:spacing w:after="0" w:line="175"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In August 2000, we obtained the right to exchange our At Home Series A Common Stock with AT&amp;T and we waived certain of our At Home Board level and shareholder rights under a stockholders' agreement. We also agreed to cause our existing appointee to the At Home Board of Directors to resign. In connection with the transaction, we recorded a pre-tax gain of $1.045 billion, representing the estimated fair value of the investment as of the closing date.</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August 2000, we exchanged all of the capital stock of a wholly owned subsidiary which held certain wireless licenses for approximately 3.2 million shares of AT&amp;T common stock. In connection with the exchange, we recognized a pre-tax gain of $98 million, representing the difference between the fair value of the AT&amp;T shares received of $100 million and our cost basis in the subsidiary.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decreases in income tax expense from 2001 to 2002 and from 2000 to 2001 are primarily the result of the effects of changes in our income before taxes and minority interest, and non-deductible goodwill amortization.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increase in minority interest from 2001 to 2002 is attributable to increases in the net income of our less than wholly owned consolidated subsidiaries, as well as to the minority interests in certain subsidiaries acquired in connection with the Broadband acquisition. The increase in minority interest from 2000 to 2001 is primarily attributable to the effects of changes in the net income or loss of our less than wholly owned consolidated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Upon adoption of SFAS No. 133, we recognized as income a cumulative effect of accounting change, net of related income taxes, of $385 million during the year ended December 31, 2001. The income consisted of a $400 million adjustment to record the debt component of our ZONES at a discount from its value at maturity and $192 million principally related to the reclassification of gains previously recognized as a component of accumulated other comprehensive income (loss) on our equity derivative instruments, net of related deferred income taxes of $207 million.</w:t>
      </w:r>
    </w:p>
    <w:p>
      <w:pPr>
        <w:spacing w:after="0" w:line="1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19"/>
          </w:cols>
          <w:pgMar w:left="240" w:top="631" w:right="1440" w:bottom="1440" w:gutter="0" w:footer="0" w:header="0"/>
        </w:sectPr>
      </w:pPr>
    </w:p>
    <w:bookmarkStart w:id="44" w:name="page45"/>
    <w:bookmarkEnd w:id="44"/>
    <w:p>
      <w:pPr>
        <w:ind w:left="440"/>
        <w:spacing w:after="0"/>
        <w:rPr>
          <w:sz w:val="20"/>
          <w:szCs w:val="20"/>
          <w:color w:val="auto"/>
        </w:rPr>
      </w:pPr>
      <w:r>
        <w:rPr>
          <w:rFonts w:ascii="Courier New" w:cs="Courier New" w:eastAsia="Courier New" w:hAnsi="Courier New"/>
          <w:sz w:val="15"/>
          <w:szCs w:val="15"/>
          <w:color w:val="auto"/>
        </w:rPr>
        <w:t>Pro Forma 2002 Results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As described above, the Broadband acquisition substantially increased the size of our cable operations. As a result, direct comparisons of our results of operations from the periods prior to November 18, 2002 to subsequent periods are not meaningful. The following tables reconcile our 2002 consolidated and Cable segment reported financial information to pro forma amounts and present our 2002 pro forma financial information on a quarterly basis as if the Broadband acquisition occurred on January 1, 2002. This information has been prepared in accordance with SEC rules and guidance and is based on our and Broadband's historical results of operations. In the opinion of management, this information is not indicative of what our results would have been had we operated Broadband since January 1, 2002, nor of our future results. The financial information for Broadband represents Broadband's results for the period from January 1, 2002 through November 18, 2002. The consolidated pro forma results reflect the elimination of all significant transactions between Broadband and Comcast's commerce and content businesses during 2002. This pro forma financial information is presented as supplemental information to assist users of this Annual Report in analyzing the impact the Broadband acquisition may have on our future results of operations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3"/>
          </w:tcPr>
          <w:p>
            <w:pPr>
              <w:jc w:val="right"/>
              <w:ind w:right="986"/>
              <w:spacing w:after="0"/>
              <w:rPr>
                <w:sz w:val="20"/>
                <w:szCs w:val="20"/>
                <w:color w:val="auto"/>
              </w:rPr>
            </w:pPr>
            <w:r>
              <w:rPr>
                <w:rFonts w:ascii="Courier New" w:cs="Courier New" w:eastAsia="Courier New" w:hAnsi="Courier New"/>
                <w:sz w:val="15"/>
                <w:szCs w:val="15"/>
                <w:color w:val="auto"/>
                <w:w w:val="99"/>
              </w:rPr>
              <w:t>Year Ended December 31, 2002</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Consolidated Pro Forma Reconciliation</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Comcast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Broadband</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12"/>
        </w:trPr>
        <w:tc>
          <w:tcPr>
            <w:tcW w:w="4960" w:type="dxa"/>
            <w:vAlign w:val="bottom"/>
          </w:tcPr>
          <w:p>
            <w:pPr>
              <w:spacing w:after="0"/>
              <w:rPr>
                <w:sz w:val="20"/>
                <w:szCs w:val="20"/>
                <w:color w:val="auto"/>
              </w:rPr>
            </w:pPr>
            <w:r>
              <w:rPr>
                <w:rFonts w:ascii="Courier New" w:cs="Courier New" w:eastAsia="Courier New" w:hAnsi="Courier New"/>
                <w:sz w:val="15"/>
                <w:szCs w:val="15"/>
                <w:color w:val="auto"/>
                <w:w w:val="94"/>
              </w:rPr>
              <w:t>Revenues..................................................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$12,460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$21,112</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4"/>
              </w:rPr>
              <w:t>Cost of goods sold from electronic retailing..............</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2,793</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2,793</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4"/>
              </w:rPr>
              <w:t>Operating, selling, general and administrative expenses...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5,976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12,962</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4"/>
              </w:rPr>
              <w:t>amortization (a).......................................</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5,357</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4"/>
              </w:rPr>
              <w:t>Depreciation and amortization.............................</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2,032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2,602</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4,774</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4"/>
              </w:rPr>
              <w:t>Operating income..........................................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$583</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tcPr>
          <w:p>
            <w:pPr>
              <w:spacing w:after="0"/>
              <w:rPr>
                <w:sz w:val="24"/>
                <w:szCs w:val="24"/>
                <w:color w:val="auto"/>
              </w:rPr>
            </w:pPr>
          </w:p>
        </w:tc>
      </w:tr>
      <w:tr>
        <w:trPr>
          <w:trHeight w:val="171"/>
        </w:trPr>
        <w:tc>
          <w:tcPr>
            <w:tcW w:w="4960" w:type="dxa"/>
            <w:vAlign w:val="bottom"/>
          </w:tcPr>
          <w:p>
            <w:pPr>
              <w:spacing w:after="0"/>
              <w:rPr>
                <w:sz w:val="14"/>
                <w:szCs w:val="14"/>
                <w:color w:val="auto"/>
              </w:rPr>
            </w:pPr>
          </w:p>
        </w:tc>
        <w:tc>
          <w:tcPr>
            <w:tcW w:w="4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September 30,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Consolidated Pro Forma Results</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$5,036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$5,167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$5,181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$5,728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8"/>
              </w:rPr>
              <w:t>retailing............................................</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890</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8"/>
              </w:rPr>
              <w:t>administrative expenses .............................</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3,153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3,501</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8"/>
              </w:rPr>
              <w:t>and amortization (a).................................</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$1,337</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December 31, 2002</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Cable Segment Pro Forma Reconciliation</w:t>
            </w:r>
          </w:p>
        </w:tc>
        <w:tc>
          <w:tcPr>
            <w:tcW w:w="112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Comcast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Broadband</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$7,350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$8,693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$16,043</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4,552</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7,023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11,575</w:t>
            </w:r>
          </w:p>
        </w:tc>
      </w:tr>
      <w:tr>
        <w:trPr>
          <w:trHeight w:val="171"/>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 amortization (a).........</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$4,468</w:t>
            </w:r>
          </w:p>
        </w:tc>
      </w:tr>
      <w:tr>
        <w:trPr>
          <w:trHeight w:val="171"/>
        </w:trPr>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tcPr>
          <w:p>
            <w:pPr>
              <w:spacing w:after="0"/>
              <w:rPr>
                <w:sz w:val="24"/>
                <w:szCs w:val="24"/>
                <w:color w:val="auto"/>
              </w:rPr>
            </w:pPr>
          </w:p>
        </w:tc>
      </w:tr>
      <w:tr>
        <w:trPr>
          <w:trHeight w:val="171"/>
        </w:trPr>
        <w:tc>
          <w:tcPr>
            <w:tcW w:w="4960" w:type="dxa"/>
            <w:vAlign w:val="bottom"/>
          </w:tcPr>
          <w:p>
            <w:pPr>
              <w:spacing w:after="0"/>
              <w:rPr>
                <w:sz w:val="14"/>
                <w:szCs w:val="14"/>
                <w:color w:val="auto"/>
              </w:rPr>
            </w:pPr>
          </w:p>
        </w:tc>
        <w:tc>
          <w:tcPr>
            <w:tcW w:w="4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9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September 30,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Cable Segment Pro Forma Results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4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$3,845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$4,011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$4,151</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8"/>
              </w:rPr>
              <w:t>administrative expenses..............................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2,833</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3,103</w:t>
            </w:r>
          </w:p>
        </w:tc>
      </w:tr>
      <w:tr>
        <w:trPr>
          <w:trHeight w:val="171"/>
        </w:trPr>
        <w:tc>
          <w:tcPr>
            <w:tcW w:w="4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8"/>
              </w:rPr>
              <w:t>and amortization (a).................................</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$1,045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$1,048</w:t>
            </w:r>
          </w:p>
        </w:tc>
      </w:tr>
      <w:tr>
        <w:trPr>
          <w:trHeight w:val="171"/>
        </w:trPr>
        <w:tc>
          <w:tcPr>
            <w:tcW w:w="4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_______________</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(a) See footnote (1) on page 29.</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3"/>
        </w:trPr>
        <w:tc>
          <w:tcPr>
            <w:tcW w:w="4960" w:type="dxa"/>
            <w:vAlign w:val="bottom"/>
          </w:tcPr>
          <w:p>
            <w:pPr>
              <w:ind w:left="3280"/>
              <w:spacing w:after="0"/>
              <w:rPr>
                <w:sz w:val="20"/>
                <w:szCs w:val="20"/>
                <w:color w:val="auto"/>
              </w:rPr>
            </w:pPr>
            <w:r>
              <w:rPr>
                <w:rFonts w:ascii="Courier New" w:cs="Courier New" w:eastAsia="Courier New" w:hAnsi="Courier New"/>
                <w:sz w:val="15"/>
                <w:szCs w:val="15"/>
                <w:color w:val="auto"/>
              </w:rPr>
              <w:t>- 36 -</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28" w:right="1440" w:bottom="628" w:gutter="0" w:footer="0" w:header="0"/>
        </w:sectPr>
      </w:pPr>
    </w:p>
    <w:bookmarkStart w:id="45" w:name="page46"/>
    <w:bookmarkEnd w:id="45"/>
    <w:p>
      <w:pPr>
        <w:spacing w:after="0"/>
        <w:tabs>
          <w:tab w:leader="none" w:pos="12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audited the accompanying consolidated balance sheet of Comcast Corporation (formerly known as AT&amp;T Comcast Corporation) and its subsidiaries (the "Company") as of December 31, 2002 and 2001, and the related consolidated statements of operations,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Comcast Corporation and its subsidiaries as of December 31, 2002 and 2001, and the results of their operations and their cash flows for each of the three years in the period ended December 31, 2002, in conformity with accounting principles generally accepted in the United States of America.</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As discussed in Note 2 to the consolidated financial statements, the Company adopted Statement of Financial Accounting Standards No. 133, "Accounting for Derivative Instruments and Hedging Activities," as amended, effective January 1, 2001, and Statement of Financial Accounting Standards No. 142, "Goodwill and Other Intangible Assets," effective January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2003</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628"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24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3,266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 accounts of $233 and $154</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1,383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Assets held for sale.......................................................</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613</w:t>
            </w:r>
          </w:p>
        </w:tc>
        <w:tc>
          <w:tcPr>
            <w:tcW w:w="1160" w:type="dxa"/>
            <w:vAlign w:val="bottom"/>
          </w:tcPr>
          <w:p>
            <w:pPr>
              <w:spacing w:after="0"/>
              <w:rPr>
                <w:sz w:val="14"/>
                <w:szCs w:val="14"/>
                <w:color w:val="auto"/>
              </w:rPr>
            </w:pP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7,076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4,678</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INVESTMENTS...................................................................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15,207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1,679</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PROPERTY AND EQUIPMENT, net of accumulated depreciation of $4,061 and  $2,726.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18,866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7,011</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FRANCHISE RIGHTS..............................................................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48,222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16,533</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GOODWILL......................................................................</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6,289</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OTHER INTANGIBLE ASSETS, net of accumulated amortization of $1,022 and $665...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1,687</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OTHER NONCURRENT ASSETS, net..................................................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384</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$113,105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$38,261</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$1,663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1,661</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Liabilities related to assets held for sale................................</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w:t>
            </w: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Short-term debt............................................................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3,750</w:t>
            </w: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Current portion of long-term debt..........................................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3,203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15,383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3,223</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LONG-TERM DEBT, less current portion..........................................</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27,957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11,742</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DEFERRED INCOME TAXES.........................................................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23,110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6,376</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OTHER NONCURRENT LIABILITIES..................................................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5,652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1,567</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MINORITY INTEREST.............................................................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13)</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Preferred stock - authorized 20,000,000 shares; issued, zero...............</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Class A common stock, $0.01 par value - authorized,</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7,500,000,000 shares; issued, 1,599,014,148 and 21,829,422;</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outstanding, 1,355,373,648 and 21,829,422 ...............................</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spacing w:after="0"/>
              <w:rPr>
                <w:sz w:val="14"/>
                <w:szCs w:val="14"/>
                <w:color w:val="auto"/>
              </w:rPr>
            </w:pP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common stock, $0.01 par value - authorized,</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7,500,000,000 shares; issued 930,633,433 and 937,256,465; outstanding,</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883,343,590 and 913,931,554..............................................</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Class B common stock, $0.01 par value - authorized, 75,000,000 shares;</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issued, 9,444,375........................................................</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Additional capital.........................................................</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44,620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12,688</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Retained earnings..........................................................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1,340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1,632</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w w:val="98"/>
              </w:rPr>
              <w:t>Treasury stock, 243,640,500 Class A common shares and 47,289,843 Class A special</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common shares..............................................................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(7,517)</w:t>
            </w:r>
          </w:p>
        </w:tc>
        <w:tc>
          <w:tcPr>
            <w:tcW w:w="1160" w:type="dxa"/>
            <w:vAlign w:val="bottom"/>
          </w:tcPr>
          <w:p>
            <w:pPr>
              <w:spacing w:after="0"/>
              <w:rPr>
                <w:sz w:val="14"/>
                <w:szCs w:val="14"/>
                <w:color w:val="auto"/>
              </w:rPr>
            </w:pP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stockholders' equity.............................................</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38,329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14,473</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$113,105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$38,261</w:t>
            </w:r>
          </w:p>
        </w:tc>
      </w:tr>
      <w:tr>
        <w:trPr>
          <w:trHeight w:val="171"/>
        </w:trPr>
        <w:tc>
          <w:tcPr>
            <w:tcW w:w="7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19"/>
          </w:cols>
          <w:pgMar w:left="240" w:top="628"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26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794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$8,079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$5,919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$4,821</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4,381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3,917</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3,536</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12,460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9,836</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8,357</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3,511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2,906</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2,210</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2,514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2,285</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1,746</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1,404</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1,211</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837</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2,205</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1,782</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10,801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10,582</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8,518</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INCOME (LOSS)..................................................................</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1,062</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984</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Income related to indexed debt........................................................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Equity in net losses of affiliates....................................................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1,301</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2,826</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3,726</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 MINORITY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INTEREST AND CUMULATIVE EFFECT OF ACCOUNTING CHANGE...................................</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3,565</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MINORITY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INTEREST AND CUMULATIVE EFFECT OF ACCOUNTING CHANGE...................................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2,136</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MINORITY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CUMULATIVE EFFECT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OF ACCOUNTING CHANGE.................................................................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DISCONTINUED OPERATIONS..................................................................</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(LOSS) BEFORE CUMULATIVE EFFECT OF ACCOUNTING CHANGE..............................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CUMULATIVE EFFECT OF ACCOUNTING CHANGE...................................................</w:t>
            </w:r>
          </w:p>
        </w:tc>
        <w:tc>
          <w:tcPr>
            <w:tcW w:w="88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385</w:t>
            </w:r>
          </w:p>
        </w:tc>
        <w:tc>
          <w:tcPr>
            <w:tcW w:w="860" w:type="dxa"/>
            <w:vAlign w:val="bottom"/>
          </w:tcPr>
          <w:p>
            <w:pPr>
              <w:spacing w:after="0"/>
              <w:rPr>
                <w:sz w:val="14"/>
                <w:szCs w:val="14"/>
                <w:color w:val="auto"/>
              </w:rPr>
            </w:pP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 continuing operations before cumulative effect of accounting change</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0.40</w:t>
            </w:r>
          </w:p>
        </w:tc>
        <w:tc>
          <w:tcPr>
            <w:tcW w:w="860" w:type="dxa"/>
            <w:vAlign w:val="bottom"/>
          </w:tcPr>
          <w:p>
            <w:pPr>
              <w:spacing w:after="0"/>
              <w:rPr>
                <w:sz w:val="14"/>
                <w:szCs w:val="14"/>
                <w:color w:val="auto"/>
              </w:rPr>
            </w:pP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 continuing operations before cumulative effect of accounting change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$0.23</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0.40</w:t>
            </w:r>
          </w:p>
        </w:tc>
        <w:tc>
          <w:tcPr>
            <w:tcW w:w="860" w:type="dxa"/>
            <w:vAlign w:val="bottom"/>
          </w:tcPr>
          <w:p>
            <w:pPr>
              <w:spacing w:after="0"/>
              <w:rPr>
                <w:sz w:val="14"/>
                <w:szCs w:val="14"/>
                <w:color w:val="auto"/>
              </w:rPr>
            </w:pP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$0.63</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79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560"/>
          </w:cols>
          <w:pgMar w:left="240" w:top="628" w:right="109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320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jc w:val="right"/>
              <w:ind w:right="4806"/>
              <w:spacing w:after="0"/>
              <w:rPr>
                <w:sz w:val="20"/>
                <w:szCs w:val="20"/>
                <w:color w:val="auto"/>
              </w:rPr>
            </w:pPr>
            <w:r>
              <w:rPr>
                <w:rFonts w:ascii="Courier New" w:cs="Courier New" w:eastAsia="Courier New" w:hAnsi="Courier New"/>
                <w:sz w:val="15"/>
                <w:szCs w:val="15"/>
                <w:color w:val="auto"/>
                <w:w w:val="96"/>
              </w:rPr>
              <w:t>OPERATING ACTIVITIES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$2,021</w:t>
            </w:r>
          </w:p>
        </w:tc>
      </w:tr>
      <w:tr>
        <w:trPr>
          <w:trHeight w:val="171"/>
        </w:trPr>
        <w:tc>
          <w:tcPr>
            <w:tcW w:w="6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ind w:left="440"/>
              <w:spacing w:after="0"/>
              <w:rPr>
                <w:sz w:val="20"/>
                <w:szCs w:val="20"/>
                <w:color w:val="auto"/>
              </w:rPr>
            </w:pPr>
            <w:r>
              <w:rPr>
                <w:rFonts w:ascii="Courier New" w:cs="Courier New" w:eastAsia="Courier New" w:hAnsi="Courier New"/>
                <w:sz w:val="15"/>
                <w:szCs w:val="15"/>
                <w:color w:val="auto"/>
              </w:rPr>
              <w:t>by operating activities from continuing operations: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Depreciation.......................................................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837</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Amortization.......................................................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Non-cash interest expense, net.....................................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Non-cash income related to indexed debt............................</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Equity in net losses of affiliates.................................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Losses (gains) on investments and other (income) expense, net......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Minority interest..................................................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Cumulative effect of accounting change.............................</w:t>
            </w:r>
          </w:p>
        </w:tc>
        <w:tc>
          <w:tcPr>
            <w:tcW w:w="10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(385)</w:t>
            </w: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1,075</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Proceeds from sales of trading securities..........................</w:t>
            </w: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w:t>
            </w: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1,584</w:t>
            </w:r>
          </w:p>
        </w:tc>
      </w:tr>
      <w:tr>
        <w:trPr>
          <w:trHeight w:val="171"/>
        </w:trPr>
        <w:tc>
          <w:tcPr>
            <w:tcW w:w="6640" w:type="dxa"/>
            <w:vAlign w:val="bottom"/>
          </w:tcPr>
          <w:p>
            <w:pPr>
              <w:ind w:left="440"/>
              <w:spacing w:after="0"/>
              <w:rPr>
                <w:sz w:val="20"/>
                <w:szCs w:val="20"/>
                <w:color w:val="auto"/>
              </w:rPr>
            </w:pPr>
            <w:r>
              <w:rPr>
                <w:rFonts w:ascii="Courier New" w:cs="Courier New" w:eastAsia="Courier New" w:hAnsi="Courier New"/>
                <w:sz w:val="15"/>
                <w:szCs w:val="15"/>
                <w:color w:val="auto"/>
              </w:rPr>
              <w:t>Changes in working capital, net of effects of acquisitions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jc w:val="right"/>
              <w:ind w:right="4626"/>
              <w:spacing w:after="0"/>
              <w:rPr>
                <w:sz w:val="20"/>
                <w:szCs w:val="20"/>
                <w:color w:val="auto"/>
              </w:rPr>
            </w:pPr>
            <w:r>
              <w:rPr>
                <w:rFonts w:ascii="Courier New" w:cs="Courier New" w:eastAsia="Courier New" w:hAnsi="Courier New"/>
                <w:sz w:val="15"/>
                <w:szCs w:val="15"/>
                <w:color w:val="auto"/>
              </w:rPr>
              <w:t>and divestitures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Decrease (increase) in accounts receivable, net..................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Increase in inventories, net.....................................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(Increase) decrease in other current assets......................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r>
        <w:trPr>
          <w:trHeight w:val="171"/>
        </w:trPr>
        <w:tc>
          <w:tcPr>
            <w:tcW w:w="6640" w:type="dxa"/>
            <w:vAlign w:val="bottom"/>
          </w:tcPr>
          <w:p>
            <w:pPr>
              <w:ind w:left="620"/>
              <w:spacing w:after="0"/>
              <w:rPr>
                <w:sz w:val="20"/>
                <w:szCs w:val="20"/>
                <w:color w:val="auto"/>
              </w:rPr>
            </w:pPr>
            <w:r>
              <w:rPr>
                <w:rFonts w:ascii="Courier New" w:cs="Courier New" w:eastAsia="Courier New" w:hAnsi="Courier New"/>
                <w:sz w:val="15"/>
                <w:szCs w:val="15"/>
                <w:color w:val="auto"/>
                <w:w w:val="99"/>
              </w:rPr>
              <w:t>Increase (decrease) in accounts payable, accrued expenses and other</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34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Discontinued operations............................................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ind w:left="620"/>
              <w:spacing w:after="0"/>
              <w:rPr>
                <w:sz w:val="20"/>
                <w:szCs w:val="20"/>
                <w:color w:val="auto"/>
              </w:rPr>
            </w:pPr>
            <w:r>
              <w:rPr>
                <w:rFonts w:ascii="Courier New" w:cs="Courier New" w:eastAsia="Courier New" w:hAnsi="Courier New"/>
                <w:sz w:val="15"/>
                <w:szCs w:val="15"/>
                <w:color w:val="auto"/>
                <w:w w:val="98"/>
              </w:rPr>
              <w:t>Net cash provided by operating activities from continuing operations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2,995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jc w:val="right"/>
              <w:ind w:right="4806"/>
              <w:spacing w:after="0"/>
              <w:rPr>
                <w:sz w:val="20"/>
                <w:szCs w:val="20"/>
                <w:color w:val="auto"/>
              </w:rPr>
            </w:pPr>
            <w:r>
              <w:rPr>
                <w:rFonts w:ascii="Courier New" w:cs="Courier New" w:eastAsia="Courier New" w:hAnsi="Courier New"/>
                <w:sz w:val="15"/>
                <w:szCs w:val="15"/>
                <w:color w:val="auto"/>
                <w:w w:val="96"/>
              </w:rPr>
              <w:t>FINANCING ACTIVITIES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Proceeds from borrowings.............................................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8,759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5,687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5,435</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Retirements and repayments of debt...................................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(9,808)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(5,356)</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Proceeds from settlement of interest rate exchange agreements........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Issuances of common stock and sales of put options on common stock...</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Repurchases of common stock..........................................</w:t>
            </w:r>
          </w:p>
        </w:tc>
        <w:tc>
          <w:tcPr>
            <w:tcW w:w="10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Equity contributions from a minority partner to a subsidiary.........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Deferred financing costs.............................................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provided by financing activities from</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continuing operations.........................................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(1,292)</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jc w:val="right"/>
              <w:ind w:right="4806"/>
              <w:spacing w:after="0"/>
              <w:rPr>
                <w:sz w:val="20"/>
                <w:szCs w:val="20"/>
                <w:color w:val="auto"/>
              </w:rPr>
            </w:pPr>
            <w:r>
              <w:rPr>
                <w:rFonts w:ascii="Courier New" w:cs="Courier New" w:eastAsia="Courier New" w:hAnsi="Courier New"/>
                <w:sz w:val="15"/>
                <w:szCs w:val="15"/>
                <w:color w:val="auto"/>
                <w:w w:val="96"/>
              </w:rPr>
              <w:t>INVESTING ACTIVITIES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Acquisitions, net of cash acquired...................................</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1,028</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Capital contributions to and purchases of investments................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(1,011)</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Proceeds from sales and settlements of investments...................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806</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997</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Capital expenditures.................................................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(1,975)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17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cash used in investing activities from continuing operations.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(1,272)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34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923</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w:t>
            </w:r>
          </w:p>
        </w:tc>
      </w:tr>
      <w:tr>
        <w:trPr>
          <w:trHeight w:val="171"/>
        </w:trPr>
        <w:tc>
          <w:tcPr>
            <w:tcW w:w="6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19"/>
          </w:cols>
          <w:pgMar w:left="240" w:top="628" w:right="1440" w:bottom="1440" w:gutter="0" w:footer="0" w:header="0"/>
        </w:sectPr>
      </w:pPr>
    </w:p>
    <w:bookmarkStart w:id="49" w:name="page50"/>
    <w:bookmarkEnd w:id="49"/>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Accumulated Other</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Comprehensive</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Income (Loss)</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Retained</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88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Unreal-</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Cumul-</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Series B</w:t>
            </w: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(Accumu-</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Treasury</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ized</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ative</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7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Class A</w:t>
            </w:r>
          </w:p>
        </w:tc>
        <w:tc>
          <w:tcPr>
            <w:tcW w:w="5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Additional</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lated</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Gains</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Translation</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Preferred</w:t>
            </w:r>
          </w:p>
        </w:tc>
        <w:tc>
          <w:tcPr>
            <w:tcW w:w="302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w w:val="98"/>
              </w:rPr>
              <w:t>Class A Special Class B Capital</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Deficit)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At Cost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(Losses)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7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BALANCE, JANUARY 1, 2000 .....</w:t>
            </w: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$570</w:t>
            </w:r>
          </w:p>
        </w:tc>
        <w:tc>
          <w:tcPr>
            <w:tcW w:w="7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$4,271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($620)</w:t>
            </w:r>
          </w:p>
        </w:tc>
        <w:tc>
          <w:tcPr>
            <w:tcW w:w="88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$6,120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$10,341</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Net income...................</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2,021</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Unrealized losses 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net of deferred taxes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of $2,789...................</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(5,180)</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Reclassification 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for gains included in net</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income, net of deferred</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taxes of $266...............</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Total comprehensive loss......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(3,659)</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7,739</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7,741</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compensation plans.....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Retirement of common stock...</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(274)</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Conversion of Series B</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preferred...................</w:t>
            </w: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(533)</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533</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Series B preferred dividends.</w:t>
            </w: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Share exchange...............</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Temporary equity related to</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put options.................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27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2000....</w:t>
            </w: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c>
          <w:tcPr>
            <w:tcW w:w="7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12,529</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1,055</w:t>
            </w:r>
          </w:p>
        </w:tc>
        <w:tc>
          <w:tcPr>
            <w:tcW w:w="88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446</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14,086</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Net income...................</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609</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Unrealized gains 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net of deferred taxes of</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$114........................</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Reclassification 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for gains included in net</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income, net of deferred</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taxes of $264...............</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Unrealized losses 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effective portion of cash</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flow hedges, net of deferred</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taxes of $0.3...............</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Total comprehensive income....</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compensation plans.....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Retirement of common stock...</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Conversion of Series B</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preferred...................</w:t>
            </w: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(60)</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Temporary equity related to</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put options.................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w:t>
            </w:r>
          </w:p>
        </w:tc>
      </w:tr>
      <w:tr>
        <w:trPr>
          <w:trHeight w:val="171"/>
        </w:trPr>
        <w:tc>
          <w:tcPr>
            <w:tcW w:w="27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2001....</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12,688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1,632</w:t>
            </w:r>
          </w:p>
        </w:tc>
        <w:tc>
          <w:tcPr>
            <w:tcW w:w="88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14,473</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Unrealized losses 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marketable securities, net</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of deferred taxes of $165...</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Reclassification 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for losses included in net</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loss, net of deferred taxes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of $92......................</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Unrealized losses 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effective portion of cash</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rPr>
              <w:t>flow hedges, net of</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taxes of $79.......</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9"/>
              </w:rPr>
              <w:t>adjustments.................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Total comprehensive loss......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(557)</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11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31,870</w:t>
            </w:r>
          </w:p>
        </w:tc>
        <w:tc>
          <w:tcPr>
            <w:tcW w:w="9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(7,517)</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24,369</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compensation plans.....</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w w:val="99"/>
              </w:rPr>
              <w:t>Employee stock purchase plan.</w:t>
            </w: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7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2002....</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c>
          <w:tcPr>
            <w:tcW w:w="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$44,620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$38,329</w:t>
            </w:r>
          </w:p>
        </w:tc>
      </w:tr>
      <w:tr>
        <w:trPr>
          <w:trHeight w:val="171"/>
        </w:trPr>
        <w:tc>
          <w:tcPr>
            <w:tcW w:w="2700" w:type="dxa"/>
            <w:vAlign w:val="bottom"/>
          </w:tcPr>
          <w:p>
            <w:pPr>
              <w:spacing w:after="0"/>
              <w:rPr>
                <w:sz w:val="14"/>
                <w:szCs w:val="14"/>
                <w:color w:val="auto"/>
              </w:rPr>
            </w:pPr>
          </w:p>
        </w:tc>
        <w:tc>
          <w:tcPr>
            <w:tcW w:w="5940" w:type="dxa"/>
            <w:vAlign w:val="bottom"/>
            <w:gridSpan w:val="7"/>
          </w:tcPr>
          <w:p>
            <w:pPr>
              <w:jc w:val="right"/>
              <w:ind w:right="46"/>
              <w:spacing w:after="0"/>
              <w:rPr>
                <w:sz w:val="20"/>
                <w:szCs w:val="20"/>
                <w:color w:val="auto"/>
              </w:rPr>
            </w:pPr>
            <w:r>
              <w:rPr>
                <w:rFonts w:ascii="Courier New" w:cs="Courier New" w:eastAsia="Courier New" w:hAnsi="Courier New"/>
                <w:sz w:val="15"/>
                <w:szCs w:val="15"/>
                <w:color w:val="auto"/>
                <w:w w:val="99"/>
              </w:rPr>
              <w:t>============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1520"/>
          </w:cols>
          <w:pgMar w:left="240" w:top="628" w:right="139"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19"/>
          </w:cols>
          <w:pgMar w:left="240" w:top="821" w:right="1440" w:bottom="1440" w:gutter="0" w:footer="0" w:header="0"/>
        </w:sectPr>
      </w:pPr>
    </w:p>
    <w:bookmarkStart w:id="51" w:name="page52"/>
    <w:bookmarkEnd w:id="51"/>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ORGANIZATION AND BUSINESS</w:t>
      </w:r>
    </w:p>
    <w:p>
      <w:pPr>
        <w:spacing w:after="0" w:line="174" w:lineRule="exact"/>
        <w:rPr>
          <w:sz w:val="20"/>
          <w:szCs w:val="20"/>
          <w:color w:val="auto"/>
        </w:rPr>
      </w:pPr>
    </w:p>
    <w:p>
      <w:pPr>
        <w:jc w:val="both"/>
        <w:ind w:left="449" w:right="3119"/>
        <w:spacing w:after="0" w:line="259" w:lineRule="auto"/>
        <w:rPr>
          <w:sz w:val="20"/>
          <w:szCs w:val="20"/>
          <w:color w:val="auto"/>
        </w:rPr>
      </w:pPr>
      <w:r>
        <w:rPr>
          <w:rFonts w:ascii="Courier New" w:cs="Courier New" w:eastAsia="Courier New" w:hAnsi="Courier New"/>
          <w:sz w:val="14"/>
          <w:szCs w:val="14"/>
          <w:color w:val="auto"/>
        </w:rPr>
        <w:t>Comcast Corporation (formerly AT&amp;T Comcast Corporation) and its subsidiaries (the "Company") was incorporated in December 2001 to effect the acquisition of AT&amp;T Corp.'s ("AT&amp;T") broadband division ("Broadband"). On November 18, 2002, the Company, Comcast Holdings Corporation (formerly Comcast Corporation) ("Comcast Holdings") and AT&amp;T completed a transaction that resulted in the combination of Comcast Holdings and Broadband (the "Broadband acquisition"). Upon completion of the Broadband acquisition, Comcast Holdings and Broadband are wholly owned subsidiaries of the Company, with Comcast Holdings as the predecessor to the Company. Accordingly, the accompanying financial statements include the results of Comcast Holdings for all periods presented and the results of Broadband from the date of the Broadband acquisition (see Note 5).</w:t>
      </w:r>
    </w:p>
    <w:p>
      <w:pPr>
        <w:spacing w:after="0" w:line="336" w:lineRule="exact"/>
        <w:rPr>
          <w:sz w:val="20"/>
          <w:szCs w:val="20"/>
          <w:color w:val="auto"/>
        </w:rPr>
      </w:pPr>
    </w:p>
    <w:p>
      <w:pPr>
        <w:jc w:val="both"/>
        <w:ind w:left="449" w:right="3119"/>
        <w:spacing w:after="0" w:line="238" w:lineRule="auto"/>
        <w:rPr>
          <w:sz w:val="20"/>
          <w:szCs w:val="20"/>
          <w:color w:val="auto"/>
        </w:rPr>
      </w:pPr>
      <w:r>
        <w:rPr>
          <w:rFonts w:ascii="Courier New" w:cs="Courier New" w:eastAsia="Courier New" w:hAnsi="Courier New"/>
          <w:sz w:val="15"/>
          <w:szCs w:val="15"/>
          <w:color w:val="auto"/>
        </w:rPr>
        <w:t>The Company is involved in three principal lines of business: cable, commerce and content.</w:t>
      </w:r>
    </w:p>
    <w:p>
      <w:pPr>
        <w:spacing w:after="0" w:line="17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Company's cable business is principally involved in the development, management and operation of broadband communications networks in the United States. The Company's consolidated cable operations served approximately 21.3 million subscribers and passed approximately 39.1 million homes as of December 31, 2002.</w:t>
      </w:r>
    </w:p>
    <w:p>
      <w:pPr>
        <w:spacing w:after="0" w:line="174"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Company conducts its commerce business through its consolidated subsidiary, QVC, Inc. ("QVC"). QVC, an electronic retailer, markets a wide variety of products directly to consumers primarily on merchandise-focused television programs. QVC was available, on a full and part-time basis, to approximately 85.9 million homes in the US, approximately 11.4 million homes in the United Kingdom ("UK"), approximately 25.8 million homes in Germany and approximately 8.4 million homes in Japan as of December 31, 2002.</w:t>
      </w:r>
    </w:p>
    <w:p>
      <w:pPr>
        <w:spacing w:after="0" w:line="177"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Company's content business is provided through the Company's consolidated subsidiaries, including Comcast Spectacor, E! Entertainment Television, Inc. ("E! Entertainment"), The Golf Channel ("TGC"), Outdoor Life Network ("OLN") and G4 Media, LLC ("G4"), and through other programming investments (see Note 5). The Company's content business also includes the Company's three 24-hour regional sports programming networks, Comcast SportsNet ("CSN"), Comcast SportsNet Mid-Atlantic ("CSN Mid-Atlantic") and Cable Sports Southeast ("CSS"). The Company's regional sports programming networks are included in the Company's cable segment as they derive a substantial portion of their revenues from the Company's cable operations and are managed by cable segment management.</w:t>
      </w:r>
    </w:p>
    <w:p>
      <w:pPr>
        <w:spacing w:after="0" w:line="179"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The Company's cable and commerce operations represent the Company's two reportable segments under accounting principles generally accepted in the United States. See Note 14 for a summary of the Company's financial data by business segment.</w:t>
      </w:r>
    </w:p>
    <w:p>
      <w:pPr>
        <w:spacing w:after="0" w:line="174" w:lineRule="exact"/>
        <w:rPr>
          <w:sz w:val="20"/>
          <w:szCs w:val="20"/>
          <w:color w:val="auto"/>
        </w:rPr>
      </w:pPr>
    </w:p>
    <w:p>
      <w:pPr>
        <w:ind w:left="449" w:hanging="449"/>
        <w:spacing w:after="0"/>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3"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Interest Entities</w:t>
      </w:r>
    </w:p>
    <w:p>
      <w:pPr>
        <w:spacing w:after="0" w:line="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its  interests in variable  interest  entities in</w:t>
      </w:r>
    </w:p>
    <w:p>
      <w:pPr>
        <w:spacing w:after="0" w:line="12"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Financial Accounting Standards Board ("FASB") Interpretation No. 46, "Consolidation of Variable Interest Entities" ("FIN 46"). The Company consolidates all variable interest entities for which it is the primary beneficiary and for which the entities do not effectively disperse risks among parties involved. Variable interest entities that effectively disperse risks are not consolidated unless the Company holds an interest or combination of interests that effectively recombines risks that were previously dispersed. The Company adopted the initial recognition and measurement provisions of FIN</w:t>
      </w:r>
    </w:p>
    <w:p>
      <w:pPr>
        <w:spacing w:after="0" w:line="174"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w:t>
      </w:r>
    </w:p>
    <w:p>
      <w:pPr>
        <w:sectPr>
          <w:pgSz w:w="11900" w:h="16838" w:orient="portrait"/>
          <w:cols w:equalWidth="0" w:num="1">
            <w:col w:w="10228"/>
          </w:cols>
          <w:pgMar w:left="231" w:top="628"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hanging="5"/>
        <w:spacing w:after="0" w:line="239" w:lineRule="auto"/>
        <w:tabs>
          <w:tab w:leader="none" w:pos="79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2002, as permitted by the Interpretation. The adoption of FIN 46 had no impact on the Company's financial condition or results of operations.</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Following the Broadband acquisition, the Company consolidates variable interest entities that lease certain office and call center facilities to a subsidiary of the Company under operating leases which mature between 2004 and 2006. The property and debt of the variable interest entities included in the Company's consolidated balance sheet as of December 31, 2002 was not material to the Company's consolidated financial position.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Management's Use of Estimates</w:t>
      </w:r>
    </w:p>
    <w:p>
      <w:pPr>
        <w:spacing w:after="0" w:line="3"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w:t>
      </w:r>
    </w:p>
    <w:p>
      <w:pPr>
        <w:spacing w:after="0" w:line="1"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obsolescence, investments and derivative financial instruments, depreciation and amortization, asset impairment, non-monetary transactions, certain acquisition-related liabilities, pensions and other postretirement benefits, income taxes and contingencies.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Values</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2002 and 2001. The Company has not comprehensively updated these fair value estimates for purposes of these consolidated financial statements since such dates.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consist principally of equity securities.</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and impairment losses resulting from adjustments to net realizable value. Prior to the adoption of Statement of Financial Accounting Standards ("SFAS") No. 142, "Goodwill and Other Intangible Assets" ("SFAS No. 142") on January 1, 2002, the goodwill resulting from differences between the Company's recorded investments and its proportionate interests in the book value of the investees' net assets were amortized to equity in net income or loss, primarily over a period of 20 years. Subsequent to the adoption of SFAS No. 142, the Company no longer amortizes such equity method goodwill (see Note 7).</w:t>
      </w:r>
    </w:p>
    <w:p>
      <w:pPr>
        <w:spacing w:after="0" w:line="35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19"/>
          </w:cols>
          <w:pgMar w:left="240" w:top="628"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Unrealized gains or losses resulting from changes in fair value between measurement dates for trading securities are recorded as a component of investment income (expense). Cash flows from all trading securities are classified as cash flows from operating activities while cash flows from all other investment securities are classified as cash flows from investing activities in the Company's statement of cash flows.</w:t>
      </w:r>
    </w:p>
    <w:p>
      <w:pPr>
        <w:spacing w:after="0" w:line="179"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diminution in value (see Note 6).</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1" w:lineRule="exact"/>
        <w:rPr>
          <w:sz w:val="20"/>
          <w:szCs w:val="20"/>
          <w:color w:val="auto"/>
        </w:rPr>
      </w:pPr>
    </w:p>
    <w:p>
      <w:pPr>
        <w:ind w:left="440"/>
        <w:spacing w:after="0"/>
        <w:tabs>
          <w:tab w:leader="none" w:pos="860" w:val="left"/>
          <w:tab w:leader="none" w:pos="1660" w:val="left"/>
          <w:tab w:leader="none" w:pos="2460" w:val="left"/>
          <w:tab w:leader="none" w:pos="3340" w:val="left"/>
          <w:tab w:leader="none" w:pos="3780" w:val="left"/>
          <w:tab w:leader="none" w:pos="4760" w:val="left"/>
          <w:tab w:leader="none" w:pos="5660" w:val="left"/>
          <w:tab w:leader="none" w:pos="6900" w:val="left"/>
        </w:tabs>
        <w:rPr>
          <w:sz w:val="20"/>
          <w:szCs w:val="20"/>
          <w:color w:val="auto"/>
        </w:rPr>
      </w:pPr>
      <w:r>
        <w:rPr>
          <w:rFonts w:ascii="Courier New" w:cs="Courier New" w:eastAsia="Courier New" w:hAnsi="Courier New"/>
          <w:sz w:val="15"/>
          <w:szCs w:val="15"/>
          <w:color w:val="auto"/>
        </w:rPr>
        <w:t>The</w:t>
        <w:tab/>
        <w:t>Company</w:t>
        <w:tab/>
        <w:t>records</w:t>
        <w:tab/>
        <w:t>property</w:t>
        <w:tab/>
        <w:t>and</w:t>
        <w:tab/>
        <w:t>equipment</w:t>
        <w:tab/>
        <w:t>at cost.</w:t>
        <w:tab/>
        <w:t>Depreciation</w:t>
        <w:tab/>
        <w:t>is</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provided</w:t>
            </w:r>
          </w:p>
        </w:tc>
        <w:tc>
          <w:tcPr>
            <w:tcW w:w="2900" w:type="dxa"/>
            <w:vAlign w:val="bottom"/>
          </w:tcPr>
          <w:p>
            <w:pPr>
              <w:ind w:left="140"/>
              <w:spacing w:after="0"/>
              <w:rPr>
                <w:sz w:val="20"/>
                <w:szCs w:val="20"/>
                <w:color w:val="auto"/>
              </w:rPr>
            </w:pPr>
            <w:r>
              <w:rPr>
                <w:rFonts w:ascii="Courier New" w:cs="Courier New" w:eastAsia="Courier New" w:hAnsi="Courier New"/>
                <w:sz w:val="15"/>
                <w:szCs w:val="15"/>
                <w:color w:val="auto"/>
              </w:rPr>
              <w:t>by the  straight-line  method</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over  estimated  useful</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lives  as</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follows:</w:t>
            </w: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3"/>
                <w:szCs w:val="13"/>
                <w:color w:val="auto"/>
                <w:w w:val="70"/>
              </w:rPr>
              <w:t>Buildings and improvements.........................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740" w:type="dxa"/>
            <w:vAlign w:val="bottom"/>
          </w:tcPr>
          <w:p>
            <w:pPr>
              <w:spacing w:after="0"/>
              <w:rPr>
                <w:sz w:val="14"/>
                <w:szCs w:val="14"/>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3"/>
                <w:szCs w:val="13"/>
                <w:color w:val="auto"/>
                <w:w w:val="70"/>
              </w:rPr>
              <w:t>Operating facilities...............................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740" w:type="dxa"/>
            <w:vAlign w:val="bottom"/>
          </w:tcPr>
          <w:p>
            <w:pPr>
              <w:spacing w:after="0"/>
              <w:rPr>
                <w:sz w:val="14"/>
                <w:szCs w:val="14"/>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3"/>
                <w:szCs w:val="13"/>
                <w:color w:val="auto"/>
                <w:w w:val="70"/>
              </w:rPr>
              <w:t>Other equipment....................................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capitalizes improvements that extend asset lives and expenses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17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Cable franchise rights represent the value attributed to agreements with local authorities that allow access to homes in cable service areas acquired in connection with a business combination. The Company capitalizes these contractual rights. Prior to the adoption of SFAS No. 142 on January 1, 2002, the Company amortized them over periods related to the term of the related franchise agreements. Subsequent to the adoption of SFAS No. 142, the Company no longer amortizes cable franchise rights as the Company has determined that they have an indefinite life. Costs incurred by the Company in negotiating and renewing cable franchise agreements are included in other intangible assets and are amortized on a straight-line basis over the term of the franchise renewal period, generally 10 to 15 years.</w:t>
      </w:r>
    </w:p>
    <w:p>
      <w:pPr>
        <w:spacing w:after="0" w:line="16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Prior to the adoption of SFAS No. 142 on January 1, 2002, the Company amortized goodwill over estimated useful lives ranging principally from 20 to 30 years. Subsequent to the adoption of SFAS No. 142, the Company no longer amortizes goodwill.</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Other intangible assets consist principally of franchise related customer relationships, cable and satellite television distribution rights, cable franchise renewal costs, contractual operating rights, computer software, programming costs and rights, and non-competition agreements. The Company capitalizes these costs and amortizes them on a straight-line basis over the term of the related agreements or estimated useful life.</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 The Company classifies the amortization of distribution fees paid by its content subsidiaries pursuant to Emerging Issues Task Force ("EITF") 01-9, "Accounting for Consideration Given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19"/>
          </w:cols>
          <w:pgMar w:left="240" w:top="628"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to a Customer (including a reseller of the Vendors Products"). Under EITF 01-9, the amortization of such fees is classified as a reduction of revenue unless the content subsidiary receives, or will receive, an identifiable benefit from the cable or satellite system operator separate from the distribution fee, in which case the Company recognizes the fair value of the identified benefit as an operating expense in the period in which it is received. The Company classifies the amortization of distribution fees paid by QVC as amortization expense as the counterparties to QVC's distribution agreements do not make revenue payments to QVC. Amortization expense includes $23 million, $24 million and $28 million for 2002, 2001 and 2000, respectively, related to QVC distribution fees.</w:t>
      </w:r>
    </w:p>
    <w:p>
      <w:pPr>
        <w:spacing w:after="0" w:line="16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77"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See Note 7 for additional information related to goodwill and intangible assets.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and Indefinite-Lived Assets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intangible assets subject to amortization,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0"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evaluates the recoverability of its goodwill and indefinite life intangible assets annually or more frequently whenever events or changes in circumstances indicate that the asset might be impaired. The Company performs an impairment assessment of its goodwill one level below the segment level for its businesses, except for its cable business. In its cable business, components with similar economic characteristics are aggregated into one reporting unit at the cable segment level. The Company performs an impairment assessment of its cable franchise rights at the cable segment level based on how the Company operates its cable operations.</w:t>
      </w:r>
    </w:p>
    <w:p>
      <w:pPr>
        <w:spacing w:after="0" w:line="16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estimates the fair value of its cable franchise rights primarily based on a multiple of operating income before depreciation and amortization ("EBITDA") generated by the underlying assets. The EBITDA multiple used in the Company's evaluation is determined based on the Company's analyses of current market transactions, profitability information, including estimated future operating results, trends or other determinants of fair value. The Company also considers other valuation methods such as discounted cash flow analyses. If the value of the Company's cable franchise rights determined by these evaluations is less than its carrying amount, an impairment charge would be recognized for the difference between the estimated fair value and the carrying value of the assets.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(loss). The Company translates revenues and expenses using average exchange rates prevailing during the year. Foreign currency transaction gains and losses are included in other income.</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19"/>
          </w:cols>
          <w:pgMar w:left="240" w:top="628"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recognizes video, high-speed Internet, and phone revenues as service is provided. The Company manages credit risk by disconnecting services to customers who are delinquent. The Company recognizes advertising sales revenue at estimated realizable values when the advertising is aired. Installation revenues obtained from the connection of subscribers to the broadband communications network are less than related direct selling costs. Therefore, such revenues are recognized as connections are completed. Revenues derived from other sources are recognized when services are provided or events occur. Under the terms of its franchise agreements, the Company is generally required to pay up to 5% of its gross revenues derived from providing cable services to the local franchising authority. The Company normally passes these fees through to its cable subscribers. The Company classifies fees collected from cable subscribers as a component of service revenues pursuant to EITF 01-14, "Income Statement Characterization of Reimbursements Received for 'Out-of-Pocket' Expenses Incurred."</w:t>
      </w:r>
    </w:p>
    <w:p>
      <w:pPr>
        <w:spacing w:after="0" w:line="18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Company's content businesses recognize affiliate fees from cable and satellite system operators as programming is provided. Advertising revenue is recognized in the period in which commercial announcements or programs are telecast in accordance with the broadcast calendar. In certain instances, the Company's content businesses guarantee viewer ratings for their programming. A liability for deferred revenue is provided for estimated shortfalls, which are primarily settled by providing additional advertising time.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 Costs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Company's cable subsidiaries have received or may receive distribution fees from programming networks for carriage of their programming. The Company reflects the deferred portion of these fees within noncurrent liabilities and recognizes the fees as a reduction of programming costs (which are included in operating expenses) over the term of the programming contract.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accounts for stock-based compensation in accordance with Accounting Principles Board ("APB") Opinion No. 25, "Accounting for Stock Issued to Employees," and related interpretations, as permitted by SFAS No. 123, "Accounting for Stock-Based Compensation," as amended.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(see Notes 3 and 10).</w:t>
      </w:r>
    </w:p>
    <w:p>
      <w:pPr>
        <w:spacing w:after="0" w:line="200" w:lineRule="exact"/>
        <w:rPr>
          <w:sz w:val="20"/>
          <w:szCs w:val="20"/>
          <w:color w:val="auto"/>
        </w:rPr>
      </w:pPr>
    </w:p>
    <w:p>
      <w:pPr>
        <w:spacing w:after="0" w:line="30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628"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The  following  table  illustrates  the  effect 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net  income  (loss)</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and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earnings  (loss)  per  share if the  Company  had</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applied  the fair</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value</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880" w:type="dxa"/>
            <w:vAlign w:val="bottom"/>
            <w:gridSpan w:val="3"/>
          </w:tcPr>
          <w:p>
            <w:pPr>
              <w:spacing w:after="0"/>
              <w:rPr>
                <w:sz w:val="20"/>
                <w:szCs w:val="20"/>
                <w:color w:val="auto"/>
              </w:rPr>
            </w:pPr>
            <w:r>
              <w:rPr>
                <w:rFonts w:ascii="Courier New" w:cs="Courier New" w:eastAsia="Courier New" w:hAnsi="Courier New"/>
                <w:sz w:val="15"/>
                <w:szCs w:val="15"/>
                <w:color w:val="auto"/>
              </w:rPr>
              <w:t>recognition provisions of SFAS No. 123 to stock-based compensation (dollars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 except per share data):</w:t>
            </w: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53"/>
        </w:trPr>
        <w:tc>
          <w:tcPr>
            <w:tcW w:w="4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520" w:type="dxa"/>
            <w:vAlign w:val="bottom"/>
          </w:tcPr>
          <w:p>
            <w:pPr>
              <w:spacing w:after="0"/>
              <w:rPr>
                <w:sz w:val="14"/>
                <w:szCs w:val="14"/>
                <w:color w:val="auto"/>
              </w:rPr>
            </w:pPr>
          </w:p>
        </w:tc>
        <w:tc>
          <w:tcPr>
            <w:tcW w:w="23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520" w:type="dxa"/>
            <w:vAlign w:val="bottom"/>
          </w:tcPr>
          <w:p>
            <w:pPr>
              <w:spacing w:after="0"/>
              <w:rPr>
                <w:sz w:val="14"/>
                <w:szCs w:val="14"/>
                <w:color w:val="auto"/>
              </w:rPr>
            </w:pPr>
          </w:p>
        </w:tc>
        <w:tc>
          <w:tcPr>
            <w:tcW w:w="2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as reported..................................</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($274)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$2,021</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Deduct: Total stock-based compensation</w:t>
            </w: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6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expense determined under fair value based method</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 all awards, net of related tax effects.................</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520" w:type="dxa"/>
            <w:vAlign w:val="bottom"/>
          </w:tcPr>
          <w:p>
            <w:pPr>
              <w:spacing w:after="0"/>
              <w:rPr>
                <w:sz w:val="14"/>
                <w:szCs w:val="14"/>
                <w:color w:val="auto"/>
              </w:rPr>
            </w:pPr>
          </w:p>
        </w:tc>
        <w:tc>
          <w:tcPr>
            <w:tcW w:w="2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Pro forma, net income (loss)....................................</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($417)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$1,918</w:t>
            </w:r>
          </w:p>
        </w:tc>
      </w:tr>
      <w:tr>
        <w:trPr>
          <w:trHeight w:val="171"/>
        </w:trPr>
        <w:tc>
          <w:tcPr>
            <w:tcW w:w="4520" w:type="dxa"/>
            <w:vAlign w:val="bottom"/>
          </w:tcPr>
          <w:p>
            <w:pPr>
              <w:spacing w:after="0"/>
              <w:rPr>
                <w:sz w:val="14"/>
                <w:szCs w:val="14"/>
                <w:color w:val="auto"/>
              </w:rPr>
            </w:pPr>
          </w:p>
        </w:tc>
        <w:tc>
          <w:tcPr>
            <w:tcW w:w="2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w w:val="76"/>
              </w:rPr>
              <w:t>As reported................................................</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w w:val="76"/>
              </w:rPr>
              <w:t>Pro forma..................................................</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($0.38)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w:t>
            </w:r>
          </w:p>
        </w:tc>
      </w:tr>
      <w:tr>
        <w:trPr>
          <w:trHeight w:val="34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w w:val="76"/>
              </w:rPr>
              <w:t>As reported................................................</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w w:val="76"/>
              </w:rPr>
              <w:t>Pro forma..................................................</w:t>
            </w:r>
          </w:p>
        </w:tc>
        <w:tc>
          <w:tcPr>
            <w:tcW w:w="23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($0.38)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w:t>
            </w:r>
          </w:p>
        </w:tc>
      </w:tr>
    </w:tbl>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Total stock-based compensation expense was determined under the fair value method for all awards assuming accelerated vesting of the Company's stock options as permitted under SFAS No. 123. Had the Company applied the fair value recognition provisions of SFAS No. 123 assuming straight-line rather than accelerated vesting of its stock options, total stock-based compensation expense, net of related tax effects, would have been $114 million, $89 million, and $67 million for 2002, 2001 and 2000, respectively.</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weighted-average fair value at date of grant of a Class A common stock option granted under the Company's option plans during 2002 was $10.72. The weighted-average fair value at date of grant of a Class A Special common stock option granted under the option plans during 2002, 2001 and 2000 was $14.93, $19.07 and $21.20, respectively. The fair value of each option granted during 2002, 2001 and 2000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Year Ended December 31,</w:t>
            </w:r>
          </w:p>
        </w:tc>
        <w:tc>
          <w:tcPr>
            <w:tcW w:w="1500" w:type="dxa"/>
            <w:vAlign w:val="bottom"/>
          </w:tcPr>
          <w:p>
            <w:pPr>
              <w:spacing w:after="0"/>
              <w:rPr>
                <w:sz w:val="14"/>
                <w:szCs w:val="14"/>
                <w:color w:val="auto"/>
              </w:rPr>
            </w:pPr>
          </w:p>
        </w:tc>
      </w:tr>
      <w:tr>
        <w:trPr>
          <w:trHeight w:val="341"/>
        </w:trPr>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jc w:val="right"/>
              <w:ind w:right="1346"/>
              <w:spacing w:after="0"/>
              <w:rPr>
                <w:sz w:val="20"/>
                <w:szCs w:val="20"/>
                <w:color w:val="auto"/>
              </w:rPr>
            </w:pPr>
            <w:r>
              <w:rPr>
                <w:rFonts w:ascii="Courier New" w:cs="Courier New" w:eastAsia="Courier New" w:hAnsi="Courier New"/>
                <w:sz w:val="15"/>
                <w:szCs w:val="15"/>
                <w:color w:val="auto"/>
                <w:w w:val="88"/>
              </w:rPr>
              <w:t>2002</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2840" w:type="dxa"/>
            <w:vAlign w:val="bottom"/>
          </w:tcPr>
          <w:p>
            <w:pPr>
              <w:spacing w:after="0"/>
              <w:rPr>
                <w:sz w:val="14"/>
                <w:szCs w:val="14"/>
                <w:color w:val="auto"/>
              </w:rPr>
            </w:pPr>
          </w:p>
        </w:tc>
        <w:tc>
          <w:tcPr>
            <w:tcW w:w="3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40" w:type="dxa"/>
            <w:vAlign w:val="bottom"/>
          </w:tcPr>
          <w:p>
            <w:pPr>
              <w:spacing w:after="0"/>
              <w:rPr>
                <w:sz w:val="14"/>
                <w:szCs w:val="14"/>
                <w:color w:val="auto"/>
              </w:rPr>
            </w:pPr>
          </w:p>
        </w:tc>
        <w:tc>
          <w:tcPr>
            <w:tcW w:w="160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Class A</w:t>
            </w:r>
          </w:p>
        </w:tc>
        <w:tc>
          <w:tcPr>
            <w:tcW w:w="1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Class A Special</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Class A Special</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Class A Special</w:t>
            </w:r>
          </w:p>
        </w:tc>
      </w:tr>
      <w:tr>
        <w:trPr>
          <w:trHeight w:val="171"/>
        </w:trPr>
        <w:tc>
          <w:tcPr>
            <w:tcW w:w="2840" w:type="dxa"/>
            <w:vAlign w:val="bottom"/>
          </w:tcPr>
          <w:p>
            <w:pPr>
              <w:spacing w:after="0"/>
              <w:rPr>
                <w:sz w:val="14"/>
                <w:szCs w:val="14"/>
                <w:color w:val="auto"/>
              </w:rPr>
            </w:pPr>
          </w:p>
        </w:tc>
        <w:tc>
          <w:tcPr>
            <w:tcW w:w="1600" w:type="dxa"/>
            <w:vAlign w:val="bottom"/>
          </w:tcPr>
          <w:p>
            <w:pPr>
              <w:jc w:val="right"/>
              <w:ind w:right="32"/>
              <w:spacing w:after="0"/>
              <w:rPr>
                <w:sz w:val="20"/>
                <w:szCs w:val="20"/>
                <w:color w:val="auto"/>
              </w:rPr>
            </w:pPr>
            <w:r>
              <w:rPr>
                <w:rFonts w:ascii="Courier New" w:cs="Courier New" w:eastAsia="Courier New" w:hAnsi="Courier New"/>
                <w:sz w:val="15"/>
                <w:szCs w:val="15"/>
                <w:color w:val="auto"/>
              </w:rPr>
              <w:t>Common Stock</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 Stock</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28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w w:val="89"/>
              </w:rPr>
              <w:t>Dividend yield.....................</w:t>
            </w:r>
          </w:p>
        </w:tc>
        <w:tc>
          <w:tcPr>
            <w:tcW w:w="160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w w:val="89"/>
              </w:rPr>
              <w:t>Expected volatility................</w:t>
            </w:r>
          </w:p>
        </w:tc>
        <w:tc>
          <w:tcPr>
            <w:tcW w:w="160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29.2%</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29.6%</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35.7%</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w w:val="89"/>
              </w:rPr>
              <w:t>Risk-free interest rate............</w:t>
            </w:r>
          </w:p>
        </w:tc>
        <w:tc>
          <w:tcPr>
            <w:tcW w:w="160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4.0%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5.1%</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5.1%</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6.3%</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w w:val="97"/>
              </w:rPr>
              <w:t>Expected option lives (in years)</w:t>
            </w:r>
          </w:p>
        </w:tc>
        <w:tc>
          <w:tcPr>
            <w:tcW w:w="1600" w:type="dxa"/>
            <w:vAlign w:val="bottom"/>
          </w:tcPr>
          <w:p>
            <w:pPr>
              <w:jc w:val="right"/>
              <w:ind w:right="292"/>
              <w:spacing w:after="0"/>
              <w:rPr>
                <w:sz w:val="20"/>
                <w:szCs w:val="20"/>
                <w:color w:val="auto"/>
              </w:rPr>
            </w:pPr>
            <w:r>
              <w:rPr>
                <w:rFonts w:ascii="Courier New" w:cs="Courier New" w:eastAsia="Courier New" w:hAnsi="Courier New"/>
                <w:sz w:val="15"/>
                <w:szCs w:val="15"/>
                <w:color w:val="auto"/>
                <w:w w:val="96"/>
              </w:rPr>
              <w:t>...8.0</w:t>
            </w:r>
          </w:p>
        </w:tc>
        <w:tc>
          <w:tcPr>
            <w:tcW w:w="17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8.0</w:t>
            </w: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w w:val="89"/>
              </w:rPr>
              <w:t>Forfeiture rate....................</w:t>
            </w:r>
          </w:p>
        </w:tc>
        <w:tc>
          <w:tcPr>
            <w:tcW w:w="160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3.0%</w:t>
            </w:r>
          </w:p>
        </w:tc>
        <w:tc>
          <w:tcPr>
            <w:tcW w:w="17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r>
      <w:tr>
        <w:trPr>
          <w:trHeight w:val="683"/>
        </w:trPr>
        <w:tc>
          <w:tcPr>
            <w:tcW w:w="2840" w:type="dxa"/>
            <w:vAlign w:val="bottom"/>
          </w:tcPr>
          <w:p>
            <w:pPr>
              <w:spacing w:after="0"/>
              <w:rPr>
                <w:sz w:val="24"/>
                <w:szCs w:val="24"/>
                <w:color w:val="auto"/>
              </w:rPr>
            </w:pPr>
          </w:p>
        </w:tc>
        <w:tc>
          <w:tcPr>
            <w:tcW w:w="1600" w:type="dxa"/>
            <w:vAlign w:val="bottom"/>
          </w:tcPr>
          <w:p>
            <w:pPr>
              <w:jc w:val="right"/>
              <w:ind w:right="1012"/>
              <w:spacing w:after="0"/>
              <w:rPr>
                <w:sz w:val="20"/>
                <w:szCs w:val="20"/>
                <w:color w:val="auto"/>
              </w:rPr>
            </w:pPr>
            <w:r>
              <w:rPr>
                <w:rFonts w:ascii="Courier New" w:cs="Courier New" w:eastAsia="Courier New" w:hAnsi="Courier New"/>
                <w:sz w:val="15"/>
                <w:szCs w:val="15"/>
                <w:color w:val="auto"/>
                <w:w w:val="92"/>
              </w:rPr>
              <w:t>- 47 -</w:t>
            </w: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pro forma effect on net income (loss) and net income (loss) per share for the years ended December 31, 2002, 2001 and 2000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3" w:lineRule="exact"/>
        <w:rPr>
          <w:sz w:val="20"/>
          <w:szCs w:val="20"/>
          <w:color w:val="auto"/>
        </w:rPr>
      </w:pPr>
    </w:p>
    <w:p>
      <w:pPr>
        <w:jc w:val="both"/>
        <w:ind w:left="440" w:right="3119"/>
        <w:spacing w:after="0" w:line="264" w:lineRule="auto"/>
        <w:rPr>
          <w:sz w:val="20"/>
          <w:szCs w:val="20"/>
          <w:color w:val="auto"/>
        </w:rPr>
      </w:pPr>
      <w:r>
        <w:rPr>
          <w:rFonts w:ascii="Courier New" w:cs="Courier New" w:eastAsia="Courier New" w:hAnsi="Courier New"/>
          <w:sz w:val="14"/>
          <w:szCs w:val="14"/>
          <w:color w:val="auto"/>
        </w:rPr>
        <w:t>The Company charges to operations the estimated costs of retiree benefits and benefits for former or inactive employees, after employment but before retirement, during the years the employees provide services (see Note 9).</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Investment income (expense) includes interest income, dividend income and gains, net of losses, on the sales and exchanges of marketable securities and long-term investments. The Company recognizes gross realized gains and losses using the specific identification method. Investment income (expense)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Note 11).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3"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The Company uses derivative financial instruments for a number of purposes. The Company manages its exposure to fluctuations in interest rates by entering into interest rate exchange agreements ("Swaps"), interest rate lock agreements ("Rate Locks"),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in order to monetize a portion of those investments. In connection with the Broadband acquisition, the Company assumed indexed debt instruments whose value, in part, is derived from the market values of Comcast Class A Special common stock, Cablevision NY Group ("Cablevision") Class A common stock, Microsoft Corporation ("Microsoft") common stock and Vodafone ADRs, respectively. Equity hedges are used to manage exposure to changes in equity prices associated with stock appreciation rights of certain of Broadband's previously affiliated companies and are undesignated in accordance with SFAS No. 133, "Accounting for Derivatives and Hedging Activities," as amended ("SFAS No. 133"). These instruments are recorded at fair value based on market quotes.</w:t>
      </w:r>
    </w:p>
    <w:p>
      <w:pPr>
        <w:spacing w:after="0" w:line="34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Prior to the adoption on January 1, 2001 of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 Equity Collars, Equity Put Options and Equity Warrants were marked to market on a current basis with the result included in accumulated other comprehensive income (loss) in the Company's consolidated balance sheet.</w:t>
      </w:r>
    </w:p>
    <w:p>
      <w:pPr>
        <w:spacing w:after="0" w:line="34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19"/>
          </w:cols>
          <w:pgMar w:left="240" w:top="628"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 Upon adoption of SFAS No. 133, the Company recognized as income a cumulative effect of accounting change, net of related income taxes, of $385 million. The increase in income consisted of a $400 million adjustment to record the debt component of indexed debt at a discount from its value at maturity and $192 million principally related to the reclassification of gains previously recognized as a component of accumulated other comprehensive income (loss) on the Company's equity derivative instruments, net of related income taxes of $207 million.</w:t>
      </w:r>
    </w:p>
    <w:p>
      <w:pPr>
        <w:spacing w:after="0" w:line="16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0"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6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Subsequent to the adoption of SFAS No. 133, Equity Warrants and undesignated Equity Collars are marked to market on a current basis with the result included in investment income (expense) in the Company's consolidated statement of operations.</w:t>
      </w:r>
    </w:p>
    <w:p>
      <w:pPr>
        <w:spacing w:after="0" w:line="176"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 (expense).</w:t>
      </w:r>
    </w:p>
    <w:p>
      <w:pPr>
        <w:spacing w:after="0" w:line="16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does not hold or issue any derivative financial instruments for trading purposes and is not a party to leveraged instruments (see Note 8).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19"/>
          </w:cols>
          <w:pgMar w:left="240" w:top="628" w:right="1440" w:bottom="1440" w:gutter="0" w:footer="0" w:header="0"/>
        </w:sectPr>
      </w:pPr>
    </w:p>
    <w:bookmarkStart w:id="59" w:name="page60"/>
    <w:bookmarkEnd w:id="59"/>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3"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Securities Lending Transactions</w:t>
      </w:r>
    </w:p>
    <w:p>
      <w:pPr>
        <w:spacing w:after="0" w:line="3"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Reclassifications</w:t>
      </w:r>
    </w:p>
    <w:p>
      <w:pPr>
        <w:spacing w:after="0" w:line="3" w:lineRule="exact"/>
        <w:rPr>
          <w:sz w:val="20"/>
          <w:szCs w:val="20"/>
          <w:color w:val="auto"/>
        </w:rPr>
      </w:pPr>
    </w:p>
    <w:p>
      <w:pPr>
        <w:jc w:val="both"/>
        <w:ind w:left="449" w:right="3119"/>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2002.</w:t>
      </w:r>
    </w:p>
    <w:p>
      <w:pPr>
        <w:spacing w:after="0" w:line="172" w:lineRule="exact"/>
        <w:rPr>
          <w:sz w:val="20"/>
          <w:szCs w:val="20"/>
          <w:color w:val="auto"/>
        </w:rPr>
      </w:pPr>
    </w:p>
    <w:p>
      <w:pPr>
        <w:ind w:left="449" w:hanging="449"/>
        <w:spacing w:after="0"/>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 "Accounting for Asset Retirement Obligations," addresses financial accounting and reporting for obligations associated with the retirement of tangible long-lived assets and the associated asset retirement costs. SFAS No. 143 is effective for fiscal years beginning after June 15, 2002. The Company adopted SFAS No. 143 on January 1, 2003. The adoption of SFAS No. 143 will not have a material impact on the Company's financial condition or results of operations.</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148</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the Company elects to change to the fair value method specified in SFAS No. 123. The adoption of SFAS No. 148 will, however, require the Company to disclose the effects of its stock-based employee compensation in interim financial statements beginning with the first quarter of 2003.</w:t>
      </w:r>
    </w:p>
    <w:p>
      <w:pPr>
        <w:spacing w:after="0" w:line="180"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 45</w:t>
      </w:r>
    </w:p>
    <w:p>
      <w:pPr>
        <w:spacing w:after="0" w:line="3" w:lineRule="exact"/>
        <w:rPr>
          <w:rFonts w:ascii="Courier New" w:cs="Courier New" w:eastAsia="Courier New" w:hAnsi="Courier New"/>
          <w:sz w:val="15"/>
          <w:szCs w:val="15"/>
          <w:color w:val="auto"/>
        </w:rPr>
      </w:pPr>
    </w:p>
    <w:p>
      <w:pPr>
        <w:jc w:val="both"/>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w:t>
      </w:r>
    </w:p>
    <w:p>
      <w:pPr>
        <w:spacing w:after="0" w:line="329"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w:t>
      </w:r>
    </w:p>
    <w:p>
      <w:pPr>
        <w:sectPr>
          <w:pgSz w:w="11900" w:h="16838" w:orient="portrait"/>
          <w:cols w:equalWidth="0" w:num="1">
            <w:col w:w="10228"/>
          </w:cols>
          <w:pgMar w:left="231" w:top="628" w:right="1440" w:bottom="1440" w:gutter="0" w:footer="0" w:header="0"/>
        </w:sectPr>
      </w:pPr>
    </w:p>
    <w:bookmarkStart w:id="60" w:name="page61"/>
    <w:bookmarkEnd w:id="60"/>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(see Note 13). The impact of the adoption of FIN 45 will depend on the nature and terms of guarantees entered into or modified by the Company in the future.</w:t>
      </w:r>
    </w:p>
    <w:p>
      <w:pPr>
        <w:spacing w:after="0" w:line="173" w:lineRule="exact"/>
        <w:rPr>
          <w:sz w:val="20"/>
          <w:szCs w:val="20"/>
          <w:color w:val="auto"/>
        </w:rPr>
      </w:pPr>
    </w:p>
    <w:p>
      <w:pPr>
        <w:ind w:left="449" w:hanging="449"/>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 is computed by dividing net income (loss) for common stockholders by the weighted average number of common shares outstanding during the period on a basic and diluted basis. Weighted average shares outstanding for 2002 include 158.8 million of the 1.348 billion of the Company's shares issued in connection with the Broadband acquisition on November 18, 2002.</w:t>
      </w:r>
    </w:p>
    <w:p>
      <w:pPr>
        <w:spacing w:after="0" w:line="175" w:lineRule="exact"/>
        <w:rPr>
          <w:rFonts w:ascii="Courier New" w:cs="Courier New" w:eastAsia="Courier New" w:hAnsi="Courier New"/>
          <w:sz w:val="15"/>
          <w:szCs w:val="15"/>
          <w:color w:val="auto"/>
        </w:rPr>
      </w:pPr>
    </w:p>
    <w:p>
      <w:pPr>
        <w:jc w:val="both"/>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potentially dilutive securities include potential common shares related to the Company's Zero Coupon Convertible Debentures due 2020 (the "Zero Coupon Debentures" - see Note 8), stock options, restricted stock, Class A Special common stock held in treasury, Series B convertible preferred stock, and Comcast Put Options.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 110% of the accreted conversion price. Diluted EPS excludes the impact of potential common shares related to the Company's stock options in periods in which the option exercise price is greater than the average market price of the Company's common stock for the period. Diluted EPS excludes the impact of potential common shares related to Comcast Put Options in periods in which the Comcast Put Options' exercise price was less than the average market price of the Company's Class A Special common stock during the period.</w:t>
      </w:r>
    </w:p>
    <w:p>
      <w:pPr>
        <w:spacing w:after="0" w:line="332"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EPS for 2002, 2001 and 2000, respectively, excludes approximately 17.0 million, 21.0 million and 1.6 million potential common shares related to the Zero Coupon Debentures, respectively, as the weighted average closing sale price of the Company's Class A Special common stock was not greater than 110% of the accreted conversion price.</w:t>
      </w:r>
    </w:p>
    <w:p>
      <w:pPr>
        <w:spacing w:after="0" w:line="174"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EPS for 2002 excludes approximately 73.8 million potential common shares related to the Company's stock option and restricted stock plans, and potential common shares related to the Company's common stock held in treasury because the assumed issuance of such potential common shares is antidilutive in periods in which there is a loss.</w:t>
      </w:r>
    </w:p>
    <w:p>
      <w:pPr>
        <w:spacing w:after="0" w:line="174"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EPS for 2001 and 2000 excludes approximately 4.7 million and 2.6 million potential common shares, respectively, related to the Company's stock option plans because the option exercise price was greater than the average market price of the Company's common stock for the period.</w:t>
      </w:r>
    </w:p>
    <w:p>
      <w:pPr>
        <w:spacing w:after="0" w:line="176"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EPS for 2001 and 2000 excludes approximately 0.2 million and 1.5 million potential common shares, respectively, related to Comcast Put Options because the Comcast Put Options' exercise price was less than the average market price of the Company's Class A Special common stock during the period.</w:t>
      </w:r>
    </w:p>
    <w:p>
      <w:pPr>
        <w:spacing w:after="0" w:line="34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51 -</w:t>
      </w:r>
    </w:p>
    <w:p>
      <w:pPr>
        <w:sectPr>
          <w:pgSz w:w="11900" w:h="16838" w:orient="portrait"/>
          <w:cols w:equalWidth="0" w:num="1">
            <w:col w:w="10228"/>
          </w:cols>
          <w:pgMar w:left="231" w:top="628" w:right="1440" w:bottom="1440" w:gutter="0" w:footer="0" w:header="0"/>
        </w:sectPr>
      </w:pPr>
    </w:p>
    <w:bookmarkStart w:id="61" w:name="page62"/>
    <w:bookmarkEnd w:id="61"/>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The following table reconciles the numerator and denominator of the computations of Diluted EPS for common stockholders before cumulative effect of accounting change for the years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1" w:lineRule="exact"/>
        <w:rPr>
          <w:sz w:val="20"/>
          <w:szCs w:val="20"/>
          <w:color w:val="auto"/>
        </w:rPr>
      </w:pPr>
    </w:p>
    <w:p>
      <w:pPr>
        <w:ind w:left="4969"/>
        <w:spacing w:after="0"/>
        <w:rPr>
          <w:sz w:val="20"/>
          <w:szCs w:val="20"/>
          <w:color w:val="auto"/>
        </w:rPr>
      </w:pPr>
      <w:r>
        <w:rPr>
          <w:rFonts w:ascii="Courier New" w:cs="Courier New" w:eastAsia="Courier New" w:hAnsi="Courier New"/>
          <w:sz w:val="15"/>
          <w:szCs w:val="15"/>
          <w:color w:val="auto"/>
        </w:rPr>
        <w:t>Year Ended December 31,</w:t>
      </w:r>
    </w:p>
    <w:p>
      <w:pPr>
        <w:spacing w:after="0" w:line="1" w:lineRule="exact"/>
        <w:rPr>
          <w:sz w:val="20"/>
          <w:szCs w:val="20"/>
          <w:color w:val="auto"/>
        </w:rPr>
      </w:pPr>
    </w:p>
    <w:p>
      <w:pPr>
        <w:ind w:left="3289"/>
        <w:spacing w:after="0"/>
        <w:tabs>
          <w:tab w:leader="none" w:pos="5749" w:val="left"/>
          <w:tab w:leader="none" w:pos="822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2389"/>
        <w:spacing w:after="0"/>
        <w:tabs>
          <w:tab w:leader="none" w:pos="4869" w:val="left"/>
          <w:tab w:leader="none" w:pos="73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3809"/>
        <w:spacing w:after="0"/>
        <w:tabs>
          <w:tab w:leader="none" w:pos="6369" w:val="left"/>
          <w:tab w:leader="none" w:pos="8849"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4"/>
          <w:szCs w:val="14"/>
          <w:color w:val="auto"/>
        </w:rPr>
        <w:t>Per Share</w:t>
      </w:r>
    </w:p>
    <w:p>
      <w:pPr>
        <w:spacing w:after="0" w:line="1" w:lineRule="exact"/>
        <w:rPr>
          <w:sz w:val="20"/>
          <w:szCs w:val="20"/>
          <w:color w:val="auto"/>
        </w:rPr>
      </w:pPr>
    </w:p>
    <w:p>
      <w:pPr>
        <w:ind w:left="2489"/>
        <w:spacing w:after="0"/>
        <w:tabs>
          <w:tab w:leader="none" w:pos="3169" w:val="left"/>
          <w:tab w:leader="none" w:pos="3969" w:val="left"/>
          <w:tab w:leader="none" w:pos="4869" w:val="left"/>
          <w:tab w:leader="none" w:pos="5669" w:val="left"/>
          <w:tab w:leader="none" w:pos="6549" w:val="left"/>
          <w:tab w:leader="none" w:pos="7429" w:val="left"/>
          <w:tab w:leader="none" w:pos="8229" w:val="left"/>
          <w:tab w:leader="none" w:pos="9029"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Shares</w:t>
        <w:tab/>
        <w:t>Amount</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Income</w:t>
        <w:tab/>
        <w:t>Shares</w:t>
        <w:tab/>
        <w:t>Amount</w:t>
      </w:r>
    </w:p>
    <w:p>
      <w:pPr>
        <w:spacing w:after="0" w:line="1" w:lineRule="exact"/>
        <w:rPr>
          <w:sz w:val="20"/>
          <w:szCs w:val="20"/>
          <w:color w:val="auto"/>
        </w:rPr>
      </w:pPr>
    </w:p>
    <w:p>
      <w:pPr>
        <w:ind w:left="2389"/>
        <w:spacing w:after="0"/>
        <w:tabs>
          <w:tab w:leader="none" w:pos="3169" w:val="left"/>
          <w:tab w:leader="none" w:pos="4869" w:val="left"/>
          <w:tab w:leader="none" w:pos="5669" w:val="left"/>
        </w:tabs>
        <w:rPr>
          <w:sz w:val="20"/>
          <w:szCs w:val="20"/>
          <w:color w:val="auto"/>
        </w:rPr>
      </w:pPr>
      <w:r>
        <w:rPr>
          <w:rFonts w:ascii="Courier New" w:cs="Courier New" w:eastAsia="Courier New" w:hAnsi="Courier New"/>
          <w:sz w:val="15"/>
          <w:szCs w:val="15"/>
          <w:color w:val="auto"/>
        </w:rPr>
        <w:t>------</w:t>
        <w:tab/>
        <w:t>------ ----------</w:t>
        <w:tab/>
        <w:t>-------</w:t>
      </w:r>
      <w:r>
        <w:rPr>
          <w:sz w:val="20"/>
          <w:szCs w:val="20"/>
          <w:color w:val="auto"/>
        </w:rPr>
        <w:tab/>
      </w:r>
      <w:r>
        <w:rPr>
          <w:rFonts w:ascii="Courier New" w:cs="Courier New" w:eastAsia="Courier New" w:hAnsi="Courier New"/>
          <w:sz w:val="14"/>
          <w:szCs w:val="14"/>
          <w:color w:val="auto"/>
        </w:rPr>
        <w:t>------- ---------- --------- ------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Basic EPS for common</w:t>
      </w:r>
    </w:p>
    <w:p>
      <w:pPr>
        <w:sectPr>
          <w:pgSz w:w="11900" w:h="16838" w:orient="portrait"/>
          <w:cols w:equalWidth="0" w:num="1">
            <w:col w:w="10228"/>
          </w:cols>
          <w:pgMar w:left="231" w:top="628" w:right="1440" w:bottom="1440" w:gutter="0" w:footer="0" w:header="0"/>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stockholders............. ($274)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$224</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5"/>
          <w:szCs w:val="15"/>
          <w:color w:val="auto"/>
        </w:rPr>
        <w:t>950</w:t>
      </w:r>
      <w:r>
        <w:rPr>
          <w:sz w:val="20"/>
          <w:szCs w:val="20"/>
          <w:color w:val="auto"/>
        </w:rPr>
        <w:tab/>
      </w:r>
      <w:r>
        <w:rPr>
          <w:rFonts w:ascii="Courier New" w:cs="Courier New" w:eastAsia="Courier New" w:hAnsi="Courier New"/>
          <w:sz w:val="15"/>
          <w:szCs w:val="15"/>
          <w:color w:val="auto"/>
        </w:rPr>
        <w:t>$0.24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$1,998</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891</w:t>
      </w:r>
      <w:r>
        <w:rPr>
          <w:sz w:val="20"/>
          <w:szCs w:val="20"/>
          <w:color w:val="auto"/>
        </w:rPr>
        <w:tab/>
      </w:r>
      <w:r>
        <w:rPr>
          <w:rFonts w:ascii="Courier New" w:cs="Courier New" w:eastAsia="Courier New" w:hAnsi="Courier New"/>
          <w:sz w:val="14"/>
          <w:szCs w:val="14"/>
          <w:color w:val="auto"/>
        </w:rPr>
        <w:t>$2.24</w:t>
      </w:r>
    </w:p>
    <w:p>
      <w:pPr>
        <w:spacing w:after="0" w:line="11" w:lineRule="exact"/>
        <w:rPr>
          <w:sz w:val="20"/>
          <w:szCs w:val="20"/>
          <w:color w:val="auto"/>
        </w:rPr>
      </w:pPr>
    </w:p>
    <w:p>
      <w:pPr>
        <w:sectPr>
          <w:pgSz w:w="11900" w:h="16838" w:orient="portrait"/>
          <w:cols w:equalWidth="0" w:num="7">
            <w:col w:w="3009" w:space="280"/>
            <w:col w:w="440" w:space="260"/>
            <w:col w:w="620" w:space="540"/>
            <w:col w:w="360" w:space="520"/>
            <w:col w:w="1080" w:space="520"/>
            <w:col w:w="540" w:space="360"/>
            <w:col w:w="16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Effect of preferred</w:t>
      </w:r>
    </w:p>
    <w:p>
      <w:pPr>
        <w:sectPr>
          <w:pgSz w:w="11900" w:h="16838" w:orient="portrait"/>
          <w:cols w:equalWidth="0" w:num="1">
            <w:col w:w="10228"/>
          </w:cols>
          <w:pgMar w:left="231" w:top="628" w:right="1440" w:bottom="1440" w:gutter="0" w:footer="0" w:header="0"/>
          <w:type w:val="continuous"/>
        </w:sectPr>
      </w:pP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ectPr>
          <w:pgSz w:w="11900" w:h="16838" w:orient="portrait"/>
          <w:cols w:equalWidth="0" w:num="2">
            <w:col w:w="7269" w:space="720"/>
            <w:col w:w="223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Effect of Dilutive Securities</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Assumed conversion</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of Series B convertible</w:t>
      </w:r>
    </w:p>
    <w:p>
      <w:pPr>
        <w:sectPr>
          <w:pgSz w:w="11900" w:h="16838" w:orient="portrait"/>
          <w:cols w:equalWidth="0" w:num="1">
            <w:col w:w="10228"/>
          </w:cols>
          <w:pgMar w:left="231" w:top="628" w:right="1440" w:bottom="1440" w:gutter="0" w:footer="0" w:header="0"/>
          <w:type w:val="continuous"/>
        </w:sectPr>
      </w:pPr>
    </w:p>
    <w:p>
      <w:pPr>
        <w:spacing w:after="0" w:line="3"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sectPr>
          <w:pgSz w:w="11900" w:h="16838" w:orient="portrait"/>
          <w:cols w:equalWidth="0" w:num="3">
            <w:col w:w="5489" w:space="720"/>
            <w:col w:w="1680" w:space="720"/>
            <w:col w:w="1619"/>
          </w:cols>
          <w:pgMar w:left="231" w:top="628" w:right="1440" w:bottom="1440" w:gutter="0" w:footer="0" w:header="0"/>
          <w:type w:val="continuous"/>
        </w:sectPr>
      </w:pPr>
    </w:p>
    <w:p>
      <w:pPr>
        <w:ind w:left="169"/>
        <w:spacing w:after="0"/>
        <w:rPr>
          <w:sz w:val="20"/>
          <w:szCs w:val="20"/>
          <w:color w:val="auto"/>
        </w:rPr>
      </w:pPr>
      <w:r>
        <w:rPr>
          <w:rFonts w:ascii="Courier New" w:cs="Courier New" w:eastAsia="Courier New" w:hAnsi="Courier New"/>
          <w:sz w:val="14"/>
          <w:szCs w:val="14"/>
          <w:color w:val="auto"/>
        </w:rPr>
        <w:t>Assumed exercise of</w:t>
      </w:r>
    </w:p>
    <w:p>
      <w:pPr>
        <w:spacing w:after="0" w:line="9"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stock option and</w:t>
      </w:r>
    </w:p>
    <w:p>
      <w:pPr>
        <w:sectPr>
          <w:pgSz w:w="11900" w:h="16838" w:orient="portrait"/>
          <w:cols w:equalWidth="0" w:num="1">
            <w:col w:w="10228"/>
          </w:cols>
          <w:pgMar w:left="231" w:top="628" w:right="1440" w:bottom="1440" w:gutter="0" w:footer="0" w:header="0"/>
          <w:type w:val="continuous"/>
        </w:sectPr>
      </w:pPr>
    </w:p>
    <w:p>
      <w:pPr>
        <w:spacing w:after="0" w:line="3"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restricted stock plans..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3" w:lineRule="exact"/>
        <w:rPr>
          <w:sz w:val="20"/>
          <w:szCs w:val="20"/>
          <w:color w:val="auto"/>
        </w:rPr>
      </w:pPr>
    </w:p>
    <w:p>
      <w:pPr>
        <w:sectPr>
          <w:pgSz w:w="11900" w:h="16838" w:orient="portrait"/>
          <w:cols w:equalWidth="0" w:num="6">
            <w:col w:w="2389" w:space="0"/>
            <w:col w:w="540" w:space="260"/>
            <w:col w:w="1340" w:space="360"/>
            <w:col w:w="620" w:space="180"/>
            <w:col w:w="1420" w:space="260"/>
            <w:col w:w="2859"/>
          </w:cols>
          <w:pgMar w:left="231" w:top="628" w:right="1440" w:bottom="1440" w:gutter="0" w:footer="0" w:header="0"/>
          <w:type w:val="continuous"/>
        </w:sectPr>
      </w:pPr>
    </w:p>
    <w:p>
      <w:pPr>
        <w:ind w:left="2389" w:hanging="2395"/>
        <w:spacing w:after="0" w:line="271" w:lineRule="auto"/>
        <w:rPr>
          <w:sz w:val="20"/>
          <w:szCs w:val="20"/>
          <w:color w:val="auto"/>
        </w:rPr>
      </w:pPr>
      <w:r>
        <w:rPr>
          <w:rFonts w:ascii="Courier New" w:cs="Courier New" w:eastAsia="Courier New" w:hAnsi="Courier New"/>
          <w:sz w:val="14"/>
          <w:szCs w:val="14"/>
          <w:color w:val="auto"/>
        </w:rPr>
        <w:t>Diluted EPS................ ($274) ======</w:t>
      </w:r>
    </w:p>
    <w:p>
      <w:pPr>
        <w:spacing w:after="0" w:line="20" w:lineRule="exact"/>
        <w:rPr>
          <w:sz w:val="20"/>
          <w:szCs w:val="20"/>
          <w:color w:val="auto"/>
        </w:rPr>
      </w:pPr>
      <w:r>
        <w:rPr>
          <w:sz w:val="20"/>
          <w:szCs w:val="20"/>
          <w:color w:val="auto"/>
        </w:rPr>
        <w:br w:type="column"/>
      </w: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1,110</w:t>
      </w:r>
      <w:r>
        <w:rPr>
          <w:sz w:val="20"/>
          <w:szCs w:val="20"/>
          <w:color w:val="auto"/>
        </w:rPr>
        <w:tab/>
      </w:r>
      <w:r>
        <w:rPr>
          <w:rFonts w:ascii="Courier New" w:cs="Courier New" w:eastAsia="Courier New" w:hAnsi="Courier New"/>
          <w:sz w:val="14"/>
          <w:szCs w:val="14"/>
          <w:color w:val="auto"/>
        </w:rPr>
        <w:t>($0.25)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right"/>
        <w:spacing w:after="0" w:line="271" w:lineRule="auto"/>
        <w:rPr>
          <w:sz w:val="20"/>
          <w:szCs w:val="20"/>
          <w:color w:val="auto"/>
        </w:rPr>
      </w:pPr>
      <w:r>
        <w:rPr>
          <w:rFonts w:ascii="Courier New" w:cs="Courier New" w:eastAsia="Courier New" w:hAnsi="Courier New"/>
          <w:sz w:val="14"/>
          <w:szCs w:val="14"/>
          <w:color w:val="auto"/>
        </w:rPr>
        <w:t>$224 =======</w:t>
      </w:r>
    </w:p>
    <w:p>
      <w:pPr>
        <w:spacing w:after="0" w:line="20" w:lineRule="exact"/>
        <w:rPr>
          <w:sz w:val="20"/>
          <w:szCs w:val="20"/>
          <w:color w:val="auto"/>
        </w:rPr>
      </w:pPr>
      <w:r>
        <w:rPr>
          <w:sz w:val="20"/>
          <w:szCs w:val="20"/>
          <w:color w:val="auto"/>
        </w:rPr>
        <w:br w:type="column"/>
      </w:r>
    </w:p>
    <w:p>
      <w:pPr>
        <w:jc w:val="both"/>
        <w:ind w:firstLine="355"/>
        <w:spacing w:after="0" w:line="271" w:lineRule="auto"/>
        <w:rPr>
          <w:sz w:val="20"/>
          <w:szCs w:val="20"/>
          <w:color w:val="auto"/>
        </w:rPr>
      </w:pPr>
      <w:r>
        <w:rPr>
          <w:rFonts w:ascii="Courier New" w:cs="Courier New" w:eastAsia="Courier New" w:hAnsi="Courier New"/>
          <w:sz w:val="14"/>
          <w:szCs w:val="14"/>
          <w:color w:val="auto"/>
        </w:rPr>
        <w:t>965 $0.23 ======= ========</w:t>
      </w:r>
    </w:p>
    <w:p>
      <w:pPr>
        <w:spacing w:after="0" w:line="20" w:lineRule="exact"/>
        <w:rPr>
          <w:sz w:val="20"/>
          <w:szCs w:val="20"/>
          <w:color w:val="auto"/>
        </w:rPr>
      </w:pPr>
      <w:r>
        <w:rPr>
          <w:sz w:val="20"/>
          <w:szCs w:val="20"/>
          <w:color w:val="auto"/>
        </w:rPr>
        <w:br w:type="column"/>
      </w:r>
    </w:p>
    <w:p>
      <w:pPr>
        <w:jc w:val="both"/>
        <w:ind w:right="639" w:firstLine="266"/>
        <w:spacing w:after="0" w:line="271" w:lineRule="auto"/>
        <w:rPr>
          <w:sz w:val="20"/>
          <w:szCs w:val="20"/>
          <w:color w:val="auto"/>
        </w:rPr>
      </w:pPr>
      <w:r>
        <w:rPr>
          <w:rFonts w:ascii="Courier New" w:cs="Courier New" w:eastAsia="Courier New" w:hAnsi="Courier New"/>
          <w:sz w:val="14"/>
          <w:szCs w:val="14"/>
          <w:color w:val="auto"/>
        </w:rPr>
        <w:t>$2,021 949 $2.13 ========= ====== ========</w:t>
      </w:r>
    </w:p>
    <w:p>
      <w:pPr>
        <w:spacing w:after="0" w:line="200" w:lineRule="exact"/>
        <w:rPr>
          <w:sz w:val="20"/>
          <w:szCs w:val="20"/>
          <w:color w:val="auto"/>
        </w:rPr>
      </w:pPr>
    </w:p>
    <w:p>
      <w:pPr>
        <w:sectPr>
          <w:pgSz w:w="11900" w:h="16838" w:orient="portrait"/>
          <w:cols w:equalWidth="0" w:num="5">
            <w:col w:w="3009" w:space="180"/>
            <w:col w:w="1420" w:space="280"/>
            <w:col w:w="620" w:space="180"/>
            <w:col w:w="1420" w:space="260"/>
            <w:col w:w="2859"/>
          </w:cols>
          <w:pgMar w:left="231" w:top="628" w:right="1440" w:bottom="1440" w:gutter="0" w:footer="0" w:header="0"/>
          <w:type w:val="continuous"/>
        </w:sectPr>
      </w:pPr>
    </w:p>
    <w:p>
      <w:pPr>
        <w:spacing w:after="0" w:line="122" w:lineRule="exact"/>
        <w:rPr>
          <w:sz w:val="20"/>
          <w:szCs w:val="20"/>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Broadband</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the Company completed the acquisition of Broadband. The results of the Broadband operations have been included in the consolidated financial statements since that date. The acquisition creates the largest cable operator in the United States by combining the Company's and Broadband's extensive cable networks and technologically advanced broadband delivery systems.</w:t>
      </w:r>
    </w:p>
    <w:p>
      <w:pPr>
        <w:spacing w:after="0" w:line="175"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complete the acquisition of Broadband was $50.780 billion, consisting of $25.495 billion of the Company's common stock and options, $24.860 billion of assumed debt, and $425 million of transaction costs directly related to the acquisition. The Company issued approximately 1.348 billion shares of its common stock (excluding shares of Class A common stock issued and classified as treasury stock) consisting of 1.233 billion shares of its Class A common stock to Broadband shareholders in exchange for all of AT&amp;T's interests in Broadband, and the issuance of approximately 100.6 million shares and 14.4 million shares of its Class A and Class A Special common stock, respectively, to Microsoft in exchange for Broadband shares that Microsoft received immediately prior to the completion of the Broadband acquisition for settlement of its $5 billion aggregate principal amount in quarterly income preferred securities. The Company also issued 61.1 million options in exchange for outstanding Broadband options. The shares issued for Broadband were valued based on a price per share of $18.80 which reflects the weighted average market price of Comcast Holdings common stock during the period beginning two days before and ending two days after August 12, 2002. The acquisition was structured as a tax-free transaction to the Company, to Comcast Holdings and to AT&amp;T.</w:t>
      </w:r>
    </w:p>
    <w:p>
      <w:pPr>
        <w:spacing w:after="0" w:line="185" w:lineRule="exact"/>
        <w:rPr>
          <w:rFonts w:ascii="Courier New" w:cs="Courier New" w:eastAsia="Courier New" w:hAnsi="Courier New"/>
          <w:sz w:val="15"/>
          <w:szCs w:val="15"/>
          <w:color w:val="auto"/>
        </w:rPr>
      </w:pPr>
    </w:p>
    <w:p>
      <w:pPr>
        <w:jc w:val="both"/>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original merger agreement dated December 19, 2001, the Company was to assume public debt of Broadband's subsidiaries and fund Broadband's intercompany payable due to AT&amp;T. Subsequent to the original merger agreement, economic and business factors changed resulting in a modification of the consideration to be exchanged. On August 12, 2002, in connection with the filing of a proposed exchange offer by AT&amp;T, the form of consideration to be exchanged was modified to provide for the assumption by Broadband of a portion of AT&amp;T's public debt securities, thereby increasing the amount of debt assumed by the Company by $3.5 billion and</w:t>
      </w:r>
    </w:p>
    <w:p>
      <w:pPr>
        <w:spacing w:after="0" w:line="334"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w:t>
      </w:r>
    </w:p>
    <w:p>
      <w:pPr>
        <w:sectPr>
          <w:pgSz w:w="11900" w:h="16838" w:orient="portrait"/>
          <w:cols w:equalWidth="0" w:num="1">
            <w:col w:w="10228"/>
          </w:cols>
          <w:pgMar w:left="231" w:top="628"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reducing the amount of intercompany indebtedness paid at closing. This modification represented a substantive change in the non-equity, or "other" consideration, being paid, resulting in a new measurement date for determining the value of the common stock issued in the acquisition. Accordingly, the fair value of the shares issued for Broadband was based on the August 12, 2002 measurement date.</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Purchase Price Allocation. The application of purchase accounting under SFAS No. 141, "Business Combinations" ("SFAS No. 141"), requires that the total purchase price be allocated to the fair value of the assets acquired and liabilities assumed based on their fair values at the acquisition date. The allocation process requires an analysis of acquired contracts, franchise related customer relationships, employee benefit plans, contractual commitments and legal contingencies to identify and record the fair value of all assets acquired and liabilities assumed. In valuing acquired assets and liabilities, fair value estimates are based on, but are not limited to: future expected cash flows; market rate assumptions for contractual obligations; actuarial assumptions for benefit plans; settlement plans for litigation and contingencies; and appropriate discount rates.</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 of the acquisition date, the Company initiated certain integration activities based on a preliminary plan to terminate employees and exit certain contractual obligations. Under the guidance in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future results of operations.</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following table summarizes the estimated fair values of the assets acquired and liabilities assumed and the related deferred income taxes as of the acquisition date. Given the size of the Broadband acquisition and close proximity to year-end, the value of certain assets and liabilities are based on preliminary valuations and are subject to adjustment as additional information is obtained. Such additional information includes: reports from valuation specialists; information related to the cost of terminating or meeting contractual obligations; and information related to preacquisition contingencies.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 assets......................................................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$ 1,533</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Investments, including TWE..........................................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17,325</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plant &amp; equipment.........................................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11,757</w:t>
            </w:r>
          </w:p>
        </w:tc>
      </w:tr>
      <w:tr>
        <w:trPr>
          <w:trHeight w:val="171"/>
        </w:trPr>
        <w:tc>
          <w:tcPr>
            <w:tcW w:w="6080" w:type="dxa"/>
            <w:vAlign w:val="bottom"/>
          </w:tcPr>
          <w:p>
            <w:pPr>
              <w:jc w:val="right"/>
              <w:ind w:right="3346"/>
              <w:spacing w:after="0"/>
              <w:rPr>
                <w:sz w:val="20"/>
                <w:szCs w:val="20"/>
                <w:color w:val="auto"/>
              </w:rPr>
            </w:pPr>
            <w:r>
              <w:rPr>
                <w:rFonts w:ascii="Courier New" w:cs="Courier New" w:eastAsia="Courier New" w:hAnsi="Courier New"/>
                <w:sz w:val="15"/>
                <w:szCs w:val="15"/>
                <w:color w:val="auto"/>
                <w:w w:val="97"/>
              </w:rPr>
              <w:t>Amortizable intangible assets:</w:t>
            </w:r>
          </w:p>
        </w:tc>
        <w:tc>
          <w:tcPr>
            <w:tcW w:w="1020" w:type="dxa"/>
            <w:vAlign w:val="bottom"/>
          </w:tcPr>
          <w:p>
            <w:pPr>
              <w:spacing w:after="0"/>
              <w:rPr>
                <w:sz w:val="14"/>
                <w:szCs w:val="14"/>
                <w:color w:val="auto"/>
              </w:rPr>
            </w:pP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Franchise related customer relationships.......................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4,019</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Cable franchise rights..............................................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31,689</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Goodwill............................................................</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10,951</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noncurrent assets.............................................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77,720</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payable, accrued expenses and other current liabilities....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(4,694)</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Short-term debt and current portion of long-term debt...............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(8,049)</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(16,811)</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(17,541)</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non-current liabilities.......................................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( 4,277)</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Minority interest...................................................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(1,554)</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(52,926)</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w w:val="98"/>
              </w:rPr>
              <w:t>Comcast shares held by Broadband, classified as treasury stock......</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1,126</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Net assets acquired........................................</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$25,920</w:t>
            </w:r>
          </w:p>
        </w:tc>
      </w:tr>
      <w:tr>
        <w:trPr>
          <w:trHeight w:val="171"/>
        </w:trPr>
        <w:tc>
          <w:tcPr>
            <w:tcW w:w="608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683"/>
        </w:trPr>
        <w:tc>
          <w:tcPr>
            <w:tcW w:w="6080" w:type="dxa"/>
            <w:vAlign w:val="bottom"/>
          </w:tcPr>
          <w:p>
            <w:pPr>
              <w:jc w:val="right"/>
              <w:ind w:right="2206"/>
              <w:spacing w:after="0"/>
              <w:rPr>
                <w:sz w:val="20"/>
                <w:szCs w:val="20"/>
                <w:color w:val="auto"/>
              </w:rPr>
            </w:pPr>
            <w:r>
              <w:rPr>
                <w:rFonts w:ascii="Courier New" w:cs="Courier New" w:eastAsia="Courier New" w:hAnsi="Courier New"/>
                <w:sz w:val="15"/>
                <w:szCs w:val="15"/>
                <w:color w:val="auto"/>
              </w:rPr>
              <w:t>- 53 -</w:t>
            </w: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the aggregate, the intangible assets which are subject to amortization have a weighted average useful life of 4 years. Franchise related customer relationships have a weighted average useful life of 4 years. The $10.951 billion of goodwill, none of which was deductible for income tax purposes, was assigned to the Company's cable segment.</w:t>
      </w:r>
    </w:p>
    <w:p>
      <w:pPr>
        <w:spacing w:after="0" w:line="174"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Liabilities associated with exit activities recorded in the above allocation consist of accrued employee termination and related costs of $602 million and $929 million associated with either the cost of terminating contracts or the present value of remaining amounts payable under non-cancelable contracts. Amounts paid against these accruals totaled $110 million and $16 million, respectively, as of December 31, 2002.</w:t>
      </w:r>
    </w:p>
    <w:p>
      <w:pPr>
        <w:spacing w:after="0" w:line="164"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Identification of Comcast Holdings as Acquiring Entity. The identification of Comcast Holdings as the acquiring entity was made after careful consideration of all facts and circumstances, including those outlined in SFAS No. 141 related to voting rights, the existence of a large minority voting interest, governance arrangements and composition of senior management. As more fully described below, based on Brian L. Roberts' ("Mr. Roberts") nondilutable minority voting interest, his role on the Governance and Directors Nominating Committee of the Board of Directors, his position as President and Chief Executive Officer ("CEO"), and his right to appoint other members of senior management, as well as the other factors described below, it was concluded that Comcast Holdings was the acquiring entity.</w:t>
      </w:r>
    </w:p>
    <w:p>
      <w:pPr>
        <w:spacing w:after="0" w:line="16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Voting Rights in the Company. Upon closing, former AT&amp;T shareholders owned approximately 60.7% of the Company's voting common stock. Mr. Roberts, the President and controlling shareholder prior to the acquisition owns a 33.33% non-dilutable voting interest after the acquisition through ownership of the Company's Class B common stock, representing the largest minority voting interest in the Company. The next largest voting interest held by an individual shareholder was 4.95%, held by Microsoft. As a result of his ownership of the Class B common stock, Mr. Roberts has the right to approve any merger involving the Company or any other transaction in which any other person would own more than 10% of the common stock of the Company, the right to approve any issuances of Class B common stock, and any charter amendments or other actions that would limit the rights of the Class B common stock.</w:t>
      </w:r>
    </w:p>
    <w:p>
      <w:pPr>
        <w:spacing w:after="0" w:line="180"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Governance Arrangements Relating to the Board of Directors. The Company's Board of Directors has twelve members, five of whom were designated by Comcast Holdings, five of whom were designated by AT&amp;T, and two of whom were jointly designated and are independent persons. As long as Mr. Roberts is the Chairman or CEO of the Company he will be the chairman of the Board committee that nominates the slate of directors for the Company (the "Governance and Directors Nominating Committee"). Prior to the 2004 annual meeting of shareholders, the remaining four members of the Governance and Directors Nominating Committee will consist of independent directors selected by the Comcast Holdings director designees. After the 2004 annual meeting of shareholders, the remaining four members of the Governance and Directors Nominating Committee will be selected by Mr. Roberts from among the Company's independent directors. Nominations of the Governance and Directors Nominating Committee will be submitted directly to the shareholders without any requirement of Board approval or ratification.</w:t>
      </w:r>
    </w:p>
    <w:p>
      <w:pPr>
        <w:spacing w:after="0" w:line="33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Governance Arrangements Relating to Management. The Company has an Office of the Chairman, comprised of the Chairman of the Board (the "Chairman") and the CEO. The Office of the Chairman is the Company's principal executive deliberative body with responsibility for corporate strategy, policy and direction, governmental affairs and other significant matters. Mr. Roberts is the President and CEO of the Company and he will remain President of the Company for as long as he is the CEO. The CEO's powers and responsibilities include the supervision and management of the Company's business and operations, all matters related to officers and employees, including hiring and termination, all rights and powers typically exercised by the chief executive officer and president of a corporation, and the authority to call special meetings of the Board of Directors. Mr. Roberts has the right to fill all senior management positions of the Company after consultation with the Chairman. After the 2005 annual meeting of shareholders, or if the current Chairman ceases to serve as Chairman prior to that date, Mr. Roberts will become the Chairman. Prior to the sixth anniversary of the 2004 annual meeting of shareholders, removal of Mr. Roberts as CEO (or Chairman) will require the vote of at least 75% of the entire Board.</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19"/>
          </w:cols>
          <w:pgMar w:left="240" w:top="45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61" w:lineRule="auto"/>
        <w:rPr>
          <w:sz w:val="20"/>
          <w:szCs w:val="20"/>
          <w:color w:val="auto"/>
        </w:rPr>
      </w:pPr>
      <w:r>
        <w:rPr>
          <w:rFonts w:ascii="Courier New" w:cs="Courier New" w:eastAsia="Courier New" w:hAnsi="Courier New"/>
          <w:sz w:val="14"/>
          <w:szCs w:val="14"/>
          <w:color w:val="auto"/>
        </w:rPr>
        <w:t>Other Factors. Comcast Holdings made an unsolicited offer to purchase all of AT&amp;T Broadband. Subsequent to Comcast Holdings' offer, AT&amp;T solicited bids from other potential purchasers. The headquarters of the Company is in Philadelphia, Pennsylvania, the headquarters of Comcast Holdings. Following the acquisition, the name of the combined company is Comcast Corporation.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TWE Restructuring</w:t>
      </w:r>
    </w:p>
    <w:p>
      <w:pPr>
        <w:spacing w:after="0" w:line="3"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Included in investments acquired in the Broadband acquisition is a 27.6% interest in Time Warner Entertainment Company L.P. ("TWE"). In August 2002, AT&amp;T and Comcast Holdings announced that they had entered into an agreement with AOL Time Warner, Inc. ("AOL Time Warner") providing for the restructuring of TWE. The restructuring agreement is intended to provide for a more orderly and timely disposition of the Company's 27.6% ownership interest in TWE than would likely be available under the registration rights provisions of the existing TWE partnership agreement. Upon consummation of the Broadband acquisition, the Company assumed all of AT&amp;T's interest in TWE and in the restructuring agreement. As part of the restructuring, TWE will distribute to AOL Time Warner all of TWE's major content assets, which include Home Box Office, Warner Bros., and stakes in The WB Network, Comedy Central and Court TV, and receive in exchange therefor AOL Time Warner's cable assets not currently held through TWE. Upon closing of the restructuring agreement, the Company will receive $1.5 billion in common stock of AOL Time Warner (valued at the time of the closing and subject to certain limitations), and an approximate 21% equity interest in the successor entity to TWE ("Time Warner Cable", which will then hold all of AOL Time Warner's cable properties), in exchange for its approximate 27.6% interest in TWE. The Company will also receive $2.1 billion in cash. Time Warner Cable is expected to conduct an initial public offering of common stock following closing under the restructuring agreement. Also, under the restructuring agreement, the Company will have registration rights that should facilitate the disposal or monetization of its shares in Time Warner Cable and in AOL Time Warner.</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 part of the process of obtaining approval of the Broadband acquisition from the Federal Communications Commission ("FCC"), at the closing of the Broadband acquisition, the Company placed its entire interest in TWE in trust for orderly disposition. Any non-cash consideration received in respect of such interest as a result of the TWE restructuring, including the AOL Time Warner and Time Warner Cable common stock, will remain in trust until disposed of or FCC approval is obtained to remove such interests from the trust (see Note 6).</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Under the trust, the trustee will have exclusive authority to exercise any management or governance rights associated with the securities in trust. The trustee will also have the obligation, subject to the rights of the Company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the Company from time to time.</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 a condition of the closing of the TWE restructuring, the Company will enter into a three-year nonexclusive agreement with AOL Time Warner under which the AOL High-Speed Broadband service would be made available over a three-year period on certain of the Company's cable systems which pass approximately 10 million homes.</w:t>
      </w:r>
    </w:p>
    <w:p>
      <w:pPr>
        <w:spacing w:after="0" w:line="174" w:lineRule="exact"/>
        <w:rPr>
          <w:sz w:val="20"/>
          <w:szCs w:val="20"/>
          <w:color w:val="auto"/>
        </w:rPr>
      </w:pPr>
    </w:p>
    <w:p>
      <w:pPr>
        <w:jc w:val="both"/>
        <w:ind w:left="440" w:right="3119"/>
        <w:spacing w:after="0" w:line="261" w:lineRule="auto"/>
        <w:rPr>
          <w:sz w:val="20"/>
          <w:szCs w:val="20"/>
          <w:color w:val="auto"/>
        </w:rPr>
      </w:pPr>
      <w:r>
        <w:rPr>
          <w:rFonts w:ascii="Courier New" w:cs="Courier New" w:eastAsia="Courier New" w:hAnsi="Courier New"/>
          <w:sz w:val="14"/>
          <w:szCs w:val="14"/>
          <w:color w:val="auto"/>
        </w:rPr>
        <w:t>The TWE restructuring is subject to receipt of certain regulatory approvals and other closing conditions, and is expected to close by the end of the second quarter of 2003. If the restructuring agreement is terminated without the restructuring being consummated, the parties will return to the registration rights process under the TWE partnership agreement.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Bresnan Transaction</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February 2003, the Company announced that it had entered into a definitive agreement with Bresnan Broadband Holdings, LLC and Bresnan Communications, LLC (together, "Bresnan") pursuant to which the Company would</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219"/>
          </w:cols>
          <w:pgMar w:left="240" w:top="62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transfer cable systems serving approximately 317,000 subscribers in Montana, Wyoming, Colorado and Utah to Bresnan that the Company had acquired in connection with the Broadband acquisition. The Company will receive approximately $525 million in cash, plus preferred and common equity interests in Bresnan in exchange for these cable systems. The assets (which consist primarily of cable franchise rights and property and equipment) for these cable systems are reported as assets held for sale in accordance with SFAS No. 144, "Accounting for the Impairment or Disposal of Long-Lived Assets," in the Company's consolidated balance sheet. The results of operations for period from November 19, 2002 through December 31, 2002 for these cable systems are presented as discontinued operations, net of tax, in the Company's consolidated statement of operations. Revenues and operating income for these cable systems during the period from November 19, 2002 through December 31, 2002 were $21 million and $3 million, respectively. The Company expects this transaction to close by March 31, 2003, subject to customary closing conditions.</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2001 and 2000 Acquisitions and Exchanges</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In 2001, the Company acquired the regional sports programming network Home Team Sports ("HTS") from Viacom, Inc. ("Viacom") and Affiliated Regional Communications, Ltd. ("ARC"), various cable systems serving an aggregate of 697,000 subscribers from AT&amp;T, and additional interests in programming networks TGC and OLN from Fox Entertainment Group, Inc. ("Fox Entertainment"). Upon closing of the OLN acquisition, the Company exchanged its 14.5% interest in the Speedvision Network ("SVN"), together with a previously made loan, for Fox Entertainment's interest in OLN and recorded to other income a pre-tax gain of $107 million, representing the difference between the estimated fair value of the Company's interest in SVN as of the closing date of the transaction and the Company's cost basis in SVN. In 2001, the Company also completed its cable systems exchange with Adelphia Communications Corporation ("Adelphia"). The Company recorded to other income a pre-tax gain of $1.199 billion, representing the difference between the estimated fair value of $1.799 billion as of the closing date of the transaction and the Company's cost basis in the systems exchanged.</w:t>
      </w:r>
    </w:p>
    <w:p>
      <w:pPr>
        <w:spacing w:after="0" w:line="16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2000, the Company acquired cable operations consisting of Lenfest Communications, Inc. ("Lenfest"), including Lenfest's 50% interest in Comcast Cablevision of Garden State, L.P. ("Garden State Cable"), from AT&amp;T and the other Lenfest stockholders, the minority interest in Comcast MHCP Holdings, L.L.C. ("Comcast MHCP") from the California Public Employees Retirement System ("CalPERS"), the minority interest in Jones Intercable, Inc. ("Jones Intercable") from the Jones Intercable shareholders, and Prime Communications LLC ("Prime") from Prime's shareholders. In 2000, the Company also completed its cable systems exchange with AT&amp;T. The Company recorded to other income a pre-tax gain of $1.711 billion, representing the difference between the estimated fair value of $2.840 billion as of the closing date of the transaction and the Company's cost basis in the systems exchanged.</w:t>
      </w: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19"/>
          </w:cols>
          <w:pgMar w:left="240" w:top="628"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720"/>
        <w:spacing w:after="0"/>
        <w:rPr>
          <w:sz w:val="20"/>
          <w:szCs w:val="20"/>
          <w:color w:val="auto"/>
        </w:rPr>
      </w:pPr>
      <w:r>
        <w:rPr>
          <w:rFonts w:ascii="Courier New" w:cs="Courier New" w:eastAsia="Courier New" w:hAnsi="Courier New"/>
          <w:sz w:val="15"/>
          <w:szCs w:val="15"/>
          <w:color w:val="auto"/>
        </w:rPr>
        <w:t>The acquisitions completed by the Company during 2001 and 2000 were accounted for under the purchase method of accounting. As such, the Company's results include the operating results of the acquired businesses from the dates of acquisition. A summary of the Company's acquisitions and cable systems exchanges for 2001 and 2000 is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 Interest</w:t>
      </w:r>
    </w:p>
    <w:p>
      <w:pPr>
        <w:spacing w:after="0" w:line="1" w:lineRule="exact"/>
        <w:rPr>
          <w:sz w:val="20"/>
          <w:szCs w:val="20"/>
          <w:color w:val="auto"/>
        </w:rPr>
      </w:pPr>
    </w:p>
    <w:p>
      <w:pPr>
        <w:ind w:left="340"/>
        <w:spacing w:after="0"/>
        <w:tabs>
          <w:tab w:leader="none" w:pos="2820" w:val="left"/>
          <w:tab w:leader="none" w:pos="4240" w:val="left"/>
          <w:tab w:leader="none" w:pos="5740" w:val="left"/>
          <w:tab w:leader="none" w:pos="7780" w:val="left"/>
          <w:tab w:leader="none" w:pos="10000" w:val="left"/>
        </w:tabs>
        <w:rPr>
          <w:sz w:val="20"/>
          <w:szCs w:val="20"/>
          <w:color w:val="auto"/>
        </w:rPr>
      </w:pPr>
      <w:r>
        <w:rPr>
          <w:rFonts w:ascii="Courier New" w:cs="Courier New" w:eastAsia="Courier New" w:hAnsi="Courier New"/>
          <w:sz w:val="15"/>
          <w:szCs w:val="15"/>
          <w:color w:val="auto"/>
        </w:rPr>
        <w:t>Acquisition/Exchange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Seller</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4"/>
          <w:szCs w:val="14"/>
          <w:color w:val="auto"/>
        </w:rPr>
        <w:t>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OLN</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83.2%</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October 30</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Fox Entertainment</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Cash and 14.5% interest in SVN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AT&amp;T Cable System</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June 30</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TGC</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30.8%</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June 8</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Fox Entertainment</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AT&amp;T Cable Systems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April 30</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63.9 million shares of AT&amp;T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71"/>
        </w:trPr>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HTS</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February 14</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Viacom and ARC</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Cable distribution of</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1"/>
        </w:trPr>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programming</w:t>
            </w:r>
          </w:p>
        </w:tc>
        <w:tc>
          <w:tcPr>
            <w:tcW w:w="7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Adelphia Exchange</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January 1</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Adelphia</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Cable systems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AT&amp;T Exchange</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Cable systems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$2,840</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Prime</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August 1</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Converted loans, cash and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r>
        <w:trPr>
          <w:trHeight w:val="171"/>
        </w:trPr>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assumed debt</w:t>
            </w:r>
          </w:p>
        </w:tc>
        <w:tc>
          <w:tcPr>
            <w:tcW w:w="7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Jones Intercable</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March 2</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35.6 million shares of Comcast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$1,727</w:t>
            </w:r>
          </w:p>
        </w:tc>
      </w:tr>
      <w:tr>
        <w:trPr>
          <w:trHeight w:val="171"/>
        </w:trPr>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Comcast MHCP</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February 10</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CalPERS</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Lenfest and</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January 18</w:t>
            </w: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AT&amp;T and</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120.1 million shares of Comcast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$7,340</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Garden State Cable</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spacing w:after="0"/>
              <w:rPr>
                <w:sz w:val="14"/>
                <w:szCs w:val="14"/>
                <w:color w:val="auto"/>
              </w:rPr>
            </w:pP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common stock and assumed</w:t>
            </w:r>
          </w:p>
        </w:tc>
        <w:tc>
          <w:tcPr>
            <w:tcW w:w="70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Courier New" w:cs="Courier New" w:eastAsia="Courier New" w:hAnsi="Courier New"/>
                <w:sz w:val="15"/>
                <w:szCs w:val="15"/>
                <w:color w:val="auto"/>
              </w:rPr>
              <w:t>debt</w:t>
            </w:r>
          </w:p>
        </w:tc>
        <w:tc>
          <w:tcPr>
            <w:tcW w:w="700" w:type="dxa"/>
            <w:vAlign w:val="bottom"/>
          </w:tcPr>
          <w:p>
            <w:pPr>
              <w:spacing w:after="0"/>
              <w:rPr>
                <w:sz w:val="14"/>
                <w:szCs w:val="14"/>
                <w:color w:val="auto"/>
              </w:rPr>
            </w:pPr>
          </w:p>
        </w:tc>
      </w:tr>
    </w:tbl>
    <w:p>
      <w:pPr>
        <w:spacing w:after="0" w:line="345" w:lineRule="exact"/>
        <w:rPr>
          <w:sz w:val="20"/>
          <w:szCs w:val="20"/>
          <w:color w:val="auto"/>
        </w:rPr>
      </w:pPr>
    </w:p>
    <w:p>
      <w:pPr>
        <w:jc w:val="both"/>
        <w:ind w:left="440" w:right="3720"/>
        <w:spacing w:after="0" w:line="239" w:lineRule="auto"/>
        <w:rPr>
          <w:sz w:val="20"/>
          <w:szCs w:val="20"/>
          <w:color w:val="auto"/>
        </w:rPr>
      </w:pPr>
      <w:r>
        <w:rPr>
          <w:rFonts w:ascii="Courier New" w:cs="Courier New" w:eastAsia="Courier New" w:hAnsi="Courier New"/>
          <w:sz w:val="15"/>
          <w:szCs w:val="15"/>
          <w:color w:val="auto"/>
        </w:rPr>
        <w:t>The Broadband acquisition, the Company's cable systems exchanges with Adelphia and AT&amp;T, and certain of the Company's acquisitions did not result in cash payments but affected recognized assets and liabilities (see Note 12).</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820"/>
          </w:cols>
          <w:pgMar w:left="240" w:top="628" w:right="839"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40" w:type="dxa"/>
            <w:vAlign w:val="bottom"/>
            <w:gridSpan w:val="4"/>
          </w:tcPr>
          <w:p>
            <w:pPr>
              <w:spacing w:after="0"/>
              <w:rPr>
                <w:sz w:val="20"/>
                <w:szCs w:val="20"/>
                <w:color w:val="auto"/>
              </w:rPr>
            </w:pPr>
            <w:r>
              <w:rPr>
                <w:rFonts w:ascii="Courier New" w:cs="Courier New" w:eastAsia="Courier New" w:hAnsi="Courier New"/>
                <w:sz w:val="15"/>
                <w:szCs w:val="15"/>
                <w:color w:val="auto"/>
              </w:rPr>
              <w:t>Unaudited Pro Forma Information</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w:t>
            </w:r>
          </w:p>
        </w:tc>
        <w:tc>
          <w:tcPr>
            <w:tcW w:w="5740" w:type="dxa"/>
            <w:vAlign w:val="bottom"/>
            <w:gridSpan w:val="7"/>
          </w:tcPr>
          <w:p>
            <w:pPr>
              <w:jc w:val="right"/>
              <w:ind w:right="326"/>
              <w:spacing w:after="0"/>
              <w:rPr>
                <w:sz w:val="20"/>
                <w:szCs w:val="20"/>
                <w:color w:val="auto"/>
              </w:rPr>
            </w:pPr>
            <w:r>
              <w:rPr>
                <w:rFonts w:ascii="Courier New" w:cs="Courier New" w:eastAsia="Courier New" w:hAnsi="Courier New"/>
                <w:sz w:val="15"/>
                <w:szCs w:val="15"/>
                <w:color w:val="auto"/>
                <w:w w:val="98"/>
              </w:rPr>
              <w:t>unaudited pro forma information has been presented as if the</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Broadband</w:t>
            </w:r>
          </w:p>
        </w:tc>
        <w:tc>
          <w:tcPr>
            <w:tcW w:w="420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8"/>
              </w:rPr>
              <w:t>acquisition  occurred on January 1, 2001, the</w:t>
            </w:r>
          </w:p>
        </w:tc>
        <w:tc>
          <w:tcPr>
            <w:tcW w:w="20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acquisitions  and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060" w:type="dxa"/>
            <w:vAlign w:val="bottom"/>
            <w:gridSpan w:val="9"/>
          </w:tcPr>
          <w:p>
            <w:pPr>
              <w:spacing w:after="0"/>
              <w:rPr>
                <w:sz w:val="20"/>
                <w:szCs w:val="20"/>
                <w:color w:val="auto"/>
              </w:rPr>
            </w:pPr>
            <w:r>
              <w:rPr>
                <w:rFonts w:ascii="Courier New" w:cs="Courier New" w:eastAsia="Courier New" w:hAnsi="Courier New"/>
                <w:sz w:val="15"/>
                <w:szCs w:val="15"/>
                <w:color w:val="auto"/>
              </w:rPr>
              <w:t>cable systems exchange made by the Company in 2001 each occurred on January</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1,  2000,</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the</w:t>
            </w:r>
          </w:p>
        </w:tc>
        <w:tc>
          <w:tcPr>
            <w:tcW w:w="11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acquisitions</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and cable  systems</w:t>
            </w:r>
          </w:p>
        </w:tc>
        <w:tc>
          <w:tcPr>
            <w:tcW w:w="24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exchange  made by the</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060" w:type="dxa"/>
            <w:vAlign w:val="bottom"/>
            <w:gridSpan w:val="9"/>
          </w:tcPr>
          <w:p>
            <w:pPr>
              <w:spacing w:after="0"/>
              <w:rPr>
                <w:sz w:val="20"/>
                <w:szCs w:val="20"/>
                <w:color w:val="auto"/>
              </w:rPr>
            </w:pPr>
            <w:r>
              <w:rPr>
                <w:rFonts w:ascii="Courier New" w:cs="Courier New" w:eastAsia="Courier New" w:hAnsi="Courier New"/>
                <w:sz w:val="15"/>
                <w:szCs w:val="15"/>
                <w:color w:val="auto"/>
              </w:rPr>
              <w:t>Company in 2000 each occurred on January 1, 1999. This information is based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on historical</w:t>
            </w:r>
          </w:p>
        </w:tc>
        <w:tc>
          <w:tcPr>
            <w:tcW w:w="210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8"/>
              </w:rPr>
              <w:t>results of operations,</w:t>
            </w:r>
          </w:p>
        </w:tc>
        <w:tc>
          <w:tcPr>
            <w:tcW w:w="3640" w:type="dxa"/>
            <w:vAlign w:val="bottom"/>
            <w:gridSpan w:val="4"/>
          </w:tcPr>
          <w:p>
            <w:pPr>
              <w:jc w:val="right"/>
              <w:ind w:right="326"/>
              <w:spacing w:after="0"/>
              <w:rPr>
                <w:sz w:val="20"/>
                <w:szCs w:val="20"/>
                <w:color w:val="auto"/>
              </w:rPr>
            </w:pPr>
            <w:r>
              <w:rPr>
                <w:rFonts w:ascii="Courier New" w:cs="Courier New" w:eastAsia="Courier New" w:hAnsi="Courier New"/>
                <w:sz w:val="15"/>
                <w:szCs w:val="15"/>
                <w:color w:val="auto"/>
                <w:w w:val="99"/>
              </w:rPr>
              <w:t>adjusted for acquisition costs, and,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in the opinion of</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is not</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necessarily</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indicative of</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what the</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3800" w:type="dxa"/>
            <w:vAlign w:val="bottom"/>
            <w:gridSpan w:val="5"/>
          </w:tcPr>
          <w:p>
            <w:pPr>
              <w:spacing w:after="0"/>
              <w:rPr>
                <w:sz w:val="20"/>
                <w:szCs w:val="20"/>
                <w:color w:val="auto"/>
              </w:rPr>
            </w:pPr>
            <w:r>
              <w:rPr>
                <w:rFonts w:ascii="Courier New" w:cs="Courier New" w:eastAsia="Courier New" w:hAnsi="Courier New"/>
                <w:sz w:val="15"/>
                <w:szCs w:val="15"/>
                <w:color w:val="auto"/>
              </w:rPr>
              <w:t>would have been had the Company  operated</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entities</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acquired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since such dates.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(Amounts in millions,</w:t>
            </w:r>
          </w:p>
        </w:tc>
      </w:tr>
      <w:tr>
        <w:trPr>
          <w:trHeight w:val="17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except per share data)</w:t>
            </w:r>
          </w:p>
        </w:tc>
      </w:tr>
      <w:tr>
        <w:trPr>
          <w:trHeight w:val="17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gridSpan w:val="2"/>
          </w:tcPr>
          <w:p>
            <w:pPr>
              <w:spacing w:after="0"/>
              <w:rPr>
                <w:sz w:val="20"/>
                <w:szCs w:val="20"/>
                <w:color w:val="auto"/>
              </w:rPr>
            </w:pPr>
            <w:r>
              <w:rPr>
                <w:rFonts w:ascii="Courier New" w:cs="Courier New" w:eastAsia="Courier New" w:hAnsi="Courier New"/>
                <w:sz w:val="4"/>
                <w:szCs w:val="4"/>
                <w:color w:val="auto"/>
                <w:w w:val="85"/>
              </w:rPr>
              <w:t>Revenues.......................................................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$9,151</w:t>
            </w:r>
          </w:p>
        </w:tc>
      </w:tr>
      <w:tr>
        <w:trPr>
          <w:trHeight w:val="171"/>
        </w:trPr>
        <w:tc>
          <w:tcPr>
            <w:tcW w:w="5860" w:type="dxa"/>
            <w:vAlign w:val="bottom"/>
            <w:gridSpan w:val="8"/>
          </w:tcPr>
          <w:p>
            <w:pPr>
              <w:spacing w:after="0"/>
              <w:rPr>
                <w:sz w:val="20"/>
                <w:szCs w:val="20"/>
                <w:color w:val="auto"/>
              </w:rPr>
            </w:pPr>
            <w:r>
              <w:rPr>
                <w:rFonts w:ascii="Courier New" w:cs="Courier New" w:eastAsia="Courier New" w:hAnsi="Courier New"/>
                <w:sz w:val="15"/>
                <w:szCs w:val="15"/>
                <w:color w:val="auto"/>
              </w:rPr>
              <w:t>Income (loss) before cumulative effect of accounting change....</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($15,071)</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71"/>
        </w:trPr>
        <w:tc>
          <w:tcPr>
            <w:tcW w:w="2840" w:type="dxa"/>
            <w:vAlign w:val="bottom"/>
            <w:gridSpan w:val="4"/>
          </w:tcPr>
          <w:p>
            <w:pPr>
              <w:spacing w:after="0"/>
              <w:rPr>
                <w:sz w:val="20"/>
                <w:szCs w:val="20"/>
                <w:color w:val="auto"/>
              </w:rPr>
            </w:pPr>
            <w:r>
              <w:rPr>
                <w:rFonts w:ascii="Courier New" w:cs="Courier New" w:eastAsia="Courier New" w:hAnsi="Courier New"/>
                <w:sz w:val="10"/>
                <w:szCs w:val="10"/>
                <w:color w:val="auto"/>
                <w:w w:val="74"/>
              </w:rPr>
              <w:t>Net income (loss)..............................................</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($15,071)</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6"/>
                <w:szCs w:val="6"/>
                <w:color w:val="auto"/>
                <w:w w:val="73"/>
              </w:rPr>
              <w:t>Diluted EPS....................................................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($6.55)</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bl>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unaudited pro forma information for the year ended December 31, 2002 includes $11.781 billion, net of tax, of goodwill and franchise impairment charges, and $56 million of asset impairment, restructuring and other charges recorded by Broadband prior to the closing of the Broadband acquisition. The unaudited pro forma information for the year ended December 31, 2001 includes $1.494 billion of asset impairment, restructuring and other charges recorded by Broadband prior to the closing of the Broadband acquisition. The unaudited pro forma information for the year ended December 31, 2001 reflects the elimination of Broadband's amortization expense related to goodwill and cable franchise rights since the Broadband acquisition was accounted for under the provisions of SFAS No. 142.</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In August</w:t>
            </w:r>
          </w:p>
        </w:tc>
        <w:tc>
          <w:tcPr>
            <w:tcW w:w="1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  the Company</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obtained</w:t>
            </w:r>
          </w:p>
        </w:tc>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right to exchange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its At Home</w:t>
            </w:r>
          </w:p>
        </w:tc>
      </w:tr>
      <w:tr>
        <w:trPr>
          <w:trHeight w:val="171"/>
        </w:trPr>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Corporation  ("At Home") Series</w:t>
            </w: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 Common Stock with AT&amp;T and waived certain</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of its At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Home Board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level and</w:t>
            </w: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rights  under a</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agreement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(the "Share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see Note 6). The Company also</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agreed to</w:t>
            </w:r>
          </w:p>
        </w:tc>
        <w:tc>
          <w:tcPr>
            <w:tcW w:w="32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cause its existing appointee to the</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At Home Board of Directors to</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resign.</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connection with the</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transaction,</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Company recorded to other</w:t>
            </w:r>
          </w:p>
        </w:tc>
      </w:tr>
      <w:tr>
        <w:trPr>
          <w:trHeight w:val="171"/>
        </w:trPr>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w w:val="97"/>
              </w:rPr>
              <w:t>income a pre-tax gain of $1.045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billion,</w:t>
            </w: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representing  the estimated fair</w:t>
            </w:r>
          </w:p>
        </w:tc>
      </w:tr>
      <w:tr>
        <w:trPr>
          <w:trHeight w:val="171"/>
        </w:trPr>
        <w:tc>
          <w:tcPr>
            <w:tcW w:w="5540" w:type="dxa"/>
            <w:vAlign w:val="bottom"/>
            <w:gridSpan w:val="6"/>
          </w:tcPr>
          <w:p>
            <w:pPr>
              <w:spacing w:after="0"/>
              <w:rPr>
                <w:sz w:val="20"/>
                <w:szCs w:val="20"/>
                <w:color w:val="auto"/>
              </w:rPr>
            </w:pPr>
            <w:r>
              <w:rPr>
                <w:rFonts w:ascii="Courier New" w:cs="Courier New" w:eastAsia="Courier New" w:hAnsi="Courier New"/>
                <w:sz w:val="15"/>
                <w:szCs w:val="15"/>
                <w:color w:val="auto"/>
              </w:rPr>
              <w:t>value of the investment as of the closing date.</w:t>
            </w:r>
          </w:p>
        </w:tc>
        <w:tc>
          <w:tcPr>
            <w:tcW w:w="112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 million, representing the difference between the fair value of the AT&amp;T shares received of $100 million and the Company's cost basis in the subsidiary.</w:t>
      </w:r>
    </w:p>
    <w:p>
      <w:pPr>
        <w:spacing w:after="0" w:line="33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19"/>
          </w:cols>
          <w:pgMar w:left="240" w:top="628"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9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9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(Dollars in millions)</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Fair value method</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AT&amp;T Corp....................................................</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$1,515</w:t>
            </w: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Cablevision..................................................</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694</w:t>
            </w:r>
          </w:p>
        </w:tc>
        <w:tc>
          <w:tcPr>
            <w:tcW w:w="1360" w:type="dxa"/>
            <w:vAlign w:val="bottom"/>
          </w:tcPr>
          <w:p>
            <w:pPr>
              <w:spacing w:after="0"/>
              <w:rPr>
                <w:sz w:val="14"/>
                <w:szCs w:val="14"/>
                <w:color w:val="auto"/>
              </w:rPr>
            </w:pP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Microsoft....................................................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1,967</w:t>
            </w:r>
          </w:p>
        </w:tc>
        <w:tc>
          <w:tcPr>
            <w:tcW w:w="1360" w:type="dxa"/>
            <w:vAlign w:val="bottom"/>
          </w:tcPr>
          <w:p>
            <w:pPr>
              <w:spacing w:after="0"/>
              <w:rPr>
                <w:sz w:val="14"/>
                <w:szCs w:val="14"/>
                <w:color w:val="auto"/>
              </w:rPr>
            </w:pP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Sprint Corp. PCS Group.......................................</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2,109</w:t>
            </w: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Vodaphone....................................................</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1,759</w:t>
            </w:r>
          </w:p>
        </w:tc>
        <w:tc>
          <w:tcPr>
            <w:tcW w:w="1360" w:type="dxa"/>
            <w:vAlign w:val="bottom"/>
          </w:tcPr>
          <w:p>
            <w:pPr>
              <w:spacing w:after="0"/>
              <w:rPr>
                <w:sz w:val="14"/>
                <w:szCs w:val="14"/>
                <w:color w:val="auto"/>
              </w:rPr>
            </w:pP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5,158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3,760</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Equity Method</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Cable related................................................</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2,778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Cost method, principally TWE in 2002..............................</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10,537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investments........................................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18,473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4,302</w:t>
            </w: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Less, current investments.........................................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3,266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Non-current investments...........................................</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$15,207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$1,679</w:t>
            </w:r>
          </w:p>
        </w:tc>
      </w:tr>
      <w:tr>
        <w:trPr>
          <w:trHeight w:val="171"/>
        </w:trPr>
        <w:tc>
          <w:tcPr>
            <w:tcW w:w="60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Fair Value Method</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w w:val="99"/>
              </w:rPr>
              <w:t>holds  unrestricted  equity  investments  in certain</w:t>
            </w:r>
          </w:p>
        </w:tc>
        <w:tc>
          <w:tcPr>
            <w:tcW w:w="19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publicly</w:t>
            </w:r>
          </w:p>
        </w:tc>
        <w:tc>
          <w:tcPr>
            <w:tcW w:w="1420" w:type="dxa"/>
            <w:vAlign w:val="bottom"/>
          </w:tcPr>
          <w:p>
            <w:pPr>
              <w:spacing w:after="0"/>
              <w:rPr>
                <w:sz w:val="14"/>
                <w:szCs w:val="14"/>
                <w:color w:val="auto"/>
              </w:rPr>
            </w:pPr>
          </w:p>
        </w:tc>
      </w:tr>
      <w:tr>
        <w:trPr>
          <w:trHeight w:val="171"/>
        </w:trPr>
        <w:tc>
          <w:tcPr>
            <w:tcW w:w="4780" w:type="dxa"/>
            <w:vAlign w:val="bottom"/>
            <w:gridSpan w:val="5"/>
          </w:tcPr>
          <w:p>
            <w:pPr>
              <w:spacing w:after="0"/>
              <w:rPr>
                <w:sz w:val="20"/>
                <w:szCs w:val="20"/>
                <w:color w:val="auto"/>
              </w:rPr>
            </w:pPr>
            <w:r>
              <w:rPr>
                <w:rFonts w:ascii="Courier New" w:cs="Courier New" w:eastAsia="Courier New" w:hAnsi="Courier New"/>
                <w:sz w:val="15"/>
                <w:szCs w:val="15"/>
                <w:color w:val="auto"/>
                <w:w w:val="97"/>
              </w:rPr>
              <w:t>traded  companies,  which it accounts for as available</w:t>
            </w:r>
          </w:p>
        </w:tc>
        <w:tc>
          <w:tcPr>
            <w:tcW w:w="2940" w:type="dxa"/>
            <w:vAlign w:val="bottom"/>
            <w:gridSpan w:val="2"/>
          </w:tcPr>
          <w:p>
            <w:pPr>
              <w:jc w:val="right"/>
              <w:ind w:right="986"/>
              <w:spacing w:after="0"/>
              <w:rPr>
                <w:sz w:val="20"/>
                <w:szCs w:val="20"/>
                <w:color w:val="auto"/>
              </w:rPr>
            </w:pPr>
            <w:r>
              <w:rPr>
                <w:rFonts w:ascii="Courier New" w:cs="Courier New" w:eastAsia="Courier New" w:hAnsi="Courier New"/>
                <w:sz w:val="15"/>
                <w:szCs w:val="15"/>
                <w:color w:val="auto"/>
              </w:rPr>
              <w:t>for sale or trading</w:t>
            </w:r>
          </w:p>
        </w:tc>
        <w:tc>
          <w:tcPr>
            <w:tcW w:w="14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6580" w:type="dxa"/>
            <w:vAlign w:val="bottom"/>
            <w:gridSpan w:val="6"/>
          </w:tcPr>
          <w:p>
            <w:pPr>
              <w:jc w:val="right"/>
              <w:ind w:right="986"/>
              <w:spacing w:after="0"/>
              <w:rPr>
                <w:sz w:val="20"/>
                <w:szCs w:val="20"/>
                <w:color w:val="auto"/>
              </w:rPr>
            </w:pPr>
            <w:r>
              <w:rPr>
                <w:rFonts w:ascii="Courier New" w:cs="Courier New" w:eastAsia="Courier New" w:hAnsi="Courier New"/>
                <w:sz w:val="15"/>
                <w:szCs w:val="15"/>
                <w:color w:val="auto"/>
                <w:w w:val="98"/>
              </w:rPr>
              <w:t>The net unrealized pre-tax gains on investments  accounted for</w:t>
            </w:r>
          </w:p>
        </w:tc>
        <w:tc>
          <w:tcPr>
            <w:tcW w:w="14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as available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 sale</w:t>
            </w:r>
          </w:p>
        </w:tc>
        <w:tc>
          <w:tcPr>
            <w:tcW w:w="5600" w:type="dxa"/>
            <w:vAlign w:val="bottom"/>
            <w:gridSpan w:val="5"/>
          </w:tcPr>
          <w:p>
            <w:pPr>
              <w:jc w:val="right"/>
              <w:ind w:right="986"/>
              <w:spacing w:after="0"/>
              <w:rPr>
                <w:sz w:val="20"/>
                <w:szCs w:val="20"/>
                <w:color w:val="auto"/>
              </w:rPr>
            </w:pPr>
            <w:r>
              <w:rPr>
                <w:rFonts w:ascii="Courier New" w:cs="Courier New" w:eastAsia="Courier New" w:hAnsi="Courier New"/>
                <w:sz w:val="15"/>
                <w:szCs w:val="15"/>
                <w:color w:val="auto"/>
                <w:w w:val="98"/>
              </w:rPr>
              <w:t>securities  as of December 31, 2002 and 2001 of $72</w:t>
            </w:r>
          </w:p>
        </w:tc>
        <w:tc>
          <w:tcPr>
            <w:tcW w:w="1420" w:type="dxa"/>
            <w:vAlign w:val="bottom"/>
          </w:tcPr>
          <w:p>
            <w:pPr>
              <w:spacing w:after="0"/>
              <w:rPr>
                <w:sz w:val="14"/>
                <w:szCs w:val="14"/>
                <w:color w:val="auto"/>
              </w:rPr>
            </w:pPr>
          </w:p>
        </w:tc>
      </w:tr>
      <w:tr>
        <w:trPr>
          <w:trHeight w:val="171"/>
        </w:trPr>
        <w:tc>
          <w:tcPr>
            <w:tcW w:w="5800" w:type="dxa"/>
            <w:vAlign w:val="bottom"/>
            <w:gridSpan w:val="6"/>
          </w:tcPr>
          <w:p>
            <w:pPr>
              <w:spacing w:after="0"/>
              <w:rPr>
                <w:sz w:val="20"/>
                <w:szCs w:val="20"/>
                <w:color w:val="auto"/>
              </w:rPr>
            </w:pPr>
            <w:r>
              <w:rPr>
                <w:rFonts w:ascii="Courier New" w:cs="Courier New" w:eastAsia="Courier New" w:hAnsi="Courier New"/>
                <w:sz w:val="15"/>
                <w:szCs w:val="15"/>
                <w:color w:val="auto"/>
                <w:w w:val="98"/>
              </w:rPr>
              <w:t>million and $280 million, respectively, have been reported in the</w:t>
            </w:r>
          </w:p>
        </w:tc>
        <w:tc>
          <w:tcPr>
            <w:tcW w:w="19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Company's</w:t>
            </w:r>
          </w:p>
        </w:tc>
        <w:tc>
          <w:tcPr>
            <w:tcW w:w="14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balance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sheet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w w:val="96"/>
              </w:rPr>
              <w:t>principally</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as  a</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component</w:t>
            </w:r>
          </w:p>
        </w:tc>
        <w:tc>
          <w:tcPr>
            <w:tcW w:w="19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of  other</w:t>
            </w:r>
          </w:p>
        </w:tc>
        <w:tc>
          <w:tcPr>
            <w:tcW w:w="14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comprehensive</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w:t>
            </w:r>
          </w:p>
        </w:tc>
        <w:tc>
          <w:tcPr>
            <w:tcW w:w="5020" w:type="dxa"/>
            <w:vAlign w:val="bottom"/>
            <w:gridSpan w:val="4"/>
          </w:tcPr>
          <w:p>
            <w:pPr>
              <w:jc w:val="right"/>
              <w:ind w:right="986"/>
              <w:spacing w:after="0"/>
              <w:rPr>
                <w:sz w:val="20"/>
                <w:szCs w:val="20"/>
                <w:color w:val="auto"/>
              </w:rPr>
            </w:pPr>
            <w:r>
              <w:rPr>
                <w:rFonts w:ascii="Courier New" w:cs="Courier New" w:eastAsia="Courier New" w:hAnsi="Courier New"/>
                <w:sz w:val="15"/>
                <w:szCs w:val="15"/>
                <w:color w:val="auto"/>
                <w:w w:val="99"/>
              </w:rPr>
              <w:t>net of related  deferred income taxes of $25</w:t>
            </w:r>
          </w:p>
        </w:tc>
        <w:tc>
          <w:tcPr>
            <w:tcW w:w="1420" w:type="dxa"/>
            <w:vAlign w:val="bottom"/>
          </w:tcPr>
          <w:p>
            <w:pPr>
              <w:spacing w:after="0"/>
              <w:rPr>
                <w:sz w:val="14"/>
                <w:szCs w:val="14"/>
                <w:color w:val="auto"/>
              </w:rPr>
            </w:pPr>
          </w:p>
        </w:tc>
      </w:tr>
      <w:tr>
        <w:trPr>
          <w:trHeight w:val="171"/>
        </w:trPr>
        <w:tc>
          <w:tcPr>
            <w:tcW w:w="3900" w:type="dxa"/>
            <w:vAlign w:val="bottom"/>
            <w:gridSpan w:val="4"/>
          </w:tcPr>
          <w:p>
            <w:pPr>
              <w:spacing w:after="0"/>
              <w:rPr>
                <w:sz w:val="20"/>
                <w:szCs w:val="20"/>
                <w:color w:val="auto"/>
              </w:rPr>
            </w:pPr>
            <w:r>
              <w:rPr>
                <w:rFonts w:ascii="Courier New" w:cs="Courier New" w:eastAsia="Courier New" w:hAnsi="Courier New"/>
                <w:sz w:val="15"/>
                <w:szCs w:val="15"/>
                <w:color w:val="auto"/>
              </w:rPr>
              <w:t>million and $95 million, respectively.</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270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cost, fair value and gross</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3820" w:type="dxa"/>
            <w:vAlign w:val="bottom"/>
            <w:gridSpan w:val="3"/>
          </w:tcPr>
          <w:p>
            <w:pPr>
              <w:jc w:val="right"/>
              <w:ind w:right="986"/>
              <w:spacing w:after="0"/>
              <w:rPr>
                <w:sz w:val="20"/>
                <w:szCs w:val="20"/>
                <w:color w:val="auto"/>
              </w:rPr>
            </w:pPr>
            <w:r>
              <w:rPr>
                <w:rFonts w:ascii="Courier New" w:cs="Courier New" w:eastAsia="Courier New" w:hAnsi="Courier New"/>
                <w:sz w:val="15"/>
                <w:szCs w:val="15"/>
                <w:color w:val="auto"/>
                <w:w w:val="98"/>
              </w:rPr>
              <w:t>gains and losses related to the</w:t>
            </w:r>
          </w:p>
        </w:tc>
        <w:tc>
          <w:tcPr>
            <w:tcW w:w="1420" w:type="dxa"/>
            <w:vAlign w:val="bottom"/>
          </w:tcPr>
          <w:p>
            <w:pPr>
              <w:spacing w:after="0"/>
              <w:rPr>
                <w:sz w:val="24"/>
                <w:szCs w:val="24"/>
                <w:color w:val="auto"/>
              </w:rPr>
            </w:pPr>
          </w:p>
        </w:tc>
      </w:tr>
      <w:tr>
        <w:trPr>
          <w:trHeight w:val="171"/>
        </w:trPr>
        <w:tc>
          <w:tcPr>
            <w:tcW w:w="5800" w:type="dxa"/>
            <w:vAlign w:val="bottom"/>
            <w:gridSpan w:val="6"/>
          </w:tcPr>
          <w:p>
            <w:pPr>
              <w:spacing w:after="0"/>
              <w:rPr>
                <w:sz w:val="20"/>
                <w:szCs w:val="20"/>
                <w:color w:val="auto"/>
              </w:rPr>
            </w:pPr>
            <w:r>
              <w:rPr>
                <w:rFonts w:ascii="Courier New" w:cs="Courier New" w:eastAsia="Courier New" w:hAnsi="Courier New"/>
                <w:sz w:val="15"/>
                <w:szCs w:val="15"/>
                <w:color w:val="auto"/>
              </w:rPr>
              <w:t>Company's available for sale securities are as follows:</w:t>
            </w: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53"/>
        </w:trPr>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(Dollars in millions)</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gridSpan w:val="2"/>
          </w:tcPr>
          <w:p>
            <w:pPr>
              <w:spacing w:after="0"/>
              <w:rPr>
                <w:sz w:val="20"/>
                <w:szCs w:val="20"/>
                <w:color w:val="auto"/>
              </w:rPr>
            </w:pPr>
            <w:r>
              <w:rPr>
                <w:rFonts w:ascii="Courier New" w:cs="Courier New" w:eastAsia="Courier New" w:hAnsi="Courier New"/>
                <w:sz w:val="7"/>
                <w:szCs w:val="7"/>
                <w:color w:val="auto"/>
                <w:w w:val="76"/>
              </w:rPr>
              <w:t>Cost.............................................................</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$322</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$1,355</w:t>
            </w:r>
          </w:p>
        </w:tc>
      </w:tr>
      <w:tr>
        <w:trPr>
          <w:trHeight w:val="171"/>
        </w:trPr>
        <w:tc>
          <w:tcPr>
            <w:tcW w:w="2700" w:type="dxa"/>
            <w:vAlign w:val="bottom"/>
            <w:gridSpan w:val="3"/>
          </w:tcPr>
          <w:p>
            <w:pPr>
              <w:spacing w:after="0"/>
              <w:rPr>
                <w:sz w:val="20"/>
                <w:szCs w:val="20"/>
                <w:color w:val="auto"/>
              </w:rPr>
            </w:pPr>
            <w:r>
              <w:rPr>
                <w:rFonts w:ascii="Courier New" w:cs="Courier New" w:eastAsia="Courier New" w:hAnsi="Courier New"/>
                <w:sz w:val="8"/>
                <w:szCs w:val="8"/>
                <w:color w:val="auto"/>
                <w:w w:val="85"/>
              </w:rPr>
              <w:t>Gross unrealized gains...........................................</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w:t>
            </w:r>
          </w:p>
        </w:tc>
      </w:tr>
      <w:tr>
        <w:trPr>
          <w:trHeight w:val="171"/>
        </w:trPr>
        <w:tc>
          <w:tcPr>
            <w:tcW w:w="2700" w:type="dxa"/>
            <w:vAlign w:val="bottom"/>
            <w:gridSpan w:val="3"/>
          </w:tcPr>
          <w:p>
            <w:pPr>
              <w:spacing w:after="0"/>
              <w:rPr>
                <w:sz w:val="20"/>
                <w:szCs w:val="20"/>
                <w:color w:val="auto"/>
              </w:rPr>
            </w:pPr>
            <w:r>
              <w:rPr>
                <w:rFonts w:ascii="Courier New" w:cs="Courier New" w:eastAsia="Courier New" w:hAnsi="Courier New"/>
                <w:sz w:val="8"/>
                <w:szCs w:val="8"/>
                <w:color w:val="auto"/>
                <w:w w:val="85"/>
              </w:rPr>
              <w:t>Gross unrealized losses..........................................</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gridSpan w:val="2"/>
          </w:tcPr>
          <w:p>
            <w:pPr>
              <w:spacing w:after="0"/>
              <w:rPr>
                <w:sz w:val="20"/>
                <w:szCs w:val="20"/>
                <w:color w:val="auto"/>
              </w:rPr>
            </w:pPr>
            <w:r>
              <w:rPr>
                <w:rFonts w:ascii="Courier New" w:cs="Courier New" w:eastAsia="Courier New" w:hAnsi="Courier New"/>
                <w:sz w:val="7"/>
                <w:szCs w:val="7"/>
                <w:color w:val="auto"/>
                <w:w w:val="76"/>
              </w:rPr>
              <w:t>Fair value.......................................................</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$394</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$1,635</w:t>
            </w:r>
          </w:p>
        </w:tc>
      </w:tr>
      <w:tr>
        <w:trPr>
          <w:trHeight w:val="17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connection with the Broadband acquisition, the Company acquired investments in Cablevision, Microsoft and Vodafone which are accounted for under the fair value method. The Company designated all of the acquired Microsoft and Vodafone shares, and substantially all of the Cablevision shares, as trading securities upon closing of the Broadband acquisition. The Company has entered into Equity Collars and Prepaid Forward Sales which are accounted for at fair value. The Equity Collars and Prepaid Forward Sales limit the Company's exposure to and benefits from price fluctuations in Sprint PCS common stock.</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19"/>
          </w:cols>
          <w:pgMar w:left="240" w:top="628" w:right="1440" w:bottom="11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connection with the Broadband acquisition, the Company also acquired a series of option agreements (the "Microsoft Collars" and "Vodaphone Collars") with a single bank counterparty which limit the Company's exposure to and benefits from price fluctuations in the Microsoft common stock and Vodafone ADRs. The Microsoft Collars and Vodafone Collars are undesignated for accounting purposes in accordance with SFAS No. 133 and are recorded in investments at fair value, with unrealized gains or losses being recorded to investment income (expense). These unrealized gains or losses are substantially offset by the changes in the fair value of shares of Microsoft common stock and Vodafone ADRs.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Company's recorded investments exceed its proportionate interests in the book value of the investees' net assets by $1.473 billion as of December 31, 2002 (principally related to the Company's investments in Texas Cable Partners, Kansas City Cable Partners and Insight Midwest). As a result of the adoption of SFAS No. 142, the Company does not amortize the goodwill resulting from this excess but rather will continue to test such excess for impairment in accordance with APB Opinion 18, "The Equity Method of Accounting for Investments in Common Stock."</w:t>
      </w:r>
    </w:p>
    <w:p>
      <w:pPr>
        <w:spacing w:after="0" w:line="177"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Equity in net losses of affiliates for the year ended December 31, 2002 includes impairment losses of $53 million, related principally to other than temporary declines in the Company's investments in and advances to certain of the Company's equity method investees.</w:t>
      </w:r>
    </w:p>
    <w:p>
      <w:pPr>
        <w:spacing w:after="0" w:line="176"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connection with the Broadband acquisition, the Company acquired two series of preferred stock of AirTouch Communications, Inc., a subsidiary of Vodafone, which were recorded at $1.394 billion as of December 31, 2002. The dividend and redemption activity of the AirTouch preferred stock is tied to the dividend and redemption payments associated with substantially all of the preferred shares issued by a subsidiary of the Company. The subsidiary has outstanding three series of preferred stock with an aggregate redemption value of $1.750 billion. Substantially all of the preferred shares are redeemable in April 2020 at a redemption value of $1.650 billion with one of the series bearing a 9.08% dividend rate. The subsidiary preferred shares are recorded at $1.511 billion and such amount is included in minority interest as of December 31, 2002.</w:t>
      </w:r>
    </w:p>
    <w:p>
      <w:pPr>
        <w:spacing w:after="0" w:line="180" w:lineRule="exact"/>
        <w:rPr>
          <w:sz w:val="20"/>
          <w:szCs w:val="20"/>
          <w:color w:val="auto"/>
        </w:rPr>
      </w:pPr>
    </w:p>
    <w:p>
      <w:pPr>
        <w:jc w:val="both"/>
        <w:ind w:left="440" w:right="3119"/>
        <w:spacing w:after="0" w:line="260" w:lineRule="auto"/>
        <w:rPr>
          <w:sz w:val="20"/>
          <w:szCs w:val="20"/>
          <w:color w:val="auto"/>
        </w:rPr>
      </w:pPr>
      <w:r>
        <w:rPr>
          <w:rFonts w:ascii="Courier New" w:cs="Courier New" w:eastAsia="Courier New" w:hAnsi="Courier New"/>
          <w:sz w:val="14"/>
          <w:szCs w:val="14"/>
          <w:color w:val="auto"/>
        </w:rPr>
        <w:t>In connection with the Broadband acquisition, the Company acquired an indirect interest in Charter Communications VIII, LLC, a cable joint venture with Charter Communications, Inc. ("Charter"). In April 2002, AT&amp;T exercised its rights to cause Paul G. Allen, Charter's Chairman, or his designee to purchase this indirect interest for approximately $725 million in cash. The parties agreed to delay the settlement of the purchase until April 14, 2003 while they negotiated alternatives to the purchase.</w:t>
      </w:r>
    </w:p>
    <w:p>
      <w:pPr>
        <w:spacing w:after="0" w:line="16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connection with the Broadband acquisition, the Company acquired a 27.6% interest in TWE. This investment is accounted for under the cost method as the Company does not have the ability to exercise significant influence over the operating and financial policies of TWE (see Note 5).</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19"/>
          </w:cols>
          <w:pgMar w:left="240" w:top="628"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310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and dividend income...........................................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(Losses) gains on sales and exchanges of investments, net..............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 impairment losses...........................................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Reclassification of unrealized gains...................................</w:t>
            </w:r>
          </w:p>
        </w:tc>
        <w:tc>
          <w:tcPr>
            <w:tcW w:w="10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1,330</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Unrealized (loss) gain on trading securities...........................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(1,569)</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285</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8"/>
              </w:rPr>
              <w:t>Mark to market adjustments on derivatives related to trading</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Mark to market adjustments on derivatives and hedged items.............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 (expense).......................................</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w:t>
            </w:r>
          </w:p>
        </w:tc>
      </w:tr>
      <w:tr>
        <w:trPr>
          <w:trHeight w:val="171"/>
        </w:trPr>
        <w:tc>
          <w:tcPr>
            <w:tcW w:w="63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investment impairment losses for the years ended December 31, 2002 and 2001 relate principally to other than temporary declines in the Company's investment in AT&amp;T.</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(expense) the accumulated unrealized gain of $238 million on the Company's investment in At Home common stock which was previously recorded as a component of accumulated other comprehensive income (loss). The Company recorded this accumulated unrealized gain prior to the Company's designation of its right under the Share Exchange Agreement as a hedge of the Company's investment in the At Home common stock (see Note 5 - Other Income).</w:t>
      </w:r>
    </w:p>
    <w:p>
      <w:pPr>
        <w:spacing w:after="0" w:line="179"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Under the terms of the Share Issuance Agreement, the Company retained the At Home shares and warrants held by it. The Company recorded to investment income (expense) a pre-tax gain of $296 million, representing the fair value of the increased consideration received by the Company to settle its right under the Share Exchange Agreement.</w:t>
      </w:r>
    </w:p>
    <w:p>
      <w:pPr>
        <w:spacing w:after="0" w:line="179"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August 2001, the Company entered into a ten year Prepaid Forward Sale of 4.0 million shares of Sprint PCS common stock held by the Company with a fair value of approximately $98 million and the Company received $78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 (expense).</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 133 on January 1, 2001. In connection with this reclassification, the Company recorded to investment income (expense) the accumulated unrealized gain of $1.092 billion on the Company's investment in Sprint PCS which was previously recorded as a component of accumulated other comprehensive income (loss).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19"/>
          </w:cols>
          <w:pgMar w:left="240" w:top="628"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GOODWILL AND INTANGIBLE ASSETS</w:t>
      </w:r>
    </w:p>
    <w:p>
      <w:pPr>
        <w:spacing w:after="0" w:line="171" w:lineRule="exact"/>
        <w:rPr>
          <w:sz w:val="20"/>
          <w:szCs w:val="20"/>
          <w:color w:val="auto"/>
        </w:rPr>
      </w:pPr>
    </w:p>
    <w:p>
      <w:pPr>
        <w:ind w:left="440"/>
        <w:spacing w:after="0"/>
        <w:tabs>
          <w:tab w:leader="none" w:pos="2180" w:val="left"/>
          <w:tab w:leader="none" w:pos="3080" w:val="left"/>
          <w:tab w:leader="none" w:pos="5920" w:val="left"/>
          <w:tab w:leader="none" w:pos="6720" w:val="left"/>
        </w:tabs>
        <w:rPr>
          <w:sz w:val="20"/>
          <w:szCs w:val="20"/>
          <w:color w:val="auto"/>
        </w:rPr>
      </w:pPr>
      <w:r>
        <w:rPr>
          <w:rFonts w:ascii="Courier New" w:cs="Courier New" w:eastAsia="Courier New" w:hAnsi="Courier New"/>
          <w:sz w:val="15"/>
          <w:szCs w:val="15"/>
          <w:color w:val="auto"/>
        </w:rPr>
        <w:t>The changes in the</w:t>
        <w:tab/>
        <w:t>carrying</w:t>
        <w:tab/>
        <w:t>amount of goodwill by business</w:t>
        <w:tab/>
        <w:t>segment</w:t>
        <w:tab/>
        <w:t>(see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14)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Corporate</w:t>
            </w:r>
          </w:p>
        </w:tc>
        <w:tc>
          <w:tcPr>
            <w:tcW w:w="120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Cable</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Commerce</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and Other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3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$4,688</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$835</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$6,289</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Acquisitions....................................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10,951</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10,951</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Purchase price allocation adjustments...........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1"/>
        </w:trPr>
        <w:tc>
          <w:tcPr>
            <w:tcW w:w="43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$15,644</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$835</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$17,397</w:t>
            </w:r>
          </w:p>
        </w:tc>
      </w:tr>
      <w:tr>
        <w:trPr>
          <w:trHeight w:val="171"/>
        </w:trPr>
        <w:tc>
          <w:tcPr>
            <w:tcW w:w="43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connection with the Company's preliminary purchase price allocation related to the Broadband acquisition (see Note 5), the Company recorded $10.951 billion of goodwill to the Company's cable segment.</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During 2002, the Company recorded the final purchase price allocation related to the Company's acquisition of OLN, which resulted in an increase in goodwill and a corresponding decrease in cable and satellite television distribution rights. In addition, during 2002, the Company recorded the final purchase price allocation related to certain of its cable system acquisitions, which resulted in an increase in goodwill and a corresponding decrease in franchise rights.</w:t>
      </w:r>
    </w:p>
    <w:p>
      <w:pPr>
        <w:spacing w:after="0" w:line="176"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gross carrying amount and accumulated amortization of the Company's intangible assets subject to amortization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4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As of December 31, 2002</w:t>
            </w:r>
          </w:p>
        </w:tc>
        <w:tc>
          <w:tcPr>
            <w:tcW w:w="28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As of December 31, 2001</w:t>
            </w:r>
          </w:p>
        </w:tc>
      </w:tr>
      <w:tr>
        <w:trPr>
          <w:trHeight w:val="171"/>
        </w:trPr>
        <w:tc>
          <w:tcPr>
            <w:tcW w:w="3280" w:type="dxa"/>
            <w:vAlign w:val="bottom"/>
          </w:tcPr>
          <w:p>
            <w:pPr>
              <w:spacing w:after="0"/>
              <w:rPr>
                <w:sz w:val="14"/>
                <w:szCs w:val="14"/>
                <w:color w:val="auto"/>
              </w:rPr>
            </w:pPr>
          </w:p>
        </w:tc>
        <w:tc>
          <w:tcPr>
            <w:tcW w:w="3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Gross</w:t>
            </w:r>
          </w:p>
        </w:tc>
        <w:tc>
          <w:tcPr>
            <w:tcW w:w="148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Gross</w:t>
            </w:r>
          </w:p>
        </w:tc>
        <w:tc>
          <w:tcPr>
            <w:tcW w:w="152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9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Carrying</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Carrying</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Amount</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Amortization</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Franchise related customer</w:t>
            </w: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relationships.......................</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$4,019</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w:t>
            </w: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Cable and satellite television</w:t>
            </w:r>
          </w:p>
        </w:tc>
        <w:tc>
          <w:tcPr>
            <w:tcW w:w="1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distribution rights.................</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1,618</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(491)</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1,588</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Cable franchise renewal costs and</w:t>
            </w:r>
          </w:p>
        </w:tc>
        <w:tc>
          <w:tcPr>
            <w:tcW w:w="1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rPr>
              <w:t>contractual operating rights........</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88"/>
              </w:rPr>
              <w:t>Computer software........................</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186</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w:t>
            </w: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88"/>
              </w:rPr>
              <w:t>Programming costs and rights.............</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194</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88"/>
              </w:rPr>
              <w:t>Non-competition agreements and other.....</w:t>
            </w: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290</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$6,621</w:t>
            </w: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($1,022)</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$2,352</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($665)</w:t>
            </w:r>
          </w:p>
        </w:tc>
      </w:tr>
      <w:tr>
        <w:trPr>
          <w:trHeight w:val="171"/>
        </w:trPr>
        <w:tc>
          <w:tcPr>
            <w:tcW w:w="3280" w:type="dxa"/>
            <w:vAlign w:val="bottom"/>
          </w:tcPr>
          <w:p>
            <w:pPr>
              <w:spacing w:after="0"/>
              <w:rPr>
                <w:sz w:val="14"/>
                <w:szCs w:val="14"/>
                <w:color w:val="auto"/>
              </w:rPr>
            </w:pPr>
          </w:p>
        </w:tc>
        <w:tc>
          <w:tcPr>
            <w:tcW w:w="19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853"/>
        </w:trPr>
        <w:tc>
          <w:tcPr>
            <w:tcW w:w="3280" w:type="dxa"/>
            <w:vAlign w:val="bottom"/>
          </w:tcPr>
          <w:p>
            <w:pPr>
              <w:spacing w:after="0"/>
              <w:rPr>
                <w:sz w:val="24"/>
                <w:szCs w:val="24"/>
                <w:color w:val="auto"/>
              </w:rPr>
            </w:pPr>
          </w:p>
        </w:tc>
        <w:tc>
          <w:tcPr>
            <w:tcW w:w="1940" w:type="dxa"/>
            <w:vAlign w:val="bottom"/>
          </w:tcPr>
          <w:p>
            <w:pPr>
              <w:jc w:val="right"/>
              <w:ind w:right="1346"/>
              <w:spacing w:after="0"/>
              <w:rPr>
                <w:sz w:val="20"/>
                <w:szCs w:val="20"/>
                <w:color w:val="auto"/>
              </w:rPr>
            </w:pPr>
            <w:r>
              <w:rPr>
                <w:rFonts w:ascii="Courier New" w:cs="Courier New" w:eastAsia="Courier New" w:hAnsi="Courier New"/>
                <w:sz w:val="15"/>
                <w:szCs w:val="15"/>
                <w:color w:val="auto"/>
                <w:w w:val="92"/>
              </w:rPr>
              <w:t>- 62 -</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969"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As of December 31, 2002, the weighted average amortization period for the Company's intangible assets subject to amortization is 5.3 years and estimated related amortization expense for each of the five years ended December 31 is as follows (in millions):</w:t>
      </w:r>
    </w:p>
    <w:p>
      <w:pPr>
        <w:spacing w:after="0" w:line="34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$1,524</w:t>
            </w:r>
          </w:p>
        </w:tc>
      </w:tr>
      <w:tr>
        <w:trPr>
          <w:trHeight w:val="171"/>
        </w:trPr>
        <w:tc>
          <w:tcPr>
            <w:tcW w:w="3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$1,329</w:t>
            </w:r>
          </w:p>
        </w:tc>
      </w:tr>
      <w:tr>
        <w:trPr>
          <w:trHeight w:val="171"/>
        </w:trPr>
        <w:tc>
          <w:tcPr>
            <w:tcW w:w="3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$1,178</w:t>
            </w:r>
          </w:p>
        </w:tc>
      </w:tr>
      <w:tr>
        <w:trPr>
          <w:trHeight w:val="171"/>
        </w:trPr>
        <w:tc>
          <w:tcPr>
            <w:tcW w:w="3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r>
      <w:tr>
        <w:trPr>
          <w:trHeight w:val="171"/>
        </w:trPr>
        <w:tc>
          <w:tcPr>
            <w:tcW w:w="3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2007.............................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bl>
    <w:p>
      <w:pPr>
        <w:spacing w:after="0" w:line="17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pro forma financial information for 2002, 2001 and 2000 is presented as if SFAS No. 142 was adopted as of January 1, 2000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78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reported.........................................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$2,021</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equity method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franchise rights..................</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858</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adjusted.........................................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$3,198</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Income (loss) before cumulative effect of</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accounting change, as adjusted....................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$3,198</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reported.........................................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equity method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franchise rights..................</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adjusted.........................................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reported.........................................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equity method goodwill............</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Amortization of franchise rights..................</w:t>
            </w:r>
          </w:p>
        </w:tc>
        <w:tc>
          <w:tcPr>
            <w:tcW w:w="15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As adjusted.........................................</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1"/>
        </w:trPr>
        <w:tc>
          <w:tcPr>
            <w:tcW w:w="5180" w:type="dxa"/>
            <w:vAlign w:val="bottom"/>
          </w:tcPr>
          <w:p>
            <w:pPr>
              <w:spacing w:after="0"/>
              <w:rPr>
                <w:sz w:val="14"/>
                <w:szCs w:val="14"/>
                <w:color w:val="auto"/>
              </w:rPr>
            </w:pPr>
          </w:p>
        </w:tc>
        <w:tc>
          <w:tcPr>
            <w:tcW w:w="15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51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- 63 -</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exchangeable into common stock, due 2003-2007..........................</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Paper.............................................................</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payable to banks due in installments through 2009......................</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6.20% - 6.95% Senior notes, due 2003-2037....................................</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7.08% - 7.95% Senior notes, due 2003-2097....................................</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 - 8-7/8% Senior notes, due 2003-2032......................................</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 - 10-1/8% Senior notes, due 2002 and 2023.................................</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8-1/4% - 10-5/8% Senior subordinated debentures, due 2006-2012................</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Zero Coupon Convertible Debentures, due 2020.................................</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ZONES at principal amount, due 2029..........................................</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9.04% - 9.65% Trust Preferred Securities, due 2027 and 2038..................</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including capital lease obligations...................................</w:t>
      </w:r>
    </w:p>
    <w:p>
      <w:pPr>
        <w:spacing w:after="0" w:line="3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 current portion.........................................................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Less short-term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40" w:right="260"/>
        <w:spacing w:after="0" w:line="238" w:lineRule="auto"/>
        <w:rPr>
          <w:sz w:val="20"/>
          <w:szCs w:val="20"/>
          <w:color w:val="auto"/>
        </w:rPr>
      </w:pPr>
      <w:r>
        <w:rPr>
          <w:rFonts w:ascii="Courier New" w:cs="Courier New" w:eastAsia="Courier New" w:hAnsi="Courier New"/>
          <w:sz w:val="15"/>
          <w:szCs w:val="15"/>
          <w:color w:val="auto"/>
        </w:rPr>
        <w:t>Maturities of long-term debt outstanding as of December 31, 2002 for the four years after 2003 are as follows (in millions):</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70"/>
        </w:trPr>
        <w:tc>
          <w:tcPr>
            <w:tcW w:w="34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$6,135</w:t>
            </w:r>
          </w:p>
        </w:tc>
      </w:tr>
      <w:tr>
        <w:trPr>
          <w:trHeight w:val="171"/>
        </w:trPr>
        <w:tc>
          <w:tcPr>
            <w:tcW w:w="34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2005...............................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$4,454</w:t>
            </w:r>
          </w:p>
        </w:tc>
      </w:tr>
      <w:tr>
        <w:trPr>
          <w:trHeight w:val="171"/>
        </w:trPr>
        <w:tc>
          <w:tcPr>
            <w:tcW w:w="34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2006...............................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$1,834</w:t>
            </w:r>
          </w:p>
        </w:tc>
      </w:tr>
      <w:tr>
        <w:trPr>
          <w:trHeight w:val="171"/>
        </w:trPr>
        <w:tc>
          <w:tcPr>
            <w:tcW w:w="34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2007...............................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$1,170</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Cross-Guarantee Structure</w:t>
      </w:r>
    </w:p>
    <w:p>
      <w:pPr>
        <w:spacing w:after="0" w:line="3" w:lineRule="exact"/>
        <w:rPr>
          <w:sz w:val="20"/>
          <w:szCs w:val="20"/>
          <w:color w:val="auto"/>
        </w:rPr>
      </w:pPr>
    </w:p>
    <w:p>
      <w:pPr>
        <w:jc w:val="both"/>
        <w:ind w:left="440" w:right="260"/>
        <w:spacing w:after="0"/>
        <w:rPr>
          <w:sz w:val="20"/>
          <w:szCs w:val="20"/>
          <w:color w:val="auto"/>
        </w:rPr>
      </w:pPr>
      <w:r>
        <w:rPr>
          <w:rFonts w:ascii="Courier New" w:cs="Courier New" w:eastAsia="Courier New" w:hAnsi="Courier New"/>
          <w:sz w:val="15"/>
          <w:szCs w:val="15"/>
          <w:color w:val="auto"/>
        </w:rPr>
        <w:t>To simplify the Company's capital structure, effective with the acquisition of Broadband, the Company and four of its cable holding company subsidiaries fully and unconditionally guaranteed each other's debt securities (the "Cross-Guarantee Structure"). Comcast Holdings is not a guarantor, and none of its debt is guaranteed. In connection with the Broadband acquisition, the Company borrowed $4 billion of short-term indebtedness and $3.2 billion of long-term indebtedness under the New Credit Facilities (see below) that is also a part of the Cross-Guarantee Structure. As of December 31, 2002, $24.729 billion of the Company's debt securities were entitled to the benefits of the Cross-Guarantee Structure, including $3.5 billion of AT&amp;T's debt securities assumed by the Company in the Broadband acquisition (see Notes 5 and 16).</w:t>
      </w:r>
    </w:p>
    <w:p>
      <w:pPr>
        <w:spacing w:after="0" w:line="180" w:lineRule="exact"/>
        <w:rPr>
          <w:sz w:val="20"/>
          <w:szCs w:val="20"/>
          <w:color w:val="auto"/>
        </w:rPr>
      </w:pPr>
    </w:p>
    <w:p>
      <w:pPr>
        <w:jc w:val="both"/>
        <w:ind w:left="440" w:right="260"/>
        <w:spacing w:after="0"/>
        <w:rPr>
          <w:sz w:val="20"/>
          <w:szCs w:val="20"/>
          <w:color w:val="auto"/>
        </w:rPr>
      </w:pPr>
      <w:r>
        <w:rPr>
          <w:rFonts w:ascii="Courier New" w:cs="Courier New" w:eastAsia="Courier New" w:hAnsi="Courier New"/>
          <w:sz w:val="15"/>
          <w:szCs w:val="15"/>
          <w:color w:val="auto"/>
        </w:rPr>
        <w:t>Comcast MO of Delaware, Inc. (formerly, MediaOne of Delaware, Inc. and Continental Cablevision, Inc.) was not originally a part of the Cross-Guarantee Structure. On March 12, 2003, the Company announced the successful completion of a bondholder consent solicitation related to Comcast MO of Delaware, Inc.'s $1.7 billion aggregate principal amount in debt securities to permit it to become part of the Cross-Guarantee Structure.</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$5,459</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1,223</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3,054</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2,832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8,710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3,015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1,096</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1,613</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805</w:t>
            </w:r>
          </w:p>
        </w:tc>
        <w:tc>
          <w:tcPr>
            <w:tcW w:w="1080" w:type="dxa"/>
            <w:vAlign w:val="bottom"/>
          </w:tcPr>
          <w:p>
            <w:pPr>
              <w:spacing w:after="0"/>
              <w:rPr>
                <w:sz w:val="14"/>
                <w:szCs w:val="14"/>
                <w:color w:val="auto"/>
              </w:rPr>
            </w:pP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34,910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12,202</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3,750</w:t>
            </w:r>
          </w:p>
        </w:tc>
        <w:tc>
          <w:tcPr>
            <w:tcW w:w="1080" w:type="dxa"/>
            <w:vAlign w:val="bottom"/>
          </w:tcPr>
          <w:p>
            <w:pPr>
              <w:spacing w:after="0"/>
              <w:rPr>
                <w:sz w:val="14"/>
                <w:szCs w:val="14"/>
                <w:color w:val="auto"/>
              </w:rPr>
            </w:pP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$27,957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$11,742</w:t>
            </w:r>
          </w:p>
        </w:tc>
      </w:tr>
      <w:tr>
        <w:trPr>
          <w:trHeight w:val="171"/>
        </w:trPr>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60" w:space="260"/>
            <w:col w:w="2599"/>
          </w:cols>
          <w:pgMar w:left="240" w:top="628"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Notes Offerings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January and March 2003, the Company sold an aggregate of $3.0 billion of public debt consisting of $600 million of 5.85% senior notes due 2010, $900 million of 6.50% senior notes due 2015, $750 million of 5.50% senior notes due 2011 and $750 million of 7.05% senior notes due 2033. The Company used all of the net proceeds from the offerings to repay a portion of the Company's short-term debt outstanding under the Company's Bridge Credit Facility (see New Credit Facilities below).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Credit Facilities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May 2002, the Company entered into definitive credit agreements with a syndicate of lenders for an aggregate of $12.825 billion of financing (the "New Credit Facilities") to complete the Broadband acquisition (see Note 5) and to provide for the Company's financing needs after the Broadband acquisition. On November 18, 2002, in connection with the Broadband acquisition, the Company borrowed an aggregate of $7.2 billion under the New Credit Facilities and canceled $3.0 billion of the $12.825 billion of New Credit Facilities. Borrowings consisted of $4.0 billion of variable rate short-term debt (the "Bridge Credit Facility") and $3.2 billion of variable rate debt maturing November 2004.</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at their accreted value, all or part of the Zero Coupon Debentures on or after December 19, 2005.</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Holders may require the Company to repurchase, at their accreted value, the Zero Coupon Debentures on December 19, 2003, 2005, 2010 and 2015. The Company may choose to pay the repurchase price for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7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During the year ended 2002, the Company repurchased from holders an aggregate of $1.023 billion accreted value of Zero Coupon Debentures for cash. The Company refinanced the redemption with borrowings under its New Credit Facilities.</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2002 and 2001 as the Company has both the ability and the intent to refinance the Zero Coupon Debentures on a long-term basis with amounts available under the Company's credit facilities in the event holders of the Zero Coupon Debentures exercise their rights to require the Company to repurchase the Zero Coupon Debentures in December 2003.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Exchangeable into Common Stock</w:t>
      </w:r>
    </w:p>
    <w:p>
      <w:pPr>
        <w:spacing w:after="0" w:line="3"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As a result of the Broadband acquisition, the Company assumed exchangeable notes (the "Exchangeable Notes") which are mandatorily redeemable at the Company's option into shares of Cablevision Class A common stock or its cash equivalent (the "Cablevision Exchangeable Notes"), Microsoft common stock or its cash equivalent (the "Microsoft Exchangeable Notes"), (i) Vodafone ADRs, (ii) the cash equivalent, or (iii) a combination of cash and Vodafone ADRs (the "Vodafone Exchangeable Notes"), and Comcast Class A Special common stock or its cash equivalent (the "Comcast Exchangeable Notes"). The maturity value of the Exchangeable Notes varies based upon the fair market value of the security to which it is indexed. The Company's Exchangeable Notes are collateralized by the Company's investments in Cablevision, Microsoft and Vodafone, respectively, and the Comcast Class A</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- 65 -</w:t>
      </w:r>
    </w:p>
    <w:p>
      <w:pPr>
        <w:sectPr>
          <w:pgSz w:w="11900" w:h="16838" w:orient="portrait"/>
          <w:cols w:equalWidth="0" w:num="1">
            <w:col w:w="10219"/>
          </w:cols>
          <w:pgMar w:left="240" w:top="628"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Special common stock held in treasury (see Note 10). As of December 31, 2002, $3.161 billion of Exchangeable Notes bear interest at variable rates (three-month LIBOR plus 0.4% to 0.5%) and $2.298 billion of Exchangeable Notes bear interest at fixed rates ranging from 4.63% to 7.04%. As of December 31, 2002, the securities held by the Company collateralizing the Exchangeable Notes were sufficient to satisfy the debt obligations associated with the outstanding Exchangeable Notes.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of $1.807 billion or the market value of Sprint PCS Stock. Prior to maturity, each ZONES is exchangeable at the holder's option for an amount of cash equal to 95% of the market value of Sprint PCS Stock. As of December 31, 2002, the number of Sprint PCS shares held by the Company exceeded the number of ZONES outstanding.</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related to indexed debt in the Company's consolidated statement of operations.</w:t>
      </w:r>
    </w:p>
    <w:p>
      <w:pPr>
        <w:spacing w:after="0" w:line="17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Upon adoption of SFAS No. 133, the Company split the accounting for the ZONES into derivative and debt components. The Company also split the accounting for the Exchangeable Notes into derivative and debt components. The Company records the change in the fair value of the derivative component of the ZONES and the Exchangeable Notes (see Note 6) and the change in the carrying value of the debt component of the ZONES and the Exchangeable Notes as follows (in millions):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30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Year Ended December 31, 2002</w:t>
            </w:r>
          </w:p>
        </w:tc>
      </w:tr>
      <w:tr>
        <w:trPr>
          <w:trHeight w:val="171"/>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Exchangeable</w:t>
            </w:r>
          </w:p>
        </w:tc>
      </w:tr>
      <w:tr>
        <w:trPr>
          <w:trHeight w:val="171"/>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Zones</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Notes</w:t>
            </w:r>
          </w:p>
        </w:tc>
      </w:tr>
      <w:tr>
        <w:trPr>
          <w:trHeight w:val="171"/>
        </w:trPr>
        <w:tc>
          <w:tcPr>
            <w:tcW w:w="670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rPr>
              <w:t>Debt component..........................................................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468</w:t>
            </w:r>
          </w:p>
        </w:tc>
        <w:tc>
          <w:tcPr>
            <w:tcW w:w="15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rPr>
              <w:t>Derivative component....................................................</w:t>
            </w:r>
          </w:p>
        </w:tc>
        <w:tc>
          <w:tcPr>
            <w:tcW w:w="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1,145</w:t>
            </w:r>
          </w:p>
        </w:tc>
        <w:tc>
          <w:tcPr>
            <w:tcW w:w="1520" w:type="dxa"/>
            <w:vAlign w:val="bottom"/>
          </w:tcPr>
          <w:p>
            <w:pPr>
              <w:spacing w:after="0"/>
              <w:rPr>
                <w:sz w:val="14"/>
                <w:szCs w:val="14"/>
                <w:color w:val="auto"/>
              </w:rPr>
            </w:pPr>
          </w:p>
        </w:tc>
      </w:tr>
      <w:tr>
        <w:trPr>
          <w:trHeight w:val="171"/>
        </w:trPr>
        <w:tc>
          <w:tcPr>
            <w:tcW w:w="670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w:t>
            </w:r>
          </w:p>
        </w:tc>
        <w:tc>
          <w:tcPr>
            <w:tcW w:w="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1,613</w:t>
            </w:r>
          </w:p>
        </w:tc>
        <w:tc>
          <w:tcPr>
            <w:tcW w:w="1520" w:type="dxa"/>
            <w:vAlign w:val="bottom"/>
          </w:tcPr>
          <w:p>
            <w:pPr>
              <w:spacing w:after="0"/>
              <w:rPr>
                <w:sz w:val="14"/>
                <w:szCs w:val="14"/>
                <w:color w:val="auto"/>
              </w:rPr>
            </w:pPr>
          </w:p>
        </w:tc>
      </w:tr>
      <w:tr>
        <w:trPr>
          <w:trHeight w:val="34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Acquisition of Broadband, debt component...................................</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6,993</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Acquisition of Broadband, derivative component.............................</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(1,461)</w:t>
            </w:r>
          </w:p>
        </w:tc>
      </w:tr>
      <w:tr>
        <w:trPr>
          <w:trHeight w:val="171"/>
        </w:trPr>
        <w:tc>
          <w:tcPr>
            <w:tcW w:w="670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5,532</w:t>
            </w:r>
          </w:p>
        </w:tc>
      </w:tr>
      <w:tr>
        <w:trPr>
          <w:trHeight w:val="34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Increase (decrease) in debt component to interest expense..................</w:t>
            </w:r>
          </w:p>
        </w:tc>
        <w:tc>
          <w:tcPr>
            <w:tcW w:w="56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Decrease in derivative component to investment income/expense..............</w:t>
            </w:r>
          </w:p>
        </w:tc>
        <w:tc>
          <w:tcPr>
            <w:tcW w:w="5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(937)</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rPr>
              <w:t>Debt component..........................................................</w:t>
            </w:r>
          </w:p>
        </w:tc>
        <w:tc>
          <w:tcPr>
            <w:tcW w:w="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6,981</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rPr>
              <w:t>Derivative component....................................................</w:t>
            </w:r>
          </w:p>
        </w:tc>
        <w:tc>
          <w:tcPr>
            <w:tcW w:w="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670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w:t>
            </w:r>
          </w:p>
        </w:tc>
        <w:tc>
          <w:tcPr>
            <w:tcW w:w="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$699</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5,459</w:t>
            </w:r>
          </w:p>
        </w:tc>
      </w:tr>
      <w:tr>
        <w:trPr>
          <w:trHeight w:val="171"/>
        </w:trPr>
        <w:tc>
          <w:tcPr>
            <w:tcW w:w="670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 Preferred Securities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As a result of the Broadband acquisition, the Company assumed certain subsidiary trust preferred securities ("Trust Preferred Securities") which are recorded within long-term debt in the Company's consolidated balance sheet at December 31, 2002. AT&amp;T agreed to guarantee the Trust Preferred Securities due 2038 through their call date of</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- 66 -</w:t>
      </w:r>
    </w:p>
    <w:p>
      <w:pPr>
        <w:sectPr>
          <w:pgSz w:w="11900" w:h="16838" w:orient="portrait"/>
          <w:cols w:equalWidth="0" w:num="1">
            <w:col w:w="10219"/>
          </w:cols>
          <w:pgMar w:left="240" w:top="628"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October 2003, at which time the Company will either redeem them or provide substitute credit support. The Trust Preferred Securities are not part of the Cross-Guarantee Structure.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3"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Bank debt interest rates vary based upon one or more of the following rates at the option of the Company: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Prime rate to Prime plus .875%;</w:t>
      </w:r>
    </w:p>
    <w:p>
      <w:pPr>
        <w:spacing w:after="0" w:line="1"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Funds rate plus .5% to 1.375%; and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LIBOR plus .14% to 1.875%.</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weighted average interest rate on the Company's short-term debt was 2.53% as of December 31, 2002. Excluding the derivative component of the ZONES and Exchangeable Notes whose changes in fair value are recorded to investment income (expense), the Company's effective weighted average interest rate on its total debt outstanding was 5.86% and 6.31% as of December 31, 2002 and 2001,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3" w:lineRule="exact"/>
        <w:rPr>
          <w:sz w:val="20"/>
          <w:szCs w:val="20"/>
          <w:color w:val="auto"/>
        </w:rPr>
      </w:pPr>
    </w:p>
    <w:p>
      <w:pPr>
        <w:jc w:val="both"/>
        <w:ind w:left="440" w:right="3119"/>
        <w:spacing w:after="0" w:line="262" w:lineRule="auto"/>
        <w:rPr>
          <w:sz w:val="20"/>
          <w:szCs w:val="20"/>
          <w:color w:val="auto"/>
        </w:rPr>
      </w:pPr>
      <w:r>
        <w:rPr>
          <w:rFonts w:ascii="Courier New" w:cs="Courier New" w:eastAsia="Courier New" w:hAnsi="Courier New"/>
          <w:sz w:val="14"/>
          <w:szCs w:val="14"/>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61"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Using Swaps, the Company agrees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8"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following  table  summarizes the terms of the Company's</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existing Swaps</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(dollars in millions):</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53"/>
        </w:trPr>
        <w:tc>
          <w:tcPr>
            <w:tcW w:w="2400" w:type="dxa"/>
            <w:vAlign w:val="bottom"/>
          </w:tcPr>
          <w:p>
            <w:pPr>
              <w:spacing w:after="0"/>
              <w:rPr>
                <w:sz w:val="24"/>
                <w:szCs w:val="24"/>
                <w:color w:val="auto"/>
              </w:rPr>
            </w:pP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Notional</w:t>
            </w:r>
          </w:p>
        </w:tc>
        <w:tc>
          <w:tcPr>
            <w:tcW w:w="134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Estimated</w:t>
            </w:r>
          </w:p>
        </w:tc>
      </w:tr>
      <w:tr>
        <w:trPr>
          <w:trHeight w:val="171"/>
        </w:trPr>
        <w:tc>
          <w:tcPr>
            <w:tcW w:w="2400" w:type="dxa"/>
            <w:vAlign w:val="bottom"/>
          </w:tcPr>
          <w:p>
            <w:pPr>
              <w:spacing w:after="0"/>
              <w:rPr>
                <w:sz w:val="14"/>
                <w:szCs w:val="14"/>
                <w:color w:val="auto"/>
              </w:rPr>
            </w:pP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6"/>
              </w:rPr>
              <w:t>Amount</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Maturities</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Pay Rate</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Receive Rate</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2400" w:type="dxa"/>
            <w:vAlign w:val="bottom"/>
          </w:tcPr>
          <w:p>
            <w:pPr>
              <w:spacing w:after="0"/>
              <w:rPr>
                <w:sz w:val="14"/>
                <w:szCs w:val="14"/>
                <w:color w:val="auto"/>
              </w:rPr>
            </w:pPr>
          </w:p>
        </w:tc>
        <w:tc>
          <w:tcPr>
            <w:tcW w:w="1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 of December 31, 2002</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Variable to Fixed Swaps</w:t>
            </w: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6"/>
              </w:rPr>
              <w:t>$1,811</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2003-2005</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7.5%</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w:t>
            </w: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$64</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Fixed to Variable Swaps</w:t>
            </w: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$300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2027</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3.7%</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9.7%</w:t>
            </w: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$41</w:t>
            </w:r>
          </w:p>
        </w:tc>
      </w:tr>
      <w:tr>
        <w:trPr>
          <w:trHeight w:val="341"/>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 of December 31, 2001</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Variable to Fixed Swaps</w:t>
            </w: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$250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2002-2003</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4.9%</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2.2%</w:t>
            </w: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($6)</w:t>
            </w:r>
          </w:p>
        </w:tc>
      </w:t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Fixed to Variable Swaps</w:t>
            </w:r>
          </w:p>
        </w:tc>
        <w:tc>
          <w:tcPr>
            <w:tcW w:w="15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$950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2004-2008</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3.6%</w:t>
            </w:r>
          </w:p>
        </w:tc>
        <w:tc>
          <w:tcPr>
            <w:tcW w:w="15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7.5%</w:t>
            </w: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$47</w:t>
            </w:r>
          </w:p>
        </w:tc>
      </w:tr>
    </w:tbl>
    <w:p>
      <w:pPr>
        <w:spacing w:after="0" w:line="200" w:lineRule="exact"/>
        <w:rPr>
          <w:sz w:val="20"/>
          <w:szCs w:val="20"/>
          <w:color w:val="auto"/>
        </w:rPr>
      </w:pPr>
    </w:p>
    <w:p>
      <w:pPr>
        <w:spacing w:after="0" w:line="31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Rate Locks, Caps and Collars represent an integral part of the Company's interest rate risk management program, their incremental effect on interest expense for the years ended December 31, 2002, 2001 and 2000 was not significant.</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19"/>
          </w:cols>
          <w:pgMar w:left="240" w:top="628" w:right="1440" w:bottom="1440" w:gutter="0" w:footer="0" w:header="0"/>
        </w:sectPr>
      </w:pPr>
    </w:p>
    <w:bookmarkStart w:id="77" w:name="page78"/>
    <w:bookmarkEnd w:id="77"/>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5" w:lineRule="exact"/>
        <w:rPr>
          <w:sz w:val="20"/>
          <w:szCs w:val="20"/>
          <w:color w:val="auto"/>
        </w:rPr>
      </w:pPr>
    </w:p>
    <w:p>
      <w:pPr>
        <w:jc w:val="both"/>
        <w:ind w:left="449" w:right="3119"/>
        <w:spacing w:after="0" w:line="259" w:lineRule="auto"/>
        <w:rPr>
          <w:sz w:val="20"/>
          <w:szCs w:val="20"/>
          <w:color w:val="auto"/>
        </w:rPr>
      </w:pPr>
      <w:r>
        <w:rPr>
          <w:rFonts w:ascii="Courier New" w:cs="Courier New" w:eastAsia="Courier New" w:hAnsi="Courier New"/>
          <w:sz w:val="14"/>
          <w:szCs w:val="14"/>
          <w:color w:val="auto"/>
        </w:rPr>
        <w:t>In 2002, the Company entered into Rate Locks to hedge the risk that the cash flows related to the interest payments on an anticipated issuance or assumption of certain fixed rate debt in connection with the Broadband acquisition may be adversely affected by interest rate fluctuations. To the extent the Rate Locks are effective in offsetting the variability of the hedged cash flows, changes in the fair value of the Rate Locks are not included in earnings but are reported as a component of accumulated other comprehensive income (loss). Upon the assumption of certain fixed rate debt in connection with the Broadband acquisition, the value of the Rate Locks is being recognized as an adjustment to interest expense, similar to a deferred financing cost, over the same period in which the related interest costs on the debt are recognized in earnings. The unrealized pre-tax losses on cash flow hedges as of December 31, 2002 and 2001 of $225 million and $1 million have been reported in the Company's balance sheet as a component of accumulated other comprehensive income (loss), net of related deferred income taxes of $79 million and $0.3 million, respectively.</w:t>
      </w:r>
    </w:p>
    <w:p>
      <w:pPr>
        <w:spacing w:after="0" w:line="331"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rPr>
              <w:t>Estimated Fair Value</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Company's</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debt had</w:t>
            </w:r>
          </w:p>
        </w:tc>
        <w:tc>
          <w:tcPr>
            <w:tcW w:w="2180" w:type="dxa"/>
            <w:vAlign w:val="bottom"/>
            <w:gridSpan w:val="3"/>
          </w:tcPr>
          <w:p>
            <w:pPr>
              <w:spacing w:after="0"/>
              <w:rPr>
                <w:sz w:val="20"/>
                <w:szCs w:val="20"/>
                <w:color w:val="auto"/>
              </w:rPr>
            </w:pPr>
            <w:r>
              <w:rPr>
                <w:rFonts w:ascii="Courier New" w:cs="Courier New" w:eastAsia="Courier New" w:hAnsi="Courier New"/>
                <w:sz w:val="15"/>
                <w:szCs w:val="15"/>
                <w:color w:val="auto"/>
                <w:w w:val="99"/>
              </w:rPr>
              <w:t>estimated fair values of</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$36.827</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billion and $12.559</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billion as</w:t>
            </w:r>
          </w:p>
        </w:tc>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of</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December</w:t>
            </w:r>
          </w:p>
        </w:tc>
        <w:tc>
          <w:tcPr>
            <w:tcW w:w="2880" w:type="dxa"/>
            <w:vAlign w:val="bottom"/>
            <w:gridSpan w:val="4"/>
          </w:tcPr>
          <w:p>
            <w:pPr>
              <w:spacing w:after="0"/>
              <w:rPr>
                <w:sz w:val="20"/>
                <w:szCs w:val="20"/>
                <w:color w:val="auto"/>
              </w:rPr>
            </w:pPr>
            <w:r>
              <w:rPr>
                <w:rFonts w:ascii="Courier New" w:cs="Courier New" w:eastAsia="Courier New" w:hAnsi="Courier New"/>
                <w:sz w:val="15"/>
                <w:szCs w:val="15"/>
                <w:color w:val="auto"/>
                <w:w w:val="99"/>
              </w:rPr>
              <w:t>31, 2002 and 2001, respectively.</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estimated fair</w:t>
            </w:r>
          </w:p>
        </w:tc>
      </w:tr>
      <w:tr>
        <w:trPr>
          <w:trHeight w:val="171"/>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value of the</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Company's</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publicly</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traded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is based on</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quoted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prices for</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that debt.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rates that are</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currently</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available to the</w:t>
            </w:r>
          </w:p>
        </w:tc>
      </w:tr>
      <w:tr>
        <w:trPr>
          <w:trHeight w:val="171"/>
        </w:trPr>
        <w:tc>
          <w:tcPr>
            <w:tcW w:w="2920" w:type="dxa"/>
            <w:vAlign w:val="bottom"/>
            <w:gridSpan w:val="4"/>
          </w:tcPr>
          <w:p>
            <w:pPr>
              <w:spacing w:after="0"/>
              <w:rPr>
                <w:sz w:val="20"/>
                <w:szCs w:val="20"/>
                <w:color w:val="auto"/>
              </w:rPr>
            </w:pPr>
            <w:r>
              <w:rPr>
                <w:rFonts w:ascii="Courier New" w:cs="Courier New" w:eastAsia="Courier New" w:hAnsi="Courier New"/>
                <w:sz w:val="15"/>
                <w:szCs w:val="15"/>
                <w:color w:val="auto"/>
                <w:w w:val="97"/>
              </w:rPr>
              <w:t>Company for issuance of debt with</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similar</w:t>
            </w:r>
          </w:p>
        </w:tc>
        <w:tc>
          <w:tcPr>
            <w:tcW w:w="29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terms and  remaining  maturities</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are used to</w:t>
            </w:r>
          </w:p>
        </w:tc>
        <w:tc>
          <w:tcPr>
            <w:tcW w:w="1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estimate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fair value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for debt</w:t>
            </w:r>
          </w:p>
        </w:tc>
        <w:tc>
          <w:tcPr>
            <w:tcW w:w="14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issues for which</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quoted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prices are</w:t>
            </w:r>
          </w:p>
        </w:tc>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not available.</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Debt Covenants</w:t>
      </w:r>
    </w:p>
    <w:p>
      <w:pPr>
        <w:spacing w:after="0" w:line="3" w:lineRule="exact"/>
        <w:rPr>
          <w:sz w:val="20"/>
          <w:szCs w:val="20"/>
          <w:color w:val="auto"/>
        </w:rPr>
      </w:pPr>
    </w:p>
    <w:p>
      <w:pPr>
        <w:jc w:val="both"/>
        <w:ind w:left="449" w:right="3119"/>
        <w:spacing w:after="0" w:line="261" w:lineRule="auto"/>
        <w:rPr>
          <w:sz w:val="20"/>
          <w:szCs w:val="20"/>
          <w:color w:val="auto"/>
        </w:rPr>
      </w:pPr>
      <w:r>
        <w:rPr>
          <w:rFonts w:ascii="Courier New" w:cs="Courier New" w:eastAsia="Courier New" w:hAnsi="Courier New"/>
          <w:sz w:val="14"/>
          <w:szCs w:val="14"/>
          <w:color w:val="auto"/>
        </w:rPr>
        <w:t>The Company's and certain of the Company's subsidiaries' loan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62"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As of December 31, 2002, $37 million of the Company's cash and cash equivalents is restricted under contractual or other arrangements. Restricted net assets of the Company's subsidiaries were approximately $12.597 billion as of December 31, 2002.</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Lines and Letters of Credit</w:t>
      </w:r>
    </w:p>
    <w:p>
      <w:pPr>
        <w:spacing w:after="0" w:line="3" w:lineRule="exact"/>
        <w:rPr>
          <w:sz w:val="20"/>
          <w:szCs w:val="20"/>
          <w:color w:val="auto"/>
        </w:rPr>
      </w:pPr>
    </w:p>
    <w:p>
      <w:pPr>
        <w:jc w:val="both"/>
        <w:ind w:left="449" w:right="3119"/>
        <w:spacing w:after="0" w:line="271" w:lineRule="auto"/>
        <w:rPr>
          <w:sz w:val="20"/>
          <w:szCs w:val="20"/>
          <w:color w:val="auto"/>
        </w:rPr>
      </w:pPr>
      <w:r>
        <w:rPr>
          <w:rFonts w:ascii="Courier New" w:cs="Courier New" w:eastAsia="Courier New" w:hAnsi="Courier New"/>
          <w:sz w:val="14"/>
          <w:szCs w:val="14"/>
          <w:color w:val="auto"/>
        </w:rPr>
        <w:t>As of December 31, 2002, certain subsidiaries of the Company had unused lines of credit of $5.949 billion under their respective credit facilities.</w:t>
      </w:r>
    </w:p>
    <w:p>
      <w:pPr>
        <w:spacing w:after="0" w:line="154"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As of December 31, 2002, the Company and certain of its subsidiaries had unused irrevocable standby letters of credit totaling $370 million to cover potential fundings under various agreements.</w:t>
      </w:r>
    </w:p>
    <w:p>
      <w:pPr>
        <w:spacing w:after="0" w:line="172" w:lineRule="exact"/>
        <w:rPr>
          <w:sz w:val="20"/>
          <w:szCs w:val="20"/>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POSTRETIREMENT AND OTHER EMPLOYEE BENEFIT PLANS</w:t>
      </w:r>
    </w:p>
    <w:p>
      <w:pPr>
        <w:spacing w:after="0" w:line="174" w:lineRule="exact"/>
        <w:rPr>
          <w:rFonts w:ascii="Courier New" w:cs="Courier New" w:eastAsia="Courier New" w:hAnsi="Courier New"/>
          <w:sz w:val="15"/>
          <w:szCs w:val="15"/>
          <w:color w:val="auto"/>
        </w:rPr>
      </w:pPr>
    </w:p>
    <w:p>
      <w:pPr>
        <w:jc w:val="both"/>
        <w:ind w:left="44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the Broadband acquisition, the Company sponsors two pension plans which together provide benefits to substantially all former Broadband employees. Future benefits for both plans have been frozen, except for some union groups and some change-in-control payments. In addition, following the Broadband acquisition, the Company now sponsors a separate retiree medical plan for a small number of former Broadband employees.</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68 -</w:t>
      </w:r>
    </w:p>
    <w:p>
      <w:pPr>
        <w:sectPr>
          <w:pgSz w:w="11900" w:h="16838" w:orient="portrait"/>
          <w:cols w:equalWidth="0" w:num="1">
            <w:col w:w="10228"/>
          </w:cols>
          <w:pgMar w:left="231" w:top="628"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shows the components of the net periodic benefit costs for the year ended December 31, 2002, which are included in the Company's consolidated statement of operations (dollars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Pension</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Postretirement</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Benefits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Benefits</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Service cost-benefits earned during the period.............................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Interest cost on benefit obligations.......................................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Credit for expected return on plan assets..................................</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Net periodic benefit cost..................................................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provides a reconciliation of the changes in the plans' benefit obligations for the year ended December 31, 2002 (dollars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Pension</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Postretirement</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Benefits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Benefits</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Acquisition of Broadband...................................................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352</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Plan amendments............................................................</w:t>
            </w:r>
          </w:p>
        </w:tc>
        <w:tc>
          <w:tcPr>
            <w:tcW w:w="1280" w:type="dxa"/>
            <w:vAlign w:val="bottom"/>
          </w:tcPr>
          <w:p>
            <w:pPr>
              <w:spacing w:after="0"/>
              <w:rPr>
                <w:sz w:val="14"/>
                <w:szCs w:val="14"/>
                <w:color w:val="auto"/>
              </w:rPr>
            </w:pP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1280" w:type="dxa"/>
            <w:vAlign w:val="bottom"/>
          </w:tcPr>
          <w:p>
            <w:pPr>
              <w:spacing w:after="0"/>
              <w:rPr>
                <w:sz w:val="14"/>
                <w:szCs w:val="14"/>
                <w:color w:val="auto"/>
              </w:rPr>
            </w:pP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w:t>
            </w:r>
          </w:p>
        </w:tc>
        <w:tc>
          <w:tcPr>
            <w:tcW w:w="156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provides a reconciliation of the changes in the plans' fair value of assets for the year ended December 31, 2002 (dollars in millions):</w:t>
      </w:r>
    </w:p>
    <w:p>
      <w:pPr>
        <w:spacing w:after="0" w:line="200" w:lineRule="exact"/>
        <w:rPr>
          <w:sz w:val="20"/>
          <w:szCs w:val="20"/>
          <w:color w:val="auto"/>
        </w:rPr>
      </w:pPr>
    </w:p>
    <w:p>
      <w:pPr>
        <w:spacing w:after="0" w:line="314" w:lineRule="exact"/>
        <w:rPr>
          <w:sz w:val="20"/>
          <w:szCs w:val="20"/>
          <w:color w:val="auto"/>
        </w:rPr>
      </w:pPr>
    </w:p>
    <w:p>
      <w:pPr>
        <w:ind w:left="7260"/>
        <w:spacing w:after="0"/>
        <w:tabs>
          <w:tab w:leader="none" w:pos="8400" w:val="left"/>
        </w:tabs>
        <w:rPr>
          <w:sz w:val="20"/>
          <w:szCs w:val="20"/>
          <w:color w:val="auto"/>
        </w:rPr>
      </w:pP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5"/>
          <w:szCs w:val="15"/>
          <w:color w:val="auto"/>
        </w:rPr>
        <w:t>Postretirement</w:t>
      </w:r>
    </w:p>
    <w:p>
      <w:pPr>
        <w:spacing w:after="0" w:line="1" w:lineRule="exact"/>
        <w:rPr>
          <w:sz w:val="20"/>
          <w:szCs w:val="20"/>
          <w:color w:val="auto"/>
        </w:rPr>
      </w:pPr>
    </w:p>
    <w:p>
      <w:pPr>
        <w:ind w:left="7180"/>
        <w:spacing w:after="0"/>
        <w:tabs>
          <w:tab w:leader="none" w:pos="866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Benefits</w:t>
      </w:r>
    </w:p>
    <w:p>
      <w:pPr>
        <w:spacing w:after="0" w:line="3" w:lineRule="exact"/>
        <w:rPr>
          <w:sz w:val="20"/>
          <w:szCs w:val="20"/>
          <w:color w:val="auto"/>
        </w:rPr>
      </w:pPr>
    </w:p>
    <w:p>
      <w:pPr>
        <w:ind w:left="7180"/>
        <w:spacing w:after="0"/>
        <w:tabs>
          <w:tab w:leader="none" w:pos="8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plan assets, beginning of year...............................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ectPr>
          <w:pgSz w:w="11900" w:h="16838" w:orient="portrait"/>
          <w:cols w:equalWidth="0" w:num="3">
            <w:col w:w="7000" w:space="720"/>
            <w:col w:w="780" w:space="720"/>
            <w:col w:w="99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Acquisition of Broadband...................................................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payments...........................................................</w:t>
      </w:r>
    </w:p>
    <w:p>
      <w:pPr>
        <w:spacing w:after="0" w:line="20" w:lineRule="exact"/>
        <w:rPr>
          <w:sz w:val="20"/>
          <w:szCs w:val="20"/>
          <w:color w:val="auto"/>
        </w:rPr>
      </w:pPr>
      <w:r>
        <w:rPr>
          <w:sz w:val="20"/>
          <w:szCs w:val="20"/>
          <w:color w:val="auto"/>
        </w:rPr>
        <w:br w:type="column"/>
      </w:r>
    </w:p>
    <w:p>
      <w:pPr>
        <w:ind w:left="620"/>
        <w:spacing w:after="0"/>
        <w:tabs>
          <w:tab w:leader="none" w:pos="2200" w:val="left"/>
        </w:tabs>
        <w:rPr>
          <w:sz w:val="20"/>
          <w:szCs w:val="20"/>
          <w:color w:val="auto"/>
        </w:rPr>
      </w:pPr>
      <w:r>
        <w:rPr>
          <w:rFonts w:ascii="Courier New" w:cs="Courier New" w:eastAsia="Courier New" w:hAnsi="Courier New"/>
          <w:sz w:val="13"/>
          <w:szCs w:val="13"/>
          <w:color w:val="auto"/>
        </w:rPr>
        <w:t>78</w:t>
      </w:r>
      <w:r>
        <w:rPr>
          <w:sz w:val="20"/>
          <w:szCs w:val="20"/>
          <w:color w:val="auto"/>
        </w:rPr>
        <w:tab/>
      </w:r>
      <w:r>
        <w:rPr>
          <w:rFonts w:ascii="Courier New" w:cs="Courier New" w:eastAsia="Courier New" w:hAnsi="Courier New"/>
          <w:sz w:val="13"/>
          <w:szCs w:val="13"/>
          <w:color w:val="auto"/>
        </w:rPr>
        <w:t>1</w:t>
      </w:r>
    </w:p>
    <w:p>
      <w:pPr>
        <w:spacing w:after="0" w:line="2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640" w:space="540"/>
            <w:col w:w="30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Fair value of plan assets, end of year.....................................</w:t>
      </w:r>
    </w:p>
    <w:p>
      <w:pPr>
        <w:spacing w:after="0" w:line="20" w:lineRule="exact"/>
        <w:rPr>
          <w:sz w:val="20"/>
          <w:szCs w:val="20"/>
          <w:color w:val="auto"/>
        </w:rPr>
      </w:pPr>
      <w:r>
        <w:rPr>
          <w:sz w:val="20"/>
          <w:szCs w:val="20"/>
          <w:color w:val="auto"/>
        </w:rPr>
        <w:br w:type="column"/>
      </w:r>
    </w:p>
    <w:p>
      <w:pPr>
        <w:jc w:val="both"/>
        <w:ind w:right="739" w:firstLine="533"/>
        <w:spacing w:after="0" w:line="238" w:lineRule="auto"/>
        <w:rPr>
          <w:sz w:val="20"/>
          <w:szCs w:val="20"/>
          <w:color w:val="auto"/>
        </w:rPr>
      </w:pPr>
      <w:r>
        <w:rPr>
          <w:rFonts w:ascii="Courier New" w:cs="Courier New" w:eastAsia="Courier New" w:hAnsi="Courier New"/>
          <w:sz w:val="15"/>
          <w:szCs w:val="15"/>
          <w:color w:val="auto"/>
        </w:rPr>
        <w:t>$72 $1 ========= =============</w:t>
      </w:r>
    </w:p>
    <w:p>
      <w:pPr>
        <w:spacing w:after="0" w:line="200" w:lineRule="exact"/>
        <w:rPr>
          <w:sz w:val="20"/>
          <w:szCs w:val="20"/>
          <w:color w:val="auto"/>
        </w:rPr>
      </w:pPr>
    </w:p>
    <w:p>
      <w:pPr>
        <w:sectPr>
          <w:pgSz w:w="11900" w:h="16838" w:orient="portrait"/>
          <w:cols w:equalWidth="0" w:num="2">
            <w:col w:w="6640" w:space="540"/>
            <w:col w:w="3039"/>
          </w:cols>
          <w:pgMar w:left="240" w:top="628" w:right="1440" w:bottom="1440" w:gutter="0" w:footer="0" w:header="0"/>
          <w:type w:val="continuous"/>
        </w:sectPr>
      </w:pPr>
    </w:p>
    <w:p>
      <w:pPr>
        <w:spacing w:after="0" w:line="31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- 69 -</w:t>
      </w:r>
    </w:p>
    <w:p>
      <w:pPr>
        <w:sectPr>
          <w:pgSz w:w="11900" w:h="16838" w:orient="portrait"/>
          <w:cols w:equalWidth="0" w:num="1">
            <w:col w:w="10219"/>
          </w:cols>
          <w:pgMar w:left="240" w:top="628" w:right="1440"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The following</w:t>
      </w:r>
      <w:r>
        <w:rPr>
          <w:sz w:val="20"/>
          <w:szCs w:val="20"/>
          <w:color w:val="auto"/>
        </w:rPr>
        <w:tab/>
      </w:r>
      <w:r>
        <w:rPr>
          <w:rFonts w:ascii="Courier New" w:cs="Courier New" w:eastAsia="Courier New" w:hAnsi="Courier New"/>
          <w:sz w:val="14"/>
          <w:szCs w:val="14"/>
          <w:color w:val="auto"/>
        </w:rPr>
        <w:t>table provides a statement of the plans' funded status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(dollars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60"/>
        <w:spacing w:after="0"/>
        <w:tabs>
          <w:tab w:leader="none" w:pos="8400" w:val="left"/>
        </w:tabs>
        <w:rPr>
          <w:sz w:val="20"/>
          <w:szCs w:val="20"/>
          <w:color w:val="auto"/>
        </w:rPr>
      </w:pP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5"/>
          <w:szCs w:val="15"/>
          <w:color w:val="auto"/>
        </w:rPr>
        <w:t>Postretirement</w:t>
      </w:r>
    </w:p>
    <w:p>
      <w:pPr>
        <w:spacing w:after="0" w:line="1" w:lineRule="exact"/>
        <w:rPr>
          <w:sz w:val="20"/>
          <w:szCs w:val="20"/>
          <w:color w:val="auto"/>
        </w:rPr>
      </w:pPr>
    </w:p>
    <w:p>
      <w:pPr>
        <w:ind w:left="7180"/>
        <w:spacing w:after="0"/>
        <w:tabs>
          <w:tab w:leader="none" w:pos="866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Benefits</w:t>
      </w:r>
    </w:p>
    <w:p>
      <w:pPr>
        <w:spacing w:after="0" w:line="3" w:lineRule="exact"/>
        <w:rPr>
          <w:sz w:val="20"/>
          <w:szCs w:val="20"/>
          <w:color w:val="auto"/>
        </w:rPr>
      </w:pPr>
    </w:p>
    <w:p>
      <w:pPr>
        <w:ind w:left="7180"/>
        <w:spacing w:after="0"/>
        <w:tabs>
          <w:tab w:leader="none" w:pos="8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1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Unfunded benefit obligation................................................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Unrecognized net loss (gain)...............................................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Unrecognized prior service cost............................................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tabs>
          <w:tab w:leader="none" w:pos="1840" w:val="left"/>
        </w:tabs>
        <w:rPr>
          <w:sz w:val="20"/>
          <w:szCs w:val="20"/>
          <w:color w:val="auto"/>
        </w:rPr>
      </w:pPr>
      <w:r>
        <w:rPr>
          <w:rFonts w:ascii="Courier New" w:cs="Courier New" w:eastAsia="Courier New" w:hAnsi="Courier New"/>
          <w:sz w:val="15"/>
          <w:szCs w:val="15"/>
          <w:color w:val="auto"/>
        </w:rPr>
        <w:t>($278)</w:t>
      </w:r>
      <w:r>
        <w:rPr>
          <w:sz w:val="20"/>
          <w:szCs w:val="20"/>
          <w:color w:val="auto"/>
        </w:rPr>
        <w:tab/>
      </w:r>
      <w:r>
        <w:rPr>
          <w:rFonts w:ascii="Courier New" w:cs="Courier New" w:eastAsia="Courier New" w:hAnsi="Courier New"/>
          <w:sz w:val="15"/>
          <w:szCs w:val="15"/>
          <w:color w:val="auto"/>
        </w:rPr>
        <w:t>($153)</w:t>
      </w:r>
    </w:p>
    <w:p>
      <w:pPr>
        <w:spacing w:after="0" w:line="1" w:lineRule="exact"/>
        <w:rPr>
          <w:sz w:val="20"/>
          <w:szCs w:val="20"/>
          <w:color w:val="auto"/>
        </w:rPr>
      </w:pPr>
    </w:p>
    <w:p>
      <w:pPr>
        <w:ind w:left="700"/>
        <w:spacing w:after="0"/>
        <w:tabs>
          <w:tab w:leader="none" w:pos="21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sectPr>
          <w:pgSz w:w="11900" w:h="16838" w:orient="portrait"/>
          <w:cols w:equalWidth="0" w:num="2">
            <w:col w:w="6640" w:space="540"/>
            <w:col w:w="3039"/>
          </w:cols>
          <w:pgMar w:left="240" w:top="628" w:right="1440" w:bottom="11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amount recorded........................................................</w:t>
      </w:r>
    </w:p>
    <w:p>
      <w:pPr>
        <w:spacing w:after="0" w:line="20" w:lineRule="exact"/>
        <w:rPr>
          <w:sz w:val="20"/>
          <w:szCs w:val="20"/>
          <w:color w:val="auto"/>
        </w:rPr>
      </w:pPr>
      <w:r>
        <w:rPr>
          <w:sz w:val="20"/>
          <w:szCs w:val="20"/>
          <w:color w:val="auto"/>
        </w:rPr>
        <w:br w:type="column"/>
      </w:r>
    </w:p>
    <w:p>
      <w:pPr>
        <w:ind w:left="360"/>
        <w:spacing w:after="0"/>
        <w:tabs>
          <w:tab w:leader="none" w:pos="1840" w:val="left"/>
        </w:tabs>
        <w:rPr>
          <w:sz w:val="20"/>
          <w:szCs w:val="20"/>
          <w:color w:val="auto"/>
        </w:rPr>
      </w:pPr>
      <w:r>
        <w:rPr>
          <w:rFonts w:ascii="Courier New" w:cs="Courier New" w:eastAsia="Courier New" w:hAnsi="Courier New"/>
          <w:sz w:val="15"/>
          <w:szCs w:val="15"/>
          <w:color w:val="auto"/>
        </w:rPr>
        <w:t>($277)</w:t>
      </w:r>
      <w:r>
        <w:rPr>
          <w:sz w:val="20"/>
          <w:szCs w:val="20"/>
          <w:color w:val="auto"/>
        </w:rPr>
        <w:tab/>
      </w:r>
      <w:r>
        <w:rPr>
          <w:rFonts w:ascii="Courier New" w:cs="Courier New" w:eastAsia="Courier New" w:hAnsi="Courier New"/>
          <w:sz w:val="15"/>
          <w:szCs w:val="15"/>
          <w:color w:val="auto"/>
        </w:rPr>
        <w:t>($176)</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640" w:space="540"/>
            <w:col w:w="3039"/>
          </w:cols>
          <w:pgMar w:left="240" w:top="628" w:right="1440" w:bottom="1140" w:gutter="0" w:footer="0" w:header="0"/>
          <w:type w:val="continuous"/>
        </w:sectPr>
      </w:pPr>
    </w:p>
    <w:p>
      <w:pPr>
        <w:spacing w:after="0" w:line="145"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The following table provides the amounts recorded in the Company's consolidated balance sheet as of December 31, 2002 (dollars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Pension</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Postretirement</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Benefits</w:t>
            </w:r>
          </w:p>
        </w:tc>
        <w:tc>
          <w:tcPr>
            <w:tcW w:w="1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Benefits</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Benefit obligation.........................................................</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Benefit related liabilities................................................</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spacing w:after="0"/>
              <w:rPr>
                <w:sz w:val="14"/>
                <w:szCs w:val="14"/>
                <w:color w:val="auto"/>
              </w:rPr>
            </w:pP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Net amount recorded........................................................</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w:t>
            </w:r>
          </w:p>
        </w:tc>
      </w:tr>
      <w:tr>
        <w:trPr>
          <w:trHeight w:val="171"/>
        </w:trPr>
        <w:tc>
          <w:tcPr>
            <w:tcW w:w="692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weighted-average assumptions in the following table were used in the measurement of the pension and postretirement benefit obligations and the net periodic benefit costs as applicable as of December 31,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60"/>
        <w:spacing w:after="0"/>
        <w:tabs>
          <w:tab w:leader="none" w:pos="8400" w:val="left"/>
        </w:tabs>
        <w:rPr>
          <w:sz w:val="20"/>
          <w:szCs w:val="20"/>
          <w:color w:val="auto"/>
        </w:rPr>
      </w:pP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5"/>
          <w:szCs w:val="15"/>
          <w:color w:val="auto"/>
        </w:rPr>
        <w:t>Postretirement</w:t>
      </w:r>
    </w:p>
    <w:p>
      <w:pPr>
        <w:spacing w:after="0" w:line="1" w:lineRule="exact"/>
        <w:rPr>
          <w:sz w:val="20"/>
          <w:szCs w:val="20"/>
          <w:color w:val="auto"/>
        </w:rPr>
      </w:pPr>
    </w:p>
    <w:p>
      <w:pPr>
        <w:ind w:left="7180"/>
        <w:spacing w:after="0"/>
        <w:tabs>
          <w:tab w:leader="none" w:pos="866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Benefits</w:t>
      </w:r>
    </w:p>
    <w:p>
      <w:pPr>
        <w:spacing w:after="0" w:line="3" w:lineRule="exact"/>
        <w:rPr>
          <w:sz w:val="20"/>
          <w:szCs w:val="20"/>
          <w:color w:val="auto"/>
        </w:rPr>
      </w:pPr>
    </w:p>
    <w:p>
      <w:pPr>
        <w:ind w:left="7180"/>
        <w:spacing w:after="0"/>
        <w:tabs>
          <w:tab w:leader="none" w:pos="8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1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return on plan assets.............................................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w:t>
      </w:r>
    </w:p>
    <w:p>
      <w:pPr>
        <w:spacing w:after="0" w:line="200" w:lineRule="exact"/>
        <w:rPr>
          <w:sz w:val="20"/>
          <w:szCs w:val="20"/>
          <w:color w:val="auto"/>
        </w:rPr>
      </w:pPr>
    </w:p>
    <w:p>
      <w:pPr>
        <w:sectPr>
          <w:pgSz w:w="11900" w:h="16838" w:orient="portrait"/>
          <w:cols w:equalWidth="0" w:num="3">
            <w:col w:w="6900" w:space="720"/>
            <w:col w:w="800" w:space="720"/>
            <w:col w:w="1079"/>
          </w:cols>
          <w:pgMar w:left="240" w:top="628" w:right="1440" w:bottom="1140" w:gutter="0" w:footer="0" w:header="0"/>
          <w:type w:val="continuous"/>
        </w:sectPr>
      </w:pPr>
    </w:p>
    <w:p>
      <w:pPr>
        <w:spacing w:after="0" w:line="15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An 11% rate of increase in the per capita cost of covered healthcare benefits (the healthcare cost trend rate) was assumed. This rate was assumed to decline gradually after 2002 to 5% by the year 2014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$6-7 million but would not have a material impact on the service and interest cost components of net periodic postretirement healthcare benefit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STOCKHOLDERS' EQUITY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Preferred Stock</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is authorized to issue, in one or more series, up to a maximum of 20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5" w:lineRule="exact"/>
        <w:rPr>
          <w:sz w:val="20"/>
          <w:szCs w:val="20"/>
          <w:color w:val="auto"/>
        </w:rPr>
      </w:pPr>
    </w:p>
    <w:p>
      <w:pPr>
        <w:jc w:val="both"/>
        <w:ind w:left="440" w:right="3119"/>
        <w:spacing w:after="0" w:line="264" w:lineRule="auto"/>
        <w:rPr>
          <w:sz w:val="20"/>
          <w:szCs w:val="20"/>
          <w:color w:val="auto"/>
        </w:rPr>
      </w:pPr>
      <w:r>
        <w:rPr>
          <w:rFonts w:ascii="Courier New" w:cs="Courier New" w:eastAsia="Courier New" w:hAnsi="Courier New"/>
          <w:sz w:val="14"/>
          <w:szCs w:val="14"/>
          <w:color w:val="auto"/>
        </w:rPr>
        <w:t>The Company's Series B Preferred Stock had a 5.25% pay-in-kind annual dividend. Dividends were paid quarterly through the issuance of additional shares of Series B Preferred Stock (the "Additional Shares") and were</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- 70 -</w:t>
      </w:r>
    </w:p>
    <w:p>
      <w:pPr>
        <w:sectPr>
          <w:pgSz w:w="11900" w:h="16838" w:orient="portrait"/>
          <w:cols w:equalWidth="0" w:num="1">
            <w:col w:w="10219"/>
          </w:cols>
          <w:pgMar w:left="240" w:top="628" w:right="1440" w:bottom="11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5"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cumulative from the issuance date (except that dividends on the Additional Shares accrued from the date such Additional Shares were issued). The Series B Preferred Stock, including the Additional Shares, was convertible, at the option of the holder, into approximately 43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 million at redemption value of Series B Preferred Stock. In March 2001, the Company issued approximately 4.2 million shares of its Class A Special common stock to the holder in connection with the holder's election to convert the remaining $60 million at redemption value of Series B Preferred Stock.</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Company's Class A Special Common Stock is generally nonvoting. Holders of the Company's Class A common stock in the aggregate hold 66 2/3% of the aggregate voting power of the Company's capital stock. The number of votes that each share of the Company's Class A common stock will have at any given time will depend on the number of shares of Class A common stock and Class B common stock then outstanding. Each share of the Company's Class B common stock is entitled to fifteen votes and all shares of the Class B common stock in the aggregate have 33 1/3% of the voting power of all of the Company's common stock. The 33 1/3% aggregate voting power of the Class B common stock will not be diluted by additional issuances of any other class of the Company's common stock. The Class B common stock is convertible, share for share, into Class A or Class A Special common stock, subject to certain restrictions.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Treasury Stock</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Certain Broadband subsidiaries held AT&amp;T preferred stock convertible into AT&amp;T common stock. Prior to the closing of the Broadband acquisition, these subsidiaries converted the AT&amp;T preferred stock into AT&amp;T common stock. Upon closing of the Broadband acquisition, the shares of Broadband common stock were exchanged for approximately 243.6 million shares of the Company's Class A common stock. The Company classified these shares, which are held by certain subsidiaries of the Company, as treasury stock within stockholders' equity. The shares were valued at $6.391 billion based on the closing share price of the Comcast Class A common stock as of the closing date of the Broadband acquisition and will continue to be carried at this amount. The shares are deemed issued but not outstanding and will not be included in the computation of Diluted EPS.</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Prior to the Broadband acquisition, Broadband held approximately 47.3 million shares of the Company's Class A Special common stock which collateralize the related Comcast Exchangeable Notes (see Note 8). Upon closing of the Broadband acquisition, the Company classified these shares, which are held by a subsidiary of the Company, as treasury stock within stockholders' equity. The shares were valued based on the closing share price of the Comcast Class A Special common stock as of the closing date of the Broadband acquisition and will continue to be carried at this amount. The shares are deemed issued but not outstanding and because they are related to the Comcast Exchangeable Notes will be included in the computation of Diluted EPS in periods in which the Company has income.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Board-Authorized Repurchase Programs</w:t>
      </w:r>
    </w:p>
    <w:p>
      <w:pPr>
        <w:spacing w:after="0" w:line="3"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The following table summarizes the Company's repurchases and sales of Comcast Put Options under its Board- authorized share repurchase programs (shares and dollars in millions):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- 71 -</w:t>
      </w:r>
    </w:p>
    <w:p>
      <w:pPr>
        <w:sectPr>
          <w:pgSz w:w="11900" w:h="16838" w:orient="portrait"/>
          <w:cols w:equalWidth="0" w:num="1">
            <w:col w:w="10219"/>
          </w:cols>
          <w:pgMar w:left="240" w:top="628"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7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Shares repurchased........................................................</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Aggregate consideration...................................................</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Comcast Put Options sold..................................................</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As part of the Company's Board-authorized</w:t>
            </w:r>
          </w:p>
        </w:tc>
        <w:tc>
          <w:tcPr>
            <w:tcW w:w="3000" w:type="dxa"/>
            <w:vAlign w:val="bottom"/>
            <w:gridSpan w:val="5"/>
          </w:tcPr>
          <w:p>
            <w:pPr>
              <w:jc w:val="right"/>
              <w:ind w:right="86"/>
              <w:spacing w:after="0"/>
              <w:rPr>
                <w:sz w:val="20"/>
                <w:szCs w:val="20"/>
                <w:color w:val="auto"/>
              </w:rPr>
            </w:pPr>
            <w:r>
              <w:rPr>
                <w:rFonts w:ascii="Courier New" w:cs="Courier New" w:eastAsia="Courier New" w:hAnsi="Courier New"/>
                <w:sz w:val="15"/>
                <w:szCs w:val="15"/>
                <w:color w:val="auto"/>
                <w:w w:val="97"/>
              </w:rPr>
              <w:t>repurchase programs, the Company</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920" w:type="dxa"/>
            <w:vAlign w:val="bottom"/>
            <w:gridSpan w:val="11"/>
          </w:tcPr>
          <w:p>
            <w:pPr>
              <w:ind w:left="100"/>
              <w:spacing w:after="0"/>
              <w:rPr>
                <w:sz w:val="20"/>
                <w:szCs w:val="20"/>
                <w:color w:val="auto"/>
              </w:rPr>
            </w:pPr>
            <w:r>
              <w:rPr>
                <w:rFonts w:ascii="Courier New" w:cs="Courier New" w:eastAsia="Courier New" w:hAnsi="Courier New"/>
                <w:sz w:val="15"/>
                <w:szCs w:val="15"/>
                <w:color w:val="auto"/>
              </w:rPr>
              <w:t>sold Comcast Put Options on shares of its Class A Special common stock. The</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Comcast  Put</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34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give the holder the right to require</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the Company to</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repurchase such shares at</w:t>
            </w:r>
          </w:p>
        </w:tc>
        <w:tc>
          <w:tcPr>
            <w:tcW w:w="3380" w:type="dxa"/>
            <w:vAlign w:val="bottom"/>
            <w:gridSpan w:val="5"/>
          </w:tcPr>
          <w:p>
            <w:pPr>
              <w:spacing w:after="0"/>
              <w:rPr>
                <w:sz w:val="20"/>
                <w:szCs w:val="20"/>
                <w:color w:val="auto"/>
              </w:rPr>
            </w:pPr>
            <w:r>
              <w:rPr>
                <w:rFonts w:ascii="Courier New" w:cs="Courier New" w:eastAsia="Courier New" w:hAnsi="Courier New"/>
                <w:sz w:val="15"/>
                <w:szCs w:val="15"/>
                <w:color w:val="auto"/>
              </w:rPr>
              <w:t>specified  prices on specific dates.</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All Comcast</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Put Options sold expired</w:t>
            </w:r>
          </w:p>
        </w:tc>
        <w:tc>
          <w:tcPr>
            <w:tcW w:w="4520" w:type="dxa"/>
            <w:vAlign w:val="bottom"/>
            <w:gridSpan w:val="6"/>
          </w:tcPr>
          <w:p>
            <w:pPr>
              <w:jc w:val="right"/>
              <w:ind w:right="86"/>
              <w:spacing w:after="0"/>
              <w:rPr>
                <w:sz w:val="20"/>
                <w:szCs w:val="20"/>
                <w:color w:val="auto"/>
              </w:rPr>
            </w:pPr>
            <w:r>
              <w:rPr>
                <w:rFonts w:ascii="Courier New" w:cs="Courier New" w:eastAsia="Courier New" w:hAnsi="Courier New"/>
                <w:sz w:val="15"/>
                <w:szCs w:val="15"/>
                <w:color w:val="auto"/>
                <w:w w:val="98"/>
              </w:rPr>
              <w:t>unexercised.  The Company reclassified the amount</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it would</w:t>
            </w: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have been</w:t>
            </w:r>
          </w:p>
        </w:tc>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obligated  to pay to</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repurchase</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such</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shares had the</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Comcast  Put Options  been  exercised,  from</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204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w w:val="98"/>
              </w:rPr>
              <w:t>equity put options to</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80" w:type="dxa"/>
            <w:vAlign w:val="bottom"/>
            <w:gridSpan w:val="10"/>
          </w:tcPr>
          <w:p>
            <w:pPr>
              <w:ind w:left="100"/>
              <w:spacing w:after="0"/>
              <w:rPr>
                <w:sz w:val="20"/>
                <w:szCs w:val="20"/>
                <w:color w:val="auto"/>
              </w:rPr>
            </w:pPr>
            <w:r>
              <w:rPr>
                <w:rFonts w:ascii="Courier New" w:cs="Courier New" w:eastAsia="Courier New" w:hAnsi="Courier New"/>
                <w:sz w:val="15"/>
                <w:szCs w:val="15"/>
                <w:color w:val="auto"/>
              </w:rPr>
              <w:t>additional capital upon expiration of the Comcast Put Options.</w:t>
            </w: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following</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table</w:t>
            </w:r>
          </w:p>
        </w:tc>
        <w:tc>
          <w:tcPr>
            <w:tcW w:w="4960" w:type="dxa"/>
            <w:vAlign w:val="bottom"/>
            <w:gridSpan w:val="7"/>
          </w:tcPr>
          <w:p>
            <w:pPr>
              <w:jc w:val="right"/>
              <w:ind w:right="86"/>
              <w:spacing w:after="0"/>
              <w:rPr>
                <w:sz w:val="20"/>
                <w:szCs w:val="20"/>
                <w:color w:val="auto"/>
              </w:rPr>
            </w:pPr>
            <w:r>
              <w:rPr>
                <w:rFonts w:ascii="Courier New" w:cs="Courier New" w:eastAsia="Courier New" w:hAnsi="Courier New"/>
                <w:sz w:val="15"/>
                <w:szCs w:val="15"/>
                <w:color w:val="auto"/>
              </w:rPr>
              <w:t>summarizes the Company's share activity for the three</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years ended December 31, 2002: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53"/>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Common Stock</w:t>
            </w:r>
          </w:p>
        </w:tc>
        <w:tc>
          <w:tcPr>
            <w:tcW w:w="1200" w:type="dxa"/>
            <w:vAlign w:val="bottom"/>
          </w:tcPr>
          <w:p>
            <w:pPr>
              <w:spacing w:after="0"/>
              <w:rPr>
                <w:sz w:val="24"/>
                <w:szCs w:val="2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Series B</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Preferred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Class A</w:t>
            </w: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5"/>
              </w:rPr>
              <w:t>Class A</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Special</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Class B</w:t>
            </w: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54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Balance, January 1, 2000...................</w:t>
            </w:r>
          </w:p>
        </w:tc>
        <w:tc>
          <w:tcPr>
            <w:tcW w:w="260" w:type="dxa"/>
            <w:vAlign w:val="bottom"/>
          </w:tcPr>
          <w:p>
            <w:pPr>
              <w:spacing w:after="0"/>
              <w:rPr>
                <w:sz w:val="24"/>
                <w:szCs w:val="2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569,640</w:t>
            </w:r>
          </w:p>
        </w:tc>
        <w:tc>
          <w:tcPr>
            <w:tcW w:w="3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25,993,380</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716,442,482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41"/>
        </w:trPr>
        <w:tc>
          <w:tcPr>
            <w:tcW w:w="1700" w:type="dxa"/>
            <w:vAlign w:val="bottom"/>
            <w:gridSpan w:val="3"/>
          </w:tcPr>
          <w:p>
            <w:pPr>
              <w:ind w:left="100"/>
              <w:spacing w:after="0"/>
              <w:rPr>
                <w:sz w:val="20"/>
                <w:szCs w:val="20"/>
                <w:color w:val="auto"/>
              </w:rPr>
            </w:pPr>
            <w:r>
              <w:rPr>
                <w:rFonts w:ascii="Courier New" w:cs="Courier New" w:eastAsia="Courier New" w:hAnsi="Courier New"/>
                <w:sz w:val="8"/>
                <w:szCs w:val="8"/>
                <w:color w:val="auto"/>
                <w:w w:val="76"/>
              </w:rPr>
              <w:t>Acquisitions...............................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155,702,851</w:t>
            </w:r>
          </w:p>
        </w:tc>
        <w:tc>
          <w:tcPr>
            <w:tcW w:w="1200" w:type="dxa"/>
            <w:vAlign w:val="bottom"/>
          </w:tcPr>
          <w:p>
            <w:pPr>
              <w:spacing w:after="0"/>
              <w:rPr>
                <w:sz w:val="24"/>
                <w:szCs w:val="2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Stock compensation plans...................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2,599,151</w:t>
            </w:r>
          </w:p>
        </w:tc>
        <w:tc>
          <w:tcPr>
            <w:tcW w:w="1200" w:type="dxa"/>
            <w:vAlign w:val="bottom"/>
          </w:tcPr>
          <w:p>
            <w:pPr>
              <w:spacing w:after="0"/>
              <w:rPr>
                <w:sz w:val="14"/>
                <w:szCs w:val="14"/>
                <w:color w:val="auto"/>
              </w:rPr>
            </w:pPr>
          </w:p>
        </w:tc>
      </w:tr>
      <w:tr>
        <w:trPr>
          <w:trHeight w:val="17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Retirement of common stock</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(3,106,500)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(6,006,800)</w:t>
            </w:r>
          </w:p>
        </w:tc>
        <w:tc>
          <w:tcPr>
            <w:tcW w:w="1200" w:type="dxa"/>
            <w:vAlign w:val="bottom"/>
          </w:tcPr>
          <w:p>
            <w:pPr>
              <w:spacing w:after="0"/>
              <w:rPr>
                <w:sz w:val="14"/>
                <w:szCs w:val="1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Conversion of Series B Preferred...........</w:t>
            </w:r>
          </w:p>
        </w:tc>
        <w:tc>
          <w:tcPr>
            <w:tcW w:w="2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(533,685)</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38,278,558</w:t>
            </w:r>
          </w:p>
        </w:tc>
        <w:tc>
          <w:tcPr>
            <w:tcW w:w="1200" w:type="dxa"/>
            <w:vAlign w:val="bottom"/>
          </w:tcPr>
          <w:p>
            <w:pPr>
              <w:spacing w:after="0"/>
              <w:rPr>
                <w:sz w:val="14"/>
                <w:szCs w:val="1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Series B preferred dividends...............</w:t>
            </w:r>
          </w:p>
        </w:tc>
        <w:tc>
          <w:tcPr>
            <w:tcW w:w="26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23,495</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Share exchange</w:t>
            </w:r>
          </w:p>
        </w:tc>
        <w:tc>
          <w:tcPr>
            <w:tcW w:w="620" w:type="dxa"/>
            <w:vAlign w:val="bottom"/>
            <w:gridSpan w:val="2"/>
          </w:tcPr>
          <w:p>
            <w:pPr>
              <w:jc w:val="center"/>
              <w:spacing w:after="0"/>
              <w:rPr>
                <w:sz w:val="20"/>
                <w:szCs w:val="20"/>
                <w:color w:val="auto"/>
              </w:rPr>
            </w:pPr>
            <w:r>
              <w:rPr>
                <w:rFonts w:ascii="Courier New" w:cs="Courier New" w:eastAsia="Courier New" w:hAnsi="Courier New"/>
                <w:sz w:val="5"/>
                <w:szCs w:val="5"/>
                <w:color w:val="auto"/>
                <w:w w:val="71"/>
              </w:rPr>
              <w:t>.............................</w:t>
            </w: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(1,054,300)</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998,950</w:t>
            </w: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54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Balance, December 31, 2000</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24"/>
                <w:szCs w:val="2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59,450</w:t>
            </w:r>
          </w:p>
        </w:tc>
        <w:tc>
          <w:tcPr>
            <w:tcW w:w="3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21,832,250</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908,015,192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4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Stock compensation plans...................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(2,828)</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2,515,538</w:t>
            </w:r>
          </w:p>
        </w:tc>
        <w:tc>
          <w:tcPr>
            <w:tcW w:w="1200" w:type="dxa"/>
            <w:vAlign w:val="bottom"/>
          </w:tcPr>
          <w:p>
            <w:pPr>
              <w:spacing w:after="0"/>
              <w:rPr>
                <w:sz w:val="24"/>
                <w:szCs w:val="24"/>
                <w:color w:val="auto"/>
              </w:rPr>
            </w:pPr>
          </w:p>
        </w:tc>
      </w:tr>
      <w:tr>
        <w:trPr>
          <w:trHeight w:val="17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Retirement of common stock</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(808,000)</w:t>
            </w:r>
          </w:p>
        </w:tc>
        <w:tc>
          <w:tcPr>
            <w:tcW w:w="1200" w:type="dxa"/>
            <w:vAlign w:val="bottom"/>
          </w:tcPr>
          <w:p>
            <w:pPr>
              <w:spacing w:after="0"/>
              <w:rPr>
                <w:sz w:val="14"/>
                <w:szCs w:val="1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Conversion of Series B Preferred...........</w:t>
            </w:r>
          </w:p>
        </w:tc>
        <w:tc>
          <w:tcPr>
            <w:tcW w:w="26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(59,450)</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4,208,824</w:t>
            </w: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54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Balance, December 31, 2001</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21,829,422</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913,931,554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41"/>
        </w:trPr>
        <w:tc>
          <w:tcPr>
            <w:tcW w:w="1700" w:type="dxa"/>
            <w:vAlign w:val="bottom"/>
            <w:gridSpan w:val="3"/>
          </w:tcPr>
          <w:p>
            <w:pPr>
              <w:ind w:left="100"/>
              <w:spacing w:after="0"/>
              <w:rPr>
                <w:sz w:val="20"/>
                <w:szCs w:val="20"/>
                <w:color w:val="auto"/>
              </w:rPr>
            </w:pPr>
            <w:r>
              <w:rPr>
                <w:rFonts w:ascii="Courier New" w:cs="Courier New" w:eastAsia="Courier New" w:hAnsi="Courier New"/>
                <w:sz w:val="8"/>
                <w:szCs w:val="8"/>
                <w:color w:val="auto"/>
                <w:w w:val="76"/>
              </w:rPr>
              <w:t>Acquisitions...............................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1,577,117,883</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14,376,283</w:t>
            </w:r>
          </w:p>
        </w:tc>
        <w:tc>
          <w:tcPr>
            <w:tcW w:w="1200" w:type="dxa"/>
            <w:vAlign w:val="bottom"/>
          </w:tcPr>
          <w:p>
            <w:pPr>
              <w:spacing w:after="0"/>
              <w:rPr>
                <w:sz w:val="24"/>
                <w:szCs w:val="2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Shares classified as treasury stock........</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(243,640,500)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(47,289,843)</w:t>
            </w:r>
          </w:p>
        </w:tc>
        <w:tc>
          <w:tcPr>
            <w:tcW w:w="1200" w:type="dxa"/>
            <w:vAlign w:val="bottom"/>
          </w:tcPr>
          <w:p>
            <w:pPr>
              <w:spacing w:after="0"/>
              <w:rPr>
                <w:sz w:val="14"/>
                <w:szCs w:val="1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Stock compensation plans...................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66,843</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1,861,961</w:t>
            </w:r>
          </w:p>
        </w:tc>
        <w:tc>
          <w:tcPr>
            <w:tcW w:w="1200" w:type="dxa"/>
            <w:vAlign w:val="bottom"/>
          </w:tcPr>
          <w:p>
            <w:pPr>
              <w:spacing w:after="0"/>
              <w:rPr>
                <w:sz w:val="14"/>
                <w:szCs w:val="14"/>
                <w:color w:val="auto"/>
              </w:rPr>
            </w:pPr>
          </w:p>
        </w:tc>
      </w:tr>
      <w:tr>
        <w:trPr>
          <w:trHeight w:val="171"/>
        </w:trPr>
        <w:tc>
          <w:tcPr>
            <w:tcW w:w="392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Employee Stock Purchase Plan...............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463,635</w:t>
            </w: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54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Balance, December 31, 2002</w:t>
            </w:r>
          </w:p>
        </w:tc>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1,355,373,648</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883,343,590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171"/>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920" w:type="dxa"/>
            <w:vAlign w:val="bottom"/>
            <w:gridSpan w:val="6"/>
          </w:tcPr>
          <w:p>
            <w:pPr>
              <w:spacing w:after="0"/>
              <w:rPr>
                <w:sz w:val="20"/>
                <w:szCs w:val="20"/>
                <w:color w:val="auto"/>
              </w:rPr>
            </w:pPr>
            <w:r>
              <w:rPr>
                <w:rFonts w:ascii="Courier New" w:cs="Courier New" w:eastAsia="Courier New" w:hAnsi="Courier New"/>
                <w:sz w:val="15"/>
                <w:szCs w:val="15"/>
                <w:color w:val="auto"/>
              </w:rPr>
              <w:t>Stock-Based Compensation Plans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As of 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2002,</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Company and its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subsidiaries</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have  several</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stock-based</w:t>
            </w:r>
          </w:p>
        </w:tc>
        <w:tc>
          <w:tcPr>
            <w:tcW w:w="3900" w:type="dxa"/>
            <w:vAlign w:val="bottom"/>
            <w:gridSpan w:val="7"/>
          </w:tcPr>
          <w:p>
            <w:pPr>
              <w:jc w:val="right"/>
              <w:ind w:right="6"/>
              <w:spacing w:after="0"/>
              <w:rPr>
                <w:sz w:val="20"/>
                <w:szCs w:val="20"/>
                <w:color w:val="auto"/>
              </w:rPr>
            </w:pPr>
            <w:r>
              <w:rPr>
                <w:rFonts w:ascii="Courier New" w:cs="Courier New" w:eastAsia="Courier New" w:hAnsi="Courier New"/>
                <w:sz w:val="15"/>
                <w:szCs w:val="15"/>
                <w:color w:val="auto"/>
              </w:rPr>
              <w:t>compensation plans for certain employees,</w:t>
            </w: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officers,</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directors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and other persons</w:t>
            </w: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designated by the applicable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committees of</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920" w:type="dxa"/>
            <w:vAlign w:val="bottom"/>
            <w:gridSpan w:val="11"/>
          </w:tcPr>
          <w:p>
            <w:pPr>
              <w:spacing w:after="0"/>
              <w:rPr>
                <w:sz w:val="20"/>
                <w:szCs w:val="20"/>
                <w:color w:val="auto"/>
              </w:rPr>
            </w:pPr>
            <w:r>
              <w:rPr>
                <w:rFonts w:ascii="Courier New" w:cs="Courier New" w:eastAsia="Courier New" w:hAnsi="Courier New"/>
                <w:sz w:val="15"/>
                <w:szCs w:val="15"/>
                <w:color w:val="auto"/>
              </w:rPr>
              <w:t>the boards of directors of the Company and its subsidiaries. These plans are</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described below.</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ind w:left="540"/>
              <w:spacing w:after="0"/>
              <w:rPr>
                <w:sz w:val="20"/>
                <w:szCs w:val="20"/>
                <w:color w:val="auto"/>
              </w:rPr>
            </w:pPr>
            <w:r>
              <w:rPr>
                <w:rFonts w:ascii="Courier New" w:cs="Courier New" w:eastAsia="Courier New" w:hAnsi="Courier New"/>
                <w:sz w:val="15"/>
                <w:szCs w:val="15"/>
                <w:color w:val="auto"/>
              </w:rPr>
              <w:t>- 72 -</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340" w:right="3119"/>
        <w:spacing w:after="0"/>
        <w:rPr>
          <w:sz w:val="20"/>
          <w:szCs w:val="20"/>
          <w:color w:val="auto"/>
        </w:rPr>
      </w:pPr>
      <w:r>
        <w:rPr>
          <w:rFonts w:ascii="Courier New" w:cs="Courier New" w:eastAsia="Courier New" w:hAnsi="Courier New"/>
          <w:sz w:val="15"/>
          <w:szCs w:val="15"/>
          <w:color w:val="auto"/>
        </w:rPr>
        <w:t>Comcast Option Plans. The Company maintains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138.9 million shares of Class A and Class A Special common stock were reserved for issuance upon the exercise of options, including those outstanding as of December 31, 2002. Option terms are generally from five to 10 1/2 years, with options generally becoming exercisable between two and 9 1/2 years from the date of grant.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w w:val="98"/>
              </w:rPr>
              <w:t>The  following  table  summarizes</w:t>
            </w:r>
          </w:p>
        </w:tc>
        <w:tc>
          <w:tcPr>
            <w:tcW w:w="4220" w:type="dxa"/>
            <w:vAlign w:val="bottom"/>
            <w:gridSpan w:val="4"/>
          </w:tcPr>
          <w:p>
            <w:pPr>
              <w:jc w:val="right"/>
              <w:ind w:right="326"/>
              <w:spacing w:after="0"/>
              <w:rPr>
                <w:sz w:val="20"/>
                <w:szCs w:val="20"/>
                <w:color w:val="auto"/>
              </w:rPr>
            </w:pPr>
            <w:r>
              <w:rPr>
                <w:rFonts w:ascii="Courier New" w:cs="Courier New" w:eastAsia="Courier New" w:hAnsi="Courier New"/>
                <w:sz w:val="15"/>
                <w:szCs w:val="15"/>
                <w:color w:val="auto"/>
              </w:rPr>
              <w:t>the activity of the Comcast  Option Plans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in thousands):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3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spacing w:after="0"/>
              <w:rPr>
                <w:sz w:val="24"/>
                <w:szCs w:val="24"/>
                <w:color w:val="auto"/>
              </w:rPr>
            </w:pPr>
          </w:p>
        </w:tc>
        <w:tc>
          <w:tcPr>
            <w:tcW w:w="21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7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Weighted-</w:t>
            </w:r>
          </w:p>
        </w:tc>
        <w:tc>
          <w:tcPr>
            <w:tcW w:w="1340" w:type="dxa"/>
            <w:vAlign w:val="bottom"/>
          </w:tcPr>
          <w:p>
            <w:pPr>
              <w:spacing w:after="0"/>
              <w:rPr>
                <w:sz w:val="14"/>
                <w:szCs w:val="14"/>
                <w:color w:val="auto"/>
              </w:rPr>
            </w:pPr>
          </w:p>
        </w:tc>
        <w:tc>
          <w:tcPr>
            <w:tcW w:w="11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Weighted-</w:t>
            </w:r>
          </w:p>
        </w:tc>
        <w:tc>
          <w:tcPr>
            <w:tcW w:w="1100" w:type="dxa"/>
            <w:vAlign w:val="bottom"/>
          </w:tcPr>
          <w:p>
            <w:pPr>
              <w:spacing w:after="0"/>
              <w:rPr>
                <w:sz w:val="14"/>
                <w:szCs w:val="14"/>
                <w:color w:val="auto"/>
              </w:rPr>
            </w:pPr>
          </w:p>
        </w:tc>
        <w:tc>
          <w:tcPr>
            <w:tcW w:w="10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Weighted-</w:t>
            </w:r>
          </w:p>
        </w:tc>
      </w:tr>
      <w:tr>
        <w:trPr>
          <w:trHeight w:val="171"/>
        </w:trPr>
        <w:tc>
          <w:tcPr>
            <w:tcW w:w="3280" w:type="dxa"/>
            <w:vAlign w:val="bottom"/>
          </w:tcPr>
          <w:p>
            <w:pPr>
              <w:spacing w:after="0"/>
              <w:rPr>
                <w:sz w:val="14"/>
                <w:szCs w:val="14"/>
                <w:color w:val="auto"/>
              </w:rPr>
            </w:pPr>
          </w:p>
        </w:tc>
        <w:tc>
          <w:tcPr>
            <w:tcW w:w="1760" w:type="dxa"/>
            <w:vAlign w:val="bottom"/>
            <w:gridSpan w:val="2"/>
          </w:tcPr>
          <w:p>
            <w:pPr>
              <w:jc w:val="center"/>
              <w:ind w:left="386"/>
              <w:spacing w:after="0"/>
              <w:rPr>
                <w:sz w:val="20"/>
                <w:szCs w:val="20"/>
                <w:color w:val="auto"/>
              </w:rPr>
            </w:pPr>
            <w:r>
              <w:rPr>
                <w:rFonts w:ascii="Courier New" w:cs="Courier New" w:eastAsia="Courier New" w:hAnsi="Courier New"/>
                <w:sz w:val="15"/>
                <w:szCs w:val="15"/>
                <w:color w:val="auto"/>
                <w:w w:val="98"/>
              </w:rPr>
              <w:t>Average</w:t>
            </w:r>
          </w:p>
        </w:tc>
        <w:tc>
          <w:tcPr>
            <w:tcW w:w="1340" w:type="dxa"/>
            <w:vAlign w:val="bottom"/>
          </w:tcPr>
          <w:p>
            <w:pPr>
              <w:spacing w:after="0"/>
              <w:rPr>
                <w:sz w:val="14"/>
                <w:szCs w:val="14"/>
                <w:color w:val="auto"/>
              </w:rPr>
            </w:pP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10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3280" w:type="dxa"/>
            <w:vAlign w:val="bottom"/>
          </w:tcPr>
          <w:p>
            <w:pPr>
              <w:spacing w:after="0"/>
              <w:rPr>
                <w:sz w:val="14"/>
                <w:szCs w:val="14"/>
                <w:color w:val="auto"/>
              </w:rPr>
            </w:pPr>
          </w:p>
        </w:tc>
        <w:tc>
          <w:tcPr>
            <w:tcW w:w="17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4160" w:type="dxa"/>
            <w:vAlign w:val="bottom"/>
            <w:gridSpan w:val="2"/>
          </w:tcPr>
          <w:p>
            <w:pPr>
              <w:ind w:left="3180"/>
              <w:spacing w:after="0"/>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7"/>
              </w:rPr>
              <w:t>Price</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Price</w:t>
            </w:r>
          </w:p>
        </w:tc>
      </w:tr>
      <w:tr>
        <w:trPr>
          <w:trHeight w:val="171"/>
        </w:trPr>
        <w:tc>
          <w:tcPr>
            <w:tcW w:w="5040" w:type="dxa"/>
            <w:vAlign w:val="bottom"/>
            <w:gridSpan w:val="3"/>
          </w:tcPr>
          <w:p>
            <w:pPr>
              <w:ind w:left="3180"/>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exchanged for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outstanding Broadband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options in connection with</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61,094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$44.17</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2,762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24.85</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17.79</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55.19</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63,575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43.31</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58,135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44.91</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55,521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49,618</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$23.69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40,416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13,857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32.29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10,084</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37.52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39.43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(2,347)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8.83</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(4,805)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(2,141)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30.38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(821)</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30.69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25.98</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64,890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28.57</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55,521</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26.89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49,618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23.69</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22,798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21.08</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16,892</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15.57</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13,267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11.35</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853"/>
        </w:trPr>
        <w:tc>
          <w:tcPr>
            <w:tcW w:w="3280" w:type="dxa"/>
            <w:vAlign w:val="bottom"/>
          </w:tcPr>
          <w:p>
            <w:pPr>
              <w:spacing w:after="0"/>
              <w:rPr>
                <w:sz w:val="24"/>
                <w:szCs w:val="2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- 73 -</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The following  table  summarizes</w:t>
            </w:r>
          </w:p>
        </w:tc>
        <w:tc>
          <w:tcPr>
            <w:tcW w:w="43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information  about the options  outstanding</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under  the  Comcast  Option  Plans  as  of  December  31,  2002  (options  in</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53"/>
        </w:trPr>
        <w:tc>
          <w:tcPr>
            <w:tcW w:w="2920" w:type="dxa"/>
            <w:vAlign w:val="bottom"/>
          </w:tcPr>
          <w:p>
            <w:pPr>
              <w:spacing w:after="0"/>
              <w:rPr>
                <w:sz w:val="24"/>
                <w:szCs w:val="24"/>
                <w:color w:val="auto"/>
              </w:rPr>
            </w:pPr>
          </w:p>
        </w:tc>
        <w:tc>
          <w:tcPr>
            <w:tcW w:w="3240" w:type="dxa"/>
            <w:vAlign w:val="bottom"/>
            <w:gridSpan w:val="3"/>
          </w:tcPr>
          <w:p>
            <w:pPr>
              <w:ind w:left="1520"/>
              <w:spacing w:after="0"/>
              <w:rPr>
                <w:sz w:val="20"/>
                <w:szCs w:val="20"/>
                <w:color w:val="auto"/>
              </w:rPr>
            </w:pPr>
            <w:r>
              <w:rPr>
                <w:rFonts w:ascii="Courier New" w:cs="Courier New" w:eastAsia="Courier New" w:hAnsi="Courier New"/>
                <w:sz w:val="15"/>
                <w:szCs w:val="15"/>
                <w:color w:val="auto"/>
                <w:w w:val="99"/>
              </w:rPr>
              <w:t>Options Outstanding</w:t>
            </w:r>
          </w:p>
        </w:tc>
        <w:tc>
          <w:tcPr>
            <w:tcW w:w="1120" w:type="dxa"/>
            <w:vAlign w:val="bottom"/>
          </w:tcPr>
          <w:p>
            <w:pPr>
              <w:spacing w:after="0"/>
              <w:rPr>
                <w:sz w:val="24"/>
                <w:szCs w:val="24"/>
                <w:color w:val="auto"/>
              </w:rPr>
            </w:pPr>
          </w:p>
        </w:tc>
        <w:tc>
          <w:tcPr>
            <w:tcW w:w="23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2920" w:type="dxa"/>
            <w:vAlign w:val="bottom"/>
          </w:tcPr>
          <w:p>
            <w:pPr>
              <w:spacing w:after="0"/>
              <w:rPr>
                <w:sz w:val="14"/>
                <w:szCs w:val="14"/>
                <w:color w:val="auto"/>
              </w:rPr>
            </w:pPr>
          </w:p>
        </w:tc>
        <w:tc>
          <w:tcPr>
            <w:tcW w:w="43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Remaining</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Average</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Outstanding</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Contractual</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Exercisable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Prices</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 12/31/02</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w w:val="94"/>
              </w:rPr>
              <w:t>Life</w:t>
            </w:r>
          </w:p>
        </w:tc>
        <w:tc>
          <w:tcPr>
            <w:tcW w:w="66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at 12/31/02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24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Class A Common Stock</w:t>
            </w: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$3.89 - $15.21</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2,291</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2,291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$16.11 - $27.74</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10,377</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8.1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24.98</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4,975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23.69</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$27.76 - $33.73</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13,574</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6.9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32.36</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13,549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32.36</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$33.74 - $45.07</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13,852</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13,839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38.37</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$45.08 - $60.89</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13,967</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54.64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13,967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54.64</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$60.90 - $89.85</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9,514</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5.5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77.59</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9,514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77.59</w:t>
            </w: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63,575</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58,135</w:t>
            </w: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Class A Special Common Stock</w:t>
            </w: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$6.00 - $15.66</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10,963</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2.9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8,751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$16.94 - $25.58</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13,431</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6.5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18.39</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6,367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17.03</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$27.04 - $35.49</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16,968</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8.1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34.13</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3,241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32.15</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$35.53 - $45.94</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22,042</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7.8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38.26</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3,810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39.13</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$46.00 - $53.13</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1,486</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6.9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50.53</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50.40</w:t>
            </w: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64,890</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22,798</w:t>
            </w:r>
          </w:p>
        </w:tc>
        <w:tc>
          <w:tcPr>
            <w:tcW w:w="1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853"/>
        </w:trPr>
        <w:tc>
          <w:tcPr>
            <w:tcW w:w="2920" w:type="dxa"/>
            <w:vAlign w:val="bottom"/>
          </w:tcPr>
          <w:p>
            <w:pPr>
              <w:spacing w:after="0"/>
              <w:rPr>
                <w:sz w:val="24"/>
                <w:szCs w:val="24"/>
                <w:color w:val="auto"/>
              </w:rPr>
            </w:pP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rPr>
              <w:t>- 74 -</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Subsidiary</w:t>
            </w:r>
          </w:p>
        </w:tc>
        <w:tc>
          <w:tcPr>
            <w:tcW w:w="13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Option Plans.</w:t>
            </w:r>
          </w:p>
        </w:tc>
        <w:tc>
          <w:tcPr>
            <w:tcW w:w="22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Certain of the Company's</w:t>
            </w:r>
          </w:p>
        </w:tc>
        <w:tc>
          <w:tcPr>
            <w:tcW w:w="180" w:type="dxa"/>
            <w:vAlign w:val="bottom"/>
          </w:tcPr>
          <w:p>
            <w:pPr>
              <w:spacing w:after="0"/>
              <w:rPr>
                <w:sz w:val="14"/>
                <w:szCs w:val="14"/>
                <w:color w:val="auto"/>
              </w:rPr>
            </w:pPr>
          </w:p>
        </w:tc>
        <w:tc>
          <w:tcPr>
            <w:tcW w:w="1160" w:type="dxa"/>
            <w:vAlign w:val="bottom"/>
            <w:gridSpan w:val="4"/>
          </w:tcPr>
          <w:p>
            <w:pPr>
              <w:jc w:val="center"/>
              <w:ind w:right="26"/>
              <w:spacing w:after="0"/>
              <w:rPr>
                <w:sz w:val="20"/>
                <w:szCs w:val="20"/>
                <w:color w:val="auto"/>
              </w:rPr>
            </w:pPr>
            <w:r>
              <w:rPr>
                <w:rFonts w:ascii="Courier New" w:cs="Courier New" w:eastAsia="Courier New" w:hAnsi="Courier New"/>
                <w:sz w:val="15"/>
                <w:szCs w:val="15"/>
                <w:color w:val="auto"/>
                <w:w w:val="98"/>
              </w:rPr>
              <w:t>subsidiaries</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rPr>
              <w:t>maintain</w:t>
            </w:r>
          </w:p>
        </w:tc>
        <w:tc>
          <w:tcPr>
            <w:tcW w:w="1120" w:type="dxa"/>
            <w:vAlign w:val="bottom"/>
          </w:tcPr>
          <w:p>
            <w:pPr>
              <w:spacing w:after="0"/>
              <w:rPr>
                <w:sz w:val="14"/>
                <w:szCs w:val="14"/>
                <w:color w:val="auto"/>
              </w:rPr>
            </w:pPr>
          </w:p>
        </w:tc>
      </w:tr>
      <w:tr>
        <w:trPr>
          <w:trHeight w:val="171"/>
        </w:trPr>
        <w:tc>
          <w:tcPr>
            <w:tcW w:w="16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combination</w:t>
            </w: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option/stock</w:t>
            </w:r>
          </w:p>
        </w:tc>
        <w:tc>
          <w:tcPr>
            <w:tcW w:w="16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appreciation</w:t>
            </w:r>
          </w:p>
        </w:tc>
        <w:tc>
          <w:tcPr>
            <w:tcW w:w="7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rights</w:t>
            </w:r>
          </w:p>
        </w:tc>
        <w:tc>
          <w:tcPr>
            <w:tcW w:w="9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("SAR")</w:t>
            </w:r>
          </w:p>
        </w:tc>
        <w:tc>
          <w:tcPr>
            <w:tcW w:w="1640" w:type="dxa"/>
            <w:vAlign w:val="bottom"/>
          </w:tcPr>
          <w:p>
            <w:pPr>
              <w:jc w:val="right"/>
              <w:ind w:right="1106"/>
              <w:spacing w:after="0"/>
              <w:rPr>
                <w:sz w:val="20"/>
                <w:szCs w:val="20"/>
                <w:color w:val="auto"/>
              </w:rPr>
            </w:pPr>
            <w:r>
              <w:rPr>
                <w:rFonts w:ascii="Courier New" w:cs="Courier New" w:eastAsia="Courier New" w:hAnsi="Courier New"/>
                <w:sz w:val="15"/>
                <w:szCs w:val="15"/>
                <w:color w:val="auto"/>
                <w:w w:val="97"/>
              </w:rPr>
              <w:t>plans</w:t>
            </w:r>
          </w:p>
        </w:tc>
        <w:tc>
          <w:tcPr>
            <w:tcW w:w="1120" w:type="dxa"/>
            <w:vAlign w:val="bottom"/>
          </w:tcPr>
          <w:p>
            <w:pPr>
              <w:spacing w:after="0"/>
              <w:rPr>
                <w:sz w:val="14"/>
                <w:szCs w:val="14"/>
                <w:color w:val="auto"/>
              </w:rPr>
            </w:pPr>
          </w:p>
        </w:tc>
      </w:tr>
      <w:tr>
        <w:trPr>
          <w:trHeight w:val="171"/>
        </w:trPr>
        <w:tc>
          <w:tcPr>
            <w:tcW w:w="168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6"/>
              </w:rPr>
              <w:t>(collectively,</w:t>
            </w:r>
          </w:p>
        </w:tc>
        <w:tc>
          <w:tcPr>
            <w:tcW w:w="3280" w:type="dxa"/>
            <w:vAlign w:val="bottom"/>
            <w:gridSpan w:val="10"/>
          </w:tcPr>
          <w:p>
            <w:pPr>
              <w:jc w:val="right"/>
              <w:ind w:right="6"/>
              <w:spacing w:after="0"/>
              <w:rPr>
                <w:sz w:val="20"/>
                <w:szCs w:val="20"/>
                <w:color w:val="auto"/>
              </w:rPr>
            </w:pPr>
            <w:r>
              <w:rPr>
                <w:rFonts w:ascii="Courier New" w:cs="Courier New" w:eastAsia="Courier New" w:hAnsi="Courier New"/>
                <w:sz w:val="15"/>
                <w:szCs w:val="15"/>
                <w:color w:val="auto"/>
              </w:rPr>
              <w:t>the "Tandem Plans") for employees,</w:t>
            </w:r>
          </w:p>
        </w:tc>
        <w:tc>
          <w:tcPr>
            <w:tcW w:w="3320" w:type="dxa"/>
            <w:vAlign w:val="bottom"/>
            <w:gridSpan w:val="7"/>
          </w:tcPr>
          <w:p>
            <w:pPr>
              <w:jc w:val="right"/>
              <w:ind w:right="1106"/>
              <w:spacing w:after="0"/>
              <w:rPr>
                <w:sz w:val="20"/>
                <w:szCs w:val="20"/>
                <w:color w:val="auto"/>
              </w:rPr>
            </w:pPr>
            <w:r>
              <w:rPr>
                <w:rFonts w:ascii="Courier New" w:cs="Courier New" w:eastAsia="Courier New" w:hAnsi="Courier New"/>
                <w:sz w:val="15"/>
                <w:szCs w:val="15"/>
                <w:color w:val="auto"/>
              </w:rPr>
              <w:t>officers, directors and</w:t>
            </w:r>
          </w:p>
        </w:tc>
        <w:tc>
          <w:tcPr>
            <w:tcW w:w="1120" w:type="dxa"/>
            <w:vAlign w:val="bottom"/>
          </w:tcPr>
          <w:p>
            <w:pPr>
              <w:spacing w:after="0"/>
              <w:rPr>
                <w:sz w:val="14"/>
                <w:szCs w:val="14"/>
                <w:color w:val="auto"/>
              </w:rPr>
            </w:pPr>
          </w:p>
        </w:tc>
      </w:tr>
      <w:tr>
        <w:trPr>
          <w:trHeight w:val="17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designated</w:t>
            </w:r>
          </w:p>
        </w:tc>
        <w:tc>
          <w:tcPr>
            <w:tcW w:w="9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persons.</w:t>
            </w:r>
          </w:p>
        </w:tc>
        <w:tc>
          <w:tcPr>
            <w:tcW w:w="16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Under the Tandem</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Plans,</w:t>
            </w:r>
          </w:p>
        </w:tc>
        <w:tc>
          <w:tcPr>
            <w:tcW w:w="180" w:type="dxa"/>
            <w:vAlign w:val="bottom"/>
          </w:tcPr>
          <w:p>
            <w:pPr>
              <w:spacing w:after="0"/>
              <w:rPr>
                <w:sz w:val="14"/>
                <w:szCs w:val="14"/>
                <w:color w:val="auto"/>
              </w:rPr>
            </w:pPr>
          </w:p>
        </w:tc>
        <w:tc>
          <w:tcPr>
            <w:tcW w:w="9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5"/>
              </w:rPr>
              <w:t>the option</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rPr>
              <w:t>price is</w:t>
            </w:r>
          </w:p>
        </w:tc>
        <w:tc>
          <w:tcPr>
            <w:tcW w:w="1120" w:type="dxa"/>
            <w:vAlign w:val="bottom"/>
          </w:tcPr>
          <w:p>
            <w:pPr>
              <w:spacing w:after="0"/>
              <w:rPr>
                <w:sz w:val="14"/>
                <w:szCs w:val="14"/>
                <w:color w:val="auto"/>
              </w:rPr>
            </w:pPr>
          </w:p>
        </w:tc>
      </w:tr>
      <w:tr>
        <w:trPr>
          <w:trHeight w:val="171"/>
        </w:trPr>
        <w:tc>
          <w:tcPr>
            <w:tcW w:w="3900" w:type="dxa"/>
            <w:vAlign w:val="bottom"/>
            <w:gridSpan w:val="10"/>
          </w:tcPr>
          <w:p>
            <w:pPr>
              <w:ind w:left="440"/>
              <w:spacing w:after="0"/>
              <w:rPr>
                <w:sz w:val="20"/>
                <w:szCs w:val="20"/>
                <w:color w:val="auto"/>
              </w:rPr>
            </w:pPr>
            <w:r>
              <w:rPr>
                <w:rFonts w:ascii="Courier New" w:cs="Courier New" w:eastAsia="Courier New" w:hAnsi="Courier New"/>
                <w:sz w:val="15"/>
                <w:szCs w:val="15"/>
                <w:color w:val="auto"/>
                <w:w w:val="97"/>
              </w:rPr>
              <w:t>generally not less than the fair value,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as</w:t>
            </w:r>
          </w:p>
        </w:tc>
        <w:tc>
          <w:tcPr>
            <w:tcW w:w="106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determined</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 an</w:t>
            </w:r>
          </w:p>
        </w:tc>
        <w:tc>
          <w:tcPr>
            <w:tcW w:w="2260" w:type="dxa"/>
            <w:vAlign w:val="bottom"/>
            <w:gridSpan w:val="3"/>
          </w:tcPr>
          <w:p>
            <w:pPr>
              <w:jc w:val="right"/>
              <w:ind w:right="1106"/>
              <w:spacing w:after="0"/>
              <w:rPr>
                <w:sz w:val="20"/>
                <w:szCs w:val="20"/>
                <w:color w:val="auto"/>
              </w:rPr>
            </w:pPr>
            <w:r>
              <w:rPr>
                <w:rFonts w:ascii="Courier New" w:cs="Courier New" w:eastAsia="Courier New" w:hAnsi="Courier New"/>
                <w:sz w:val="15"/>
                <w:szCs w:val="15"/>
                <w:color w:val="auto"/>
              </w:rPr>
              <w:t>independent</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appraisal,</w:t>
            </w:r>
          </w:p>
        </w:tc>
        <w:tc>
          <w:tcPr>
            <w:tcW w:w="6860" w:type="dxa"/>
            <w:vAlign w:val="bottom"/>
            <w:gridSpan w:val="18"/>
          </w:tcPr>
          <w:p>
            <w:pPr>
              <w:ind w:left="80"/>
              <w:spacing w:after="0"/>
              <w:rPr>
                <w:sz w:val="20"/>
                <w:szCs w:val="20"/>
                <w:color w:val="auto"/>
              </w:rPr>
            </w:pPr>
            <w:r>
              <w:rPr>
                <w:rFonts w:ascii="Courier New" w:cs="Courier New" w:eastAsia="Courier New" w:hAnsi="Courier New"/>
                <w:sz w:val="15"/>
                <w:szCs w:val="15"/>
                <w:color w:val="auto"/>
              </w:rPr>
              <w:t>of a share of the underlying common stock at the date of grant.</w:t>
            </w:r>
          </w:p>
        </w:tc>
        <w:tc>
          <w:tcPr>
            <w:tcW w:w="1120" w:type="dxa"/>
            <w:vAlign w:val="bottom"/>
          </w:tcPr>
          <w:p>
            <w:pPr>
              <w:spacing w:after="0"/>
              <w:rPr>
                <w:sz w:val="14"/>
                <w:szCs w:val="14"/>
                <w:color w:val="auto"/>
              </w:rPr>
            </w:pPr>
          </w:p>
        </w:tc>
      </w:tr>
      <w:tr>
        <w:trPr>
          <w:trHeight w:val="171"/>
        </w:trPr>
        <w:tc>
          <w:tcPr>
            <w:tcW w:w="8280" w:type="dxa"/>
            <w:vAlign w:val="bottom"/>
            <w:gridSpan w:val="20"/>
          </w:tcPr>
          <w:p>
            <w:pPr>
              <w:ind w:left="440"/>
              <w:spacing w:after="0"/>
              <w:rPr>
                <w:sz w:val="20"/>
                <w:szCs w:val="20"/>
                <w:color w:val="auto"/>
              </w:rPr>
            </w:pPr>
            <w:r>
              <w:rPr>
                <w:rFonts w:ascii="Courier New" w:cs="Courier New" w:eastAsia="Courier New" w:hAnsi="Courier New"/>
                <w:sz w:val="15"/>
                <w:szCs w:val="15"/>
                <w:color w:val="auto"/>
              </w:rPr>
              <w:t>If the eligible participant elects the SAR feature of the Tandem Plans, the</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participant</w:t>
            </w:r>
          </w:p>
        </w:tc>
        <w:tc>
          <w:tcPr>
            <w:tcW w:w="6860" w:type="dxa"/>
            <w:vAlign w:val="bottom"/>
            <w:gridSpan w:val="18"/>
          </w:tcPr>
          <w:p>
            <w:pPr>
              <w:ind w:left="160"/>
              <w:spacing w:after="0"/>
              <w:rPr>
                <w:sz w:val="20"/>
                <w:szCs w:val="20"/>
                <w:color w:val="auto"/>
              </w:rPr>
            </w:pPr>
            <w:r>
              <w:rPr>
                <w:rFonts w:ascii="Courier New" w:cs="Courier New" w:eastAsia="Courier New" w:hAnsi="Courier New"/>
                <w:sz w:val="15"/>
                <w:szCs w:val="15"/>
                <w:color w:val="auto"/>
              </w:rPr>
              <w:t>receives 75% of the excess of the fair value of a share of the</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underlying</w:t>
            </w:r>
          </w:p>
        </w:tc>
        <w:tc>
          <w:tcPr>
            <w:tcW w:w="284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common stock over the exercise</w:t>
            </w:r>
          </w:p>
        </w:tc>
        <w:tc>
          <w:tcPr>
            <w:tcW w:w="4020" w:type="dxa"/>
            <w:vAlign w:val="bottom"/>
            <w:gridSpan w:val="9"/>
          </w:tcPr>
          <w:p>
            <w:pPr>
              <w:jc w:val="right"/>
              <w:ind w:right="1106"/>
              <w:spacing w:after="0"/>
              <w:rPr>
                <w:sz w:val="20"/>
                <w:szCs w:val="20"/>
                <w:color w:val="auto"/>
              </w:rPr>
            </w:pPr>
            <w:r>
              <w:rPr>
                <w:rFonts w:ascii="Courier New" w:cs="Courier New" w:eastAsia="Courier New" w:hAnsi="Courier New"/>
                <w:sz w:val="15"/>
                <w:szCs w:val="15"/>
                <w:color w:val="auto"/>
              </w:rPr>
              <w:t>price of the option to which it</w:t>
            </w:r>
          </w:p>
        </w:tc>
        <w:tc>
          <w:tcPr>
            <w:tcW w:w="1120" w:type="dxa"/>
            <w:vAlign w:val="bottom"/>
          </w:tcPr>
          <w:p>
            <w:pPr>
              <w:spacing w:after="0"/>
              <w:rPr>
                <w:sz w:val="14"/>
                <w:szCs w:val="14"/>
                <w:color w:val="auto"/>
              </w:rPr>
            </w:pPr>
          </w:p>
        </w:tc>
      </w:tr>
      <w:tr>
        <w:trPr>
          <w:trHeight w:val="171"/>
        </w:trPr>
        <w:tc>
          <w:tcPr>
            <w:tcW w:w="4960" w:type="dxa"/>
            <w:vAlign w:val="bottom"/>
            <w:gridSpan w:val="13"/>
          </w:tcPr>
          <w:p>
            <w:pPr>
              <w:ind w:left="440"/>
              <w:spacing w:after="0"/>
              <w:rPr>
                <w:sz w:val="20"/>
                <w:szCs w:val="20"/>
                <w:color w:val="auto"/>
              </w:rPr>
            </w:pPr>
            <w:r>
              <w:rPr>
                <w:rFonts w:ascii="Courier New" w:cs="Courier New" w:eastAsia="Courier New" w:hAnsi="Courier New"/>
                <w:sz w:val="15"/>
                <w:szCs w:val="15"/>
                <w:color w:val="auto"/>
                <w:w w:val="98"/>
              </w:rPr>
              <w:t>is  attached  at the  exercise  date.  The  holders</w:t>
            </w:r>
          </w:p>
        </w:tc>
        <w:tc>
          <w:tcPr>
            <w:tcW w:w="180" w:type="dxa"/>
            <w:vAlign w:val="bottom"/>
          </w:tcPr>
          <w:p>
            <w:pPr>
              <w:spacing w:after="0"/>
              <w:rPr>
                <w:sz w:val="14"/>
                <w:szCs w:val="14"/>
                <w:color w:val="auto"/>
              </w:rPr>
            </w:pPr>
          </w:p>
        </w:tc>
        <w:tc>
          <w:tcPr>
            <w:tcW w:w="54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9"/>
              </w:rPr>
              <w:t>of a</w:t>
            </w:r>
          </w:p>
        </w:tc>
        <w:tc>
          <w:tcPr>
            <w:tcW w:w="2600" w:type="dxa"/>
            <w:vAlign w:val="bottom"/>
            <w:gridSpan w:val="4"/>
          </w:tcPr>
          <w:p>
            <w:pPr>
              <w:jc w:val="right"/>
              <w:ind w:right="1106"/>
              <w:spacing w:after="0"/>
              <w:rPr>
                <w:sz w:val="20"/>
                <w:szCs w:val="20"/>
                <w:color w:val="auto"/>
              </w:rPr>
            </w:pPr>
            <w:r>
              <w:rPr>
                <w:rFonts w:ascii="Courier New" w:cs="Courier New" w:eastAsia="Courier New" w:hAnsi="Courier New"/>
                <w:sz w:val="15"/>
                <w:szCs w:val="15"/>
                <w:color w:val="auto"/>
                <w:w w:val="97"/>
              </w:rPr>
              <w:t>majority  of the</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w:t>
            </w:r>
          </w:p>
        </w:tc>
        <w:tc>
          <w:tcPr>
            <w:tcW w:w="7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5"/>
              </w:rPr>
              <w:t>options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have</w:t>
            </w:r>
          </w:p>
        </w:tc>
        <w:tc>
          <w:tcPr>
            <w:tcW w:w="180" w:type="dxa"/>
            <w:vAlign w:val="bottom"/>
          </w:tcPr>
          <w:p>
            <w:pPr>
              <w:spacing w:after="0"/>
              <w:rPr>
                <w:sz w:val="14"/>
                <w:szCs w:val="14"/>
                <w:color w:val="auto"/>
              </w:rPr>
            </w:pPr>
          </w:p>
        </w:tc>
        <w:tc>
          <w:tcPr>
            <w:tcW w:w="9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6"/>
              </w:rPr>
              <w:t>stated an</w:t>
            </w:r>
          </w:p>
        </w:tc>
        <w:tc>
          <w:tcPr>
            <w:tcW w:w="24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intention  not to  exercise</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rPr>
              <w:t>the SAR</w:t>
            </w:r>
          </w:p>
        </w:tc>
        <w:tc>
          <w:tcPr>
            <w:tcW w:w="1120" w:type="dxa"/>
            <w:vAlign w:val="bottom"/>
          </w:tcPr>
          <w:p>
            <w:pPr>
              <w:spacing w:after="0"/>
              <w:rPr>
                <w:sz w:val="14"/>
                <w:szCs w:val="14"/>
                <w:color w:val="auto"/>
              </w:rPr>
            </w:pPr>
          </w:p>
        </w:tc>
      </w:tr>
      <w:tr>
        <w:trPr>
          <w:trHeight w:val="171"/>
        </w:trPr>
        <w:tc>
          <w:tcPr>
            <w:tcW w:w="2920" w:type="dxa"/>
            <w:vAlign w:val="bottom"/>
            <w:gridSpan w:val="7"/>
          </w:tcPr>
          <w:p>
            <w:pPr>
              <w:ind w:left="440"/>
              <w:spacing w:after="0"/>
              <w:rPr>
                <w:sz w:val="20"/>
                <w:szCs w:val="20"/>
                <w:color w:val="auto"/>
              </w:rPr>
            </w:pPr>
            <w:r>
              <w:rPr>
                <w:rFonts w:ascii="Courier New" w:cs="Courier New" w:eastAsia="Courier New" w:hAnsi="Courier New"/>
                <w:sz w:val="15"/>
                <w:szCs w:val="15"/>
                <w:color w:val="auto"/>
                <w:w w:val="97"/>
              </w:rPr>
              <w:t>feature of the Tandem Plans.</w:t>
            </w:r>
          </w:p>
        </w:tc>
        <w:tc>
          <w:tcPr>
            <w:tcW w:w="22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Because the exercise of</w:t>
            </w:r>
          </w:p>
        </w:tc>
        <w:tc>
          <w:tcPr>
            <w:tcW w:w="1160" w:type="dxa"/>
            <w:vAlign w:val="bottom"/>
            <w:gridSpan w:val="4"/>
          </w:tcPr>
          <w:p>
            <w:pPr>
              <w:jc w:val="center"/>
              <w:ind w:right="26"/>
              <w:spacing w:after="0"/>
              <w:rPr>
                <w:sz w:val="20"/>
                <w:szCs w:val="20"/>
                <w:color w:val="auto"/>
              </w:rPr>
            </w:pPr>
            <w:r>
              <w:rPr>
                <w:rFonts w:ascii="Courier New" w:cs="Courier New" w:eastAsia="Courier New" w:hAnsi="Courier New"/>
                <w:sz w:val="15"/>
                <w:szCs w:val="15"/>
                <w:color w:val="auto"/>
                <w:w w:val="99"/>
              </w:rPr>
              <w:t>the option</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w w:val="96"/>
              </w:rPr>
              <w:t>component</w:t>
            </w:r>
          </w:p>
        </w:tc>
        <w:tc>
          <w:tcPr>
            <w:tcW w:w="1120" w:type="dxa"/>
            <w:vAlign w:val="bottom"/>
          </w:tcPr>
          <w:p>
            <w:pPr>
              <w:spacing w:after="0"/>
              <w:rPr>
                <w:sz w:val="14"/>
                <w:szCs w:val="14"/>
                <w:color w:val="auto"/>
              </w:rPr>
            </w:pPr>
          </w:p>
        </w:tc>
      </w:tr>
      <w:tr>
        <w:trPr>
          <w:trHeight w:val="171"/>
        </w:trPr>
        <w:tc>
          <w:tcPr>
            <w:tcW w:w="3900" w:type="dxa"/>
            <w:vAlign w:val="bottom"/>
            <w:gridSpan w:val="10"/>
          </w:tcPr>
          <w:p>
            <w:pPr>
              <w:ind w:left="440"/>
              <w:spacing w:after="0"/>
              <w:rPr>
                <w:sz w:val="20"/>
                <w:szCs w:val="20"/>
                <w:color w:val="auto"/>
              </w:rPr>
            </w:pPr>
            <w:r>
              <w:rPr>
                <w:rFonts w:ascii="Courier New" w:cs="Courier New" w:eastAsia="Courier New" w:hAnsi="Courier New"/>
                <w:sz w:val="15"/>
                <w:szCs w:val="15"/>
                <w:color w:val="auto"/>
                <w:w w:val="97"/>
              </w:rPr>
              <w:t>is more likely than the exercise of the</w:t>
            </w:r>
          </w:p>
        </w:tc>
        <w:tc>
          <w:tcPr>
            <w:tcW w:w="12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SAR feature,</w:t>
            </w:r>
          </w:p>
        </w:tc>
        <w:tc>
          <w:tcPr>
            <w:tcW w:w="1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compensation</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rPr>
              <w:t>expense</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is measured</w:t>
            </w:r>
          </w:p>
        </w:tc>
        <w:tc>
          <w:tcPr>
            <w:tcW w:w="2480" w:type="dxa"/>
            <w:vAlign w:val="bottom"/>
            <w:gridSpan w:val="8"/>
          </w:tcPr>
          <w:p>
            <w:pPr>
              <w:ind w:left="160"/>
              <w:spacing w:after="0"/>
              <w:rPr>
                <w:sz w:val="20"/>
                <w:szCs w:val="20"/>
                <w:color w:val="auto"/>
              </w:rPr>
            </w:pPr>
            <w:r>
              <w:rPr>
                <w:rFonts w:ascii="Courier New" w:cs="Courier New" w:eastAsia="Courier New" w:hAnsi="Courier New"/>
                <w:sz w:val="15"/>
                <w:szCs w:val="15"/>
                <w:color w:val="auto"/>
              </w:rPr>
              <w:t>based on the stock option</w:t>
            </w:r>
          </w:p>
        </w:tc>
        <w:tc>
          <w:tcPr>
            <w:tcW w:w="10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component.</w:t>
            </w:r>
          </w:p>
        </w:tc>
        <w:tc>
          <w:tcPr>
            <w:tcW w:w="3320" w:type="dxa"/>
            <w:vAlign w:val="bottom"/>
            <w:gridSpan w:val="7"/>
          </w:tcPr>
          <w:p>
            <w:pPr>
              <w:jc w:val="right"/>
              <w:ind w:right="1106"/>
              <w:spacing w:after="0"/>
              <w:rPr>
                <w:sz w:val="20"/>
                <w:szCs w:val="20"/>
                <w:color w:val="auto"/>
              </w:rPr>
            </w:pPr>
            <w:r>
              <w:rPr>
                <w:rFonts w:ascii="Courier New" w:cs="Courier New" w:eastAsia="Courier New" w:hAnsi="Courier New"/>
                <w:sz w:val="15"/>
                <w:szCs w:val="15"/>
                <w:color w:val="auto"/>
              </w:rPr>
              <w:t>Under the Tandem Plans,</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option/SAR</w:t>
            </w:r>
          </w:p>
        </w:tc>
        <w:tc>
          <w:tcPr>
            <w:tcW w:w="3900" w:type="dxa"/>
            <w:vAlign w:val="bottom"/>
            <w:gridSpan w:val="13"/>
          </w:tcPr>
          <w:p>
            <w:pPr>
              <w:ind w:left="80"/>
              <w:spacing w:after="0"/>
              <w:rPr>
                <w:sz w:val="20"/>
                <w:szCs w:val="20"/>
                <w:color w:val="auto"/>
              </w:rPr>
            </w:pPr>
            <w:r>
              <w:rPr>
                <w:rFonts w:ascii="Courier New" w:cs="Courier New" w:eastAsia="Courier New" w:hAnsi="Courier New"/>
                <w:sz w:val="15"/>
                <w:szCs w:val="15"/>
                <w:color w:val="auto"/>
                <w:w w:val="98"/>
              </w:rPr>
              <w:t>terms are ten years from the date of grant,</w:t>
            </w:r>
          </w:p>
        </w:tc>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4"/>
              </w:rPr>
              <w:t>with</w:t>
            </w:r>
          </w:p>
        </w:tc>
        <w:tc>
          <w:tcPr>
            <w:tcW w:w="2260" w:type="dxa"/>
            <w:vAlign w:val="bottom"/>
            <w:gridSpan w:val="3"/>
          </w:tcPr>
          <w:p>
            <w:pPr>
              <w:jc w:val="right"/>
              <w:ind w:right="1106"/>
              <w:spacing w:after="0"/>
              <w:rPr>
                <w:sz w:val="20"/>
                <w:szCs w:val="20"/>
                <w:color w:val="auto"/>
              </w:rPr>
            </w:pPr>
            <w:r>
              <w:rPr>
                <w:rFonts w:ascii="Courier New" w:cs="Courier New" w:eastAsia="Courier New" w:hAnsi="Courier New"/>
                <w:sz w:val="15"/>
                <w:szCs w:val="15"/>
                <w:color w:val="auto"/>
                <w:w w:val="98"/>
              </w:rPr>
              <w:t>options/SARs</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generally</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becoming</w:t>
            </w:r>
          </w:p>
        </w:tc>
        <w:tc>
          <w:tcPr>
            <w:tcW w:w="12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over four to five</w:t>
            </w:r>
          </w:p>
        </w:tc>
        <w:tc>
          <w:tcPr>
            <w:tcW w:w="180" w:type="dxa"/>
            <w:vAlign w:val="bottom"/>
          </w:tcPr>
          <w:p>
            <w:pPr>
              <w:spacing w:after="0"/>
              <w:rPr>
                <w:sz w:val="14"/>
                <w:szCs w:val="14"/>
                <w:color w:val="auto"/>
              </w:rPr>
            </w:pPr>
          </w:p>
        </w:tc>
        <w:tc>
          <w:tcPr>
            <w:tcW w:w="3140" w:type="dxa"/>
            <w:vAlign w:val="bottom"/>
            <w:gridSpan w:val="6"/>
          </w:tcPr>
          <w:p>
            <w:pPr>
              <w:jc w:val="right"/>
              <w:ind w:right="1106"/>
              <w:spacing w:after="0"/>
              <w:rPr>
                <w:sz w:val="20"/>
                <w:szCs w:val="20"/>
                <w:color w:val="auto"/>
              </w:rPr>
            </w:pPr>
            <w:r>
              <w:rPr>
                <w:rFonts w:ascii="Courier New" w:cs="Courier New" w:eastAsia="Courier New" w:hAnsi="Courier New"/>
                <w:sz w:val="15"/>
                <w:szCs w:val="15"/>
                <w:color w:val="auto"/>
                <w:w w:val="97"/>
              </w:rPr>
              <w:t>years from the date of</w:t>
            </w:r>
          </w:p>
        </w:tc>
        <w:tc>
          <w:tcPr>
            <w:tcW w:w="1120" w:type="dxa"/>
            <w:vAlign w:val="bottom"/>
          </w:tcPr>
          <w:p>
            <w:pPr>
              <w:spacing w:after="0"/>
              <w:rPr>
                <w:sz w:val="14"/>
                <w:szCs w:val="14"/>
                <w:color w:val="auto"/>
              </w:rPr>
            </w:pPr>
          </w:p>
        </w:tc>
      </w:tr>
      <w:tr>
        <w:trPr>
          <w:trHeight w:val="17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grant.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The QVC</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Tandem</w:t>
            </w:r>
          </w:p>
        </w:tc>
        <w:tc>
          <w:tcPr>
            <w:tcW w:w="15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7"/>
              </w:rPr>
              <w:t>Plan is the most</w:t>
            </w:r>
          </w:p>
        </w:tc>
        <w:tc>
          <w:tcPr>
            <w:tcW w:w="11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significant</w:t>
            </w:r>
          </w:p>
        </w:tc>
        <w:tc>
          <w:tcPr>
            <w:tcW w:w="7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of the</w:t>
            </w:r>
          </w:p>
        </w:tc>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Tandem</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Plans.</w:t>
            </w:r>
          </w:p>
        </w:tc>
        <w:tc>
          <w:tcPr>
            <w:tcW w:w="1640" w:type="dxa"/>
            <w:vAlign w:val="bottom"/>
          </w:tcPr>
          <w:p>
            <w:pPr>
              <w:jc w:val="right"/>
              <w:ind w:right="1106"/>
              <w:spacing w:after="0"/>
              <w:rPr>
                <w:sz w:val="20"/>
                <w:szCs w:val="20"/>
                <w:color w:val="auto"/>
              </w:rPr>
            </w:pPr>
            <w:r>
              <w:rPr>
                <w:rFonts w:ascii="Courier New" w:cs="Courier New" w:eastAsia="Courier New" w:hAnsi="Courier New"/>
                <w:sz w:val="15"/>
                <w:szCs w:val="15"/>
                <w:color w:val="auto"/>
              </w:rPr>
              <w:t>The</w:t>
            </w:r>
          </w:p>
        </w:tc>
        <w:tc>
          <w:tcPr>
            <w:tcW w:w="1120" w:type="dxa"/>
            <w:vAlign w:val="bottom"/>
          </w:tcPr>
          <w:p>
            <w:pPr>
              <w:spacing w:after="0"/>
              <w:rPr>
                <w:sz w:val="24"/>
                <w:szCs w:val="2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following</w:t>
            </w: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table</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summarizes</w:t>
            </w:r>
          </w:p>
        </w:tc>
        <w:tc>
          <w:tcPr>
            <w:tcW w:w="13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information</w:t>
            </w:r>
          </w:p>
        </w:tc>
        <w:tc>
          <w:tcPr>
            <w:tcW w:w="1760" w:type="dxa"/>
            <w:vAlign w:val="bottom"/>
            <w:gridSpan w:val="6"/>
          </w:tcPr>
          <w:p>
            <w:pPr>
              <w:spacing w:after="0"/>
              <w:rPr>
                <w:sz w:val="20"/>
                <w:szCs w:val="20"/>
                <w:color w:val="auto"/>
              </w:rPr>
            </w:pPr>
            <w:r>
              <w:rPr>
                <w:rFonts w:ascii="Courier New" w:cs="Courier New" w:eastAsia="Courier New" w:hAnsi="Courier New"/>
                <w:sz w:val="15"/>
                <w:szCs w:val="15"/>
                <w:color w:val="auto"/>
              </w:rPr>
              <w:t>related to the QVC</w:t>
            </w:r>
          </w:p>
        </w:tc>
        <w:tc>
          <w:tcPr>
            <w:tcW w:w="6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Tandem</w:t>
            </w:r>
          </w:p>
        </w:tc>
        <w:tc>
          <w:tcPr>
            <w:tcW w:w="1640" w:type="dxa"/>
            <w:vAlign w:val="bottom"/>
          </w:tcPr>
          <w:p>
            <w:pPr>
              <w:jc w:val="right"/>
              <w:ind w:right="1106"/>
              <w:spacing w:after="0"/>
              <w:rPr>
                <w:sz w:val="20"/>
                <w:szCs w:val="20"/>
                <w:color w:val="auto"/>
              </w:rPr>
            </w:pPr>
            <w:r>
              <w:rPr>
                <w:rFonts w:ascii="Courier New" w:cs="Courier New" w:eastAsia="Courier New" w:hAnsi="Courier New"/>
                <w:sz w:val="15"/>
                <w:szCs w:val="15"/>
                <w:color w:val="auto"/>
              </w:rPr>
              <w:t>Plan</w:t>
            </w:r>
          </w:p>
        </w:tc>
        <w:tc>
          <w:tcPr>
            <w:tcW w:w="1120" w:type="dxa"/>
            <w:vAlign w:val="bottom"/>
          </w:tcPr>
          <w:p>
            <w:pPr>
              <w:spacing w:after="0"/>
              <w:rPr>
                <w:sz w:val="14"/>
                <w:szCs w:val="14"/>
                <w:color w:val="auto"/>
              </w:rPr>
            </w:pPr>
          </w:p>
        </w:tc>
      </w:tr>
      <w:tr>
        <w:trPr>
          <w:trHeight w:val="171"/>
        </w:trPr>
        <w:tc>
          <w:tcPr>
            <w:tcW w:w="2920" w:type="dxa"/>
            <w:vAlign w:val="bottom"/>
            <w:gridSpan w:val="7"/>
          </w:tcPr>
          <w:p>
            <w:pPr>
              <w:ind w:left="440"/>
              <w:spacing w:after="0"/>
              <w:rPr>
                <w:sz w:val="20"/>
                <w:szCs w:val="20"/>
                <w:color w:val="auto"/>
              </w:rPr>
            </w:pPr>
            <w:r>
              <w:rPr>
                <w:rFonts w:ascii="Courier New" w:cs="Courier New" w:eastAsia="Courier New" w:hAnsi="Courier New"/>
                <w:sz w:val="15"/>
                <w:szCs w:val="15"/>
                <w:color w:val="auto"/>
                <w:w w:val="97"/>
              </w:rPr>
              <w:t>(options/SARs 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5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At December 31,</w:t>
            </w:r>
          </w:p>
        </w:tc>
        <w:tc>
          <w:tcPr>
            <w:tcW w:w="1120" w:type="dxa"/>
            <w:vAlign w:val="bottom"/>
          </w:tcPr>
          <w:p>
            <w:pPr>
              <w:spacing w:after="0"/>
              <w:rPr>
                <w:sz w:val="24"/>
                <w:szCs w:val="24"/>
                <w:color w:val="auto"/>
              </w:rPr>
            </w:pP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340" w:type="dxa"/>
            <w:vAlign w:val="bottom"/>
          </w:tcPr>
          <w:p>
            <w:pPr>
              <w:spacing w:after="0"/>
              <w:rPr>
                <w:sz w:val="14"/>
                <w:szCs w:val="14"/>
                <w:color w:val="auto"/>
              </w:rPr>
            </w:pP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gridSpan w:val="6"/>
          </w:tcPr>
          <w:p>
            <w:pPr>
              <w:spacing w:after="0"/>
              <w:rPr>
                <w:sz w:val="20"/>
                <w:szCs w:val="20"/>
                <w:color w:val="auto"/>
              </w:rPr>
            </w:pPr>
            <w:r>
              <w:rPr>
                <w:rFonts w:ascii="Courier New" w:cs="Courier New" w:eastAsia="Courier New" w:hAnsi="Courier New"/>
                <w:sz w:val="15"/>
                <w:szCs w:val="15"/>
                <w:color w:val="auto"/>
                <w:w w:val="97"/>
              </w:rPr>
              <w:t>Options/SARs outstanding at end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142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7"/>
              </w:rPr>
              <w:t>of year......................................................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gridSpan w:val="8"/>
          </w:tcPr>
          <w:p>
            <w:pPr>
              <w:spacing w:after="0"/>
              <w:rPr>
                <w:sz w:val="20"/>
                <w:szCs w:val="20"/>
                <w:color w:val="auto"/>
              </w:rPr>
            </w:pPr>
            <w:r>
              <w:rPr>
                <w:rFonts w:ascii="Courier New" w:cs="Courier New" w:eastAsia="Courier New" w:hAnsi="Courier New"/>
                <w:sz w:val="15"/>
                <w:szCs w:val="15"/>
                <w:color w:val="auto"/>
              </w:rPr>
              <w:t>Weighted-average exercise price of</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274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options/SARs outstanding</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1940" w:type="dxa"/>
            <w:vAlign w:val="bottom"/>
            <w:gridSpan w:val="4"/>
          </w:tcPr>
          <w:p>
            <w:pPr>
              <w:ind w:left="260"/>
              <w:spacing w:after="0"/>
              <w:rPr>
                <w:sz w:val="20"/>
                <w:szCs w:val="20"/>
                <w:color w:val="auto"/>
              </w:rPr>
            </w:pPr>
            <w:r>
              <w:rPr>
                <w:rFonts w:ascii="Courier New" w:cs="Courier New" w:eastAsia="Courier New" w:hAnsi="Courier New"/>
                <w:sz w:val="6"/>
                <w:szCs w:val="6"/>
                <w:color w:val="auto"/>
                <w:w w:val="75"/>
              </w:rPr>
              <w:t>at end of year...............................................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$1,086.37</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$913.88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$789.51</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gridSpan w:val="6"/>
          </w:tcPr>
          <w:p>
            <w:pPr>
              <w:spacing w:after="0"/>
              <w:rPr>
                <w:sz w:val="20"/>
                <w:szCs w:val="20"/>
                <w:color w:val="auto"/>
              </w:rPr>
            </w:pPr>
            <w:r>
              <w:rPr>
                <w:rFonts w:ascii="Courier New" w:cs="Courier New" w:eastAsia="Courier New" w:hAnsi="Courier New"/>
                <w:sz w:val="15"/>
                <w:szCs w:val="15"/>
                <w:color w:val="auto"/>
                <w:w w:val="97"/>
              </w:rPr>
              <w:t>Options/SARs exercisable at end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142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7"/>
              </w:rPr>
              <w:t>of year......................................................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gridSpan w:val="6"/>
          </w:tcPr>
          <w:p>
            <w:pPr>
              <w:spacing w:after="0"/>
              <w:rPr>
                <w:sz w:val="20"/>
                <w:szCs w:val="20"/>
                <w:color w:val="auto"/>
              </w:rPr>
            </w:pPr>
            <w:r>
              <w:rPr>
                <w:rFonts w:ascii="Courier New" w:cs="Courier New" w:eastAsia="Courier New" w:hAnsi="Courier New"/>
                <w:sz w:val="15"/>
                <w:szCs w:val="15"/>
                <w:color w:val="auto"/>
                <w:w w:val="97"/>
              </w:rPr>
              <w:t>Weighted-average exercise price</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274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of options/SARs exercisable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1940" w:type="dxa"/>
            <w:vAlign w:val="bottom"/>
            <w:gridSpan w:val="4"/>
          </w:tcPr>
          <w:p>
            <w:pPr>
              <w:ind w:left="260"/>
              <w:spacing w:after="0"/>
              <w:rPr>
                <w:sz w:val="20"/>
                <w:szCs w:val="20"/>
                <w:color w:val="auto"/>
              </w:rPr>
            </w:pPr>
            <w:r>
              <w:rPr>
                <w:rFonts w:ascii="Courier New" w:cs="Courier New" w:eastAsia="Courier New" w:hAnsi="Courier New"/>
                <w:sz w:val="6"/>
                <w:szCs w:val="6"/>
                <w:color w:val="auto"/>
                <w:w w:val="75"/>
              </w:rPr>
              <w:t>at end of year...............................................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$839.59</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$706.51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$606.92</w:t>
            </w:r>
          </w:p>
        </w:tc>
      </w:tr>
      <w:tr>
        <w:trPr>
          <w:trHeight w:val="171"/>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19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As of the latest</w:t>
            </w:r>
          </w:p>
        </w:tc>
        <w:tc>
          <w:tcPr>
            <w:tcW w:w="9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valuation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date,</w:t>
            </w:r>
          </w:p>
        </w:tc>
        <w:tc>
          <w:tcPr>
            <w:tcW w:w="160" w:type="dxa"/>
            <w:vAlign w:val="bottom"/>
          </w:tcPr>
          <w:p>
            <w:pPr>
              <w:spacing w:after="0"/>
              <w:rPr>
                <w:sz w:val="24"/>
                <w:szCs w:val="24"/>
                <w:color w:val="auto"/>
              </w:rPr>
            </w:pPr>
          </w:p>
        </w:tc>
        <w:tc>
          <w:tcPr>
            <w:tcW w:w="4660" w:type="dxa"/>
            <w:vAlign w:val="bottom"/>
            <w:gridSpan w:val="11"/>
          </w:tcPr>
          <w:p>
            <w:pPr>
              <w:jc w:val="right"/>
              <w:ind w:right="1106"/>
              <w:spacing w:after="0"/>
              <w:rPr>
                <w:sz w:val="20"/>
                <w:szCs w:val="20"/>
                <w:color w:val="auto"/>
              </w:rPr>
            </w:pPr>
            <w:r>
              <w:rPr>
                <w:rFonts w:ascii="Courier New" w:cs="Courier New" w:eastAsia="Courier New" w:hAnsi="Courier New"/>
                <w:sz w:val="15"/>
                <w:szCs w:val="15"/>
                <w:color w:val="auto"/>
                <w:w w:val="98"/>
              </w:rPr>
              <w:t>the fair value of a share of QVC Common</w:t>
            </w:r>
          </w:p>
        </w:tc>
        <w:tc>
          <w:tcPr>
            <w:tcW w:w="1120" w:type="dxa"/>
            <w:vAlign w:val="bottom"/>
          </w:tcPr>
          <w:p>
            <w:pPr>
              <w:spacing w:after="0"/>
              <w:rPr>
                <w:sz w:val="24"/>
                <w:szCs w:val="24"/>
                <w:color w:val="auto"/>
              </w:rPr>
            </w:pPr>
          </w:p>
        </w:tc>
      </w:tr>
      <w:tr>
        <w:trPr>
          <w:trHeight w:val="171"/>
        </w:trPr>
        <w:tc>
          <w:tcPr>
            <w:tcW w:w="22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Stock was $1,768.15.</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1"/>
        </w:trPr>
        <w:tc>
          <w:tcPr>
            <w:tcW w:w="3620" w:type="dxa"/>
            <w:vAlign w:val="bottom"/>
            <w:gridSpan w:val="9"/>
          </w:tcPr>
          <w:p>
            <w:pPr>
              <w:ind w:left="440"/>
              <w:spacing w:after="0"/>
              <w:rPr>
                <w:sz w:val="20"/>
                <w:szCs w:val="20"/>
                <w:color w:val="auto"/>
              </w:rPr>
            </w:pPr>
            <w:r>
              <w:rPr>
                <w:rFonts w:ascii="Courier New" w:cs="Courier New" w:eastAsia="Courier New" w:hAnsi="Courier New"/>
                <w:sz w:val="15"/>
                <w:szCs w:val="15"/>
                <w:color w:val="auto"/>
                <w:w w:val="97"/>
              </w:rPr>
              <w:t>Other Stock-Based Compensation Plans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8280" w:type="dxa"/>
            <w:vAlign w:val="bottom"/>
            <w:gridSpan w:val="20"/>
          </w:tcPr>
          <w:p>
            <w:pPr>
              <w:ind w:left="440"/>
              <w:spacing w:after="0"/>
              <w:rPr>
                <w:sz w:val="20"/>
                <w:szCs w:val="20"/>
                <w:color w:val="auto"/>
              </w:rPr>
            </w:pPr>
            <w:r>
              <w:rPr>
                <w:rFonts w:ascii="Courier New" w:cs="Courier New" w:eastAsia="Courier New" w:hAnsi="Courier New"/>
                <w:sz w:val="15"/>
                <w:szCs w:val="15"/>
                <w:color w:val="auto"/>
              </w:rPr>
              <w:t>The  Company  maintains  a  restricted  stock plan under  which  management</w:t>
            </w:r>
          </w:p>
        </w:tc>
        <w:tc>
          <w:tcPr>
            <w:tcW w:w="1120" w:type="dxa"/>
            <w:vAlign w:val="bottom"/>
          </w:tcPr>
          <w:p>
            <w:pPr>
              <w:spacing w:after="0"/>
              <w:rPr>
                <w:sz w:val="14"/>
                <w:szCs w:val="14"/>
                <w:color w:val="auto"/>
              </w:rPr>
            </w:pPr>
          </w:p>
        </w:tc>
      </w:tr>
      <w:tr>
        <w:trPr>
          <w:trHeight w:val="171"/>
        </w:trPr>
        <w:tc>
          <w:tcPr>
            <w:tcW w:w="27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employees may be granted</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restricted</w:t>
            </w:r>
          </w:p>
        </w:tc>
        <w:tc>
          <w:tcPr>
            <w:tcW w:w="13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share awards</w:t>
            </w:r>
          </w:p>
        </w:tc>
        <w:tc>
          <w:tcPr>
            <w:tcW w:w="3320" w:type="dxa"/>
            <w:vAlign w:val="bottom"/>
            <w:gridSpan w:val="7"/>
          </w:tcPr>
          <w:p>
            <w:pPr>
              <w:jc w:val="right"/>
              <w:ind w:right="1106"/>
              <w:spacing w:after="0"/>
              <w:rPr>
                <w:sz w:val="20"/>
                <w:szCs w:val="20"/>
                <w:color w:val="auto"/>
              </w:rPr>
            </w:pPr>
            <w:r>
              <w:rPr>
                <w:rFonts w:ascii="Courier New" w:cs="Courier New" w:eastAsia="Courier New" w:hAnsi="Courier New"/>
                <w:sz w:val="15"/>
                <w:szCs w:val="15"/>
                <w:color w:val="auto"/>
                <w:w w:val="98"/>
              </w:rPr>
              <w:t>in the Company's Class A</w:t>
            </w:r>
          </w:p>
        </w:tc>
        <w:tc>
          <w:tcPr>
            <w:tcW w:w="1120" w:type="dxa"/>
            <w:vAlign w:val="bottom"/>
          </w:tcPr>
          <w:p>
            <w:pPr>
              <w:spacing w:after="0"/>
              <w:rPr>
                <w:sz w:val="14"/>
                <w:szCs w:val="14"/>
                <w:color w:val="auto"/>
              </w:rPr>
            </w:pPr>
          </w:p>
        </w:tc>
      </w:tr>
      <w:tr>
        <w:trPr>
          <w:trHeight w:val="171"/>
        </w:trPr>
        <w:tc>
          <w:tcPr>
            <w:tcW w:w="3620" w:type="dxa"/>
            <w:vAlign w:val="bottom"/>
            <w:gridSpan w:val="9"/>
          </w:tcPr>
          <w:p>
            <w:pPr>
              <w:ind w:left="440"/>
              <w:spacing w:after="0"/>
              <w:rPr>
                <w:sz w:val="20"/>
                <w:szCs w:val="20"/>
                <w:color w:val="auto"/>
              </w:rPr>
            </w:pPr>
            <w:r>
              <w:rPr>
                <w:rFonts w:ascii="Courier New" w:cs="Courier New" w:eastAsia="Courier New" w:hAnsi="Courier New"/>
                <w:sz w:val="15"/>
                <w:szCs w:val="15"/>
                <w:color w:val="auto"/>
                <w:w w:val="97"/>
              </w:rPr>
              <w:t>or Class A Special common stock (the</w:t>
            </w:r>
          </w:p>
        </w:tc>
        <w:tc>
          <w:tcPr>
            <w:tcW w:w="13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w w:val="97"/>
              </w:rPr>
              <w:t>Stock Plan").</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w w:val="96"/>
              </w:rPr>
              <w:t>The share</w:t>
            </w:r>
          </w:p>
        </w:tc>
        <w:tc>
          <w:tcPr>
            <w:tcW w:w="1120" w:type="dxa"/>
            <w:vAlign w:val="bottom"/>
          </w:tcPr>
          <w:p>
            <w:pPr>
              <w:spacing w:after="0"/>
              <w:rPr>
                <w:sz w:val="14"/>
                <w:szCs w:val="14"/>
                <w:color w:val="auto"/>
              </w:rPr>
            </w:pPr>
          </w:p>
        </w:tc>
      </w:tr>
      <w:tr>
        <w:trPr>
          <w:trHeight w:val="171"/>
        </w:trPr>
        <w:tc>
          <w:tcPr>
            <w:tcW w:w="8280" w:type="dxa"/>
            <w:vAlign w:val="bottom"/>
            <w:gridSpan w:val="20"/>
          </w:tcPr>
          <w:p>
            <w:pPr>
              <w:ind w:left="440"/>
              <w:spacing w:after="0"/>
              <w:rPr>
                <w:sz w:val="20"/>
                <w:szCs w:val="20"/>
                <w:color w:val="auto"/>
              </w:rPr>
            </w:pPr>
            <w:r>
              <w:rPr>
                <w:rFonts w:ascii="Courier New" w:cs="Courier New" w:eastAsia="Courier New" w:hAnsi="Courier New"/>
                <w:sz w:val="15"/>
                <w:szCs w:val="15"/>
                <w:color w:val="auto"/>
              </w:rPr>
              <w:t>awards vest annually, generally over a period not to exceed five years from</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the date of</w:t>
            </w:r>
          </w:p>
        </w:tc>
        <w:tc>
          <w:tcPr>
            <w:tcW w:w="4880" w:type="dxa"/>
            <w:vAlign w:val="bottom"/>
            <w:gridSpan w:val="16"/>
          </w:tcPr>
          <w:p>
            <w:pPr>
              <w:ind w:left="80"/>
              <w:spacing w:after="0"/>
              <w:rPr>
                <w:sz w:val="20"/>
                <w:szCs w:val="20"/>
                <w:color w:val="auto"/>
              </w:rPr>
            </w:pPr>
            <w:r>
              <w:rPr>
                <w:rFonts w:ascii="Courier New" w:cs="Courier New" w:eastAsia="Courier New" w:hAnsi="Courier New"/>
                <w:sz w:val="15"/>
                <w:szCs w:val="15"/>
                <w:color w:val="auto"/>
              </w:rPr>
              <w:t>the award, and do not have voting rights. At December</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w w:val="96"/>
              </w:rPr>
              <w:t>31, 2002,</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there were</w:t>
            </w:r>
          </w:p>
        </w:tc>
        <w:tc>
          <w:tcPr>
            <w:tcW w:w="7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150,000</w:t>
            </w:r>
          </w:p>
        </w:tc>
        <w:tc>
          <w:tcPr>
            <w:tcW w:w="240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shares of Class A common</w:t>
            </w:r>
          </w:p>
        </w:tc>
        <w:tc>
          <w:tcPr>
            <w:tcW w:w="170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8"/>
              </w:rPr>
              <w:t>stock and 763,000</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w w:val="96"/>
              </w:rPr>
              <w:t>shares of</w:t>
            </w:r>
          </w:p>
        </w:tc>
        <w:tc>
          <w:tcPr>
            <w:tcW w:w="1120" w:type="dxa"/>
            <w:vAlign w:val="bottom"/>
          </w:tcPr>
          <w:p>
            <w:pPr>
              <w:spacing w:after="0"/>
              <w:rPr>
                <w:sz w:val="14"/>
                <w:szCs w:val="14"/>
                <w:color w:val="auto"/>
              </w:rPr>
            </w:pPr>
          </w:p>
        </w:tc>
      </w:tr>
      <w:tr>
        <w:trPr>
          <w:trHeight w:val="171"/>
        </w:trPr>
        <w:tc>
          <w:tcPr>
            <w:tcW w:w="8280" w:type="dxa"/>
            <w:vAlign w:val="bottom"/>
            <w:gridSpan w:val="20"/>
          </w:tcPr>
          <w:p>
            <w:pPr>
              <w:ind w:left="440"/>
              <w:spacing w:after="0"/>
              <w:rPr>
                <w:sz w:val="20"/>
                <w:szCs w:val="20"/>
                <w:color w:val="auto"/>
              </w:rPr>
            </w:pPr>
            <w:r>
              <w:rPr>
                <w:rFonts w:ascii="Courier New" w:cs="Courier New" w:eastAsia="Courier New" w:hAnsi="Courier New"/>
                <w:sz w:val="15"/>
                <w:szCs w:val="15"/>
                <w:color w:val="auto"/>
              </w:rPr>
              <w:t>Comcast Class A Special common stock issuable in connection with restricted</w:t>
            </w:r>
          </w:p>
        </w:tc>
        <w:tc>
          <w:tcPr>
            <w:tcW w:w="1120" w:type="dxa"/>
            <w:vAlign w:val="bottom"/>
          </w:tcPr>
          <w:p>
            <w:pPr>
              <w:spacing w:after="0"/>
              <w:rPr>
                <w:sz w:val="14"/>
                <w:szCs w:val="14"/>
                <w:color w:val="auto"/>
              </w:rPr>
            </w:pPr>
          </w:p>
        </w:tc>
      </w:tr>
      <w:tr>
        <w:trPr>
          <w:trHeight w:val="17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awards</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under the</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Restricted</w:t>
            </w:r>
          </w:p>
        </w:tc>
        <w:tc>
          <w:tcPr>
            <w:tcW w:w="13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Stock Plan,</w:t>
            </w:r>
          </w:p>
        </w:tc>
        <w:tc>
          <w:tcPr>
            <w:tcW w:w="3320" w:type="dxa"/>
            <w:vAlign w:val="bottom"/>
            <w:gridSpan w:val="7"/>
          </w:tcPr>
          <w:p>
            <w:pPr>
              <w:jc w:val="right"/>
              <w:ind w:right="1106"/>
              <w:spacing w:after="0"/>
              <w:rPr>
                <w:sz w:val="20"/>
                <w:szCs w:val="20"/>
                <w:color w:val="auto"/>
              </w:rPr>
            </w:pPr>
            <w:r>
              <w:rPr>
                <w:rFonts w:ascii="Courier New" w:cs="Courier New" w:eastAsia="Courier New" w:hAnsi="Courier New"/>
                <w:sz w:val="15"/>
                <w:szCs w:val="15"/>
                <w:color w:val="auto"/>
                <w:w w:val="98"/>
              </w:rPr>
              <w:t>of which zero shares and</w:t>
            </w:r>
          </w:p>
        </w:tc>
        <w:tc>
          <w:tcPr>
            <w:tcW w:w="1120" w:type="dxa"/>
            <w:vAlign w:val="bottom"/>
          </w:tcPr>
          <w:p>
            <w:pPr>
              <w:spacing w:after="0"/>
              <w:rPr>
                <w:sz w:val="14"/>
                <w:szCs w:val="14"/>
                <w:color w:val="auto"/>
              </w:rPr>
            </w:pPr>
          </w:p>
        </w:tc>
      </w:tr>
      <w:tr>
        <w:trPr>
          <w:trHeight w:val="171"/>
        </w:trPr>
        <w:tc>
          <w:tcPr>
            <w:tcW w:w="5680" w:type="dxa"/>
            <w:vAlign w:val="bottom"/>
            <w:gridSpan w:val="16"/>
          </w:tcPr>
          <w:p>
            <w:pPr>
              <w:ind w:left="440"/>
              <w:spacing w:after="0"/>
              <w:rPr>
                <w:sz w:val="20"/>
                <w:szCs w:val="20"/>
                <w:color w:val="auto"/>
              </w:rPr>
            </w:pPr>
            <w:r>
              <w:rPr>
                <w:rFonts w:ascii="Courier New" w:cs="Courier New" w:eastAsia="Courier New" w:hAnsi="Courier New"/>
                <w:sz w:val="15"/>
                <w:szCs w:val="15"/>
                <w:color w:val="auto"/>
              </w:rPr>
              <w:t>166,000 shares were issued in January 2003, respectively.</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The Company</w:t>
            </w:r>
          </w:p>
        </w:tc>
        <w:tc>
          <w:tcPr>
            <w:tcW w:w="4600" w:type="dxa"/>
            <w:vAlign w:val="bottom"/>
            <w:gridSpan w:val="15"/>
          </w:tcPr>
          <w:p>
            <w:pPr>
              <w:ind w:left="160"/>
              <w:spacing w:after="0"/>
              <w:rPr>
                <w:sz w:val="20"/>
                <w:szCs w:val="20"/>
                <w:color w:val="auto"/>
              </w:rPr>
            </w:pPr>
            <w:r>
              <w:rPr>
                <w:rFonts w:ascii="Courier New" w:cs="Courier New" w:eastAsia="Courier New" w:hAnsi="Courier New"/>
                <w:sz w:val="15"/>
                <w:szCs w:val="15"/>
                <w:color w:val="auto"/>
                <w:w w:val="98"/>
              </w:rPr>
              <w:t>maintains a deferred stock option plan for certain</w:t>
            </w:r>
          </w:p>
        </w:tc>
        <w:tc>
          <w:tcPr>
            <w:tcW w:w="2260" w:type="dxa"/>
            <w:vAlign w:val="bottom"/>
            <w:gridSpan w:val="3"/>
          </w:tcPr>
          <w:p>
            <w:pPr>
              <w:jc w:val="right"/>
              <w:ind w:right="1106"/>
              <w:spacing w:after="0"/>
              <w:rPr>
                <w:sz w:val="20"/>
                <w:szCs w:val="20"/>
                <w:color w:val="auto"/>
              </w:rPr>
            </w:pPr>
            <w:r>
              <w:rPr>
                <w:rFonts w:ascii="Courier New" w:cs="Courier New" w:eastAsia="Courier New" w:hAnsi="Courier New"/>
                <w:sz w:val="15"/>
                <w:szCs w:val="15"/>
                <w:color w:val="auto"/>
              </w:rPr>
              <w:t>employees,</w:t>
            </w:r>
          </w:p>
        </w:tc>
        <w:tc>
          <w:tcPr>
            <w:tcW w:w="1120" w:type="dxa"/>
            <w:vAlign w:val="bottom"/>
          </w:tcPr>
          <w:p>
            <w:pPr>
              <w:spacing w:after="0"/>
              <w:rPr>
                <w:sz w:val="24"/>
                <w:szCs w:val="24"/>
                <w:color w:val="auto"/>
              </w:rPr>
            </w:pPr>
          </w:p>
        </w:tc>
      </w:tr>
      <w:tr>
        <w:trPr>
          <w:trHeight w:val="171"/>
        </w:trPr>
        <w:tc>
          <w:tcPr>
            <w:tcW w:w="8280" w:type="dxa"/>
            <w:vAlign w:val="bottom"/>
            <w:gridSpan w:val="20"/>
          </w:tcPr>
          <w:p>
            <w:pPr>
              <w:ind w:left="440"/>
              <w:spacing w:after="0"/>
              <w:rPr>
                <w:sz w:val="20"/>
                <w:szCs w:val="20"/>
                <w:color w:val="auto"/>
              </w:rPr>
            </w:pPr>
            <w:r>
              <w:rPr>
                <w:rFonts w:ascii="Courier New" w:cs="Courier New" w:eastAsia="Courier New" w:hAnsi="Courier New"/>
                <w:sz w:val="15"/>
                <w:szCs w:val="15"/>
                <w:color w:val="auto"/>
              </w:rPr>
              <w:t>officers and directors which provides the optionees with the opportunity to</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defer the</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receipt</w:t>
            </w:r>
          </w:p>
        </w:tc>
        <w:tc>
          <w:tcPr>
            <w:tcW w:w="1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of shares of the</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Company's</w:t>
            </w:r>
          </w:p>
        </w:tc>
        <w:tc>
          <w:tcPr>
            <w:tcW w:w="10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Class A or</w:t>
            </w:r>
          </w:p>
        </w:tc>
        <w:tc>
          <w:tcPr>
            <w:tcW w:w="2600" w:type="dxa"/>
            <w:vAlign w:val="bottom"/>
            <w:gridSpan w:val="4"/>
          </w:tcPr>
          <w:p>
            <w:pPr>
              <w:jc w:val="right"/>
              <w:ind w:right="1106"/>
              <w:spacing w:after="0"/>
              <w:rPr>
                <w:sz w:val="20"/>
                <w:szCs w:val="20"/>
                <w:color w:val="auto"/>
              </w:rPr>
            </w:pPr>
            <w:r>
              <w:rPr>
                <w:rFonts w:ascii="Courier New" w:cs="Courier New" w:eastAsia="Courier New" w:hAnsi="Courier New"/>
                <w:sz w:val="15"/>
                <w:szCs w:val="15"/>
                <w:color w:val="auto"/>
              </w:rPr>
              <w:t>Class A Special</w:t>
            </w:r>
          </w:p>
        </w:tc>
        <w:tc>
          <w:tcPr>
            <w:tcW w:w="1120" w:type="dxa"/>
            <w:vAlign w:val="bottom"/>
          </w:tcPr>
          <w:p>
            <w:pPr>
              <w:spacing w:after="0"/>
              <w:rPr>
                <w:sz w:val="14"/>
                <w:szCs w:val="14"/>
                <w:color w:val="auto"/>
              </w:rPr>
            </w:pPr>
          </w:p>
        </w:tc>
      </w:tr>
      <w:tr>
        <w:trPr>
          <w:trHeight w:val="171"/>
        </w:trPr>
        <w:tc>
          <w:tcPr>
            <w:tcW w:w="27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common stock which would</w:t>
            </w:r>
          </w:p>
        </w:tc>
        <w:tc>
          <w:tcPr>
            <w:tcW w:w="8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6"/>
              </w:rPr>
              <w:t>otherwise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be</w:t>
            </w:r>
          </w:p>
        </w:tc>
        <w:tc>
          <w:tcPr>
            <w:tcW w:w="12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deliverable</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upon</w:t>
            </w:r>
          </w:p>
        </w:tc>
        <w:tc>
          <w:tcPr>
            <w:tcW w:w="2600" w:type="dxa"/>
            <w:vAlign w:val="bottom"/>
            <w:gridSpan w:val="4"/>
          </w:tcPr>
          <w:p>
            <w:pPr>
              <w:jc w:val="right"/>
              <w:ind w:right="1106"/>
              <w:spacing w:after="0"/>
              <w:rPr>
                <w:sz w:val="20"/>
                <w:szCs w:val="20"/>
                <w:color w:val="auto"/>
              </w:rPr>
            </w:pPr>
            <w:r>
              <w:rPr>
                <w:rFonts w:ascii="Courier New" w:cs="Courier New" w:eastAsia="Courier New" w:hAnsi="Courier New"/>
                <w:sz w:val="15"/>
                <w:szCs w:val="15"/>
                <w:color w:val="auto"/>
              </w:rPr>
              <w:t>exercise by the</w:t>
            </w:r>
          </w:p>
        </w:tc>
        <w:tc>
          <w:tcPr>
            <w:tcW w:w="1120" w:type="dxa"/>
            <w:vAlign w:val="bottom"/>
          </w:tcPr>
          <w:p>
            <w:pPr>
              <w:spacing w:after="0"/>
              <w:rPr>
                <w:sz w:val="14"/>
                <w:szCs w:val="14"/>
                <w:color w:val="auto"/>
              </w:rPr>
            </w:pPr>
          </w:p>
        </w:tc>
      </w:tr>
      <w:tr>
        <w:trPr>
          <w:trHeight w:val="171"/>
        </w:trPr>
        <w:tc>
          <w:tcPr>
            <w:tcW w:w="27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optionees of their stock</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options.</w:t>
            </w:r>
          </w:p>
        </w:tc>
        <w:tc>
          <w:tcPr>
            <w:tcW w:w="160" w:type="dxa"/>
            <w:vAlign w:val="bottom"/>
          </w:tcPr>
          <w:p>
            <w:pPr>
              <w:spacing w:after="0"/>
              <w:rPr>
                <w:sz w:val="14"/>
                <w:szCs w:val="14"/>
                <w:color w:val="auto"/>
              </w:rPr>
            </w:pPr>
          </w:p>
        </w:tc>
        <w:tc>
          <w:tcPr>
            <w:tcW w:w="13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w w:val="98"/>
              </w:rPr>
              <w:t>As of December</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2002,</w:t>
            </w:r>
          </w:p>
        </w:tc>
        <w:tc>
          <w:tcPr>
            <w:tcW w:w="2260" w:type="dxa"/>
            <w:vAlign w:val="bottom"/>
            <w:gridSpan w:val="3"/>
          </w:tcPr>
          <w:p>
            <w:pPr>
              <w:jc w:val="right"/>
              <w:ind w:right="1106"/>
              <w:spacing w:after="0"/>
              <w:rPr>
                <w:sz w:val="20"/>
                <w:szCs w:val="20"/>
                <w:color w:val="auto"/>
              </w:rPr>
            </w:pPr>
            <w:r>
              <w:rPr>
                <w:rFonts w:ascii="Courier New" w:cs="Courier New" w:eastAsia="Courier New" w:hAnsi="Courier New"/>
                <w:sz w:val="15"/>
                <w:szCs w:val="15"/>
                <w:color w:val="auto"/>
              </w:rPr>
              <w:t>6.1 million</w:t>
            </w:r>
          </w:p>
        </w:tc>
        <w:tc>
          <w:tcPr>
            <w:tcW w:w="1120" w:type="dxa"/>
            <w:vAlign w:val="bottom"/>
          </w:tcPr>
          <w:p>
            <w:pPr>
              <w:spacing w:after="0"/>
              <w:rPr>
                <w:sz w:val="14"/>
                <w:szCs w:val="14"/>
                <w:color w:val="auto"/>
              </w:rPr>
            </w:pPr>
          </w:p>
        </w:tc>
      </w:tr>
      <w:tr>
        <w:trPr>
          <w:trHeight w:val="17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7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Class A</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Special</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6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stock</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were</w:t>
            </w:r>
          </w:p>
        </w:tc>
        <w:tc>
          <w:tcPr>
            <w:tcW w:w="7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issuable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under</w:t>
            </w:r>
          </w:p>
        </w:tc>
        <w:tc>
          <w:tcPr>
            <w:tcW w:w="1980" w:type="dxa"/>
            <w:vAlign w:val="bottom"/>
            <w:gridSpan w:val="2"/>
          </w:tcPr>
          <w:p>
            <w:pPr>
              <w:jc w:val="right"/>
              <w:ind w:right="1106"/>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r>
      <w:tr>
        <w:trPr>
          <w:trHeight w:val="171"/>
        </w:trPr>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exercised</w:t>
            </w:r>
          </w:p>
        </w:tc>
        <w:tc>
          <w:tcPr>
            <w:tcW w:w="6860" w:type="dxa"/>
            <w:vAlign w:val="bottom"/>
            <w:gridSpan w:val="18"/>
          </w:tcPr>
          <w:p>
            <w:pPr>
              <w:spacing w:after="0"/>
              <w:rPr>
                <w:sz w:val="20"/>
                <w:szCs w:val="20"/>
                <w:color w:val="auto"/>
              </w:rPr>
            </w:pPr>
            <w:r>
              <w:rPr>
                <w:rFonts w:ascii="Courier New" w:cs="Courier New" w:eastAsia="Courier New" w:hAnsi="Courier New"/>
                <w:sz w:val="15"/>
                <w:szCs w:val="15"/>
                <w:color w:val="auto"/>
              </w:rPr>
              <w:t>but  the  receipt  of  which  was  irrevocably  deferred  by the</w:t>
            </w:r>
          </w:p>
        </w:tc>
        <w:tc>
          <w:tcPr>
            <w:tcW w:w="1120" w:type="dxa"/>
            <w:vAlign w:val="bottom"/>
          </w:tcPr>
          <w:p>
            <w:pPr>
              <w:spacing w:after="0"/>
              <w:rPr>
                <w:sz w:val="14"/>
                <w:szCs w:val="14"/>
                <w:color w:val="auto"/>
              </w:rPr>
            </w:pPr>
          </w:p>
        </w:tc>
      </w:tr>
      <w:tr>
        <w:trPr>
          <w:trHeight w:val="171"/>
        </w:trPr>
        <w:tc>
          <w:tcPr>
            <w:tcW w:w="6020" w:type="dxa"/>
            <w:vAlign w:val="bottom"/>
            <w:gridSpan w:val="17"/>
          </w:tcPr>
          <w:p>
            <w:pPr>
              <w:ind w:left="440"/>
              <w:spacing w:after="0"/>
              <w:rPr>
                <w:sz w:val="20"/>
                <w:szCs w:val="20"/>
                <w:color w:val="auto"/>
              </w:rPr>
            </w:pPr>
            <w:r>
              <w:rPr>
                <w:rFonts w:ascii="Courier New" w:cs="Courier New" w:eastAsia="Courier New" w:hAnsi="Courier New"/>
                <w:sz w:val="15"/>
                <w:szCs w:val="15"/>
                <w:color w:val="auto"/>
                <w:w w:val="98"/>
              </w:rPr>
              <w:t>optionees pursuant to the Company's deferred stock option plan.</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1"/>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- 75 -</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5" w:name="page86"/>
    <w:bookmarkEnd w:id="85"/>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177" w:lineRule="exact"/>
        <w:rPr>
          <w:sz w:val="20"/>
          <w:szCs w:val="20"/>
          <w:color w:val="auto"/>
        </w:rPr>
      </w:pPr>
    </w:p>
    <w:p>
      <w:pPr>
        <w:ind w:left="449" w:right="3119"/>
        <w:spacing w:after="0" w:line="238" w:lineRule="auto"/>
        <w:rPr>
          <w:sz w:val="20"/>
          <w:szCs w:val="20"/>
          <w:color w:val="auto"/>
        </w:rPr>
      </w:pPr>
      <w:r>
        <w:rPr>
          <w:rFonts w:ascii="Courier New" w:cs="Courier New" w:eastAsia="Courier New" w:hAnsi="Courier New"/>
          <w:sz w:val="15"/>
          <w:szCs w:val="15"/>
          <w:color w:val="auto"/>
        </w:rPr>
        <w:t>The following table summarizes information related to the Company's Restricted Stock Plan and SAR Plans: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16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Restricted Stock Plan</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Shares granted (in thousands)...............................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Weighted-average fair value per share at date of grant......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$28.47</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$39.52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$37.80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Compensation expense (in millions)..........................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SAR Plans</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Compensation expense (in millions)..........................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342" w:lineRule="exact"/>
        <w:rPr>
          <w:sz w:val="20"/>
          <w:szCs w:val="20"/>
          <w:color w:val="auto"/>
        </w:rPr>
      </w:pPr>
    </w:p>
    <w:p>
      <w:pPr>
        <w:ind w:left="449" w:hanging="449"/>
        <w:spacing w:after="0"/>
        <w:tabs>
          <w:tab w:leader="none" w:pos="4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648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Federal.........................................................</w:t>
            </w: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$168</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State...........................................................</w:t>
            </w: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Foreign.........................................................</w:t>
            </w: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Federal.........................................................</w:t>
            </w:r>
          </w:p>
        </w:tc>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State...........................................................</w:t>
            </w:r>
          </w:p>
        </w:tc>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Foreign.........................................................</w:t>
            </w:r>
          </w:p>
        </w:tc>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0"/>
                <w:szCs w:val="10"/>
                <w:color w:val="auto"/>
                <w:w w:val="73"/>
              </w:rPr>
              <w:t>Income tax expense..............................................</w:t>
            </w: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2840" w:type="dxa"/>
            <w:vAlign w:val="bottom"/>
          </w:tcPr>
          <w:p>
            <w:pPr>
              <w:spacing w:after="0"/>
              <w:rPr>
                <w:sz w:val="14"/>
                <w:szCs w:val="14"/>
                <w:color w:val="auto"/>
              </w:rPr>
            </w:pPr>
          </w:p>
        </w:tc>
        <w:tc>
          <w:tcPr>
            <w:tcW w:w="41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2840" w:type="dxa"/>
            <w:vAlign w:val="bottom"/>
          </w:tcPr>
          <w:p>
            <w:pPr>
              <w:spacing w:after="0"/>
              <w:rPr>
                <w:sz w:val="24"/>
                <w:szCs w:val="24"/>
                <w:color w:val="auto"/>
              </w:rPr>
            </w:pPr>
          </w:p>
        </w:tc>
        <w:tc>
          <w:tcPr>
            <w:tcW w:w="4120" w:type="dxa"/>
            <w:vAlign w:val="bottom"/>
          </w:tcPr>
          <w:p>
            <w:pPr>
              <w:jc w:val="right"/>
              <w:ind w:right="3526"/>
              <w:spacing w:after="0"/>
              <w:rPr>
                <w:sz w:val="20"/>
                <w:szCs w:val="20"/>
                <w:color w:val="auto"/>
              </w:rPr>
            </w:pPr>
            <w:r>
              <w:rPr>
                <w:rFonts w:ascii="Courier New" w:cs="Courier New" w:eastAsia="Courier New" w:hAnsi="Courier New"/>
                <w:sz w:val="15"/>
                <w:szCs w:val="15"/>
                <w:color w:val="auto"/>
                <w:w w:val="92"/>
              </w:rPr>
              <w:t>- 76 -</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The Company's effective income tax expense differs from the statutory amount because of the effect of the following items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374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620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Federal tax at statutory rate...................................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$299</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$1,248</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Non-deductible depreciation and amortization....................</w:t>
            </w:r>
          </w:p>
        </w:tc>
        <w:tc>
          <w:tcPr>
            <w:tcW w:w="120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State income taxes, net of federal benefit......................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Foreign losses and equity in net losses of affiliates...........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Increase in valuation allowance.................................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Adjustment to prior year accrual................................</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Other...........................................................</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Income tax expense..............................................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Company's  net  deferred  tax  liability  consists  of  the  following</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6200" w:type="dxa"/>
            <w:vAlign w:val="bottom"/>
          </w:tcPr>
          <w:p>
            <w:pPr>
              <w:spacing w:after="0"/>
              <w:rPr>
                <w:sz w:val="20"/>
                <w:szCs w:val="20"/>
                <w:color w:val="auto"/>
              </w:rPr>
            </w:pPr>
            <w:r>
              <w:rPr>
                <w:rFonts w:ascii="Courier New" w:cs="Courier New" w:eastAsia="Courier New" w:hAnsi="Courier New"/>
                <w:sz w:val="15"/>
                <w:szCs w:val="15"/>
                <w:color w:val="auto"/>
              </w:rPr>
              <w:t>components (in millions):</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53"/>
        </w:trPr>
        <w:tc>
          <w:tcPr>
            <w:tcW w:w="6200" w:type="dxa"/>
            <w:vAlign w:val="bottom"/>
          </w:tcPr>
          <w:p>
            <w:pPr>
              <w:spacing w:after="0"/>
              <w:rPr>
                <w:sz w:val="24"/>
                <w:szCs w:val="24"/>
                <w:color w:val="auto"/>
              </w:rPr>
            </w:pPr>
          </w:p>
        </w:tc>
        <w:tc>
          <w:tcPr>
            <w:tcW w:w="25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spacing w:after="0"/>
              <w:rPr>
                <w:sz w:val="24"/>
                <w:szCs w:val="2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w w:val="99"/>
              </w:rPr>
              <w:t>Net operating loss carryforwards.............................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w:t>
            </w: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rPr>
              <w:t>Allowances for doubtful accounts and excess</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obsolete inventory....................................</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w:t>
            </w: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w w:val="99"/>
              </w:rPr>
              <w:t>Differences between book and tax basis of long-term debt.....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424</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w w:val="99"/>
              </w:rPr>
              <w:t>Non- deductible accruals and other...........................</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1,866</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w:t>
            </w: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w w:val="99"/>
              </w:rPr>
              <w:t>Less: Valuation allowance....................................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2,913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519</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34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Deferred tax liabilities:</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rPr>
              <w:t>Temporary differences, principally book and tax basis</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property and equipment and intangible assets............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$20,552</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6,329</w:t>
            </w: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investments.............................................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6,038</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w:t>
            </w:r>
          </w:p>
        </w:tc>
        <w:tc>
          <w:tcPr>
            <w:tcW w:w="1160" w:type="dxa"/>
            <w:vAlign w:val="bottom"/>
          </w:tcPr>
          <w:p>
            <w:pPr>
              <w:spacing w:after="0"/>
              <w:rPr>
                <w:sz w:val="14"/>
                <w:szCs w:val="14"/>
                <w:color w:val="auto"/>
              </w:rPr>
            </w:pPr>
          </w:p>
        </w:tc>
      </w:tr>
      <w:tr>
        <w:trPr>
          <w:trHeight w:val="171"/>
        </w:trPr>
        <w:tc>
          <w:tcPr>
            <w:tcW w:w="620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 of</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indexed debt securities....................................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409</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26,999</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7,170</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1"/>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w w:val="99"/>
              </w:rPr>
              <w:t>Net deferred tax liability......................................</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$24,086</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$6,651</w:t>
            </w:r>
          </w:p>
        </w:tc>
        <w:tc>
          <w:tcPr>
            <w:tcW w:w="1160" w:type="dxa"/>
            <w:vAlign w:val="bottom"/>
          </w:tcPr>
          <w:p>
            <w:pPr>
              <w:spacing w:after="0"/>
              <w:rPr>
                <w:sz w:val="14"/>
                <w:szCs w:val="14"/>
                <w:color w:val="auto"/>
              </w:rPr>
            </w:pPr>
          </w:p>
        </w:tc>
      </w:tr>
      <w:tr>
        <w:trPr>
          <w:trHeight w:val="171"/>
        </w:trPr>
        <w:tc>
          <w:tcPr>
            <w:tcW w:w="62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bl>
    <w:p>
      <w:pPr>
        <w:spacing w:after="0" w:line="345"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The Company recorded $17.541 billion of deferred income tax liabilities in 2002 in connection with the Broadband acquisition, principally related to basis differences in investments, property and equipment and intangible assets. Changes in estimates as it relates to Broadband's preacquisition tax liabilities will be adjusted through an increase or decrease in goodwill attributable to the acquisition. The Company recorded a decrease of ($221) million, ($149) million and ($3.055) billion to deferred income tax liabilities in 2002, 2001 and 2000, respectively, in connection with unrealized losses on marketable securities which are included in other comprehensive income (loss). The Company recorded $207 million of deferred income tax liabilities in 2001 in connection with the cumulative effect of accounting change related to the adoption of SFAS No. 133 (see Note 2).</w:t>
      </w:r>
    </w:p>
    <w:p>
      <w:pPr>
        <w:spacing w:after="0" w:line="33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- 77 -</w:t>
      </w:r>
    </w:p>
    <w:p>
      <w:pPr>
        <w:sectPr>
          <w:pgSz w:w="11900" w:h="16838" w:orient="portrait"/>
          <w:cols w:equalWidth="0" w:num="1">
            <w:col w:w="10219"/>
          </w:cols>
          <w:pgMar w:left="240" w:top="628" w:right="1440" w:bottom="1440" w:gutter="0" w:footer="0" w:header="0"/>
        </w:sectPr>
      </w:pPr>
    </w:p>
    <w:bookmarkStart w:id="87" w:name="page88"/>
    <w:bookmarkEnd w:id="87"/>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The Company has recorded net deferred tax liabilities of $976 million and $275 million, as of December 31, 2002 and 2001, respectively, which have been included in current liabilities, related primarily to current investments. The Company has federal net operating loss carryforwards of approximately $950 million and various state net operating loss carryforwards, which expire in periods through 2022.</w:t>
      </w:r>
    </w:p>
    <w:p>
      <w:pPr>
        <w:spacing w:after="0" w:line="172" w:lineRule="exact"/>
        <w:rPr>
          <w:sz w:val="20"/>
          <w:szCs w:val="20"/>
          <w:color w:val="auto"/>
        </w:rPr>
      </w:pPr>
    </w:p>
    <w:p>
      <w:pPr>
        <w:ind w:left="449" w:hanging="449"/>
        <w:spacing w:after="0"/>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fair values of the assets and liabilities associated with acquisitions by the Company through noncash transactions (see Note 5) (in millions):</w:t>
      </w:r>
    </w:p>
    <w:p>
      <w:pPr>
        <w:spacing w:after="0" w:line="200" w:lineRule="exact"/>
        <w:rPr>
          <w:sz w:val="20"/>
          <w:szCs w:val="20"/>
          <w:color w:val="auto"/>
        </w:rPr>
      </w:pPr>
    </w:p>
    <w:p>
      <w:pPr>
        <w:spacing w:after="0" w:line="314"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37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72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7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Current assets.................................................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Investments....................................................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17,325</w:t>
            </w:r>
          </w:p>
        </w:tc>
        <w:tc>
          <w:tcPr>
            <w:tcW w:w="138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437</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Property and equipment.........................................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11,757</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1,296</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Intangible assets..............................................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46,510</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3,043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15,400</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noncurrent assets........................................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Current liabilities............................................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(4,694)</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Short-term debt and current portion of long-term debt..........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(8,049)</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Long-term debt.................................................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(16,811)</w:t>
            </w:r>
          </w:p>
        </w:tc>
        <w:tc>
          <w:tcPr>
            <w:tcW w:w="1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(2,147)</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Deferred income taxes..........................................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(17,541)</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(3,308)</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noncurrent liabilities and minority interest.............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(5,831)</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Comcast shares held by Broadband...............................</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1,126</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assets acquired.......................................</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$25,625</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$3,566</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$11,617</w:t>
            </w:r>
          </w:p>
        </w:tc>
      </w:tr>
      <w:tr>
        <w:trPr>
          <w:trHeight w:val="171"/>
        </w:trPr>
        <w:tc>
          <w:tcPr>
            <w:tcW w:w="57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table summarizes the Company's cash payments for interest and income taxes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28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670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7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$803</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$288</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bl>
    <w:p>
      <w:pPr>
        <w:spacing w:after="0" w:line="342" w:lineRule="exact"/>
        <w:rPr>
          <w:sz w:val="20"/>
          <w:szCs w:val="20"/>
          <w:color w:val="auto"/>
        </w:rPr>
      </w:pPr>
    </w:p>
    <w:p>
      <w:pPr>
        <w:ind w:left="44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3"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2002.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w:t>
      </w:r>
    </w:p>
    <w:p>
      <w:pPr>
        <w:spacing w:after="0" w:line="176" w:lineRule="exact"/>
        <w:rPr>
          <w:rFonts w:ascii="Courier New" w:cs="Courier New" w:eastAsia="Courier New" w:hAnsi="Courier New"/>
          <w:sz w:val="15"/>
          <w:szCs w:val="15"/>
          <w:color w:val="auto"/>
        </w:rPr>
      </w:pPr>
    </w:p>
    <w:p>
      <w:pPr>
        <w:jc w:val="both"/>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Broadband acquisition, certain subsidiaries of the Company support debt compliance with respect to obligations aggregating $1.461 billion as of December 31, 2002 of certain cable television partnerships which the Company accounts for under the equity method (see Note 6). The obligations expire between May 2008 and May 2009. Although there can be no assurance, management believes that it will not be required to meet its obligations under such guarantees. The total notional amount of guarantees for the Company was $1.461 billion as of December 31, 2002, at which time there were no quoted market prices for similar agreements.</w:t>
      </w:r>
    </w:p>
    <w:p>
      <w:pPr>
        <w:spacing w:after="0" w:line="177" w:lineRule="exact"/>
        <w:rPr>
          <w:rFonts w:ascii="Courier New" w:cs="Courier New" w:eastAsia="Courier New" w:hAnsi="Courier New"/>
          <w:sz w:val="15"/>
          <w:szCs w:val="15"/>
          <w:color w:val="auto"/>
        </w:rPr>
      </w:pPr>
    </w:p>
    <w:p>
      <w:pPr>
        <w:jc w:val="both"/>
        <w:ind w:left="449"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summarizes the Company's minimum annual programming commitments under network launch and program license agreements, the Company's future commitments under long-term professional sports contracts,</w:t>
      </w:r>
    </w:p>
    <w:p>
      <w:pPr>
        <w:spacing w:after="0" w:line="156"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78 -</w:t>
      </w:r>
    </w:p>
    <w:p>
      <w:pPr>
        <w:sectPr>
          <w:pgSz w:w="11900" w:h="16838" w:orient="portrait"/>
          <w:cols w:equalWidth="0" w:num="1">
            <w:col w:w="10228"/>
          </w:cols>
          <w:pgMar w:left="231" w:top="628"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5"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and the Company's minimum annual rental commitments for office space, equipment and transponder service agreements under noncancellable operating and capital leases as of December 31, 2002 (in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Professional</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Programming</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Sports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Operating</w:t>
            </w:r>
          </w:p>
        </w:tc>
        <w:tc>
          <w:tcPr>
            <w:tcW w:w="9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Agreements</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Contracts</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Leases</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840" w:type="dxa"/>
            <w:vAlign w:val="bottom"/>
          </w:tcPr>
          <w:p>
            <w:pPr>
              <w:spacing w:after="0"/>
              <w:rPr>
                <w:sz w:val="14"/>
                <w:szCs w:val="14"/>
                <w:color w:val="auto"/>
              </w:rPr>
            </w:pPr>
          </w:p>
        </w:tc>
        <w:tc>
          <w:tcPr>
            <w:tcW w:w="1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$104</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98</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101</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485</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r>
    </w:tbl>
    <w:p>
      <w:pPr>
        <w:spacing w:after="0" w:line="200" w:lineRule="exact"/>
        <w:rPr>
          <w:sz w:val="20"/>
          <w:szCs w:val="20"/>
          <w:color w:val="auto"/>
        </w:rPr>
      </w:pPr>
    </w:p>
    <w:p>
      <w:pPr>
        <w:sectPr>
          <w:pgSz w:w="11900" w:h="16838" w:orient="portrait"/>
          <w:cols w:equalWidth="0" w:num="1">
            <w:col w:w="10219"/>
          </w:cols>
          <w:pgMar w:left="240" w:top="628" w:right="1440" w:bottom="457" w:gutter="0" w:footer="0" w:header="0"/>
        </w:sectPr>
      </w:pPr>
    </w:p>
    <w:p>
      <w:pPr>
        <w:spacing w:after="0" w:line="14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The following</w:t>
      </w:r>
      <w:r>
        <w:rPr>
          <w:sz w:val="20"/>
          <w:szCs w:val="20"/>
          <w:color w:val="auto"/>
        </w:rPr>
        <w:tab/>
      </w:r>
      <w:r>
        <w:rPr>
          <w:rFonts w:ascii="Courier New" w:cs="Courier New" w:eastAsia="Courier New" w:hAnsi="Courier New"/>
          <w:sz w:val="14"/>
          <w:szCs w:val="14"/>
          <w:color w:val="auto"/>
        </w:rPr>
        <w:t>table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summarizes the Company's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rental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expense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9" w:lineRule="exact"/>
        <w:rPr>
          <w:sz w:val="20"/>
          <w:szCs w:val="20"/>
          <w:color w:val="auto"/>
        </w:rPr>
      </w:pPr>
    </w:p>
    <w:p>
      <w:pPr>
        <w:sectPr>
          <w:pgSz w:w="11900" w:h="16838" w:orient="portrait"/>
          <w:cols w:equalWidth="0" w:num="5">
            <w:col w:w="2200" w:space="180"/>
            <w:col w:w="2140" w:space="180"/>
            <w:col w:w="520" w:space="180"/>
            <w:col w:w="620" w:space="180"/>
            <w:col w:w="4019"/>
          </w:cols>
          <w:pgMar w:left="240" w:top="628" w:right="1440" w:bottom="457"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operations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Year Ended December 31,</w:t>
      </w:r>
    </w:p>
    <w:p>
      <w:pPr>
        <w:spacing w:after="0" w:line="1" w:lineRule="exact"/>
        <w:rPr>
          <w:sz w:val="20"/>
          <w:szCs w:val="20"/>
          <w:color w:val="auto"/>
        </w:rPr>
      </w:pPr>
    </w:p>
    <w:p>
      <w:pPr>
        <w:ind w:left="7100"/>
        <w:spacing w:after="0"/>
        <w:tabs>
          <w:tab w:leader="none" w:pos="7960" w:val="left"/>
          <w:tab w:leader="none" w:pos="90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6920"/>
        <w:spacing w:after="0"/>
        <w:tabs>
          <w:tab w:leader="none" w:pos="7780" w:val="left"/>
          <w:tab w:leader="none" w:pos="88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457"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8" w:lineRule="exact"/>
        <w:rPr>
          <w:sz w:val="20"/>
          <w:szCs w:val="20"/>
          <w:color w:val="auto"/>
        </w:rPr>
      </w:pPr>
    </w:p>
    <w:p>
      <w:pPr>
        <w:sectPr>
          <w:pgSz w:w="11900" w:h="16838" w:orient="portrait"/>
          <w:cols w:equalWidth="0" w:num="4">
            <w:col w:w="6640" w:space="460"/>
            <w:col w:w="340" w:space="540"/>
            <w:col w:w="360" w:space="700"/>
            <w:col w:w="1179"/>
          </w:cols>
          <w:pgMar w:left="240" w:top="628" w:right="1440" w:bottom="457" w:gutter="0" w:footer="0" w:header="0"/>
          <w:type w:val="continuous"/>
        </w:sectPr>
      </w:pPr>
    </w:p>
    <w:p>
      <w:pPr>
        <w:spacing w:after="0" w:line="1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March 3, 2003, the Company announced that Liberty Media Corporation ("Liberty") delivered a notice to it, pursuant to the stockholders agreement between the Company and Liberty, that triggers an exit rights process with respect to Liberty's approximate 42% interest in QVC. The Company and Liberty will attempt to negotiate the fair market value of QVC prior to March 31, 2003. If the Company and Liberty cannot agree, an appraisal process will determine the value of QVC. The Company will then have the right to purchase Liberty's interest in QVC at the determined value. The Company may pay Liberty for the QVC stock in cash, in a promissory note maturing not more than three years after issuance, in its equity securities or in a combination of these, subject to Liberty's right to request payment in all equity securities and the parties' obligation to use reasonable efforts to consummate the purchase in the most tax efficient method available (provided that the Company is not required to issue securities representing more than 4.9% of the outstanding equity or vote of the Company's common stock). If the Company elects not to purchase Liberty's interest in QVC, Liberty then will have a similar right to purchase the Company's approximate 57% interest in QVC. If neither the Company nor Liberty elect to purchase the interest of the other, then the Company and Liberty are required to use their best efforts to sell QVC; either company is permitted to be a purchaser in any such sale. The Company and Liberty may agree not to enter into a transaction, or may agree to a transaction other than that specified in the stockholders agreement. Under the current terms of the stockholders agreement between the Company and Liberty, the Company would no longer control QVC if it elects not to purchase Liberty's interest in QVC.</w:t>
      </w:r>
    </w:p>
    <w:p>
      <w:pPr>
        <w:spacing w:after="0" w:line="19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and the minority owner group in Comcast Spectacor each have the right to initiate an "exit" process under which the fair market value of Comcast Spectacor would be determined by appraisal. Following such determination, the Company would have the option to acquire the interests in Comcast Spectacor owned by the minority owner group based on the appraised fair market value. In the event the Company does not exercise this option, the Company and the minority owner group would then be required to use their best efforts to sell Comcast Spectacor. This exit process includes the minority owner group's interest in CSN.</w:t>
      </w:r>
    </w:p>
    <w:p>
      <w:pPr>
        <w:spacing w:after="0" w:line="17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holds the majority of its interest in E! Entertainment through Comcast Entertainment Holdings, LLC ("Entertainment Holdings"), which is owned 50.1% by the Company and 49.9% by The Walt Disney Company ("Disney"). Under a limited liability company agreement between the Company and Disney, the Company controls E! Entertainment's operations. As a result of the Broadband acquisition and in certain other circumstances, under the agreement Disney is entitled to trigger a potential exit process in which Entertainment Holdings would have</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- 79 -</w:t>
      </w:r>
    </w:p>
    <w:p>
      <w:pPr>
        <w:sectPr>
          <w:pgSz w:w="11900" w:h="16838" w:orient="portrait"/>
          <w:cols w:equalWidth="0" w:num="1">
            <w:col w:w="10219"/>
          </w:cols>
          <w:pgMar w:left="240" w:top="628" w:right="1440" w:bottom="457" w:gutter="0" w:footer="0" w:header="0"/>
          <w:type w:val="continuous"/>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the Company's entire interest in Entertainment Holdings or all of the shares of stock of E! Entertainment held by Entertainment Holdings. In the event that Disney exercises its right and neither Disney's nor the Company's interest is purchased, Entertainment Holdings will continue to be owned as it is today, as if the exit process had not been triggered.</w:t>
      </w:r>
    </w:p>
    <w:p>
      <w:pPr>
        <w:spacing w:after="0" w:line="178"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7"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Under the terms of the Broadband acquisition, the Company is contractually liable for 50% of any liabilities of AT&amp;T relating to At Home, including any resulting from any pending or threatened litigation. AT&amp;T will be liable for the other 50% of these liabilities. In addition to the actions against AT&amp;T described above, where the Company is also a defendant, there are two additional actions brought by At Home's bondholders' liquidating trust against AT&amp;T, not naming the Company: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8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- 80 -</w:t>
      </w:r>
    </w:p>
    <w:p>
      <w:pPr>
        <w:sectPr>
          <w:pgSz w:w="11900" w:h="16838" w:orient="portrait"/>
          <w:cols w:equalWidth="0" w:num="1">
            <w:col w:w="10219"/>
          </w:cols>
          <w:pgMar w:left="240" w:top="628"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Management is continuing to evaluate this litigation and is unable to currently determine what impact, if any, that the Company's 50% share of the AT&amp;T At Home potential liabilities would have on the Company's consolidated financial position or results of operations. No assurance can be given that any adverse outcome would not be material.</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Some of the entities formerly attributed to Broadband which are now subsidiaries of the Company are parties to an affiliation term sheet with Starz Encore Group LLC, an affiliate of Liberty Media Corporation, which extends to 2022. The term sheet requires annual fixed price payments, subject to adjustment for various factors, including inflation. The term sheet also requires the Company to pay two-thirds of Starz Encore's programming costs above levels designated in the term sheet. Excess programming costs that may be payable by the Company in future years are not presently estimable, and could be significant.</w:t>
      </w:r>
    </w:p>
    <w:p>
      <w:pPr>
        <w:spacing w:after="0" w:line="177"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200" w:lineRule="exact"/>
        <w:rPr>
          <w:sz w:val="20"/>
          <w:szCs w:val="20"/>
          <w:color w:val="auto"/>
        </w:rPr>
      </w:pPr>
    </w:p>
    <w:p>
      <w:pPr>
        <w:spacing w:after="0" w:line="316"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November 18, 2002, the Company and Comcast Holdings filed suit against Starz Encore in the United States District Court for the Eastern District of Pennsylvania. The Company and Comcast Holdings seek a declaratory judgment that, pursuant to their rights under a March 17, 1999 contract with a predecessor of Starz Encore, upon the completion of the Broadband acquisition that contract now provides the terms under which Starz Encore programming is acquired and transmitted by the Company's cable systems. On January 8, 2003, Starz Encore filed a motion to dismiss the lawsuit on the grounds that claims asserted by the Company and Comcast Holdings raised issues of state law that the United States District Court should decline to decide. The Company has responded contesting these assertions. That motion has been submitted to the Court for decision.</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January 31, 2003, Starz Encore filed an amended complaint in its lawsuit against Broadband in Colorado state court. The amended complaint adds the Company and Comcast Holdings as defendants and adds new claims against the Company, Comcast Holdings and Broadband asserting alleged breaches of, and interference with, the standstill agreement relating to the lawsuit filed by the Company and Comcast Holdings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78"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On March 3, 2003, Starz Encore filed a motion for leave to file a second amended complaint that would add allegations that Broadband has breached certain joint-marketing obligations under the term sheet and that the Company and Comcast Holdings have breached certain joint-marketing obligations under the March 17, 1999 contract and other agreements. The Company, Comcast Holdings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- 81 -</w:t>
      </w:r>
    </w:p>
    <w:p>
      <w:pPr>
        <w:sectPr>
          <w:pgSz w:w="11900" w:h="16838" w:orient="portrait"/>
          <w:cols w:equalWidth="0" w:num="1">
            <w:col w:w="10219"/>
          </w:cols>
          <w:pgMar w:left="240" w:top="628" w:right="1440" w:bottom="969"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An entity formerly attributed to Broadband, which is now a subsidiary of the Company,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the Company is now bound by the master agreement to use CSG as its exclusive provider for certain billing and customer care services; (iii) tortious interference with prospective contractual relations; and (iv) civil conspiracy. A hearing in the arbitration is scheduled to commence on May 5, 2003.</w:t>
      </w:r>
    </w:p>
    <w:p>
      <w:pPr>
        <w:spacing w:after="0" w:line="179"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the Company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owned by the Company may be added to a billing service agreement between the Company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81"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On January 8, 2003, Liberty Digital, Inc. filed a complaint in Colorado state court against the Company and Comcast Cable Holdings, LLC (formerly AT&amp;T Broadband LLC and Tele-Communications, Inc.), a wholly owned subsidiary of the Company. The complaint alleges that Comcast Cable Holdings breached a 1997 "contribution agreement" between Liberty Digital and Comcast Cable Holdings and that the Company tortiously interfered with that agreement. The complaint alleges that this purported agreement obligates Comcast Cable Holdings to pay fees to Liberty Digital totaling $18 million (increasing at CPI) per year through 2017. The Company and Comcast Cable Holdings filed their answer to the complaint on March 5, 2003, in which they denied the essential allegations of the complaint and asserted various affirmative defenses.</w:t>
      </w:r>
    </w:p>
    <w:p>
      <w:pPr>
        <w:spacing w:after="0" w:line="180"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management's opinion, the final disposition of the Starz Encore, CSG and Liberty Digital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7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4"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- 82 -</w:t>
      </w:r>
    </w:p>
    <w:p>
      <w:pPr>
        <w:sectPr>
          <w:pgSz w:w="11900" w:h="16838" w:orient="portrait"/>
          <w:cols w:equalWidth="0" w:num="1">
            <w:col w:w="10219"/>
          </w:cols>
          <w:pgMar w:left="240" w:top="628" w:right="1440" w:bottom="1440" w:gutter="0" w:footer="0" w:header="0"/>
        </w:sectPr>
      </w:pPr>
    </w:p>
    <w:bookmarkStart w:id="92" w:name="page93"/>
    <w:bookmarkEnd w:id="92"/>
    <w:p>
      <w:pPr>
        <w:ind w:left="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 FINANCIAL DATA BY BUSINESS SEGMENT</w:t>
      </w:r>
    </w:p>
    <w:p>
      <w:pPr>
        <w:spacing w:after="0" w:line="174" w:lineRule="exact"/>
        <w:rPr>
          <w:sz w:val="20"/>
          <w:szCs w:val="20"/>
          <w:color w:val="auto"/>
        </w:rPr>
      </w:pPr>
    </w:p>
    <w:p>
      <w:pPr>
        <w:jc w:val="both"/>
        <w:ind w:left="449" w:right="3900"/>
        <w:spacing w:after="0"/>
        <w:rPr>
          <w:sz w:val="20"/>
          <w:szCs w:val="20"/>
          <w:color w:val="auto"/>
        </w:rPr>
      </w:pPr>
      <w:r>
        <w:rPr>
          <w:rFonts w:ascii="Courier New" w:cs="Courier New" w:eastAsia="Courier New" w:hAnsi="Courier New"/>
          <w:sz w:val="15"/>
          <w:szCs w:val="15"/>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(dollars in millions).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Cable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Commerce</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and Other(1)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Revenues (2)...........................................................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$7,350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$12,460</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 amortization (3)..............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858</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3,691</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2,032</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 ...............................................</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739</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1,659</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884</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106,291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3,814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113,105</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26,033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27,957</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1,975</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Revenues (2)...........................................................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$3,917</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$9,836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 (loss) before depreciation</w:t>
            </w:r>
          </w:p>
        </w:tc>
        <w:tc>
          <w:tcPr>
            <w:tcW w:w="244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2,670</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3,416</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579</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(746)</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734</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29,085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2,809</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6,367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38,261</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8,363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3,316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11,742</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2,182</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Revenues (2)...........................................................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 (loss) before depreciation</w:t>
            </w:r>
          </w:p>
        </w:tc>
        <w:tc>
          <w:tcPr>
            <w:tcW w:w="244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619</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2,458</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2,619</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493</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728</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25,764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7,478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35,874</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6,711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302</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3,504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10,517</w:t>
            </w:r>
          </w:p>
        </w:tc>
      </w:tr>
      <w:tr>
        <w:trPr>
          <w:trHeight w:val="171"/>
        </w:trPr>
        <w:tc>
          <w:tcPr>
            <w:tcW w:w="642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______________</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4" w:lineRule="exact"/>
        <w:rPr>
          <w:sz w:val="20"/>
          <w:szCs w:val="20"/>
          <w:color w:val="auto"/>
        </w:rPr>
      </w:pPr>
    </w:p>
    <w:p>
      <w:pPr>
        <w:jc w:val="both"/>
        <w:ind w:left="449" w:right="3900"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and intangible assets related to the Company's content operations (see Notes 6 and 7).</w:t>
      </w:r>
    </w:p>
    <w:p>
      <w:pPr>
        <w:spacing w:after="0" w:line="4" w:lineRule="exact"/>
        <w:rPr>
          <w:rFonts w:ascii="Courier New" w:cs="Courier New" w:eastAsia="Courier New" w:hAnsi="Courier New"/>
          <w:sz w:val="15"/>
          <w:szCs w:val="15"/>
          <w:color w:val="auto"/>
        </w:rPr>
      </w:pPr>
    </w:p>
    <w:p>
      <w:pPr>
        <w:jc w:val="both"/>
        <w:ind w:left="449" w:right="3900" w:hanging="449"/>
        <w:spacing w:after="0" w:line="239" w:lineRule="auto"/>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$678 million, $508 million and $458 million in 2002, 2001 and 2000, respectively, of non-US revenues, principally related to the Company's Commerce segment. No single customer accounted for a significant amount of the Company's revenues in any period.</w:t>
      </w:r>
    </w:p>
    <w:p>
      <w:pPr>
        <w:spacing w:after="0" w:line="5" w:lineRule="exact"/>
        <w:rPr>
          <w:rFonts w:ascii="Courier New" w:cs="Courier New" w:eastAsia="Courier New" w:hAnsi="Courier New"/>
          <w:sz w:val="15"/>
          <w:szCs w:val="15"/>
          <w:color w:val="auto"/>
        </w:rPr>
      </w:pPr>
    </w:p>
    <w:p>
      <w:pPr>
        <w:jc w:val="both"/>
        <w:ind w:left="449" w:right="3900" w:hanging="449"/>
        <w:spacing w:after="0" w:line="259" w:lineRule="auto"/>
        <w:tabs>
          <w:tab w:leader="none" w:pos="44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"EBITDA." EBITDA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EBITDA is frequently used as one of the bases for comparing businesses in the Company's industries, although the Company's measure of EBITDA may not be comparable to similarly titled measures of other companies. EBITDA is the primary basis used by the Company's management to measure the operating performance of its businesses. EBITDA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85" w:lineRule="exact"/>
        <w:rPr>
          <w:rFonts w:ascii="Courier New" w:cs="Courier New" w:eastAsia="Courier New" w:hAnsi="Courier New"/>
          <w:sz w:val="14"/>
          <w:szCs w:val="14"/>
          <w:color w:val="auto"/>
        </w:rPr>
      </w:pPr>
    </w:p>
    <w:p>
      <w:pPr>
        <w:ind w:left="3469" w:hanging="185"/>
        <w:spacing w:after="0"/>
        <w:tabs>
          <w:tab w:leader="none" w:pos="34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w:t>
      </w:r>
    </w:p>
    <w:p>
      <w:pPr>
        <w:sectPr>
          <w:pgSz w:w="11900" w:h="16838" w:orient="portrait"/>
          <w:cols w:equalWidth="0" w:num="1">
            <w:col w:w="11009"/>
          </w:cols>
          <w:pgMar w:left="231" w:top="628" w:right="659" w:bottom="798"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First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Third</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Quarter</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140" w:type="dxa"/>
            <w:vAlign w:val="bottom"/>
            <w:gridSpan w:val="5"/>
          </w:tcPr>
          <w:p>
            <w:pPr>
              <w:jc w:val="right"/>
              <w:ind w:right="546"/>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341"/>
        </w:trPr>
        <w:tc>
          <w:tcPr>
            <w:tcW w:w="16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$2,709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$12,460</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Operating income..........................................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1,659</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accounting change......................................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stockholders per common share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before cumulative effect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accounting change......................................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stockholders per common share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before cumulative effect of</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accounting change......................................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amortization (1).......................................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w:t>
            </w:r>
          </w:p>
        </w:tc>
      </w:tr>
      <w:tr>
        <w:trPr>
          <w:trHeight w:val="341"/>
        </w:trPr>
        <w:tc>
          <w:tcPr>
            <w:tcW w:w="1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$2,338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$9,836</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Operating loss............................................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cumulative effect of accounting</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stockholders per common share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before cumulative effect of accounting</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0.64</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stockholders per common share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before cumulative effect of accounting</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0.63</w:t>
            </w:r>
          </w:p>
        </w:tc>
      </w:tr>
      <w:tr>
        <w:trPr>
          <w:trHeight w:val="171"/>
        </w:trPr>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00" w:type="dxa"/>
            <w:vAlign w:val="bottom"/>
          </w:tcPr>
          <w:p>
            <w:pPr>
              <w:ind w:left="460"/>
              <w:spacing w:after="0"/>
              <w:rPr>
                <w:sz w:val="20"/>
                <w:szCs w:val="20"/>
                <w:color w:val="auto"/>
              </w:rPr>
            </w:pPr>
            <w:r>
              <w:rPr>
                <w:rFonts w:ascii="Courier New" w:cs="Courier New" w:eastAsia="Courier New" w:hAnsi="Courier New"/>
                <w:sz w:val="15"/>
                <w:szCs w:val="15"/>
                <w:color w:val="auto"/>
              </w:rPr>
              <w:t>amortization</w:t>
            </w:r>
          </w:p>
        </w:tc>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8"/>
              </w:rPr>
              <w:t>(1).....................................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693</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See Note 14,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- 84 -</w:t>
      </w:r>
    </w:p>
    <w:p>
      <w:pPr>
        <w:sectPr>
          <w:pgSz w:w="11900" w:h="16838" w:orient="portrait"/>
          <w:cols w:equalWidth="0" w:num="1">
            <w:col w:w="10460"/>
          </w:cols>
          <w:pgMar w:left="240" w:top="628" w:right="1199"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CONDENSED CONSOLIDATING FINANCIAL INFORMATION</w:t>
      </w:r>
    </w:p>
    <w:p>
      <w:pPr>
        <w:spacing w:after="0" w:line="174" w:lineRule="exact"/>
        <w:rPr>
          <w:sz w:val="20"/>
          <w:szCs w:val="20"/>
          <w:color w:val="auto"/>
        </w:rPr>
      </w:pPr>
    </w:p>
    <w:p>
      <w:pPr>
        <w:jc w:val="both"/>
        <w:ind w:left="440" w:right="3620"/>
        <w:spacing w:after="0"/>
        <w:rPr>
          <w:sz w:val="20"/>
          <w:szCs w:val="20"/>
          <w:color w:val="auto"/>
        </w:rPr>
      </w:pPr>
      <w:r>
        <w:rPr>
          <w:rFonts w:ascii="Courier New" w:cs="Courier New" w:eastAsia="Courier New" w:hAnsi="Courier New"/>
          <w:sz w:val="15"/>
          <w:szCs w:val="15"/>
          <w:color w:val="auto"/>
        </w:rPr>
        <w:t>In November 2002, in order to simplify the Company's capital structure, the Company and four of its cable holding company subsidiaries, Comcast Cable Communications, Inc. (Comcast Cable or "CCCI"), Comcast Cable Communications Holdings, Inc. (Comcast Cable Communications Holdings or "CCCH"), Comcast MO Group, Inc. ("Comcast MO Group"), and Comcast Cable Holdings, LLC (Comcast Cable Holdings or "CCH", and together with Comcast MO Group, "CCHMO"), fully and unconditionally guaranteed each other's debt securities (see Note 8). Condensed consolidating financial information of the Company as of and for the year ended December 31, 2002 is as follows (in millions):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Condensed Consolidating Balance Sheet</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As of December 31, 2002</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24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Combined</w:t>
            </w: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39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Comcast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CCCI</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CCCH</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CCHMO</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Guarantor</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Consolidation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39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Parent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Parent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Parent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Parents Subsidiaries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Cash and cash equivalents................</w:t>
            </w: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$781</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$781</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Investments..............................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3,236</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3,266</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Accounts receivable, net.................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1,383</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1,383</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Inventories, net.........................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479</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479</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Assets held for sale.....................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613</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613</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Deferred income taxes....................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129</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Other 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403</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425</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7,024</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7,076</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INVESTMENTS..............................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15,207</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15,207</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AND AMOUNTS DUE FROM</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SUBSIDIARIES ELIMINATED UPON</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CONSOLIDATION..........................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39,356</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33,683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40,749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13,913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(149,519)</w:t>
            </w:r>
          </w:p>
        </w:tc>
        <w:tc>
          <w:tcPr>
            <w:tcW w:w="1240" w:type="dxa"/>
            <w:vAlign w:val="bottom"/>
          </w:tcPr>
          <w:p>
            <w:pPr>
              <w:spacing w:after="0"/>
              <w:rPr>
                <w:sz w:val="14"/>
                <w:szCs w:val="14"/>
                <w:color w:val="auto"/>
              </w:rPr>
            </w:pP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PROPERTY AND EQUIPMENT, net..............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18,866</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18,866</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FRANCHISE RIGHTS.........................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48,222</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48,222</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GOODWILL.................................</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17,397</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17,397</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OTHER INTANGIBLE ASSETS, net.............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5,599</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5,599</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444</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738</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Total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$39,482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$21,917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$33,804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$40,749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$126,672</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$113,105</w:t>
            </w:r>
          </w:p>
        </w:tc>
      </w:tr>
      <w:tr>
        <w:trPr>
          <w:trHeight w:val="171"/>
        </w:trPr>
        <w:tc>
          <w:tcPr>
            <w:tcW w:w="3940" w:type="dxa"/>
            <w:vAlign w:val="bottom"/>
          </w:tcPr>
          <w:p>
            <w:pPr>
              <w:spacing w:after="0"/>
              <w:rPr>
                <w:sz w:val="14"/>
                <w:szCs w:val="14"/>
                <w:color w:val="auto"/>
              </w:rPr>
            </w:pPr>
          </w:p>
        </w:tc>
        <w:tc>
          <w:tcPr>
            <w:tcW w:w="4340" w:type="dxa"/>
            <w:vAlign w:val="bottom"/>
            <w:gridSpan w:val="5"/>
          </w:tcPr>
          <w:p>
            <w:pPr>
              <w:jc w:val="right"/>
              <w:ind w:right="226"/>
              <w:spacing w:after="0"/>
              <w:rPr>
                <w:sz w:val="20"/>
                <w:szCs w:val="20"/>
                <w:color w:val="auto"/>
              </w:rPr>
            </w:pPr>
            <w:r>
              <w:rPr>
                <w:rFonts w:ascii="Courier New" w:cs="Courier New" w:eastAsia="Courier New" w:hAnsi="Courier New"/>
                <w:sz w:val="15"/>
                <w:szCs w:val="15"/>
                <w:color w:val="auto"/>
                <w:w w:val="99"/>
              </w:rPr>
              <w:t>======== ======== ======== ========= ========</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Accounts payable.........................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$1,662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$1,663</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liabilities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4,819</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5,649</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Liabilities related to assets held</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for sale...............................</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Deferred income taxes....................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1,105</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1,105</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Short-term debt..........................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3,750</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Current portion of long-term debt........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1,465</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1,738</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3,203</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current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9,337</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15,383</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LONG-TERM DEBT, less current portion.....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4,932</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8,443</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27,957</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DEFERRED INCOME TAXES....................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23,110</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23,110</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OTHER NONCURRENT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5,188</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5,652</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MINORITY INTEREST........................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2,674</w:t>
            </w: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2,674</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w w:val="99"/>
              </w:rPr>
              <w:t>Other stockholders' equity...............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38,304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33,683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77,920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38,304</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Stockholders' Equity.............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38,329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33,683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77,920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38,329</w:t>
            </w:r>
          </w:p>
        </w:tc>
      </w:tr>
      <w:tr>
        <w:trPr>
          <w:trHeight w:val="171"/>
        </w:trPr>
        <w:tc>
          <w:tcPr>
            <w:tcW w:w="39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40" w:type="dxa"/>
            <w:vAlign w:val="bottom"/>
          </w:tcPr>
          <w:p>
            <w:pPr>
              <w:ind w:left="620"/>
              <w:spacing w:after="0"/>
              <w:rPr>
                <w:sz w:val="20"/>
                <w:szCs w:val="20"/>
                <w:color w:val="auto"/>
              </w:rPr>
            </w:pPr>
            <w:r>
              <w:rPr>
                <w:rFonts w:ascii="Courier New" w:cs="Courier New" w:eastAsia="Courier New" w:hAnsi="Courier New"/>
                <w:sz w:val="15"/>
                <w:szCs w:val="15"/>
                <w:color w:val="auto"/>
              </w:rPr>
              <w:t>Equity..............................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$39,482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$21,917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$33,804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$40,749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$126,672</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($149,519)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$113,105</w:t>
            </w:r>
          </w:p>
        </w:tc>
      </w:tr>
      <w:tr>
        <w:trPr>
          <w:trHeight w:val="171"/>
        </w:trPr>
        <w:tc>
          <w:tcPr>
            <w:tcW w:w="3940" w:type="dxa"/>
            <w:vAlign w:val="bottom"/>
          </w:tcPr>
          <w:p>
            <w:pPr>
              <w:spacing w:after="0"/>
              <w:rPr>
                <w:sz w:val="14"/>
                <w:szCs w:val="14"/>
                <w:color w:val="auto"/>
              </w:rPr>
            </w:pPr>
          </w:p>
        </w:tc>
        <w:tc>
          <w:tcPr>
            <w:tcW w:w="4340" w:type="dxa"/>
            <w:vAlign w:val="bottom"/>
            <w:gridSpan w:val="5"/>
          </w:tcPr>
          <w:p>
            <w:pPr>
              <w:jc w:val="right"/>
              <w:ind w:right="226"/>
              <w:spacing w:after="0"/>
              <w:rPr>
                <w:sz w:val="20"/>
                <w:szCs w:val="20"/>
                <w:color w:val="auto"/>
              </w:rPr>
            </w:pPr>
            <w:r>
              <w:rPr>
                <w:rFonts w:ascii="Courier New" w:cs="Courier New" w:eastAsia="Courier New" w:hAnsi="Courier New"/>
                <w:sz w:val="15"/>
                <w:szCs w:val="15"/>
                <w:color w:val="auto"/>
                <w:w w:val="99"/>
              </w:rPr>
              <w:t>======== ======== ======== ========= ========</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r>
      <w:tr>
        <w:trPr>
          <w:trHeight w:val="853"/>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- 85 -</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720"/>
          </w:cols>
          <w:pgMar w:left="240" w:top="628" w:right="939" w:bottom="628"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5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Comcast Corporation</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7440" w:type="dxa"/>
            <w:vAlign w:val="bottom"/>
            <w:gridSpan w:val="5"/>
          </w:tcPr>
          <w:p>
            <w:pPr>
              <w:ind w:left="3280"/>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For the Year</w:t>
            </w:r>
          </w:p>
        </w:tc>
        <w:tc>
          <w:tcPr>
            <w:tcW w:w="2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Ended December 31, 2002</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83"/>
        </w:trPr>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Elimination</w:t>
            </w:r>
          </w:p>
        </w:tc>
        <w:tc>
          <w:tcPr>
            <w:tcW w:w="114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Combined</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Non-</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and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38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Comcast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CCCI</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CCCH</w:t>
            </w:r>
          </w:p>
        </w:tc>
        <w:tc>
          <w:tcPr>
            <w:tcW w:w="19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CCHMO   Guarantor</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Consolidation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38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Parent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Parent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Parent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Parents Subsidiaries</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512"/>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w w:val="95"/>
              </w:rPr>
              <w:t>Service revenues.........................</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$8,079</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$8,079</w:t>
            </w: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4,381</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4,381</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12,460</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12,460</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3,511</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3,511</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retailing (excluding depreciation)....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2,793</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2,793</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w w:val="95"/>
              </w:rPr>
              <w:t>Selling, general and administrative......</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2,404</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2,465</w:t>
            </w: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1,775</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1,775</w:t>
            </w: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257</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10,740</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10,801</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5"/>
              </w:rPr>
              <w:t>OPERATING INCOME (LOSS).....................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1,720</w:t>
            </w:r>
          </w:p>
        </w:tc>
        <w:tc>
          <w:tcPr>
            <w:tcW w:w="1240" w:type="dxa"/>
            <w:vAlign w:val="bottom"/>
          </w:tcPr>
          <w:p>
            <w:pPr>
              <w:spacing w:after="0"/>
              <w:rPr>
                <w:sz w:val="24"/>
                <w:szCs w:val="2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1,659</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w w:val="95"/>
              </w:rPr>
              <w:t>Interest expense.........................</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12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(884)</w:t>
            </w: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expense.......................</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12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(605)</w:t>
            </w: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w w:val="95"/>
              </w:rPr>
              <w:t>Equity in net losses of affiliates.......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income.............................</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(1,589)</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 AND MINORITY</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w w:val="95"/>
              </w:rPr>
              <w:t>INTEREST..................................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5"/>
              </w:rPr>
              <w:t>INCOME TAX (EXPENSE) BENEFIT................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c>
          <w:tcPr>
            <w:tcW w:w="12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w w:val="95"/>
              </w:rPr>
              <w:t>BEFORE MINORITY INTEREST.................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2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5"/>
              </w:rPr>
              <w:t>INCOME (LOSS) FROM CONTINUING OPERATIONS....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674</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w:t>
            </w:r>
          </w:p>
        </w:tc>
      </w:tr>
      <w:tr>
        <w:trPr>
          <w:trHeight w:val="171"/>
        </w:trPr>
        <w:tc>
          <w:tcPr>
            <w:tcW w:w="380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5"/>
              </w:rPr>
              <w:t>NET INCOME (LOSS)...........................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w:t>
            </w:r>
          </w:p>
        </w:tc>
      </w:tr>
      <w:tr>
        <w:trPr>
          <w:trHeight w:val="171"/>
        </w:trPr>
        <w:tc>
          <w:tcPr>
            <w:tcW w:w="3800" w:type="dxa"/>
            <w:vAlign w:val="bottom"/>
          </w:tcPr>
          <w:p>
            <w:pPr>
              <w:spacing w:after="0"/>
              <w:rPr>
                <w:sz w:val="14"/>
                <w:szCs w:val="14"/>
                <w:color w:val="auto"/>
              </w:rPr>
            </w:pPr>
          </w:p>
        </w:tc>
        <w:tc>
          <w:tcPr>
            <w:tcW w:w="25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 ======= =========</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- 86 -</w:t>
      </w:r>
    </w:p>
    <w:p>
      <w:pPr>
        <w:sectPr>
          <w:pgSz w:w="11900" w:h="16838" w:orient="portrait"/>
          <w:cols w:equalWidth="0" w:num="1">
            <w:col w:w="10720"/>
          </w:cols>
          <w:pgMar w:left="240" w:top="628" w:right="939"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2002, 2001 AND 2000 (Concluded)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4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Comcast Corporation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280" w:type="dxa"/>
            <w:vAlign w:val="bottom"/>
            <w:gridSpan w:val="6"/>
          </w:tcPr>
          <w:p>
            <w:pPr>
              <w:ind w:left="3280"/>
              <w:spacing w:after="0"/>
              <w:rPr>
                <w:sz w:val="20"/>
                <w:szCs w:val="20"/>
                <w:color w:val="auto"/>
              </w:rPr>
            </w:pPr>
            <w:r>
              <w:rPr>
                <w:rFonts w:ascii="Courier New" w:cs="Courier New" w:eastAsia="Courier New" w:hAnsi="Courier New"/>
                <w:sz w:val="15"/>
                <w:szCs w:val="15"/>
                <w:color w:val="auto"/>
              </w:rPr>
              <w:t>Condensed Consolidating Statement of Cash Flows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880" w:type="dxa"/>
            <w:vAlign w:val="bottom"/>
            <w:gridSpan w:val="2"/>
          </w:tcPr>
          <w:p>
            <w:pPr>
              <w:ind w:left="3800"/>
              <w:spacing w:after="0"/>
              <w:rPr>
                <w:sz w:val="20"/>
                <w:szCs w:val="20"/>
                <w:color w:val="auto"/>
              </w:rPr>
            </w:pPr>
            <w:r>
              <w:rPr>
                <w:rFonts w:ascii="Courier New" w:cs="Courier New" w:eastAsia="Courier New" w:hAnsi="Courier New"/>
                <w:sz w:val="15"/>
                <w:szCs w:val="15"/>
                <w:color w:val="auto"/>
                <w:w w:val="98"/>
              </w:rPr>
              <w:t>For the Year</w:t>
            </w:r>
          </w:p>
        </w:tc>
        <w:tc>
          <w:tcPr>
            <w:tcW w:w="23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Ended December 31, 2002</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12"/>
        </w:trPr>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Elimination</w:t>
            </w:r>
          </w:p>
        </w:tc>
        <w:tc>
          <w:tcPr>
            <w:tcW w:w="114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Combined</w:t>
            </w: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39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Comcast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CCCI</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CCCH</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CCHMO</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Guarantor</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7"/>
              </w:rPr>
              <w:t>Consolidation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39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Parent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Parent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Parent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Parents Subsidiaries</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51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($274)</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operating</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activities from continuing operations: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1,775</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1,775</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257</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257</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Non-cash interest expense, net...........</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Equity in net losses (income) of</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affiliates.............................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(399)</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Losses (gains) on investments and</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other (income) expense, net............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673</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673</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212</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3,110</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2,635</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Changes in working capital</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Decrease in accounts receivable, net...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w:t>
            </w: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Increase in inventories, net...........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Increase in other assets...............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Increase in accounts payable, accrued</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620"/>
              <w:spacing w:after="0"/>
              <w:rPr>
                <w:sz w:val="20"/>
                <w:szCs w:val="20"/>
                <w:color w:val="auto"/>
              </w:rPr>
            </w:pPr>
            <w:r>
              <w:rPr>
                <w:rFonts w:ascii="Courier New" w:cs="Courier New" w:eastAsia="Courier New" w:hAnsi="Courier New"/>
                <w:sz w:val="15"/>
                <w:szCs w:val="15"/>
                <w:color w:val="auto"/>
              </w:rPr>
              <w:t>expenses and other current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620"/>
              <w:spacing w:after="0"/>
              <w:rPr>
                <w:sz w:val="20"/>
                <w:szCs w:val="20"/>
                <w:color w:val="auto"/>
              </w:rPr>
            </w:pPr>
            <w:r>
              <w:rPr>
                <w:rFonts w:ascii="Courier New" w:cs="Courier New" w:eastAsia="Courier New" w:hAnsi="Courier New"/>
                <w:sz w:val="15"/>
                <w:szCs w:val="15"/>
                <w:color w:val="auto"/>
              </w:rPr>
              <w:t>liabilities.........................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448</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340</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470</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w:t>
            </w:r>
          </w:p>
        </w:tc>
      </w:tr>
      <w:tr>
        <w:trPr>
          <w:trHeight w:val="34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spacing w:after="0"/>
              <w:rPr>
                <w:sz w:val="24"/>
                <w:szCs w:val="2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w w:val="97"/>
              </w:rPr>
              <w:t>Net cash provided by (used in) operating</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activities from continuing operations..</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3,578</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2,995</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borrowings.................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6,501</w:t>
            </w: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8,759</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Retirements and repayments of debt.......</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(2,216)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(1,482)</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(9,808)</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settlement of interest rate</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520"/>
              <w:spacing w:after="0"/>
              <w:rPr>
                <w:sz w:val="20"/>
                <w:szCs w:val="20"/>
                <w:color w:val="auto"/>
              </w:rPr>
            </w:pPr>
            <w:r>
              <w:rPr>
                <w:rFonts w:ascii="Courier New" w:cs="Courier New" w:eastAsia="Courier New" w:hAnsi="Courier New"/>
                <w:sz w:val="15"/>
                <w:szCs w:val="15"/>
                <w:color w:val="auto"/>
              </w:rPr>
              <w:t>exchange agreements...................</w:t>
            </w:r>
          </w:p>
        </w:tc>
        <w:tc>
          <w:tcPr>
            <w:tcW w:w="90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Issuances of common stock................</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Equity contributions from a minority</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520"/>
              <w:spacing w:after="0"/>
              <w:rPr>
                <w:sz w:val="20"/>
                <w:szCs w:val="20"/>
                <w:color w:val="auto"/>
              </w:rPr>
            </w:pPr>
            <w:r>
              <w:rPr>
                <w:rFonts w:ascii="Courier New" w:cs="Courier New" w:eastAsia="Courier New" w:hAnsi="Courier New"/>
                <w:sz w:val="15"/>
                <w:szCs w:val="15"/>
                <w:color w:val="auto"/>
              </w:rPr>
              <w:t>partner to a subsidiary...............</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w:t>
            </w:r>
          </w:p>
        </w:tc>
        <w:tc>
          <w:tcPr>
            <w:tcW w:w="13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Deferred financings costs................</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Net cash (used in) provided by</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financing activities from continuing</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(1,547)</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(1,292)</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transactions with affiliates............</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Acquisitions, net of cash required..........</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Proceeds from sales of (purchases of)</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 net..............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Capital contributions to and purchases of</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Proceeds from sales and settlements of</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1,263</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(1,975)</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Additions to intangible and other</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noncurrent assets........................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(221)</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Net cash (used in) provided by</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investing activities from</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w:t>
            </w:r>
          </w:p>
        </w:tc>
        <w:tc>
          <w:tcPr>
            <w:tcW w:w="13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(1,272)</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INCREASE IN CASH AND CASH EQUIVALENTS.......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431</w:t>
            </w:r>
          </w:p>
        </w:tc>
        <w:tc>
          <w:tcPr>
            <w:tcW w:w="130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w:t>
            </w:r>
          </w:p>
        </w:tc>
        <w:tc>
          <w:tcPr>
            <w:tcW w:w="13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end of year..............................</w:t>
            </w: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$781</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$781</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20"/>
          </w:cols>
          <w:pgMar w:left="240" w:top="628" w:right="939" w:bottom="0" w:gutter="0" w:footer="0" w:header="0"/>
        </w:sectPr>
      </w:pPr>
    </w:p>
    <w:bookmarkStart w:id="97" w:name="page98"/>
    <w:bookmarkEnd w:id="97"/>
    <w:p>
      <w:pPr>
        <w:ind w:left="3940"/>
        <w:spacing w:after="0"/>
        <w:rPr>
          <w:sz w:val="20"/>
          <w:szCs w:val="20"/>
          <w:color w:val="auto"/>
        </w:rPr>
      </w:pPr>
      <w:r>
        <w:rPr>
          <w:rFonts w:ascii="Courier New" w:cs="Courier New" w:eastAsia="Courier New" w:hAnsi="Courier New"/>
          <w:sz w:val="14"/>
          <w:szCs w:val="14"/>
          <w:color w:val="auto"/>
        </w:rPr>
        <w:t>- 87 -</w:t>
      </w:r>
    </w:p>
    <w:p>
      <w:pPr>
        <w:sectPr>
          <w:pgSz w:w="11900" w:h="16838" w:orient="portrait"/>
          <w:cols w:equalWidth="0" w:num="1">
            <w:col w:w="9019"/>
          </w:cols>
          <w:pgMar w:left="1440" w:top="483" w:right="1440" w:bottom="1440" w:gutter="0" w:footer="0" w:header="0"/>
        </w:sectPr>
      </w:pPr>
    </w:p>
    <w:bookmarkStart w:id="98" w:name="page99"/>
    <w:bookmarkEnd w:id="98"/>
    <w:p>
      <w:pPr>
        <w:ind w:left="620" w:right="4019" w:hanging="620"/>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Except for the information regarding executive officers required by Item 401 of Regulation S-K, which is included in Part I of this Annual Report on Form 10-K as Item 4A in accordance with General Instruction G(3), the following required information is incorporated by reference to our definitive Proxy Statement for our Annual Meeting of Shareholders presently scheduled to be held in May 2003:</w:t>
      </w:r>
    </w:p>
    <w:p>
      <w:pPr>
        <w:spacing w:after="0" w:line="175" w:lineRule="exact"/>
        <w:rPr>
          <w:sz w:val="20"/>
          <w:szCs w:val="20"/>
          <w:color w:val="auto"/>
        </w:rPr>
      </w:pPr>
    </w:p>
    <w:p>
      <w:pPr>
        <w:ind w:left="700" w:right="4279"/>
        <w:spacing w:after="0" w:line="238" w:lineRule="auto"/>
        <w:rPr>
          <w:sz w:val="20"/>
          <w:szCs w:val="20"/>
          <w:color w:val="auto"/>
        </w:rPr>
      </w:pPr>
      <w:r>
        <w:rPr>
          <w:rFonts w:ascii="Courier New" w:cs="Courier New" w:eastAsia="Courier New" w:hAnsi="Courier New"/>
          <w:sz w:val="15"/>
          <w:szCs w:val="15"/>
          <w:color w:val="auto"/>
        </w:rPr>
        <w:t>Item 10 Directors and Executive Officers of the Registrant Item 11 Executive Compensation</w:t>
      </w:r>
    </w:p>
    <w:p>
      <w:pPr>
        <w:spacing w:after="0" w:line="4" w:lineRule="exact"/>
        <w:rPr>
          <w:sz w:val="20"/>
          <w:szCs w:val="20"/>
          <w:color w:val="auto"/>
        </w:rPr>
      </w:pPr>
    </w:p>
    <w:p>
      <w:pPr>
        <w:ind w:left="1500" w:right="3219" w:hanging="975"/>
        <w:spacing w:after="0" w:line="238" w:lineRule="auto"/>
        <w:tabs>
          <w:tab w:leader="none" w:pos="148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and Related Stockholder Matters</w:t>
      </w:r>
    </w:p>
    <w:p>
      <w:pPr>
        <w:spacing w:after="0" w:line="2" w:lineRule="exact"/>
        <w:rPr>
          <w:sz w:val="20"/>
          <w:szCs w:val="20"/>
          <w:color w:val="auto"/>
        </w:rPr>
      </w:pPr>
    </w:p>
    <w:p>
      <w:pPr>
        <w:ind w:left="700"/>
        <w:spacing w:after="0"/>
        <w:tabs>
          <w:tab w:leader="none" w:pos="14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will file our definitive Proxy Statement for our Annual Meeting of Shareholders with the Securities and Exchange Commission on or before April 30, 2003.</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CONTROLS AND PROCEDURES</w:t>
      </w:r>
    </w:p>
    <w:p>
      <w:pPr>
        <w:spacing w:after="0" w:line="174" w:lineRule="exact"/>
        <w:rPr>
          <w:sz w:val="20"/>
          <w:szCs w:val="20"/>
          <w:color w:val="auto"/>
        </w:rPr>
      </w:pPr>
    </w:p>
    <w:p>
      <w:pPr>
        <w:jc w:val="both"/>
        <w:ind w:left="1240" w:right="3119" w:hanging="450"/>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annual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178" w:lineRule="exact"/>
        <w:rPr>
          <w:rFonts w:ascii="Courier New" w:cs="Courier New" w:eastAsia="Courier New" w:hAnsi="Courier New"/>
          <w:sz w:val="15"/>
          <w:szCs w:val="15"/>
          <w:color w:val="auto"/>
        </w:rPr>
      </w:pPr>
    </w:p>
    <w:p>
      <w:pPr>
        <w:jc w:val="both"/>
        <w:ind w:left="1240" w:right="3119" w:hanging="450"/>
        <w:spacing w:after="0" w:line="239" w:lineRule="auto"/>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74" w:lineRule="exact"/>
        <w:rPr>
          <w:sz w:val="20"/>
          <w:szCs w:val="20"/>
          <w:color w:val="auto"/>
        </w:rPr>
      </w:pPr>
    </w:p>
    <w:p>
      <w:pPr>
        <w:ind w:right="3119" w:firstLine="435"/>
        <w:spacing w:after="0" w:line="238" w:lineRule="auto"/>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72" w:lineRule="exact"/>
        <w:rPr>
          <w:sz w:val="20"/>
          <w:szCs w:val="20"/>
          <w:color w:val="auto"/>
        </w:rPr>
      </w:pPr>
    </w:p>
    <w:p>
      <w:pPr>
        <w:ind w:left="1240"/>
        <w:spacing w:after="0"/>
        <w:tabs>
          <w:tab w:leader="dot" w:pos="67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1240"/>
        <w:spacing w:after="0"/>
        <w:tabs>
          <w:tab w:leader="dot" w:pos="6720" w:val="left"/>
        </w:tabs>
        <w:rPr>
          <w:sz w:val="20"/>
          <w:szCs w:val="20"/>
          <w:color w:val="auto"/>
        </w:rPr>
      </w:pPr>
      <w:r>
        <w:rPr>
          <w:rFonts w:ascii="Courier New" w:cs="Courier New" w:eastAsia="Courier New" w:hAnsi="Courier New"/>
          <w:sz w:val="15"/>
          <w:szCs w:val="15"/>
          <w:color w:val="auto"/>
        </w:rPr>
        <w:t>Consolidated Balance Sheet--December 31, 2002 and 2001</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Operations--Years</w:t>
      </w:r>
    </w:p>
    <w:p>
      <w:pPr>
        <w:spacing w:after="0" w:line="1" w:lineRule="exact"/>
        <w:rPr>
          <w:sz w:val="20"/>
          <w:szCs w:val="20"/>
          <w:color w:val="auto"/>
        </w:rPr>
      </w:pPr>
    </w:p>
    <w:p>
      <w:pPr>
        <w:ind w:left="1420"/>
        <w:spacing w:after="0"/>
        <w:tabs>
          <w:tab w:leader="dot" w:pos="6720" w:val="left"/>
        </w:tabs>
        <w:rPr>
          <w:sz w:val="20"/>
          <w:szCs w:val="20"/>
          <w:color w:val="auto"/>
        </w:rPr>
      </w:pPr>
      <w:r>
        <w:rPr>
          <w:rFonts w:ascii="Courier New" w:cs="Courier New" w:eastAsia="Courier New" w:hAnsi="Courier New"/>
          <w:sz w:val="15"/>
          <w:szCs w:val="15"/>
          <w:color w:val="auto"/>
        </w:rPr>
        <w:t>Ended December 31, 2002, 2001 and 2000</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Cash Flows--Years</w:t>
      </w:r>
    </w:p>
    <w:p>
      <w:pPr>
        <w:spacing w:after="0" w:line="1" w:lineRule="exact"/>
        <w:rPr>
          <w:sz w:val="20"/>
          <w:szCs w:val="20"/>
          <w:color w:val="auto"/>
        </w:rPr>
      </w:pPr>
    </w:p>
    <w:p>
      <w:pPr>
        <w:ind w:left="1420"/>
        <w:spacing w:after="0"/>
        <w:tabs>
          <w:tab w:leader="dot" w:pos="6720" w:val="left"/>
        </w:tabs>
        <w:rPr>
          <w:sz w:val="20"/>
          <w:szCs w:val="20"/>
          <w:color w:val="auto"/>
        </w:rPr>
      </w:pPr>
      <w:r>
        <w:rPr>
          <w:rFonts w:ascii="Courier New" w:cs="Courier New" w:eastAsia="Courier New" w:hAnsi="Courier New"/>
          <w:sz w:val="15"/>
          <w:szCs w:val="15"/>
          <w:color w:val="auto"/>
        </w:rPr>
        <w:t>Ended December 31, 2002, 2001 and 2000</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 w:lineRule="exact"/>
        <w:rPr>
          <w:sz w:val="20"/>
          <w:szCs w:val="20"/>
          <w:color w:val="auto"/>
        </w:rPr>
      </w:pPr>
    </w:p>
    <w:p>
      <w:pPr>
        <w:ind w:left="1420"/>
        <w:spacing w:after="0"/>
        <w:tabs>
          <w:tab w:leader="dot" w:pos="6720" w:val="left"/>
        </w:tabs>
        <w:rPr>
          <w:sz w:val="20"/>
          <w:szCs w:val="20"/>
          <w:color w:val="auto"/>
        </w:rPr>
      </w:pPr>
      <w:r>
        <w:rPr>
          <w:rFonts w:ascii="Courier New" w:cs="Courier New" w:eastAsia="Courier New" w:hAnsi="Courier New"/>
          <w:sz w:val="15"/>
          <w:szCs w:val="15"/>
          <w:color w:val="auto"/>
        </w:rPr>
        <w:t>Years Ended December 31, 2002, 2001 and 2000</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240"/>
        <w:spacing w:after="0"/>
        <w:tabs>
          <w:tab w:leader="dot" w:pos="67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42</w:t>
      </w:r>
    </w:p>
    <w:p>
      <w:pPr>
        <w:spacing w:after="0" w:line="174" w:lineRule="exact"/>
        <w:rPr>
          <w:sz w:val="20"/>
          <w:szCs w:val="20"/>
          <w:color w:val="auto"/>
        </w:rPr>
      </w:pPr>
    </w:p>
    <w:p>
      <w:pPr>
        <w:ind w:left="1240" w:right="3119" w:hanging="805"/>
        <w:spacing w:after="0" w:line="238" w:lineRule="auto"/>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following financial statement schedules required to be filed by Items 8 and 14(d) of Form 10-K are included in Part IV:</w:t>
      </w:r>
    </w:p>
    <w:p>
      <w:pPr>
        <w:spacing w:after="0" w:line="17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Valuation and Qualifying Accounts</w:t>
      </w:r>
    </w:p>
    <w:p>
      <w:pPr>
        <w:spacing w:after="0" w:line="174" w:lineRule="exact"/>
        <w:rPr>
          <w:rFonts w:ascii="Courier New" w:cs="Courier New" w:eastAsia="Courier New" w:hAnsi="Courier New"/>
          <w:sz w:val="15"/>
          <w:szCs w:val="15"/>
          <w:color w:val="auto"/>
        </w:rPr>
      </w:pPr>
    </w:p>
    <w:p>
      <w:pPr>
        <w:jc w:val="both"/>
        <w:ind w:left="124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consolidated financial statements or notes thereto.</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240" w:right="3119" w:hanging="450"/>
        <w:spacing w:after="0"/>
        <w:tabs>
          <w:tab w:leader="none" w:pos="124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on October 30, 2002 for purposes of incorporating by reference the Quarterly Report on Form 10-Q of Comcast Holdings Corporation (f/k/a Comcast Corporation) into the registration statement on Form S-4 relating to AT&amp;T Corp.'s pending exchange offer</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460" w:hanging="185"/>
        <w:spacing w:after="0"/>
        <w:tabs>
          <w:tab w:leader="none" w:pos="346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88 -</w:t>
      </w:r>
    </w:p>
    <w:p>
      <w:pPr>
        <w:sectPr>
          <w:pgSz w:w="11900" w:h="16838" w:orient="portrait"/>
          <w:cols w:equalWidth="0" w:num="1">
            <w:col w:w="10219"/>
          </w:cols>
          <w:pgMar w:left="240" w:top="631" w:right="1440" w:bottom="1440" w:gutter="0" w:footer="0" w:header="0"/>
        </w:sectPr>
      </w:pPr>
    </w:p>
    <w:bookmarkStart w:id="99" w:name="page100"/>
    <w:bookmarkEnd w:id="99"/>
    <w:p>
      <w:pPr>
        <w:spacing w:after="0" w:line="32" w:lineRule="exact"/>
        <w:rPr>
          <w:sz w:val="20"/>
          <w:szCs w:val="20"/>
          <w:color w:val="auto"/>
        </w:rPr>
      </w:pPr>
    </w:p>
    <w:p>
      <w:pPr>
        <w:ind w:left="800"/>
        <w:spacing w:after="0" w:line="239" w:lineRule="auto"/>
        <w:rPr>
          <w:sz w:val="20"/>
          <w:szCs w:val="20"/>
          <w:color w:val="auto"/>
        </w:rPr>
      </w:pPr>
      <w:r>
        <w:rPr>
          <w:rFonts w:ascii="Courier New" w:cs="Courier New" w:eastAsia="Courier New" w:hAnsi="Courier New"/>
          <w:sz w:val="15"/>
          <w:szCs w:val="15"/>
          <w:color w:val="auto"/>
        </w:rPr>
        <w:t>in respect of an aggregate debt securities. We were a registration statement.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right"/>
        <w:ind w:right="3119"/>
        <w:spacing w:after="0" w:line="271" w:lineRule="auto"/>
        <w:rPr>
          <w:sz w:val="20"/>
          <w:szCs w:val="20"/>
          <w:color w:val="auto"/>
        </w:rPr>
      </w:pPr>
      <w:r>
        <w:rPr>
          <w:rFonts w:ascii="Courier New" w:cs="Courier New" w:eastAsia="Courier New" w:hAnsi="Courier New"/>
          <w:sz w:val="14"/>
          <w:szCs w:val="14"/>
          <w:color w:val="auto"/>
        </w:rPr>
        <w:t>of $11.8  billion of AT&amp;T's  existing co-registrant  on the exchange offer</w:t>
      </w:r>
    </w:p>
    <w:p>
      <w:pPr>
        <w:spacing w:after="0" w:line="153" w:lineRule="exact"/>
        <w:rPr>
          <w:sz w:val="20"/>
          <w:szCs w:val="20"/>
          <w:color w:val="auto"/>
        </w:rPr>
      </w:pPr>
    </w:p>
    <w:p>
      <w:pPr>
        <w:sectPr>
          <w:pgSz w:w="11900" w:h="16870" w:orient="portrait"/>
          <w:cols w:equalWidth="0" w:num="2">
            <w:col w:w="3280" w:space="80"/>
            <w:col w:w="6419"/>
          </w:cols>
          <w:pgMar w:left="680" w:top="460" w:right="1440" w:bottom="0" w:gutter="0" w:footer="0" w:header="0"/>
        </w:sectPr>
      </w:pPr>
    </w:p>
    <w:p>
      <w:pPr>
        <w:jc w:val="both"/>
        <w:ind w:left="800" w:right="3119" w:hanging="450"/>
        <w:spacing w:after="0" w:line="258"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8-K12g3 under Items 2, 5 and 7 on November 18, 2002 announcing (a) the completion of the Agreement and Plan of AT&amp;T Broadband Merger with AT&amp;T Corp. which resulted in the combination of Comcast Holdings Corporation (f/k/a Comcast Corporation) and AT&amp;T Broadband, a holding company of AT&amp;T's broadband business, (b) the conditioned approval by the Federal Communications Commission ("FCC") of the transfer of certain FCC licenses to complete the transaction, (c) the adoption of a shareholder rights plan, (d) the repayment of certain intracompany debt, (e) certain corporate name changes, (f) certain technical amendments to the transaction agreements, and (g) the</w:t>
      </w:r>
    </w:p>
    <w:tbl>
      <w:tblPr>
        <w:tblLayout w:type="fixed"/>
        <w:tblInd w:w="340" w:type="dxa"/>
        <w:tblCellMar>
          <w:top w:w="0" w:type="dxa"/>
          <w:left w:w="0" w:type="dxa"/>
          <w:bottom w:w="0" w:type="dxa"/>
          <w:right w:w="0" w:type="dxa"/>
        </w:tblCellMar>
      </w:tblPr>
      <w:tr>
        <w:trPr>
          <w:trHeight w:val="169"/>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names of</w:t>
            </w:r>
          </w:p>
        </w:tc>
        <w:tc>
          <w:tcPr>
            <w:tcW w:w="30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the new Comcast Corporation board</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w:t>
            </w:r>
          </w:p>
        </w:tc>
        <w:tc>
          <w:tcPr>
            <w:tcW w:w="760" w:type="dxa"/>
            <w:vAlign w:val="bottom"/>
          </w:tcPr>
          <w:p>
            <w:pPr>
              <w:spacing w:after="0"/>
              <w:rPr>
                <w:sz w:val="14"/>
                <w:szCs w:val="14"/>
                <w:color w:val="auto"/>
              </w:rPr>
            </w:pPr>
          </w:p>
        </w:tc>
      </w:tr>
      <w:tr>
        <w:trPr>
          <w:trHeight w:val="171"/>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(iii)We filed</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 Current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Report on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Form  8-K/A</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under</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Items 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and 7 on</w:t>
            </w:r>
          </w:p>
        </w:tc>
      </w:tr>
      <w:tr>
        <w:trPr>
          <w:trHeight w:val="171"/>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16, 2002</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amending</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our Current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on Form</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8-K12g3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17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filed on  November</w:t>
            </w:r>
          </w:p>
        </w:tc>
        <w:tc>
          <w:tcPr>
            <w:tcW w:w="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160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2002 to include</w:t>
            </w:r>
          </w:p>
        </w:tc>
        <w:tc>
          <w:tcPr>
            <w:tcW w:w="21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the pro forma  financial</w:t>
            </w:r>
          </w:p>
        </w:tc>
      </w:tr>
      <w:tr>
        <w:trPr>
          <w:trHeight w:val="171"/>
        </w:trPr>
        <w:tc>
          <w:tcPr>
            <w:tcW w:w="74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information</w:t>
            </w: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of Comcast</w:t>
            </w:r>
          </w:p>
        </w:tc>
        <w:tc>
          <w:tcPr>
            <w:tcW w:w="116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6"/>
              </w:rPr>
              <w:t>Corporation,</w:t>
            </w:r>
          </w:p>
        </w:tc>
        <w:tc>
          <w:tcPr>
            <w:tcW w:w="18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giving effect to the merger</w:t>
            </w:r>
          </w:p>
        </w:tc>
      </w:tr>
      <w:tr>
        <w:trPr>
          <w:trHeight w:val="171"/>
        </w:trPr>
        <w:tc>
          <w:tcPr>
            <w:tcW w:w="740" w:type="dxa"/>
            <w:vAlign w:val="bottom"/>
          </w:tcPr>
          <w:p>
            <w:pPr>
              <w:spacing w:after="0"/>
              <w:rPr>
                <w:sz w:val="14"/>
                <w:szCs w:val="14"/>
                <w:color w:val="auto"/>
              </w:rPr>
            </w:pPr>
          </w:p>
        </w:tc>
        <w:tc>
          <w:tcPr>
            <w:tcW w:w="2800" w:type="dxa"/>
            <w:vAlign w:val="bottom"/>
            <w:gridSpan w:val="7"/>
          </w:tcPr>
          <w:p>
            <w:pPr>
              <w:ind w:left="60"/>
              <w:spacing w:after="0"/>
              <w:rPr>
                <w:sz w:val="20"/>
                <w:szCs w:val="20"/>
                <w:color w:val="auto"/>
              </w:rPr>
            </w:pPr>
            <w:r>
              <w:rPr>
                <w:rFonts w:ascii="Courier New" w:cs="Courier New" w:eastAsia="Courier New" w:hAnsi="Courier New"/>
                <w:sz w:val="15"/>
                <w:szCs w:val="15"/>
                <w:color w:val="auto"/>
                <w:w w:val="97"/>
              </w:rPr>
              <w:t>with AT&amp;T's broadband 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41"/>
        </w:trPr>
        <w:tc>
          <w:tcPr>
            <w:tcW w:w="5940" w:type="dxa"/>
            <w:vAlign w:val="bottom"/>
            <w:gridSpan w:val="17"/>
          </w:tcPr>
          <w:p>
            <w:pPr>
              <w:jc w:val="right"/>
              <w:ind w:right="186"/>
              <w:spacing w:after="0"/>
              <w:rPr>
                <w:sz w:val="20"/>
                <w:szCs w:val="20"/>
                <w:color w:val="auto"/>
              </w:rPr>
            </w:pPr>
            <w:r>
              <w:rPr>
                <w:rFonts w:ascii="Courier New" w:cs="Courier New" w:eastAsia="Courier New" w:hAnsi="Courier New"/>
                <w:sz w:val="15"/>
                <w:szCs w:val="15"/>
                <w:color w:val="auto"/>
                <w:w w:val="98"/>
              </w:rPr>
              <w:t>(d) Exhibits required to be filed by Item 601 of Regulation S-K:</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Composite</w:t>
            </w:r>
          </w:p>
        </w:tc>
        <w:tc>
          <w:tcPr>
            <w:tcW w:w="178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copy of Agreement</w:t>
            </w:r>
          </w:p>
        </w:tc>
        <w:tc>
          <w:tcPr>
            <w:tcW w:w="276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and Plan of Merger dated as of</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December  19,  2001,  as  amended,  among  Comcast  Holdings</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Corporation (f/k/a Comcast Corporation), AT&amp;T Corp., Comcast</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Cable</w:t>
            </w:r>
          </w:p>
        </w:tc>
        <w:tc>
          <w:tcPr>
            <w:tcW w:w="1340" w:type="dxa"/>
            <w:vAlign w:val="bottom"/>
            <w:gridSpan w:val="5"/>
          </w:tcPr>
          <w:p>
            <w:pPr>
              <w:spacing w:after="0"/>
              <w:rPr>
                <w:sz w:val="20"/>
                <w:szCs w:val="20"/>
                <w:color w:val="auto"/>
              </w:rPr>
            </w:pPr>
            <w:r>
              <w:rPr>
                <w:rFonts w:ascii="Courier New" w:cs="Courier New" w:eastAsia="Courier New" w:hAnsi="Courier New"/>
                <w:sz w:val="15"/>
                <w:szCs w:val="15"/>
                <w:color w:val="auto"/>
              </w:rPr>
              <w:t>Communications</w:t>
            </w:r>
          </w:p>
        </w:tc>
        <w:tc>
          <w:tcPr>
            <w:tcW w:w="9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Holdings,</w:t>
            </w:r>
          </w:p>
        </w:tc>
        <w:tc>
          <w:tcPr>
            <w:tcW w:w="24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Inc. (f/k/a AT&amp;T Broadband</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Corp.), Comcast Corporation (f/k/a AT&amp;T Comcast Corporation)</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and the other parties</w:t>
            </w:r>
          </w:p>
        </w:tc>
        <w:tc>
          <w:tcPr>
            <w:tcW w:w="9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signatory</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thereto</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(incorporated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reference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Exhibit</w:t>
            </w:r>
          </w:p>
        </w:tc>
        <w:tc>
          <w:tcPr>
            <w:tcW w:w="124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2.1 to our</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Current</w:t>
            </w:r>
          </w:p>
        </w:tc>
        <w:tc>
          <w:tcPr>
            <w:tcW w:w="6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Report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Form</w:t>
            </w:r>
          </w:p>
        </w:tc>
      </w:tr>
      <w:tr>
        <w:trPr>
          <w:trHeight w:val="171"/>
        </w:trPr>
        <w:tc>
          <w:tcPr>
            <w:tcW w:w="740" w:type="dxa"/>
            <w:vAlign w:val="bottom"/>
          </w:tcPr>
          <w:p>
            <w:pPr>
              <w:spacing w:after="0"/>
              <w:rPr>
                <w:sz w:val="14"/>
                <w:szCs w:val="14"/>
                <w:color w:val="auto"/>
              </w:rPr>
            </w:pPr>
          </w:p>
        </w:tc>
        <w:tc>
          <w:tcPr>
            <w:tcW w:w="3780" w:type="dxa"/>
            <w:vAlign w:val="bottom"/>
            <w:gridSpan w:val="12"/>
          </w:tcPr>
          <w:p>
            <w:pPr>
              <w:ind w:left="580"/>
              <w:spacing w:after="0"/>
              <w:rPr>
                <w:sz w:val="20"/>
                <w:szCs w:val="20"/>
                <w:color w:val="auto"/>
              </w:rPr>
            </w:pPr>
            <w:r>
              <w:rPr>
                <w:rFonts w:ascii="Courier New" w:cs="Courier New" w:eastAsia="Courier New" w:hAnsi="Courier New"/>
                <w:sz w:val="15"/>
                <w:szCs w:val="15"/>
                <w:color w:val="auto"/>
                <w:w w:val="98"/>
              </w:rPr>
              <w:t>8-K12g3 filed on November 18, 2002).</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Composite</w:t>
            </w:r>
          </w:p>
        </w:tc>
        <w:tc>
          <w:tcPr>
            <w:tcW w:w="4540" w:type="dxa"/>
            <w:vAlign w:val="bottom"/>
            <w:gridSpan w:val="16"/>
          </w:tcPr>
          <w:p>
            <w:pPr>
              <w:ind w:left="180"/>
              <w:spacing w:after="0"/>
              <w:rPr>
                <w:sz w:val="20"/>
                <w:szCs w:val="20"/>
                <w:color w:val="auto"/>
              </w:rPr>
            </w:pPr>
            <w:r>
              <w:rPr>
                <w:rFonts w:ascii="Courier New" w:cs="Courier New" w:eastAsia="Courier New" w:hAnsi="Courier New"/>
                <w:sz w:val="15"/>
                <w:szCs w:val="15"/>
                <w:color w:val="auto"/>
                <w:w w:val="98"/>
              </w:rPr>
              <w:t>copy of  Separation  and  Distribution  Agreement</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dated as of December</w:t>
            </w:r>
          </w:p>
        </w:tc>
        <w:tc>
          <w:tcPr>
            <w:tcW w:w="33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8"/>
              </w:rPr>
              <w:t>19,  2001,  as amended,  between  AT&amp;T</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Corp. and Comcast Cable Communications Holdings, Inc. (f/k/a</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AT&amp;T Broadband Corp.)</w:t>
            </w:r>
          </w:p>
        </w:tc>
        <w:tc>
          <w:tcPr>
            <w:tcW w:w="338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(incorporated by reference to Exhibit</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2.3 to our Current Report on Form 8- K12g3 filed on November</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18, 2002).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Support Agreement dated as of December 19, 2001, as amended,</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among</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AT&amp;T</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rPr>
              <w:t>Corp.,</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8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4"/>
              </w:rPr>
              <w:t>Holdings</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(f/k/a</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14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Corporation),</w:t>
            </w:r>
          </w:p>
        </w:tc>
        <w:tc>
          <w:tcPr>
            <w:tcW w:w="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5"/>
              </w:rPr>
              <w:t>Comcast</w:t>
            </w:r>
          </w:p>
        </w:tc>
        <w:tc>
          <w:tcPr>
            <w:tcW w:w="132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Corporation</w:t>
            </w:r>
          </w:p>
        </w:tc>
        <w:tc>
          <w:tcPr>
            <w:tcW w:w="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(f/k/a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AT&amp;T</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Courier New" w:cs="Courier New" w:eastAsia="Courier New" w:hAnsi="Courier New"/>
                <w:sz w:val="15"/>
                <w:szCs w:val="15"/>
                <w:color w:val="auto"/>
                <w:w w:val="97"/>
              </w:rPr>
              <w:t>Corporation),</w:t>
            </w:r>
          </w:p>
        </w:tc>
        <w:tc>
          <w:tcPr>
            <w:tcW w:w="260" w:type="dxa"/>
            <w:vAlign w:val="bottom"/>
          </w:tcPr>
          <w:p>
            <w:pPr>
              <w:spacing w:after="0"/>
              <w:rPr>
                <w:sz w:val="14"/>
                <w:szCs w:val="14"/>
                <w:color w:val="auto"/>
              </w:rPr>
            </w:pPr>
          </w:p>
        </w:tc>
        <w:tc>
          <w:tcPr>
            <w:tcW w:w="312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8"/>
              </w:rPr>
              <w:t>Sural  LLC  and  Brian  L.  Roberts</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(incorporated</w:t>
            </w:r>
          </w:p>
        </w:tc>
        <w:tc>
          <w:tcPr>
            <w:tcW w:w="8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by</w:t>
            </w:r>
          </w:p>
        </w:tc>
        <w:tc>
          <w:tcPr>
            <w:tcW w:w="116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reference</w:t>
            </w:r>
          </w:p>
        </w:tc>
        <w:tc>
          <w:tcPr>
            <w:tcW w:w="18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to</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w:t>
            </w:r>
          </w:p>
        </w:tc>
        <w:tc>
          <w:tcPr>
            <w:tcW w:w="26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our</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registration</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statement</w:t>
            </w:r>
          </w:p>
        </w:tc>
        <w:tc>
          <w:tcPr>
            <w:tcW w:w="17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on Form S-4 filed on</w:t>
            </w:r>
          </w:p>
        </w:tc>
        <w:tc>
          <w:tcPr>
            <w:tcW w:w="9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February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Tax Sharing</w:t>
            </w:r>
          </w:p>
        </w:tc>
        <w:tc>
          <w:tcPr>
            <w:tcW w:w="418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8"/>
              </w:rPr>
              <w:t>Agreement dated as of December 19, 2001 between</w:t>
            </w:r>
          </w:p>
        </w:tc>
      </w:tr>
      <w:tr>
        <w:trPr>
          <w:trHeight w:val="171"/>
        </w:trPr>
        <w:tc>
          <w:tcPr>
            <w:tcW w:w="740" w:type="dxa"/>
            <w:vAlign w:val="bottom"/>
          </w:tcPr>
          <w:p>
            <w:pPr>
              <w:spacing w:after="0"/>
              <w:rPr>
                <w:sz w:val="14"/>
                <w:szCs w:val="14"/>
                <w:color w:val="auto"/>
              </w:rPr>
            </w:pPr>
          </w:p>
        </w:tc>
        <w:tc>
          <w:tcPr>
            <w:tcW w:w="4580" w:type="dxa"/>
            <w:vAlign w:val="bottom"/>
            <w:gridSpan w:val="14"/>
          </w:tcPr>
          <w:p>
            <w:pPr>
              <w:ind w:left="580"/>
              <w:spacing w:after="0"/>
              <w:rPr>
                <w:sz w:val="20"/>
                <w:szCs w:val="20"/>
                <w:color w:val="auto"/>
              </w:rPr>
            </w:pPr>
            <w:r>
              <w:rPr>
                <w:rFonts w:ascii="Courier New" w:cs="Courier New" w:eastAsia="Courier New" w:hAnsi="Courier New"/>
                <w:sz w:val="15"/>
                <w:szCs w:val="15"/>
                <w:color w:val="auto"/>
              </w:rPr>
              <w:t>AT&amp;T Corp. and Comcast Cable Communications</w:t>
            </w:r>
          </w:p>
        </w:tc>
        <w:tc>
          <w:tcPr>
            <w:tcW w:w="9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6"/>
              </w:rPr>
              <w:t>Holdings,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Inc.</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(f/k/a AT&amp;T Broadband</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Corp.)</w:t>
            </w:r>
          </w:p>
        </w:tc>
        <w:tc>
          <w:tcPr>
            <w:tcW w:w="180" w:type="dxa"/>
            <w:vAlign w:val="bottom"/>
          </w:tcPr>
          <w:p>
            <w:pPr>
              <w:spacing w:after="0"/>
              <w:rPr>
                <w:sz w:val="14"/>
                <w:szCs w:val="14"/>
                <w:color w:val="auto"/>
              </w:rPr>
            </w:pPr>
          </w:p>
        </w:tc>
        <w:tc>
          <w:tcPr>
            <w:tcW w:w="25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(incorporated by reference to</w:t>
            </w:r>
          </w:p>
        </w:tc>
      </w:tr>
      <w:tr>
        <w:trPr>
          <w:trHeight w:val="171"/>
        </w:trPr>
        <w:tc>
          <w:tcPr>
            <w:tcW w:w="740" w:type="dxa"/>
            <w:vAlign w:val="bottom"/>
          </w:tcPr>
          <w:p>
            <w:pPr>
              <w:spacing w:after="0"/>
              <w:rPr>
                <w:sz w:val="14"/>
                <w:szCs w:val="14"/>
                <w:color w:val="auto"/>
              </w:rPr>
            </w:pPr>
          </w:p>
        </w:tc>
        <w:tc>
          <w:tcPr>
            <w:tcW w:w="3340" w:type="dxa"/>
            <w:vAlign w:val="bottom"/>
            <w:gridSpan w:val="10"/>
          </w:tcPr>
          <w:p>
            <w:pPr>
              <w:ind w:left="580"/>
              <w:spacing w:after="0"/>
              <w:rPr>
                <w:sz w:val="20"/>
                <w:szCs w:val="20"/>
                <w:color w:val="auto"/>
              </w:rPr>
            </w:pPr>
            <w:r>
              <w:rPr>
                <w:rFonts w:ascii="Courier New" w:cs="Courier New" w:eastAsia="Courier New" w:hAnsi="Courier New"/>
                <w:sz w:val="15"/>
                <w:szCs w:val="15"/>
                <w:color w:val="auto"/>
                <w:w w:val="98"/>
              </w:rPr>
              <w:t>Exhibit 2.4 to our registration</w:t>
            </w:r>
          </w:p>
        </w:tc>
        <w:tc>
          <w:tcPr>
            <w:tcW w:w="18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statement on Form S-4 filed</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w w:val="97"/>
              </w:rPr>
              <w:t>on February 11, 2002).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Composite</w:t>
            </w:r>
          </w:p>
        </w:tc>
        <w:tc>
          <w:tcPr>
            <w:tcW w:w="160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Copy of Employee</w:t>
            </w:r>
          </w:p>
        </w:tc>
        <w:tc>
          <w:tcPr>
            <w:tcW w:w="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Benefits</w:t>
            </w:r>
          </w:p>
        </w:tc>
        <w:tc>
          <w:tcPr>
            <w:tcW w:w="10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Agreement</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19,</w:t>
            </w: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2001,</w:t>
            </w:r>
          </w:p>
        </w:tc>
        <w:tc>
          <w:tcPr>
            <w:tcW w:w="33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8"/>
              </w:rPr>
              <w:t>as  amended,  between  AT&amp;T Corp.  and</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4540" w:type="dxa"/>
            <w:vAlign w:val="bottom"/>
            <w:gridSpan w:val="16"/>
          </w:tcPr>
          <w:p>
            <w:pPr>
              <w:spacing w:after="0"/>
              <w:rPr>
                <w:sz w:val="20"/>
                <w:szCs w:val="20"/>
                <w:color w:val="auto"/>
              </w:rPr>
            </w:pPr>
            <w:r>
              <w:rPr>
                <w:rFonts w:ascii="Courier New" w:cs="Courier New" w:eastAsia="Courier New" w:hAnsi="Courier New"/>
                <w:sz w:val="15"/>
                <w:szCs w:val="15"/>
                <w:color w:val="auto"/>
                <w:w w:val="98"/>
              </w:rPr>
              <w:t>Cable  Communications  Holdings,  Inc.  (f/k/a AT&amp;T</w:t>
            </w:r>
          </w:p>
        </w:tc>
      </w:tr>
      <w:tr>
        <w:trPr>
          <w:trHeight w:val="171"/>
        </w:trPr>
        <w:tc>
          <w:tcPr>
            <w:tcW w:w="740" w:type="dxa"/>
            <w:vAlign w:val="bottom"/>
          </w:tcPr>
          <w:p>
            <w:pPr>
              <w:spacing w:after="0"/>
              <w:rPr>
                <w:sz w:val="14"/>
                <w:szCs w:val="14"/>
                <w:color w:val="auto"/>
              </w:rPr>
            </w:pPr>
          </w:p>
        </w:tc>
        <w:tc>
          <w:tcPr>
            <w:tcW w:w="2180" w:type="dxa"/>
            <w:vAlign w:val="bottom"/>
            <w:gridSpan w:val="5"/>
          </w:tcPr>
          <w:p>
            <w:pPr>
              <w:ind w:left="580"/>
              <w:spacing w:after="0"/>
              <w:rPr>
                <w:sz w:val="20"/>
                <w:szCs w:val="20"/>
                <w:color w:val="auto"/>
              </w:rPr>
            </w:pPr>
            <w:r>
              <w:rPr>
                <w:rFonts w:ascii="Courier New" w:cs="Courier New" w:eastAsia="Courier New" w:hAnsi="Courier New"/>
                <w:sz w:val="15"/>
                <w:szCs w:val="15"/>
                <w:color w:val="auto"/>
              </w:rPr>
              <w:t>Broadband Corp.)</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Exchange Agreement dated as of December 7, 2001, as amended,</w:t>
            </w:r>
          </w:p>
        </w:tc>
      </w:tr>
      <w:tr>
        <w:trPr>
          <w:trHeight w:val="171"/>
        </w:trPr>
        <w:tc>
          <w:tcPr>
            <w:tcW w:w="740" w:type="dxa"/>
            <w:vAlign w:val="bottom"/>
          </w:tcPr>
          <w:p>
            <w:pPr>
              <w:spacing w:after="0"/>
              <w:rPr>
                <w:sz w:val="14"/>
                <w:szCs w:val="14"/>
                <w:color w:val="auto"/>
              </w:rPr>
            </w:pPr>
          </w:p>
        </w:tc>
        <w:tc>
          <w:tcPr>
            <w:tcW w:w="5200" w:type="dxa"/>
            <w:vAlign w:val="bottom"/>
            <w:gridSpan w:val="16"/>
          </w:tcPr>
          <w:p>
            <w:pPr>
              <w:ind w:left="580"/>
              <w:spacing w:after="0"/>
              <w:rPr>
                <w:sz w:val="20"/>
                <w:szCs w:val="20"/>
                <w:color w:val="auto"/>
              </w:rPr>
            </w:pPr>
            <w:r>
              <w:rPr>
                <w:rFonts w:ascii="Courier New" w:cs="Courier New" w:eastAsia="Courier New" w:hAnsi="Courier New"/>
                <w:sz w:val="15"/>
                <w:szCs w:val="15"/>
                <w:color w:val="auto"/>
              </w:rPr>
              <w:t>between   Microsoft   Corporation   and   Comcast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Holdings</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Corporation  (f/k/a Comcast  Corporation)  (incorporated  by</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reference</w:t>
            </w:r>
          </w:p>
        </w:tc>
        <w:tc>
          <w:tcPr>
            <w:tcW w:w="2140" w:type="dxa"/>
            <w:vAlign w:val="bottom"/>
            <w:gridSpan w:val="9"/>
          </w:tcPr>
          <w:p>
            <w:pPr>
              <w:ind w:left="180"/>
              <w:spacing w:after="0"/>
              <w:rPr>
                <w:sz w:val="20"/>
                <w:szCs w:val="20"/>
                <w:color w:val="auto"/>
              </w:rPr>
            </w:pPr>
            <w:r>
              <w:rPr>
                <w:rFonts w:ascii="Courier New" w:cs="Courier New" w:eastAsia="Courier New" w:hAnsi="Courier New"/>
                <w:sz w:val="15"/>
                <w:szCs w:val="15"/>
                <w:color w:val="auto"/>
              </w:rPr>
              <w:t>to Exhibit 2.6 to our</w:t>
            </w:r>
          </w:p>
        </w:tc>
        <w:tc>
          <w:tcPr>
            <w:tcW w:w="132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registration</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statement on</w:t>
            </w:r>
          </w:p>
        </w:tc>
      </w:tr>
      <w:tr>
        <w:trPr>
          <w:trHeight w:val="171"/>
        </w:trPr>
        <w:tc>
          <w:tcPr>
            <w:tcW w:w="740" w:type="dxa"/>
            <w:vAlign w:val="bottom"/>
          </w:tcPr>
          <w:p>
            <w:pPr>
              <w:spacing w:after="0"/>
              <w:rPr>
                <w:sz w:val="14"/>
                <w:szCs w:val="14"/>
                <w:color w:val="auto"/>
              </w:rPr>
            </w:pPr>
          </w:p>
        </w:tc>
        <w:tc>
          <w:tcPr>
            <w:tcW w:w="4220" w:type="dxa"/>
            <w:vAlign w:val="bottom"/>
            <w:gridSpan w:val="13"/>
          </w:tcPr>
          <w:p>
            <w:pPr>
              <w:ind w:left="580"/>
              <w:spacing w:after="0"/>
              <w:rPr>
                <w:sz w:val="20"/>
                <w:szCs w:val="20"/>
                <w:color w:val="auto"/>
              </w:rPr>
            </w:pPr>
            <w:r>
              <w:rPr>
                <w:rFonts w:ascii="Courier New" w:cs="Courier New" w:eastAsia="Courier New" w:hAnsi="Courier New"/>
                <w:sz w:val="15"/>
                <w:szCs w:val="15"/>
                <w:color w:val="auto"/>
              </w:rPr>
              <w:t>Form S-4 filed on February 11, 2002).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800" w:type="dxa"/>
            <w:vAlign w:val="bottom"/>
            <w:gridSpan w:val="7"/>
          </w:tcPr>
          <w:p>
            <w:pPr>
              <w:ind w:left="580"/>
              <w:spacing w:after="0"/>
              <w:rPr>
                <w:sz w:val="20"/>
                <w:szCs w:val="20"/>
                <w:color w:val="auto"/>
              </w:rPr>
            </w:pPr>
            <w:r>
              <w:rPr>
                <w:rFonts w:ascii="Courier New" w:cs="Courier New" w:eastAsia="Courier New" w:hAnsi="Courier New"/>
                <w:sz w:val="15"/>
                <w:szCs w:val="15"/>
                <w:color w:val="auto"/>
              </w:rPr>
              <w:t>Instrument  of Admission</w:t>
            </w:r>
          </w:p>
        </w:tc>
        <w:tc>
          <w:tcPr>
            <w:tcW w:w="27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dated as of December 19, 2001,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amended,</w:t>
            </w:r>
          </w:p>
        </w:tc>
        <w:tc>
          <w:tcPr>
            <w:tcW w:w="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between</w:t>
            </w:r>
          </w:p>
        </w:tc>
        <w:tc>
          <w:tcPr>
            <w:tcW w:w="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Comcast</w:t>
            </w:r>
          </w:p>
        </w:tc>
        <w:tc>
          <w:tcPr>
            <w:tcW w:w="124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Corporation</w:t>
            </w:r>
          </w:p>
        </w:tc>
        <w:tc>
          <w:tcPr>
            <w:tcW w:w="17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(f/k/a AT&amp;T Comcast</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Corporation)</w:t>
            </w:r>
          </w:p>
        </w:tc>
        <w:tc>
          <w:tcPr>
            <w:tcW w:w="8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Courier New" w:cs="Courier New" w:eastAsia="Courier New" w:hAnsi="Courier New"/>
                <w:sz w:val="15"/>
                <w:szCs w:val="15"/>
                <w:color w:val="auto"/>
              </w:rPr>
              <w:t>and AT&amp;T Corp.</w:t>
            </w:r>
          </w:p>
        </w:tc>
        <w:tc>
          <w:tcPr>
            <w:tcW w:w="14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(incorporated</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by reference to</w:t>
            </w:r>
          </w:p>
        </w:tc>
      </w:tr>
      <w:tr>
        <w:trPr>
          <w:trHeight w:val="171"/>
        </w:trPr>
        <w:tc>
          <w:tcPr>
            <w:tcW w:w="740" w:type="dxa"/>
            <w:vAlign w:val="bottom"/>
          </w:tcPr>
          <w:p>
            <w:pPr>
              <w:spacing w:after="0"/>
              <w:rPr>
                <w:sz w:val="14"/>
                <w:szCs w:val="14"/>
                <w:color w:val="auto"/>
              </w:rPr>
            </w:pPr>
          </w:p>
        </w:tc>
        <w:tc>
          <w:tcPr>
            <w:tcW w:w="2980" w:type="dxa"/>
            <w:vAlign w:val="bottom"/>
            <w:gridSpan w:val="8"/>
          </w:tcPr>
          <w:p>
            <w:pPr>
              <w:ind w:left="580"/>
              <w:spacing w:after="0"/>
              <w:rPr>
                <w:sz w:val="20"/>
                <w:szCs w:val="20"/>
                <w:color w:val="auto"/>
              </w:rPr>
            </w:pPr>
            <w:r>
              <w:rPr>
                <w:rFonts w:ascii="Courier New" w:cs="Courier New" w:eastAsia="Courier New" w:hAnsi="Courier New"/>
                <w:sz w:val="15"/>
                <w:szCs w:val="15"/>
                <w:color w:val="auto"/>
              </w:rPr>
              <w:t>Exhibit 2.7 to our amended</w:t>
            </w:r>
          </w:p>
        </w:tc>
        <w:tc>
          <w:tcPr>
            <w:tcW w:w="12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statement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Form</w:t>
            </w:r>
          </w:p>
        </w:tc>
      </w:tr>
      <w:tr>
        <w:trPr>
          <w:trHeight w:val="171"/>
        </w:trPr>
        <w:tc>
          <w:tcPr>
            <w:tcW w:w="740" w:type="dxa"/>
            <w:vAlign w:val="bottom"/>
          </w:tcPr>
          <w:p>
            <w:pPr>
              <w:spacing w:after="0"/>
              <w:rPr>
                <w:sz w:val="14"/>
                <w:szCs w:val="14"/>
                <w:color w:val="auto"/>
              </w:rPr>
            </w:pPr>
          </w:p>
        </w:tc>
        <w:tc>
          <w:tcPr>
            <w:tcW w:w="3340" w:type="dxa"/>
            <w:vAlign w:val="bottom"/>
            <w:gridSpan w:val="10"/>
          </w:tcPr>
          <w:p>
            <w:pPr>
              <w:ind w:left="580"/>
              <w:spacing w:after="0"/>
              <w:rPr>
                <w:sz w:val="20"/>
                <w:szCs w:val="20"/>
                <w:color w:val="auto"/>
              </w:rPr>
            </w:pPr>
            <w:r>
              <w:rPr>
                <w:rFonts w:ascii="Courier New" w:cs="Courier New" w:eastAsia="Courier New" w:hAnsi="Courier New"/>
                <w:sz w:val="15"/>
                <w:szCs w:val="15"/>
                <w:color w:val="auto"/>
              </w:rPr>
              <w:t>S-4/A filed on April 10, 2002.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Composite</w:t>
            </w:r>
          </w:p>
        </w:tc>
        <w:tc>
          <w:tcPr>
            <w:tcW w:w="8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copy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Amended</w:t>
            </w:r>
          </w:p>
        </w:tc>
        <w:tc>
          <w:tcPr>
            <w:tcW w:w="180" w:type="dxa"/>
            <w:vAlign w:val="bottom"/>
          </w:tcPr>
          <w:p>
            <w:pPr>
              <w:spacing w:after="0"/>
              <w:rPr>
                <w:sz w:val="14"/>
                <w:szCs w:val="14"/>
                <w:color w:val="auto"/>
              </w:rPr>
            </w:pPr>
          </w:p>
        </w:tc>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and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c>
          <w:tcPr>
            <w:tcW w:w="2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Incorporation</w:t>
            </w:r>
          </w:p>
        </w:tc>
        <w:tc>
          <w:tcPr>
            <w:tcW w:w="8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of Comcast</w:t>
            </w:r>
          </w:p>
        </w:tc>
        <w:tc>
          <w:tcPr>
            <w:tcW w:w="180" w:type="dxa"/>
            <w:vAlign w:val="bottom"/>
          </w:tcPr>
          <w:p>
            <w:pPr>
              <w:spacing w:after="0"/>
              <w:rPr>
                <w:sz w:val="14"/>
                <w:szCs w:val="14"/>
                <w:color w:val="auto"/>
              </w:rPr>
            </w:pPr>
          </w:p>
        </w:tc>
        <w:tc>
          <w:tcPr>
            <w:tcW w:w="222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w w:val="98"/>
              </w:rPr>
              <w:t>Corporation  (f/k/a AT&amp;T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Corporation)</w:t>
            </w:r>
          </w:p>
        </w:tc>
        <w:tc>
          <w:tcPr>
            <w:tcW w:w="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Courier New" w:cs="Courier New" w:eastAsia="Courier New" w:hAnsi="Courier New"/>
                <w:sz w:val="15"/>
                <w:szCs w:val="15"/>
                <w:color w:val="auto"/>
                <w:w w:val="97"/>
              </w:rPr>
              <w:t>(incorporated</w:t>
            </w:r>
          </w:p>
        </w:tc>
        <w:tc>
          <w:tcPr>
            <w:tcW w:w="1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by</w:t>
            </w:r>
          </w:p>
        </w:tc>
        <w:tc>
          <w:tcPr>
            <w:tcW w:w="18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reference to Exhibit 2.2 to</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our Current</w:t>
            </w:r>
          </w:p>
        </w:tc>
        <w:tc>
          <w:tcPr>
            <w:tcW w:w="1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Report on Form</w:t>
            </w:r>
          </w:p>
        </w:tc>
        <w:tc>
          <w:tcPr>
            <w:tcW w:w="1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8-K12g3</w:t>
            </w:r>
          </w:p>
        </w:tc>
        <w:tc>
          <w:tcPr>
            <w:tcW w:w="17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filed on November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160" w:type="dxa"/>
            <w:vAlign w:val="bottom"/>
            <w:gridSpan w:val="9"/>
          </w:tcPr>
          <w:p>
            <w:pPr>
              <w:ind w:left="580"/>
              <w:spacing w:after="0"/>
              <w:rPr>
                <w:sz w:val="20"/>
                <w:szCs w:val="20"/>
                <w:color w:val="auto"/>
              </w:rPr>
            </w:pPr>
            <w:r>
              <w:rPr>
                <w:rFonts w:ascii="Courier New" w:cs="Courier New" w:eastAsia="Courier New" w:hAnsi="Courier New"/>
                <w:sz w:val="15"/>
                <w:szCs w:val="15"/>
                <w:color w:val="auto"/>
                <w:w w:val="98"/>
              </w:rPr>
              <w:t>Amended and Restated By-Laws.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4580" w:type="dxa"/>
            <w:vAlign w:val="bottom"/>
            <w:gridSpan w:val="14"/>
          </w:tcPr>
          <w:p>
            <w:pPr>
              <w:ind w:left="580"/>
              <w:spacing w:after="0"/>
              <w:rPr>
                <w:sz w:val="20"/>
                <w:szCs w:val="20"/>
                <w:color w:val="auto"/>
              </w:rPr>
            </w:pPr>
            <w:r>
              <w:rPr>
                <w:rFonts w:ascii="Courier New" w:cs="Courier New" w:eastAsia="Courier New" w:hAnsi="Courier New"/>
                <w:sz w:val="15"/>
                <w:szCs w:val="15"/>
                <w:color w:val="auto"/>
              </w:rPr>
              <w:t>Specimen Class A Common Stock Certificate.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340" w:type="dxa"/>
            <w:vAlign w:val="bottom"/>
            <w:gridSpan w:val="10"/>
          </w:tcPr>
          <w:p>
            <w:pPr>
              <w:ind w:left="580"/>
              <w:spacing w:after="0"/>
              <w:rPr>
                <w:sz w:val="20"/>
                <w:szCs w:val="20"/>
                <w:color w:val="auto"/>
              </w:rPr>
            </w:pPr>
            <w:r>
              <w:rPr>
                <w:rFonts w:ascii="Courier New" w:cs="Courier New" w:eastAsia="Courier New" w:hAnsi="Courier New"/>
                <w:sz w:val="15"/>
                <w:szCs w:val="15"/>
                <w:color w:val="auto"/>
                <w:w w:val="98"/>
              </w:rPr>
              <w:t>Specimen Class A Special Common</w:t>
            </w:r>
          </w:p>
        </w:tc>
        <w:tc>
          <w:tcPr>
            <w:tcW w:w="18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Stock Certificate.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Rights</w:t>
            </w:r>
          </w:p>
        </w:tc>
        <w:tc>
          <w:tcPr>
            <w:tcW w:w="9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11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dated as of</w:t>
            </w:r>
          </w:p>
        </w:tc>
        <w:tc>
          <w:tcPr>
            <w:tcW w:w="8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November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6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Courier New" w:cs="Courier New" w:eastAsia="Courier New" w:hAnsi="Courier New"/>
                <w:sz w:val="15"/>
                <w:szCs w:val="15"/>
                <w:color w:val="auto"/>
              </w:rPr>
              <w:t>Corporation</w:t>
            </w:r>
          </w:p>
        </w:tc>
        <w:tc>
          <w:tcPr>
            <w:tcW w:w="16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(f/k/a AT&amp;T Comcast</w:t>
            </w:r>
          </w:p>
        </w:tc>
        <w:tc>
          <w:tcPr>
            <w:tcW w:w="13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EquiServe  Trust  Company,  N.A.,  as  Rights  Agent,  which</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rPr>
              <w:t>includes the Form of</w:t>
            </w:r>
          </w:p>
        </w:tc>
        <w:tc>
          <w:tcPr>
            <w:tcW w:w="33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8"/>
              </w:rPr>
              <w:t>Certificate of Designation of Series A</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Participant's</w:t>
            </w:r>
          </w:p>
        </w:tc>
        <w:tc>
          <w:tcPr>
            <w:tcW w:w="8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Cumulative</w:t>
            </w:r>
          </w:p>
        </w:tc>
        <w:tc>
          <w:tcPr>
            <w:tcW w:w="1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Preferred</w:t>
            </w:r>
          </w:p>
        </w:tc>
        <w:tc>
          <w:tcPr>
            <w:tcW w:w="21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Stock as Exhibit A and</w:t>
            </w:r>
          </w:p>
        </w:tc>
      </w:tr>
      <w:tr>
        <w:trPr>
          <w:trHeight w:val="171"/>
        </w:trPr>
        <w:tc>
          <w:tcPr>
            <w:tcW w:w="740" w:type="dxa"/>
            <w:vAlign w:val="bottom"/>
          </w:tcPr>
          <w:p>
            <w:pPr>
              <w:spacing w:after="0"/>
              <w:rPr>
                <w:sz w:val="14"/>
                <w:szCs w:val="14"/>
                <w:color w:val="auto"/>
              </w:rPr>
            </w:pPr>
          </w:p>
        </w:tc>
        <w:tc>
          <w:tcPr>
            <w:tcW w:w="2180" w:type="dxa"/>
            <w:vAlign w:val="bottom"/>
            <w:gridSpan w:val="5"/>
          </w:tcPr>
          <w:p>
            <w:pPr>
              <w:ind w:left="580"/>
              <w:spacing w:after="0"/>
              <w:rPr>
                <w:sz w:val="20"/>
                <w:szCs w:val="20"/>
                <w:color w:val="auto"/>
              </w:rPr>
            </w:pPr>
            <w:r>
              <w:rPr>
                <w:rFonts w:ascii="Courier New" w:cs="Courier New" w:eastAsia="Courier New" w:hAnsi="Courier New"/>
                <w:sz w:val="15"/>
                <w:szCs w:val="15"/>
                <w:color w:val="auto"/>
              </w:rPr>
              <w:t>the Form of Right</w:t>
            </w:r>
          </w:p>
        </w:tc>
        <w:tc>
          <w:tcPr>
            <w:tcW w:w="374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Certificate as Exhibit B (incorporated by</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reference to our registration statement on Form 8-A12g filed</w:t>
            </w:r>
          </w:p>
        </w:tc>
      </w:tr>
      <w:tr>
        <w:trPr>
          <w:trHeight w:val="171"/>
        </w:trPr>
        <w:tc>
          <w:tcPr>
            <w:tcW w:w="74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Courier New" w:cs="Courier New" w:eastAsia="Courier New" w:hAnsi="Courier New"/>
                <w:sz w:val="15"/>
                <w:szCs w:val="15"/>
                <w:color w:val="auto"/>
                <w:w w:val="97"/>
              </w:rPr>
              <w:t>on November 18, 2002).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Credit</w:t>
            </w:r>
          </w:p>
        </w:tc>
        <w:tc>
          <w:tcPr>
            <w:tcW w:w="9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3020" w:type="dxa"/>
            <w:vAlign w:val="bottom"/>
            <w:gridSpan w:val="11"/>
          </w:tcPr>
          <w:p>
            <w:pPr>
              <w:ind w:left="100"/>
              <w:spacing w:after="0"/>
              <w:rPr>
                <w:sz w:val="20"/>
                <w:szCs w:val="20"/>
                <w:color w:val="auto"/>
              </w:rPr>
            </w:pPr>
            <w:r>
              <w:rPr>
                <w:rFonts w:ascii="Courier New" w:cs="Courier New" w:eastAsia="Courier New" w:hAnsi="Courier New"/>
                <w:sz w:val="15"/>
                <w:szCs w:val="15"/>
                <w:color w:val="auto"/>
              </w:rPr>
              <w:t>dated as of April 26, 2002 among</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740" w:type="dxa"/>
            <w:vAlign w:val="bottom"/>
          </w:tcPr>
          <w:p>
            <w:pPr>
              <w:spacing w:after="0"/>
              <w:rPr>
                <w:sz w:val="14"/>
                <w:szCs w:val="14"/>
                <w:color w:val="auto"/>
              </w:rPr>
            </w:pPr>
          </w:p>
        </w:tc>
        <w:tc>
          <w:tcPr>
            <w:tcW w:w="4580" w:type="dxa"/>
            <w:vAlign w:val="bottom"/>
            <w:gridSpan w:val="14"/>
          </w:tcPr>
          <w:p>
            <w:pPr>
              <w:ind w:left="580"/>
              <w:spacing w:after="0"/>
              <w:rPr>
                <w:sz w:val="20"/>
                <w:szCs w:val="20"/>
                <w:color w:val="auto"/>
              </w:rPr>
            </w:pPr>
            <w:r>
              <w:rPr>
                <w:rFonts w:ascii="Courier New" w:cs="Courier New" w:eastAsia="Courier New" w:hAnsi="Courier New"/>
                <w:sz w:val="15"/>
                <w:szCs w:val="15"/>
                <w:color w:val="auto"/>
                <w:w w:val="98"/>
              </w:rPr>
              <w:t>Corporation (f/k/a AT&amp;T Comcast Corporation),</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Comcast Cable</w:t>
            </w:r>
          </w:p>
        </w:tc>
      </w:tr>
      <w:tr>
        <w:trPr>
          <w:trHeight w:val="171"/>
        </w:trPr>
        <w:tc>
          <w:tcPr>
            <w:tcW w:w="740" w:type="dxa"/>
            <w:vAlign w:val="bottom"/>
          </w:tcPr>
          <w:p>
            <w:pPr>
              <w:spacing w:after="0"/>
              <w:rPr>
                <w:sz w:val="14"/>
                <w:szCs w:val="14"/>
                <w:color w:val="auto"/>
              </w:rPr>
            </w:pPr>
          </w:p>
        </w:tc>
        <w:tc>
          <w:tcPr>
            <w:tcW w:w="1820" w:type="dxa"/>
            <w:vAlign w:val="bottom"/>
            <w:gridSpan w:val="4"/>
          </w:tcPr>
          <w:p>
            <w:pPr>
              <w:ind w:left="580"/>
              <w:spacing w:after="0"/>
              <w:rPr>
                <w:sz w:val="20"/>
                <w:szCs w:val="20"/>
                <w:color w:val="auto"/>
              </w:rPr>
            </w:pPr>
            <w:r>
              <w:rPr>
                <w:rFonts w:ascii="Courier New" w:cs="Courier New" w:eastAsia="Courier New" w:hAnsi="Courier New"/>
                <w:sz w:val="15"/>
                <w:szCs w:val="15"/>
                <w:color w:val="auto"/>
                <w:w w:val="96"/>
              </w:rPr>
              <w:t>Communications</w:t>
            </w:r>
          </w:p>
        </w:tc>
        <w:tc>
          <w:tcPr>
            <w:tcW w:w="410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Holdings, Inc. (f/k/a AT&amp;T Broadband Corp.),</w:t>
            </w:r>
          </w:p>
        </w:tc>
      </w:tr>
      <w:tr>
        <w:trPr>
          <w:trHeight w:val="171"/>
        </w:trPr>
        <w:tc>
          <w:tcPr>
            <w:tcW w:w="7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the Financial</w:t>
            </w:r>
          </w:p>
        </w:tc>
        <w:tc>
          <w:tcPr>
            <w:tcW w:w="80" w:type="dxa"/>
            <w:vAlign w:val="bottom"/>
          </w:tcPr>
          <w:p>
            <w:pPr>
              <w:spacing w:after="0"/>
              <w:rPr>
                <w:sz w:val="14"/>
                <w:szCs w:val="14"/>
                <w:color w:val="auto"/>
              </w:rPr>
            </w:pPr>
          </w:p>
        </w:tc>
        <w:tc>
          <w:tcPr>
            <w:tcW w:w="11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6"/>
              </w:rPr>
              <w:t>Institutions</w:t>
            </w:r>
          </w:p>
        </w:tc>
        <w:tc>
          <w:tcPr>
            <w:tcW w:w="180" w:type="dxa"/>
            <w:vAlign w:val="bottom"/>
          </w:tcPr>
          <w:p>
            <w:pPr>
              <w:spacing w:after="0"/>
              <w:rPr>
                <w:sz w:val="14"/>
                <w:szCs w:val="14"/>
                <w:color w:val="auto"/>
              </w:rPr>
            </w:pPr>
          </w:p>
        </w:tc>
        <w:tc>
          <w:tcPr>
            <w:tcW w:w="6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3"/>
              </w:rPr>
              <w:t>party</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thereto,</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JPMorgan Chase</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Bank, as Administrative Agent, Swing Line Lender and Issuing</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Lender,</w:t>
            </w: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Citibank,</w:t>
            </w:r>
          </w:p>
        </w:tc>
        <w:tc>
          <w:tcPr>
            <w:tcW w:w="204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rPr>
              <w:t>N.A., as Syndication</w:t>
            </w:r>
          </w:p>
        </w:tc>
        <w:tc>
          <w:tcPr>
            <w:tcW w:w="17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Agent, and Bank of</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America,</w:t>
            </w:r>
          </w:p>
        </w:tc>
        <w:tc>
          <w:tcPr>
            <w:tcW w:w="3820" w:type="dxa"/>
            <w:vAlign w:val="bottom"/>
            <w:gridSpan w:val="14"/>
          </w:tcPr>
          <w:p>
            <w:pPr>
              <w:ind w:left="100"/>
              <w:spacing w:after="0"/>
              <w:rPr>
                <w:sz w:val="20"/>
                <w:szCs w:val="20"/>
                <w:color w:val="auto"/>
              </w:rPr>
            </w:pPr>
            <w:r>
              <w:rPr>
                <w:rFonts w:ascii="Courier New" w:cs="Courier New" w:eastAsia="Courier New" w:hAnsi="Courier New"/>
                <w:sz w:val="15"/>
                <w:szCs w:val="15"/>
                <w:color w:val="auto"/>
              </w:rPr>
              <w:t>N.A., Merrill Lynch &amp; Co., Merrill Lynch,</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Pierce,</w:t>
            </w:r>
          </w:p>
        </w:tc>
      </w:tr>
      <w:tr>
        <w:trPr>
          <w:trHeight w:val="171"/>
        </w:trPr>
        <w:tc>
          <w:tcPr>
            <w:tcW w:w="740" w:type="dxa"/>
            <w:vAlign w:val="bottom"/>
          </w:tcPr>
          <w:p>
            <w:pPr>
              <w:spacing w:after="0"/>
              <w:rPr>
                <w:sz w:val="14"/>
                <w:szCs w:val="14"/>
                <w:color w:val="auto"/>
              </w:rPr>
            </w:pPr>
          </w:p>
        </w:tc>
        <w:tc>
          <w:tcPr>
            <w:tcW w:w="5920" w:type="dxa"/>
            <w:vAlign w:val="bottom"/>
            <w:gridSpan w:val="18"/>
          </w:tcPr>
          <w:p>
            <w:pPr>
              <w:ind w:left="580"/>
              <w:spacing w:after="0"/>
              <w:rPr>
                <w:sz w:val="20"/>
                <w:szCs w:val="20"/>
                <w:color w:val="auto"/>
              </w:rPr>
            </w:pPr>
            <w:r>
              <w:rPr>
                <w:rFonts w:ascii="Courier New" w:cs="Courier New" w:eastAsia="Courier New" w:hAnsi="Courier New"/>
                <w:sz w:val="15"/>
                <w:szCs w:val="15"/>
                <w:color w:val="auto"/>
                <w:w w:val="98"/>
              </w:rPr>
              <w:t>Fenner  &amp;  Smith  Incorporated  and  Morgan  Stanley  Senior</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Funding,</w:t>
            </w:r>
          </w:p>
        </w:tc>
        <w:tc>
          <w:tcPr>
            <w:tcW w:w="8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4"/>
              </w:rPr>
              <w:t>Inc., as</w:t>
            </w:r>
          </w:p>
        </w:tc>
        <w:tc>
          <w:tcPr>
            <w:tcW w:w="16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Co-Documentation</w:t>
            </w:r>
          </w:p>
        </w:tc>
        <w:tc>
          <w:tcPr>
            <w:tcW w:w="21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Agent (incorporated by</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reference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Exhibit</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our</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amended</w:t>
            </w:r>
          </w:p>
        </w:tc>
        <w:tc>
          <w:tcPr>
            <w:tcW w:w="2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registration</w:t>
            </w:r>
          </w:p>
        </w:tc>
      </w:tr>
      <w:tr>
        <w:trPr>
          <w:trHeight w:val="171"/>
        </w:trPr>
        <w:tc>
          <w:tcPr>
            <w:tcW w:w="740" w:type="dxa"/>
            <w:vAlign w:val="bottom"/>
          </w:tcPr>
          <w:p>
            <w:pPr>
              <w:spacing w:after="0"/>
              <w:rPr>
                <w:sz w:val="14"/>
                <w:szCs w:val="14"/>
                <w:color w:val="auto"/>
              </w:rPr>
            </w:pPr>
          </w:p>
        </w:tc>
        <w:tc>
          <w:tcPr>
            <w:tcW w:w="4840" w:type="dxa"/>
            <w:vAlign w:val="bottom"/>
            <w:gridSpan w:val="15"/>
          </w:tcPr>
          <w:p>
            <w:pPr>
              <w:ind w:left="580"/>
              <w:spacing w:after="0"/>
              <w:rPr>
                <w:sz w:val="20"/>
                <w:szCs w:val="20"/>
                <w:color w:val="auto"/>
              </w:rPr>
            </w:pPr>
            <w:r>
              <w:rPr>
                <w:rFonts w:ascii="Courier New" w:cs="Courier New" w:eastAsia="Courier New" w:hAnsi="Courier New"/>
                <w:sz w:val="15"/>
                <w:szCs w:val="15"/>
                <w:color w:val="auto"/>
              </w:rPr>
              <w:t>statement on Form S-4/A filed on May 14, 2002).</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Bridge</w:t>
            </w:r>
          </w:p>
        </w:tc>
        <w:tc>
          <w:tcPr>
            <w:tcW w:w="6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2"/>
              </w:rPr>
              <w:t>Credit</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Agreement</w:t>
            </w:r>
          </w:p>
        </w:tc>
        <w:tc>
          <w:tcPr>
            <w:tcW w:w="180" w:type="dxa"/>
            <w:vAlign w:val="bottom"/>
          </w:tcPr>
          <w:p>
            <w:pPr>
              <w:spacing w:after="0"/>
              <w:rPr>
                <w:sz w:val="14"/>
                <w:szCs w:val="14"/>
                <w:color w:val="auto"/>
              </w:rPr>
            </w:pPr>
          </w:p>
        </w:tc>
        <w:tc>
          <w:tcPr>
            <w:tcW w:w="18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dated as of April 26,</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2002 among</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11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Corporation</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(f/k/a</w:t>
            </w:r>
          </w:p>
        </w:tc>
        <w:tc>
          <w:tcPr>
            <w:tcW w:w="180" w:type="dxa"/>
            <w:vAlign w:val="bottom"/>
          </w:tcPr>
          <w:p>
            <w:pPr>
              <w:spacing w:after="0"/>
              <w:rPr>
                <w:sz w:val="14"/>
                <w:szCs w:val="14"/>
                <w:color w:val="auto"/>
              </w:rPr>
            </w:pPr>
          </w:p>
        </w:tc>
        <w:tc>
          <w:tcPr>
            <w:tcW w:w="4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4"/>
              </w:rPr>
              <w:t>AT&amp;T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Comcast</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Comcast</w:t>
            </w:r>
          </w:p>
        </w:tc>
        <w:tc>
          <w:tcPr>
            <w:tcW w:w="180" w:type="dxa"/>
            <w:vAlign w:val="bottom"/>
          </w:tcPr>
          <w:p>
            <w:pPr>
              <w:spacing w:after="0"/>
              <w:rPr>
                <w:sz w:val="14"/>
                <w:szCs w:val="14"/>
                <w:color w:val="auto"/>
              </w:rPr>
            </w:pPr>
          </w:p>
        </w:tc>
        <w:tc>
          <w:tcPr>
            <w:tcW w:w="4540" w:type="dxa"/>
            <w:vAlign w:val="bottom"/>
            <w:gridSpan w:val="16"/>
          </w:tcPr>
          <w:p>
            <w:pPr>
              <w:spacing w:after="0"/>
              <w:rPr>
                <w:sz w:val="20"/>
                <w:szCs w:val="20"/>
                <w:color w:val="auto"/>
              </w:rPr>
            </w:pPr>
            <w:r>
              <w:rPr>
                <w:rFonts w:ascii="Courier New" w:cs="Courier New" w:eastAsia="Courier New" w:hAnsi="Courier New"/>
                <w:sz w:val="15"/>
                <w:szCs w:val="15"/>
                <w:color w:val="auto"/>
                <w:w w:val="98"/>
              </w:rPr>
              <w:t>Cable  Communications  Holdings,  Inc.  (f/k/a AT&amp;T</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Broadband</w:t>
            </w:r>
          </w:p>
        </w:tc>
        <w:tc>
          <w:tcPr>
            <w:tcW w:w="1960" w:type="dxa"/>
            <w:vAlign w:val="bottom"/>
            <w:gridSpan w:val="8"/>
          </w:tcPr>
          <w:p>
            <w:pPr>
              <w:ind w:left="100"/>
              <w:spacing w:after="0"/>
              <w:rPr>
                <w:sz w:val="20"/>
                <w:szCs w:val="20"/>
                <w:color w:val="auto"/>
              </w:rPr>
            </w:pPr>
            <w:r>
              <w:rPr>
                <w:rFonts w:ascii="Courier New" w:cs="Courier New" w:eastAsia="Courier New" w:hAnsi="Courier New"/>
                <w:sz w:val="15"/>
                <w:szCs w:val="15"/>
                <w:color w:val="auto"/>
                <w:w w:val="97"/>
              </w:rPr>
              <w:t>Corp.), the Financial</w:t>
            </w:r>
          </w:p>
        </w:tc>
        <w:tc>
          <w:tcPr>
            <w:tcW w:w="18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Institutions party thereto,</w:t>
            </w:r>
          </w:p>
        </w:tc>
      </w:tr>
      <w:tr>
        <w:trPr>
          <w:trHeight w:val="171"/>
        </w:trPr>
        <w:tc>
          <w:tcPr>
            <w:tcW w:w="74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JPMorgan</w:t>
            </w:r>
          </w:p>
        </w:tc>
        <w:tc>
          <w:tcPr>
            <w:tcW w:w="4540" w:type="dxa"/>
            <w:vAlign w:val="bottom"/>
            <w:gridSpan w:val="16"/>
          </w:tcPr>
          <w:p>
            <w:pPr>
              <w:ind w:left="100"/>
              <w:spacing w:after="0"/>
              <w:rPr>
                <w:sz w:val="20"/>
                <w:szCs w:val="20"/>
                <w:color w:val="auto"/>
              </w:rPr>
            </w:pPr>
            <w:r>
              <w:rPr>
                <w:rFonts w:ascii="Courier New" w:cs="Courier New" w:eastAsia="Courier New" w:hAnsi="Courier New"/>
                <w:sz w:val="15"/>
                <w:szCs w:val="15"/>
                <w:color w:val="auto"/>
                <w:w w:val="98"/>
              </w:rPr>
              <w:t>Chase Bank,  as  Administrative  Agent,  Citibank,</w:t>
            </w:r>
          </w:p>
        </w:tc>
      </w:tr>
      <w:tr>
        <w:trPr>
          <w:trHeight w:val="171"/>
        </w:trPr>
        <w:tc>
          <w:tcPr>
            <w:tcW w:w="74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N.A.,</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as</w:t>
            </w:r>
          </w:p>
        </w:tc>
        <w:tc>
          <w:tcPr>
            <w:tcW w:w="11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Syndication</w:t>
            </w:r>
          </w:p>
        </w:tc>
        <w:tc>
          <w:tcPr>
            <w:tcW w:w="8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Agent,</w:t>
            </w:r>
          </w:p>
        </w:tc>
        <w:tc>
          <w:tcPr>
            <w:tcW w:w="12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and Bank of</w:t>
            </w:r>
          </w:p>
        </w:tc>
        <w:tc>
          <w:tcPr>
            <w:tcW w:w="13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America,  N.A.,</w:t>
            </w:r>
          </w:p>
        </w:tc>
      </w:tr>
    </w:tbl>
    <w:p>
      <w:pPr>
        <w:sectPr>
          <w:pgSz w:w="11900" w:h="16870" w:orient="portrait"/>
          <w:cols w:equalWidth="0" w:num="1">
            <w:col w:w="9779"/>
          </w:cols>
          <w:pgMar w:left="680" w:top="460" w:right="1440" w:bottom="0" w:gutter="0" w:footer="0" w:header="0"/>
          <w:type w:val="continuous"/>
        </w:sectPr>
      </w:pPr>
    </w:p>
    <w:bookmarkStart w:id="100" w:name="page101"/>
    <w:bookmarkEnd w:id="100"/>
    <w:p>
      <w:pPr>
        <w:ind w:left="560"/>
        <w:spacing w:after="0"/>
        <w:rPr>
          <w:sz w:val="20"/>
          <w:szCs w:val="20"/>
          <w:color w:val="auto"/>
        </w:rPr>
      </w:pPr>
      <w:r>
        <w:rPr>
          <w:rFonts w:ascii="Courier New" w:cs="Courier New" w:eastAsia="Courier New" w:hAnsi="Courier New"/>
          <w:sz w:val="14"/>
          <w:szCs w:val="14"/>
          <w:color w:val="auto"/>
        </w:rPr>
        <w:t>Merrill Lynch &amp; Co., Merrill</w:t>
      </w:r>
    </w:p>
    <w:p>
      <w:pPr>
        <w:sectPr>
          <w:pgSz w:w="11900" w:h="16838" w:orient="portrait"/>
          <w:cols w:equalWidth="0" w:num="1">
            <w:col w:w="9019"/>
          </w:cols>
          <w:pgMar w:left="14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- 89 -</w:t>
      </w:r>
    </w:p>
    <w:p>
      <w:pPr>
        <w:sectPr>
          <w:pgSz w:w="11900" w:h="16838" w:orient="portrait"/>
          <w:cols w:equalWidth="0" w:num="1">
            <w:col w:w="9019"/>
          </w:cols>
          <w:pgMar w:left="1440" w:top="141" w:right="1440" w:bottom="1440" w:gutter="0" w:footer="0" w:header="0"/>
          <w:type w:val="continuous"/>
        </w:sectPr>
      </w:pPr>
    </w:p>
    <w:bookmarkStart w:id="101" w:name="page102"/>
    <w:bookmarkEnd w:id="101"/>
    <w:p>
      <w:pPr>
        <w:jc w:val="both"/>
        <w:ind w:left="560" w:right="3119"/>
        <w:spacing w:after="0" w:line="258" w:lineRule="auto"/>
        <w:rPr>
          <w:sz w:val="20"/>
          <w:szCs w:val="20"/>
          <w:color w:val="auto"/>
        </w:rPr>
      </w:pPr>
      <w:r>
        <w:rPr>
          <w:rFonts w:ascii="Courier New" w:cs="Courier New" w:eastAsia="Courier New" w:hAnsi="Courier New"/>
          <w:sz w:val="14"/>
          <w:szCs w:val="14"/>
          <w:color w:val="auto"/>
        </w:rPr>
        <w:t>Lynch, Pierce, Fenner &amp; Smith Incorporated and Morgan Stanley Senior Funding, Inc., as Co- Documentation Agents (incorporated by reference to Exhibit 4.2 to our amended registration statement on Form S-4/A filed on May 14, 2002).</w:t>
      </w:r>
    </w:p>
    <w:p>
      <w:pPr>
        <w:spacing w:after="0" w:line="1"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Amended and Restated Five-Year Revolving Credit Agreement effective as of November 18, 2002, amending and restating the Five-Year Revolving Credit Agreement dated as of August 24, 2000, among Comcast Cable Communications, Inc., Comcast Corporation (f/k/a AT&amp;T Comcast Corporation), the Lenders party thereto and Bank of America, N.A., as Administrative Agent. (incorporated by reference to Annex I of Exhibit 10.3 to the Comcast Cable Communications, Inc. Quarterly Report on Form 10-Q for the quarter ended March 31, 2002).</w:t>
      </w:r>
    </w:p>
    <w:p>
      <w:pPr>
        <w:spacing w:after="0" w:line="7"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First Amendment to Amended and Restated Five-Year Revolving Credit Agreement dated as of February 7, 2003, among Comcast Cable Communications, Inc., Comcast Corporation (f/k/a AT&amp;T Comcast Corporation), the Lenders party thereto and Bank of America, N.A., as Administrative Agent.</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Amended and Restated 364-Day Revolving Credit Agreement effective as of November 18, 2002, amending and restating the 364-Day Revolving Credit Agreement dated as of August 24, 2000, among Comcast Cable Communications, Inc., Comcast Corporation (f/k/a AT&amp;T Comcast Corporation), the Lenders party thereto and Bank of America, N.A., as Administrative Agent. (incorporated by reference to Annex I of Exhibit 10.4 to the Comcast Cable Communications, Inc. Quarterly Report on Form 10-Q for the quarter ended March 31, 2002).</w:t>
      </w:r>
    </w:p>
    <w:p>
      <w:pPr>
        <w:spacing w:after="0" w:line="7"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First Amendment to Amended and Restated 364-Day Revolving Credit Agreement dated as of February 7, 2003, among Comcast Cable Communications, Inc., Comcast Corporation (f/k/a AT&amp;T Comcast Corporation), the Lenders party to thereto and Bank of America, N.A., as Administrative Agent.</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Indenture, dated as of October 17, 1991, between Comcast Holdings Corporation (f/k/a Comcast Corporation) and Bank of Montreal/Harris Trust (successor to Morgan Guaranty Trust Company of New York), as Trustee, relating to Comcast Holdings' 10-5/8% Senior Subordinated Debentures due 2012 (incorporated by reference to Exhibit 2 to the Comcast Holdings Corporation Current Report on Form 8-K filed on October 31, 1991).</w:t>
      </w:r>
    </w:p>
    <w:p>
      <w:pPr>
        <w:spacing w:after="0" w:line="6"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Debenture relating to Comcast Holdings Corporation's (f/k/a Comcast Corporation) 10- 5/8% Senior Subordinated Debentures due 2012 (incorporated by reference to Exhibit 4(17) to the Comcast Holdings Corporation Annual Report on Form 10-K for the year ended December 31, 1992).</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Senior Indenture dated as of June 15, 1999 between Comcast Holdings Corporation (f/k/a Comcast Corporation) and The Bank of New York (as successor in interest to Bank of Montreal Trust Company), as Trustee (incorporated by reference to Exhibit 4.1 to the registration statement on Form S-3 of Comcast Holdings filed on June 23, 1999).</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Form of Debenture relating to Comcast Holdings Corporation's (f/k/a Comcast Corporation) Zero Coupon Convertible Debentures due 2020 (incorporated by reference to Exhibit 4.7 to the Comcast Holdings Corporation Annual Report on Form 10-K for the year ended December 31, 2000).</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Indenture dated as of May 1, 1997, between Comcast Cable Communications, Inc. and The Bank of New York (as successor in interest to Bank of Montreal Trust Company), as Trustee, relating to Comcast Cable Communications, Inc.'s 8-1/8% Notes due 2004, 8-3/8% Notes due 2007, 8- 7/8% Notes due 2017, 8-1/2% Notes due 2027, 6.20% Notes due 2008, 6.375% Notes due 2006, 6.75% Notes due 2011, 6.875% Notes due 2009 and 7.125% Notes due 2013 (incorporated by reference to Exhibit 4.1(a) to the registration statement on Form S-4 of Comcast Cable Communications, Inc. filed on June 3, 1997).</w:t>
      </w:r>
    </w:p>
    <w:p>
      <w:pPr>
        <w:spacing w:after="0" w:line="7"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Form of Comcast Cable Communications Inc.'s 8-1/8% Notes due 2004, 8-3/8% Notes due 2007, 8-7/8% Notes due 2017 and 8-1/2% Notes due 2027, 6.20% Notes due 2008, 6.375% Notes due 2006, 6.75% Notes due 2011, 6.875% Notes due 2009 and 7.125% Notes due 2013 (incorporated by reference to Exhibit</w:t>
      </w:r>
    </w:p>
    <w:p>
      <w:pPr>
        <w:spacing w:after="0" w:line="4" w:lineRule="exact"/>
        <w:rPr>
          <w:sz w:val="20"/>
          <w:szCs w:val="20"/>
          <w:color w:val="auto"/>
        </w:rPr>
      </w:pPr>
    </w:p>
    <w:p>
      <w:pPr>
        <w:ind w:left="560" w:right="3119"/>
        <w:spacing w:after="0" w:line="238" w:lineRule="auto"/>
        <w:rPr>
          <w:sz w:val="20"/>
          <w:szCs w:val="20"/>
          <w:color w:val="auto"/>
        </w:rPr>
      </w:pPr>
      <w:r>
        <w:rPr>
          <w:rFonts w:ascii="Courier New" w:cs="Courier New" w:eastAsia="Courier New" w:hAnsi="Courier New"/>
          <w:sz w:val="15"/>
          <w:szCs w:val="15"/>
          <w:color w:val="auto"/>
        </w:rPr>
        <w:t>4.1(b) to the registration statement on Form S-4 of Comcast Cable Communications, Inc. filed on June 3, 1997).</w:t>
      </w:r>
    </w:p>
    <w:p>
      <w:pPr>
        <w:spacing w:after="0" w:line="4" w:lineRule="exact"/>
        <w:rPr>
          <w:sz w:val="20"/>
          <w:szCs w:val="20"/>
          <w:color w:val="auto"/>
        </w:rPr>
      </w:pPr>
    </w:p>
    <w:p>
      <w:pPr>
        <w:jc w:val="both"/>
        <w:ind w:left="560" w:right="3119" w:hanging="887"/>
        <w:spacing w:after="0"/>
        <w:tabs>
          <w:tab w:leader="none" w:pos="540"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Form of Indenture among Comcast Corporation (f/k/a AT&amp;T Comcast Corporation), Comcast Cable Communications, Inc., Comcast Cable Communications Holdings, Inc. (f/k/a AT&amp;T Broadband Corp.), Comcast Cable Holdings, LLC (f/k/a AT&amp;T Broadband, LLC), Comcast MO Group, Inc. (f/k/a MediaOne Group, Inc.), and The Bank of New York, as Trustee relating to Comcast Cable Communications Holdings, Inc.'s 8.375% Notes due March 15, 2013 and 9.455% Notes Due November 15, 2022 (incorporated by reference to Exhibit 4.18 to our amended registration statement on Form S-4/A filed on September 26, 2002).</w:t>
      </w:r>
    </w:p>
    <w:p>
      <w:pPr>
        <w:spacing w:after="0" w:line="8" w:lineRule="exact"/>
        <w:rPr>
          <w:sz w:val="20"/>
          <w:szCs w:val="20"/>
          <w:color w:val="auto"/>
        </w:rPr>
      </w:pPr>
    </w:p>
    <w:p>
      <w:pPr>
        <w:jc w:val="both"/>
        <w:ind w:left="560" w:right="3119" w:hanging="887"/>
        <w:spacing w:after="0" w:line="239" w:lineRule="auto"/>
        <w:tabs>
          <w:tab w:leader="none" w:pos="540" w:val="left"/>
        </w:tabs>
        <w:rPr>
          <w:sz w:val="20"/>
          <w:szCs w:val="20"/>
          <w:color w:val="auto"/>
        </w:rPr>
      </w:pPr>
      <w:r>
        <w:rPr>
          <w:rFonts w:ascii="Courier New" w:cs="Courier New" w:eastAsia="Courier New" w:hAnsi="Courier New"/>
          <w:sz w:val="15"/>
          <w:szCs w:val="15"/>
          <w:color w:val="auto"/>
        </w:rPr>
        <w:t>4.17</w:t>
      </w:r>
      <w:r>
        <w:rPr>
          <w:sz w:val="20"/>
          <w:szCs w:val="20"/>
          <w:color w:val="auto"/>
        </w:rPr>
        <w:tab/>
      </w:r>
      <w:r>
        <w:rPr>
          <w:rFonts w:ascii="Courier New" w:cs="Courier New" w:eastAsia="Courier New" w:hAnsi="Courier New"/>
          <w:sz w:val="15"/>
          <w:szCs w:val="15"/>
          <w:color w:val="auto"/>
        </w:rPr>
        <w:t>Form of Comcast Cable Communications Holdings, Inc.'s 8.375% Notes Due March 15, 2013 (incorporated by reference to Exhibit 4.19 to our amended registration statement on Form S-4/A filed on September 26, 2002).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- 90 -</w:t>
      </w:r>
    </w:p>
    <w:p>
      <w:pPr>
        <w:sectPr>
          <w:pgSz w:w="11900" w:h="16838" w:orient="portrait"/>
          <w:cols w:equalWidth="0" w:num="1">
            <w:col w:w="9019"/>
          </w:cols>
          <w:pgMar w:left="1440" w:top="460" w:right="1440" w:bottom="0" w:gutter="0" w:footer="0" w:header="0"/>
        </w:sectPr>
      </w:pPr>
    </w:p>
    <w:bookmarkStart w:id="102" w:name="page103"/>
    <w:bookmarkEnd w:id="102"/>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4.18</w:t>
      </w:r>
      <w:r>
        <w:rPr>
          <w:sz w:val="20"/>
          <w:szCs w:val="20"/>
          <w:color w:val="auto"/>
        </w:rPr>
        <w:tab/>
      </w:r>
      <w:r>
        <w:rPr>
          <w:rFonts w:ascii="Courier New" w:cs="Courier New" w:eastAsia="Courier New" w:hAnsi="Courier New"/>
          <w:sz w:val="15"/>
          <w:szCs w:val="15"/>
          <w:color w:val="auto"/>
        </w:rPr>
        <w:t>Form of Comcast Cable Communications Holdings, Inc.'s 9.455% Notes Due November 15, 2022 (incorporated by reference to Exhibit 4.20 to our amended registration statement on Form S-4/A filed on September 26, 2002).</w:t>
      </w:r>
    </w:p>
    <w:p>
      <w:pPr>
        <w:spacing w:after="0" w:line="6"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4.19</w:t>
      </w:r>
      <w:r>
        <w:rPr>
          <w:sz w:val="20"/>
          <w:szCs w:val="20"/>
          <w:color w:val="auto"/>
        </w:rPr>
        <w:tab/>
      </w:r>
      <w:r>
        <w:rPr>
          <w:rFonts w:ascii="Courier New" w:cs="Courier New" w:eastAsia="Courier New" w:hAnsi="Courier New"/>
          <w:sz w:val="15"/>
          <w:szCs w:val="15"/>
          <w:color w:val="auto"/>
        </w:rPr>
        <w:t>Form of Indenture among Comcast Corporation (f/k/a AT&amp;T Comcast Corporation), Comcast Cable Communications, Inc., Comcast Cable Communications Holdings, Inc. (f/k/a AT&amp;T Broadband Corp.), Comcast Cable Holdings, LLC (f/k/a AT&amp;T Broadband, LLC), Comcast MO Group, Inc. (f/k/a MediaOne Group, Inc.), and The Bank of New York, as Trustee relating to Comcast Corporation's 5.85% Notes due 2010 and 6.50% Notes Due 2015 (incorporated by reference to Exhibit 4.5 to our registration statement on Form S-3 filed on December 16, 2002).</w:t>
      </w:r>
    </w:p>
    <w:p>
      <w:pPr>
        <w:spacing w:after="0" w:line="7" w:lineRule="exact"/>
        <w:rPr>
          <w:sz w:val="20"/>
          <w:szCs w:val="20"/>
          <w:color w:val="auto"/>
        </w:rPr>
      </w:pPr>
    </w:p>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4.20</w:t>
      </w:r>
      <w:r>
        <w:rPr>
          <w:sz w:val="20"/>
          <w:szCs w:val="20"/>
          <w:color w:val="auto"/>
        </w:rPr>
        <w:tab/>
      </w:r>
      <w:r>
        <w:rPr>
          <w:rFonts w:ascii="Courier New" w:cs="Courier New" w:eastAsia="Courier New" w:hAnsi="Courier New"/>
          <w:sz w:val="15"/>
          <w:szCs w:val="15"/>
          <w:color w:val="auto"/>
        </w:rPr>
        <w:t>Form of Comcast Corporation's (f/k/a AT&amp;T Comcast Corporation) 5.85% Notes due 2010 (incorporated by reference to Exhibit 4.1 to our Current Report on Form 8-K filed on January 10, 2003).</w:t>
      </w:r>
    </w:p>
    <w:p>
      <w:pPr>
        <w:spacing w:after="0" w:line="6" w:lineRule="exact"/>
        <w:rPr>
          <w:sz w:val="20"/>
          <w:szCs w:val="20"/>
          <w:color w:val="auto"/>
        </w:rPr>
      </w:pPr>
    </w:p>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4.21</w:t>
      </w:r>
      <w:r>
        <w:rPr>
          <w:sz w:val="20"/>
          <w:szCs w:val="20"/>
          <w:color w:val="auto"/>
        </w:rPr>
        <w:tab/>
      </w:r>
      <w:r>
        <w:rPr>
          <w:rFonts w:ascii="Courier New" w:cs="Courier New" w:eastAsia="Courier New" w:hAnsi="Courier New"/>
          <w:sz w:val="15"/>
          <w:szCs w:val="15"/>
          <w:color w:val="auto"/>
        </w:rPr>
        <w:t>Form of Comcast Corporation's (f/k/a AT&amp;T Comcast Corporation) 6.50% Notes due 2015 (incorporated by reference to Exhibit 4.2 to our Current Report on Form 8-K filed on January 10, 2003).</w:t>
      </w:r>
    </w:p>
    <w:p>
      <w:pPr>
        <w:spacing w:after="0" w:line="6"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4.22</w:t>
      </w:r>
      <w:r>
        <w:rPr>
          <w:sz w:val="20"/>
          <w:szCs w:val="20"/>
          <w:color w:val="auto"/>
        </w:rPr>
        <w:tab/>
      </w:r>
      <w:r>
        <w:rPr>
          <w:rFonts w:ascii="Courier New" w:cs="Courier New" w:eastAsia="Courier New" w:hAnsi="Courier New"/>
          <w:sz w:val="15"/>
          <w:szCs w:val="15"/>
          <w:color w:val="auto"/>
        </w:rPr>
        <w:t>Form of Subordinated Indenture between Comcast Holdings Corporation (f/k/a Comcast Corporation) and Bankers Trust Company, as Trustee, relating to Comcast Holdings Corporation's 2.0% Exchangeable Subordinated Debentures Due 2029 and 2.0% Exchangeable Subordinated Debentures Due November 2029 (incorporated by reference to Exhibit 4.2 to Comcast Holdings Corporation's registration statement on Form S-3 filed on June 23, 1999).</w:t>
      </w:r>
    </w:p>
    <w:p>
      <w:pPr>
        <w:spacing w:after="0" w:line="6"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4.23</w:t>
      </w:r>
      <w:r>
        <w:rPr>
          <w:sz w:val="20"/>
          <w:szCs w:val="20"/>
          <w:color w:val="auto"/>
        </w:rPr>
        <w:tab/>
      </w:r>
      <w:r>
        <w:rPr>
          <w:rFonts w:ascii="Courier New" w:cs="Courier New" w:eastAsia="Courier New" w:hAnsi="Courier New"/>
          <w:sz w:val="15"/>
          <w:szCs w:val="15"/>
          <w:color w:val="auto"/>
        </w:rPr>
        <w:t>Form of Comcast Holdings Corporation's (f/k/a Comcast Corporation) 2.0% Exchangeable Subordinated Debentures Due 2029 (ZONES I) (incorporated by reference to Exhibit 4 to Comcast Holdings Corporation's Current Report on Form 8-K filed on October 14, 1999).</w:t>
      </w:r>
    </w:p>
    <w:p>
      <w:pPr>
        <w:spacing w:after="0" w:line="4"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4.24</w:t>
      </w:r>
      <w:r>
        <w:rPr>
          <w:sz w:val="20"/>
          <w:szCs w:val="20"/>
          <w:color w:val="auto"/>
        </w:rPr>
        <w:tab/>
      </w:r>
      <w:r>
        <w:rPr>
          <w:rFonts w:ascii="Courier New" w:cs="Courier New" w:eastAsia="Courier New" w:hAnsi="Courier New"/>
          <w:sz w:val="15"/>
          <w:szCs w:val="15"/>
          <w:color w:val="auto"/>
        </w:rPr>
        <w:t>Form of Comcast Holdings Corporation's (f/k/a Comcast Corporation) 2.0% Exchangeable Subordinated Debentures Due November 2029 (ZONES II) (incorporated by reference to Exhibit 4 to Comcast Holdings Corporation's Current Report on Form 8-K filed on November 3, 1999).</w:t>
      </w:r>
    </w:p>
    <w:p>
      <w:pPr>
        <w:spacing w:after="0" w:line="4"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Agreement and Declaration of Trust of TWE Holdings I Trust by and among MOC Holdco I, Inc., Edith E. Holiday and The Capital Trust Company of Delaware (incorporated by reference to Exhibit 99.2 to our Current Report on Form 8-K12g3 filed on November 18, 2002).</w:t>
      </w:r>
    </w:p>
    <w:p>
      <w:pPr>
        <w:spacing w:after="0" w:line="1" w:lineRule="exact"/>
        <w:rPr>
          <w:sz w:val="20"/>
          <w:szCs w:val="20"/>
          <w:color w:val="auto"/>
        </w:rPr>
      </w:pPr>
    </w:p>
    <w:p>
      <w:pPr>
        <w:spacing w:after="0"/>
        <w:tabs>
          <w:tab w:leader="none" w:pos="860" w:val="left"/>
          <w:tab w:leader="none" w:pos="2900" w:val="left"/>
          <w:tab w:leader="none" w:pos="40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Form of Agreement and</w:t>
        <w:tab/>
        <w:t>Declaration</w:t>
      </w:r>
      <w:r>
        <w:rPr>
          <w:sz w:val="20"/>
          <w:szCs w:val="20"/>
          <w:color w:val="auto"/>
        </w:rPr>
        <w:tab/>
      </w:r>
      <w:r>
        <w:rPr>
          <w:rFonts w:ascii="Courier New" w:cs="Courier New" w:eastAsia="Courier New" w:hAnsi="Courier New"/>
          <w:sz w:val="14"/>
          <w:szCs w:val="14"/>
          <w:color w:val="auto"/>
        </w:rPr>
        <w:t>of Trust of TWE Holdings</w:t>
      </w:r>
    </w:p>
    <w:p>
      <w:pPr>
        <w:spacing w:after="0" w:line="3" w:lineRule="exact"/>
        <w:rPr>
          <w:sz w:val="20"/>
          <w:szCs w:val="20"/>
          <w:color w:val="auto"/>
        </w:rPr>
      </w:pPr>
    </w:p>
    <w:p>
      <w:pPr>
        <w:jc w:val="both"/>
        <w:ind w:left="880" w:right="3119" w:firstLine="6"/>
        <w:spacing w:after="0" w:line="239" w:lineRule="auto"/>
        <w:tabs>
          <w:tab w:leader="none" w:pos="114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by and among MOC Holdco II, Inc., Edith E. Holiday and The Capital Trust Company of Delaware (incorporated by reference to Exhibit 99.3 to our Current Report on Form 8-K12g3 filed on November 18, 2002).</w:t>
      </w:r>
    </w:p>
    <w:p>
      <w:pPr>
        <w:spacing w:after="0" w:line="6" w:lineRule="exact"/>
        <w:rPr>
          <w:sz w:val="20"/>
          <w:szCs w:val="20"/>
          <w:color w:val="auto"/>
        </w:rPr>
      </w:pPr>
    </w:p>
    <w:p>
      <w:pPr>
        <w:jc w:val="both"/>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Agreement and Declaration of Trust of TWE Holdings III Trust by and among Media One TWE Holdings, Inc., Edith E. Holiday and The Capital Trust Company of Delaware (incorporated by reference to Exhibit 99.4 to our Current Report on Form 8-K12g3 filed on November 18, 2002).</w:t>
      </w:r>
    </w:p>
    <w:p>
      <w:pPr>
        <w:spacing w:after="0" w:line="4"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Comcast Corporation 1987 Stock Option Plan, as amended and restated, effective November 18, 2002.</w:t>
      </w:r>
    </w:p>
    <w:p>
      <w:pPr>
        <w:spacing w:after="0" w:line="4"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Comcast Corporation 2002 Stock Option Plan, as amended and restated, effective February 26, 2003.</w:t>
      </w:r>
    </w:p>
    <w:p>
      <w:pPr>
        <w:spacing w:after="0" w:line="4"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Comcast Corporation 2003 Stock Option Plan, as adopted February 26, 2003.</w:t>
      </w:r>
    </w:p>
    <w:p>
      <w:pPr>
        <w:spacing w:after="0" w:line="2" w:lineRule="exact"/>
        <w:rPr>
          <w:sz w:val="20"/>
          <w:szCs w:val="20"/>
          <w:color w:val="auto"/>
        </w:rPr>
      </w:pPr>
    </w:p>
    <w:p>
      <w:pPr>
        <w:spacing w:after="0"/>
        <w:tabs>
          <w:tab w:leader="none" w:pos="860" w:val="left"/>
          <w:tab w:leader="none" w:pos="1660" w:val="left"/>
          <w:tab w:leader="none" w:pos="2820" w:val="left"/>
          <w:tab w:leader="none" w:pos="3360" w:val="left"/>
          <w:tab w:leader="none" w:pos="4240" w:val="left"/>
          <w:tab w:leader="none" w:pos="54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Comcast</w:t>
        <w:tab/>
        <w:t>Corporation</w:t>
        <w:tab/>
        <w:t>2002</w:t>
        <w:tab/>
        <w:t>Deferred</w:t>
        <w:tab/>
        <w:t>Compensation</w:t>
      </w:r>
      <w:r>
        <w:rPr>
          <w:sz w:val="20"/>
          <w:szCs w:val="20"/>
          <w:color w:val="auto"/>
        </w:rPr>
        <w:tab/>
      </w:r>
      <w:r>
        <w:rPr>
          <w:rFonts w:ascii="Courier New" w:cs="Courier New" w:eastAsia="Courier New" w:hAnsi="Courier New"/>
          <w:sz w:val="14"/>
          <w:szCs w:val="14"/>
          <w:color w:val="auto"/>
        </w:rPr>
        <w:t>Plan, as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amended and restated, effective February 26, 2003.</w:t>
      </w:r>
    </w:p>
    <w:p>
      <w:pPr>
        <w:spacing w:after="0" w:line="1" w:lineRule="exact"/>
        <w:rPr>
          <w:sz w:val="20"/>
          <w:szCs w:val="20"/>
          <w:color w:val="auto"/>
        </w:rPr>
      </w:pPr>
    </w:p>
    <w:p>
      <w:pPr>
        <w:spacing w:after="0"/>
        <w:tabs>
          <w:tab w:leader="none" w:pos="860" w:val="left"/>
          <w:tab w:leader="none" w:pos="1660" w:val="left"/>
          <w:tab w:leader="none" w:pos="2820" w:val="left"/>
          <w:tab w:leader="none" w:pos="3360" w:val="left"/>
          <w:tab w:leader="none" w:pos="4240" w:val="left"/>
          <w:tab w:leader="none" w:pos="60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Comcast</w:t>
        <w:tab/>
        <w:t>Corporation</w:t>
        <w:tab/>
        <w:t>2002</w:t>
        <w:tab/>
        <w:t>Deferred</w:t>
        <w:tab/>
        <w:t>Stock Option Plan,</w:t>
        <w:tab/>
        <w:t>as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amended and restated, effective February 26, 2003.</w:t>
      </w:r>
    </w:p>
    <w:p>
      <w:pPr>
        <w:spacing w:after="0" w:line="3"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Comcast Corporation 2002 Restricted Stock Plan, as amended and restated, effective February 26, 2003.</w:t>
      </w:r>
    </w:p>
    <w:p>
      <w:pPr>
        <w:spacing w:after="0" w:line="4" w:lineRule="exact"/>
        <w:rPr>
          <w:sz w:val="20"/>
          <w:szCs w:val="20"/>
          <w:color w:val="auto"/>
        </w:rPr>
      </w:pPr>
    </w:p>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1992 Executive Split Dollar Insurance Plan (incorporated by reference to Exhibit 10(12) to the Comcast Holdings Corporation (f/k/a Comcast Corporation) Annual Report on Form 10-K for the year ended December 31, 1992).</w:t>
      </w:r>
    </w:p>
    <w:p>
      <w:pPr>
        <w:spacing w:after="0" w:line="6" w:lineRule="exact"/>
        <w:rPr>
          <w:sz w:val="20"/>
          <w:szCs w:val="20"/>
          <w:color w:val="auto"/>
        </w:rPr>
      </w:pPr>
    </w:p>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Comcast Corporation 2002 Cash Bonus Plan (formerly, the 1996 Cash Bonus Plan), as amended and restated, effective November 18, 2002.</w:t>
      </w:r>
    </w:p>
    <w:p>
      <w:pPr>
        <w:spacing w:after="0" w:line="4" w:lineRule="exact"/>
        <w:rPr>
          <w:sz w:val="20"/>
          <w:szCs w:val="20"/>
          <w:color w:val="auto"/>
        </w:rPr>
      </w:pPr>
    </w:p>
    <w:p>
      <w:pPr>
        <w:jc w:val="both"/>
        <w:ind w:left="880" w:right="3119" w:hanging="887"/>
        <w:spacing w:after="0" w:line="239" w:lineRule="auto"/>
        <w:tabs>
          <w:tab w:leader="none" w:pos="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Comcast Corporation 2002 Executive Cash Bonus Plan (formerly the 1996 Executive Cash Bonus Plan), as amended through February 26, 2003.</w:t>
      </w:r>
    </w:p>
    <w:p>
      <w:pPr>
        <w:spacing w:after="0" w:line="4"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Comcast Corporation 2002 Supplemental Cash Bonus Plan, as adopted November 18, 2002.</w:t>
      </w:r>
    </w:p>
    <w:p>
      <w:pPr>
        <w:spacing w:after="0" w:line="4" w:lineRule="exact"/>
        <w:rPr>
          <w:sz w:val="20"/>
          <w:szCs w:val="20"/>
          <w:color w:val="auto"/>
        </w:rPr>
      </w:pPr>
    </w:p>
    <w:p>
      <w:pPr>
        <w:jc w:val="both"/>
        <w:ind w:left="880" w:right="3119" w:hanging="887"/>
        <w:spacing w:after="0" w:line="238" w:lineRule="auto"/>
        <w:tabs>
          <w:tab w:leader="none" w:pos="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Comcast Corporation 2002 Non-Employee Director Compensation Plan, as amended and restated, effective February 26, 2003.</w:t>
      </w:r>
    </w:p>
    <w:p>
      <w:pPr>
        <w:spacing w:after="0" w:line="4" w:lineRule="exact"/>
        <w:rPr>
          <w:sz w:val="20"/>
          <w:szCs w:val="20"/>
          <w:color w:val="auto"/>
        </w:rPr>
      </w:pPr>
    </w:p>
    <w:p>
      <w:pPr>
        <w:ind w:left="880" w:right="3119" w:hanging="887"/>
        <w:spacing w:after="0"/>
        <w:tabs>
          <w:tab w:leader="none" w:pos="8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Compensation and Deferred Compensation Agreement and Stock Appreciation Bonus Plan between Comcast Holdings Corporation (f/k/a Comcast Corporation) and Ralph J. Roberts, as amended and restated March 16, 1994 (incorporated by reference to Exhibit 10(13) to the Comcast Holdings Corporation (f/k/a Comcast Corporation) Annual Report on Form 10-K for the year ended December 31, 1993).</w:t>
      </w:r>
    </w:p>
    <w:p>
      <w:pPr>
        <w:spacing w:after="0" w:line="5" w:lineRule="exact"/>
        <w:rPr>
          <w:sz w:val="20"/>
          <w:szCs w:val="20"/>
          <w:color w:val="auto"/>
        </w:rPr>
      </w:pPr>
    </w:p>
    <w:p>
      <w:pPr>
        <w:jc w:val="both"/>
        <w:ind w:left="880" w:right="3119" w:hanging="887"/>
        <w:spacing w:after="0" w:line="264" w:lineRule="auto"/>
        <w:tabs>
          <w:tab w:leader="none" w:pos="8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Compensation and Deferred Compensation Agreement between Comcast Holdings Corporation (f/k/a Comcast Corporation) and Ralph J. Roberts, as amended and restated August 31,1998</w:t>
      </w:r>
    </w:p>
    <w:p>
      <w:pPr>
        <w:sectPr>
          <w:pgSz w:w="11900" w:h="16838" w:orient="portrait"/>
          <w:cols w:equalWidth="0" w:num="1">
            <w:col w:w="9339"/>
          </w:cols>
          <w:pgMar w:left="1120" w:top="631" w:right="1440" w:bottom="101" w:gutter="0" w:footer="0" w:header="0"/>
        </w:sectPr>
      </w:pPr>
    </w:p>
    <w:bookmarkStart w:id="103" w:name="page104"/>
    <w:bookmarkEnd w:id="103"/>
    <w:p>
      <w:pPr>
        <w:ind w:left="2080"/>
        <w:spacing w:after="0"/>
        <w:rPr>
          <w:sz w:val="20"/>
          <w:szCs w:val="20"/>
          <w:color w:val="auto"/>
        </w:rPr>
      </w:pPr>
      <w:r>
        <w:rPr>
          <w:rFonts w:ascii="Courier New" w:cs="Courier New" w:eastAsia="Courier New" w:hAnsi="Courier New"/>
          <w:sz w:val="14"/>
          <w:szCs w:val="14"/>
          <w:color w:val="auto"/>
        </w:rPr>
        <w:t>- 91 -</w:t>
      </w:r>
    </w:p>
    <w:p>
      <w:pPr>
        <w:sectPr>
          <w:pgSz w:w="11900" w:h="16838" w:orient="portrait"/>
          <w:cols w:equalWidth="0" w:num="1">
            <w:col w:w="9019"/>
          </w:cols>
          <w:pgMar w:left="1440" w:top="141" w:right="1440" w:bottom="1440" w:gutter="0" w:footer="0" w:header="0"/>
        </w:sectPr>
      </w:pPr>
    </w:p>
    <w:bookmarkStart w:id="104" w:name="page105"/>
    <w:bookmarkEnd w:id="104"/>
    <w:tbl>
      <w:tblPr>
        <w:tblLayout w:type="fixed"/>
        <w:tblInd w:w="9"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(incorporated</w:t>
            </w:r>
          </w:p>
        </w:tc>
        <w:tc>
          <w:tcPr>
            <w:tcW w:w="8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by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reference</w:t>
            </w:r>
          </w:p>
        </w:tc>
        <w:tc>
          <w:tcPr>
            <w:tcW w:w="160" w:type="dxa"/>
            <w:vAlign w:val="bottom"/>
          </w:tcPr>
          <w:p>
            <w:pPr>
              <w:spacing w:after="0"/>
              <w:rPr>
                <w:sz w:val="14"/>
                <w:szCs w:val="14"/>
                <w:color w:val="auto"/>
              </w:rPr>
            </w:pPr>
          </w:p>
        </w:tc>
        <w:tc>
          <w:tcPr>
            <w:tcW w:w="26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to Exhibit 10.1 to the Comcast</w:t>
            </w:r>
          </w:p>
        </w:tc>
      </w:tr>
      <w:tr>
        <w:trPr>
          <w:trHeight w:val="171"/>
        </w:trPr>
        <w:tc>
          <w:tcPr>
            <w:tcW w:w="1500" w:type="dxa"/>
            <w:vAlign w:val="bottom"/>
          </w:tcPr>
          <w:p>
            <w:pPr>
              <w:spacing w:after="0"/>
              <w:rPr>
                <w:sz w:val="14"/>
                <w:szCs w:val="14"/>
                <w:color w:val="auto"/>
              </w:rPr>
            </w:pPr>
          </w:p>
        </w:tc>
        <w:tc>
          <w:tcPr>
            <w:tcW w:w="3540" w:type="dxa"/>
            <w:vAlign w:val="bottom"/>
            <w:gridSpan w:val="11"/>
          </w:tcPr>
          <w:p>
            <w:pPr>
              <w:ind w:left="260"/>
              <w:spacing w:after="0"/>
              <w:rPr>
                <w:sz w:val="20"/>
                <w:szCs w:val="20"/>
                <w:color w:val="auto"/>
              </w:rPr>
            </w:pPr>
            <w:r>
              <w:rPr>
                <w:rFonts w:ascii="Courier New" w:cs="Courier New" w:eastAsia="Courier New" w:hAnsi="Courier New"/>
                <w:sz w:val="15"/>
                <w:szCs w:val="15"/>
                <w:color w:val="auto"/>
              </w:rPr>
              <w:t>Holdings Corporation (f/k/a Comcast</w:t>
            </w:r>
          </w:p>
        </w:tc>
        <w:tc>
          <w:tcPr>
            <w:tcW w:w="1260" w:type="dxa"/>
            <w:vAlign w:val="bottom"/>
            <w:gridSpan w:val="5"/>
          </w:tcPr>
          <w:p>
            <w:pPr>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quarterly</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report</w:t>
            </w:r>
          </w:p>
        </w:tc>
        <w:tc>
          <w:tcPr>
            <w:tcW w:w="17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on Form 10-Q for the</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quarter</w:t>
            </w:r>
          </w:p>
        </w:tc>
        <w:tc>
          <w:tcPr>
            <w:tcW w:w="6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ended</w:t>
            </w:r>
          </w:p>
        </w:tc>
        <w:tc>
          <w:tcPr>
            <w:tcW w:w="106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10.14*</w:t>
            </w: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Amendment</w:t>
            </w: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Agreement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w:t>
            </w:r>
          </w:p>
        </w:tc>
        <w:tc>
          <w:tcPr>
            <w:tcW w:w="1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Compensation</w:t>
            </w:r>
          </w:p>
        </w:tc>
        <w:tc>
          <w:tcPr>
            <w:tcW w:w="180" w:type="dxa"/>
            <w:vAlign w:val="bottom"/>
          </w:tcPr>
          <w:p>
            <w:pPr>
              <w:spacing w:after="0"/>
              <w:rPr>
                <w:sz w:val="14"/>
                <w:szCs w:val="14"/>
                <w:color w:val="auto"/>
              </w:rPr>
            </w:pPr>
          </w:p>
        </w:tc>
        <w:tc>
          <w:tcPr>
            <w:tcW w:w="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and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Deferred</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 w:type="dxa"/>
            <w:vAlign w:val="bottom"/>
          </w:tcPr>
          <w:p>
            <w:pPr>
              <w:spacing w:after="0"/>
              <w:rPr>
                <w:sz w:val="14"/>
                <w:szCs w:val="14"/>
                <w:color w:val="auto"/>
              </w:rPr>
            </w:pPr>
          </w:p>
        </w:tc>
        <w:tc>
          <w:tcPr>
            <w:tcW w:w="4100" w:type="dxa"/>
            <w:vAlign w:val="bottom"/>
            <w:gridSpan w:val="13"/>
          </w:tcPr>
          <w:p>
            <w:pPr>
              <w:spacing w:after="0"/>
              <w:rPr>
                <w:sz w:val="20"/>
                <w:szCs w:val="20"/>
                <w:color w:val="auto"/>
              </w:rPr>
            </w:pPr>
            <w:r>
              <w:rPr>
                <w:rFonts w:ascii="Courier New" w:cs="Courier New" w:eastAsia="Courier New" w:hAnsi="Courier New"/>
                <w:sz w:val="15"/>
                <w:szCs w:val="15"/>
                <w:color w:val="auto"/>
                <w:w w:val="98"/>
              </w:rPr>
              <w:t>Agreement between Comcast Holdings Corporation</w:t>
            </w:r>
          </w:p>
        </w:tc>
      </w:tr>
      <w:tr>
        <w:trPr>
          <w:trHeight w:val="171"/>
        </w:trPr>
        <w:tc>
          <w:tcPr>
            <w:tcW w:w="1500" w:type="dxa"/>
            <w:vAlign w:val="bottom"/>
          </w:tcPr>
          <w:p>
            <w:pPr>
              <w:spacing w:after="0"/>
              <w:rPr>
                <w:sz w:val="14"/>
                <w:szCs w:val="14"/>
                <w:color w:val="auto"/>
              </w:rPr>
            </w:pPr>
          </w:p>
        </w:tc>
        <w:tc>
          <w:tcPr>
            <w:tcW w:w="150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6"/>
              </w:rPr>
              <w:t>(f/k/a Comcast</w:t>
            </w:r>
          </w:p>
        </w:tc>
        <w:tc>
          <w:tcPr>
            <w:tcW w:w="3300" w:type="dxa"/>
            <w:vAlign w:val="bottom"/>
            <w:gridSpan w:val="11"/>
          </w:tcPr>
          <w:p>
            <w:pPr>
              <w:jc w:val="right"/>
              <w:ind w:right="26"/>
              <w:spacing w:after="0"/>
              <w:rPr>
                <w:sz w:val="20"/>
                <w:szCs w:val="20"/>
                <w:color w:val="auto"/>
              </w:rPr>
            </w:pPr>
            <w:r>
              <w:rPr>
                <w:rFonts w:ascii="Courier New" w:cs="Courier New" w:eastAsia="Courier New" w:hAnsi="Courier New"/>
                <w:sz w:val="15"/>
                <w:szCs w:val="15"/>
                <w:color w:val="auto"/>
              </w:rPr>
              <w:t>Corporation) and Ralph J. Roberts,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of August 19, 1999</w:t>
            </w:r>
          </w:p>
        </w:tc>
        <w:tc>
          <w:tcPr>
            <w:tcW w:w="13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(incorporated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reference</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Exhibit</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10.2 to the</w:t>
            </w:r>
          </w:p>
        </w:tc>
        <w:tc>
          <w:tcPr>
            <w:tcW w:w="4180" w:type="dxa"/>
            <w:vAlign w:val="bottom"/>
            <w:gridSpan w:val="14"/>
          </w:tcPr>
          <w:p>
            <w:pPr>
              <w:spacing w:after="0"/>
              <w:rPr>
                <w:sz w:val="20"/>
                <w:szCs w:val="20"/>
                <w:color w:val="auto"/>
              </w:rPr>
            </w:pPr>
            <w:r>
              <w:rPr>
                <w:rFonts w:ascii="Courier New" w:cs="Courier New" w:eastAsia="Courier New" w:hAnsi="Courier New"/>
                <w:sz w:val="15"/>
                <w:szCs w:val="15"/>
                <w:color w:val="auto"/>
                <w:w w:val="98"/>
              </w:rPr>
              <w:t>Comcast  Holdings  Corporation  (f/k/a  Comcast</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Corporation)</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quarterly</w:t>
            </w:r>
          </w:p>
        </w:tc>
        <w:tc>
          <w:tcPr>
            <w:tcW w:w="330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report on Form 10-Q for the quarter</w:t>
            </w:r>
          </w:p>
        </w:tc>
      </w:tr>
      <w:tr>
        <w:trPr>
          <w:trHeight w:val="171"/>
        </w:trPr>
        <w:tc>
          <w:tcPr>
            <w:tcW w:w="1500" w:type="dxa"/>
            <w:vAlign w:val="bottom"/>
          </w:tcPr>
          <w:p>
            <w:pPr>
              <w:spacing w:after="0"/>
              <w:rPr>
                <w:sz w:val="14"/>
                <w:szCs w:val="14"/>
                <w:color w:val="auto"/>
              </w:rPr>
            </w:pPr>
          </w:p>
        </w:tc>
        <w:tc>
          <w:tcPr>
            <w:tcW w:w="230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ended March 31, 2000).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10.15*</w:t>
            </w: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Amendment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Compensation</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Deferred</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150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Agreement</w:t>
            </w:r>
          </w:p>
        </w:tc>
        <w:tc>
          <w:tcPr>
            <w:tcW w:w="9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between</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Comcast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Holdings</w:t>
            </w:r>
          </w:p>
        </w:tc>
        <w:tc>
          <w:tcPr>
            <w:tcW w:w="2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(f/k/a</w:t>
            </w:r>
          </w:p>
        </w:tc>
      </w:tr>
      <w:tr>
        <w:trPr>
          <w:trHeight w:val="171"/>
        </w:trPr>
        <w:tc>
          <w:tcPr>
            <w:tcW w:w="1500" w:type="dxa"/>
            <w:vAlign w:val="bottom"/>
          </w:tcPr>
          <w:p>
            <w:pPr>
              <w:spacing w:after="0"/>
              <w:rPr>
                <w:sz w:val="14"/>
                <w:szCs w:val="14"/>
                <w:color w:val="auto"/>
              </w:rPr>
            </w:pPr>
          </w:p>
        </w:tc>
        <w:tc>
          <w:tcPr>
            <w:tcW w:w="4000" w:type="dxa"/>
            <w:vAlign w:val="bottom"/>
            <w:gridSpan w:val="13"/>
          </w:tcPr>
          <w:p>
            <w:pPr>
              <w:ind w:left="260"/>
              <w:spacing w:after="0"/>
              <w:rPr>
                <w:sz w:val="20"/>
                <w:szCs w:val="20"/>
                <w:color w:val="auto"/>
              </w:rPr>
            </w:pPr>
            <w:r>
              <w:rPr>
                <w:rFonts w:ascii="Courier New" w:cs="Courier New" w:eastAsia="Courier New" w:hAnsi="Courier New"/>
                <w:sz w:val="15"/>
                <w:szCs w:val="15"/>
                <w:color w:val="auto"/>
                <w:w w:val="98"/>
              </w:rPr>
              <w:t>Comcast Corporation) and Ralph J. Roberts,</w:t>
            </w:r>
          </w:p>
        </w:tc>
        <w:tc>
          <w:tcPr>
            <w:tcW w:w="1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dated as of June</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5, 2001</w:t>
            </w:r>
          </w:p>
        </w:tc>
        <w:tc>
          <w:tcPr>
            <w:tcW w:w="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(incorporated</w:t>
            </w:r>
          </w:p>
        </w:tc>
        <w:tc>
          <w:tcPr>
            <w:tcW w:w="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by</w:t>
            </w:r>
          </w:p>
        </w:tc>
        <w:tc>
          <w:tcPr>
            <w:tcW w:w="28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reference to Exhibit 10.8 to the</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Comcast  Holdings  Corporation  (f/k/a Comcast  Corporation)</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Annual</w:t>
            </w:r>
          </w:p>
        </w:tc>
        <w:tc>
          <w:tcPr>
            <w:tcW w:w="3540" w:type="dxa"/>
            <w:vAlign w:val="bottom"/>
            <w:gridSpan w:val="13"/>
          </w:tcPr>
          <w:p>
            <w:pPr>
              <w:spacing w:after="0"/>
              <w:rPr>
                <w:sz w:val="20"/>
                <w:szCs w:val="20"/>
                <w:color w:val="auto"/>
              </w:rPr>
            </w:pPr>
            <w:r>
              <w:rPr>
                <w:rFonts w:ascii="Courier New" w:cs="Courier New" w:eastAsia="Courier New" w:hAnsi="Courier New"/>
                <w:sz w:val="15"/>
                <w:szCs w:val="15"/>
                <w:color w:val="auto"/>
              </w:rPr>
              <w:t>Report on Form 10-K for the year ended</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10.16*</w:t>
            </w: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Amendment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Compensation</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Deferred</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150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Agreement</w:t>
            </w:r>
          </w:p>
        </w:tc>
        <w:tc>
          <w:tcPr>
            <w:tcW w:w="9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between</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Comcast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Holdings</w:t>
            </w:r>
          </w:p>
        </w:tc>
        <w:tc>
          <w:tcPr>
            <w:tcW w:w="2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(f/k/a</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Corporation)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3"/>
              </w:rPr>
              <w:t>Ralph</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J.</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Roberts,</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January 24, 2002.</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10.17*</w:t>
            </w: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Amendment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Compensation</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Deferred</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150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Agreement</w:t>
            </w:r>
          </w:p>
        </w:tc>
        <w:tc>
          <w:tcPr>
            <w:tcW w:w="9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between</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Comcast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Holdings</w:t>
            </w:r>
          </w:p>
        </w:tc>
        <w:tc>
          <w:tcPr>
            <w:tcW w:w="2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(f/k/a</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Corporation)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3"/>
              </w:rPr>
              <w:t>Ralph</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J.</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Roberts,</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November 18, 2002.</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10.18*</w:t>
            </w: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Employment Agreement between Comcast Corporation (f/k/a AT&amp;T</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3460" w:type="dxa"/>
            <w:vAlign w:val="bottom"/>
            <w:gridSpan w:val="12"/>
          </w:tcPr>
          <w:p>
            <w:pPr>
              <w:spacing w:after="0"/>
              <w:rPr>
                <w:sz w:val="20"/>
                <w:szCs w:val="20"/>
                <w:color w:val="auto"/>
              </w:rPr>
            </w:pPr>
            <w:r>
              <w:rPr>
                <w:rFonts w:ascii="Courier New" w:cs="Courier New" w:eastAsia="Courier New" w:hAnsi="Courier New"/>
                <w:sz w:val="15"/>
                <w:szCs w:val="15"/>
                <w:color w:val="auto"/>
              </w:rPr>
              <w:t>Corporation) and C. Michael Armstrong,</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November 18, 2002.</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10.19*</w:t>
            </w: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 w:type="dxa"/>
            <w:vAlign w:val="bottom"/>
          </w:tcPr>
          <w:p>
            <w:pPr>
              <w:spacing w:after="0"/>
              <w:rPr>
                <w:sz w:val="14"/>
                <w:szCs w:val="14"/>
                <w:color w:val="auto"/>
              </w:rPr>
            </w:pPr>
          </w:p>
        </w:tc>
        <w:tc>
          <w:tcPr>
            <w:tcW w:w="4100" w:type="dxa"/>
            <w:vAlign w:val="bottom"/>
            <w:gridSpan w:val="13"/>
          </w:tcPr>
          <w:p>
            <w:pPr>
              <w:spacing w:after="0"/>
              <w:rPr>
                <w:sz w:val="20"/>
                <w:szCs w:val="20"/>
                <w:color w:val="auto"/>
              </w:rPr>
            </w:pPr>
            <w:r>
              <w:rPr>
                <w:rFonts w:ascii="Courier New" w:cs="Courier New" w:eastAsia="Courier New" w:hAnsi="Courier New"/>
                <w:sz w:val="15"/>
                <w:szCs w:val="15"/>
                <w:color w:val="auto"/>
                <w:w w:val="98"/>
              </w:rPr>
              <w:t>Agreement between Comcast Holdings Corporation</w:t>
            </w:r>
          </w:p>
        </w:tc>
      </w:tr>
      <w:tr>
        <w:trPr>
          <w:trHeight w:val="171"/>
        </w:trPr>
        <w:tc>
          <w:tcPr>
            <w:tcW w:w="1500" w:type="dxa"/>
            <w:vAlign w:val="bottom"/>
          </w:tcPr>
          <w:p>
            <w:pPr>
              <w:spacing w:after="0"/>
              <w:rPr>
                <w:sz w:val="14"/>
                <w:szCs w:val="14"/>
                <w:color w:val="auto"/>
              </w:rPr>
            </w:pPr>
          </w:p>
        </w:tc>
        <w:tc>
          <w:tcPr>
            <w:tcW w:w="150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6"/>
              </w:rPr>
              <w:t>(f/k/a Comcast</w:t>
            </w:r>
          </w:p>
        </w:tc>
        <w:tc>
          <w:tcPr>
            <w:tcW w:w="3300" w:type="dxa"/>
            <w:vAlign w:val="bottom"/>
            <w:gridSpan w:val="11"/>
          </w:tcPr>
          <w:p>
            <w:pPr>
              <w:jc w:val="right"/>
              <w:ind w:right="26"/>
              <w:spacing w:after="0"/>
              <w:rPr>
                <w:sz w:val="20"/>
                <w:szCs w:val="20"/>
                <w:color w:val="auto"/>
              </w:rPr>
            </w:pPr>
            <w:r>
              <w:rPr>
                <w:rFonts w:ascii="Courier New" w:cs="Courier New" w:eastAsia="Courier New" w:hAnsi="Courier New"/>
                <w:sz w:val="15"/>
                <w:szCs w:val="15"/>
                <w:color w:val="auto"/>
              </w:rPr>
              <w:t>Corporation) and Brian L. Roberts,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of June 16, 1998  (incorporated by reference to Exhibit 10.1</w:t>
            </w:r>
          </w:p>
        </w:tc>
      </w:tr>
      <w:tr>
        <w:trPr>
          <w:trHeight w:val="171"/>
        </w:trPr>
        <w:tc>
          <w:tcPr>
            <w:tcW w:w="1500" w:type="dxa"/>
            <w:vAlign w:val="bottom"/>
          </w:tcPr>
          <w:p>
            <w:pPr>
              <w:spacing w:after="0"/>
              <w:rPr>
                <w:sz w:val="14"/>
                <w:szCs w:val="14"/>
                <w:color w:val="auto"/>
              </w:rPr>
            </w:pP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Comcast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Holdings</w:t>
            </w:r>
          </w:p>
        </w:tc>
        <w:tc>
          <w:tcPr>
            <w:tcW w:w="1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Courier New" w:cs="Courier New" w:eastAsia="Courier New" w:hAnsi="Courier New"/>
                <w:sz w:val="15"/>
                <w:szCs w:val="15"/>
                <w:color w:val="auto"/>
              </w:rPr>
              <w:t>Corporation</w:t>
            </w:r>
          </w:p>
        </w:tc>
        <w:tc>
          <w:tcPr>
            <w:tcW w:w="180" w:type="dxa"/>
            <w:vAlign w:val="bottom"/>
          </w:tcPr>
          <w:p>
            <w:pPr>
              <w:spacing w:after="0"/>
              <w:rPr>
                <w:sz w:val="14"/>
                <w:szCs w:val="14"/>
                <w:color w:val="auto"/>
              </w:rPr>
            </w:pPr>
          </w:p>
        </w:tc>
        <w:tc>
          <w:tcPr>
            <w:tcW w:w="6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2"/>
              </w:rPr>
              <w:t>(f/k/a</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Comcast</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Corporation)</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quarterly</w:t>
            </w:r>
          </w:p>
        </w:tc>
        <w:tc>
          <w:tcPr>
            <w:tcW w:w="330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report on Form 10-Q for the quarter</w:t>
            </w:r>
          </w:p>
        </w:tc>
      </w:tr>
      <w:tr>
        <w:trPr>
          <w:trHeight w:val="171"/>
        </w:trPr>
        <w:tc>
          <w:tcPr>
            <w:tcW w:w="1500" w:type="dxa"/>
            <w:vAlign w:val="bottom"/>
          </w:tcPr>
          <w:p>
            <w:pPr>
              <w:spacing w:after="0"/>
              <w:rPr>
                <w:sz w:val="14"/>
                <w:szCs w:val="14"/>
                <w:color w:val="auto"/>
              </w:rPr>
            </w:pPr>
          </w:p>
        </w:tc>
        <w:tc>
          <w:tcPr>
            <w:tcW w:w="230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ended March 31, 2000).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10.20*</w:t>
            </w: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Amendment to Compensation Agreement between Comcast Holdings</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Corporation</w:t>
            </w:r>
          </w:p>
        </w:tc>
        <w:tc>
          <w:tcPr>
            <w:tcW w:w="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(f/k/a  Comcast</w:t>
            </w:r>
          </w:p>
        </w:tc>
        <w:tc>
          <w:tcPr>
            <w:tcW w:w="126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8"/>
              </w:rPr>
              <w:t>Corporation)</w:t>
            </w:r>
          </w:p>
        </w:tc>
        <w:tc>
          <w:tcPr>
            <w:tcW w:w="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Brian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L.</w:t>
            </w:r>
          </w:p>
        </w:tc>
      </w:tr>
      <w:tr>
        <w:trPr>
          <w:trHeight w:val="171"/>
        </w:trPr>
        <w:tc>
          <w:tcPr>
            <w:tcW w:w="1500" w:type="dxa"/>
            <w:vAlign w:val="bottom"/>
          </w:tcPr>
          <w:p>
            <w:pPr>
              <w:spacing w:after="0"/>
              <w:rPr>
                <w:sz w:val="14"/>
                <w:szCs w:val="14"/>
                <w:color w:val="auto"/>
              </w:rPr>
            </w:pPr>
          </w:p>
        </w:tc>
        <w:tc>
          <w:tcPr>
            <w:tcW w:w="3820" w:type="dxa"/>
            <w:vAlign w:val="bottom"/>
            <w:gridSpan w:val="12"/>
          </w:tcPr>
          <w:p>
            <w:pPr>
              <w:ind w:left="260"/>
              <w:spacing w:after="0"/>
              <w:rPr>
                <w:sz w:val="20"/>
                <w:szCs w:val="20"/>
                <w:color w:val="auto"/>
              </w:rPr>
            </w:pPr>
            <w:r>
              <w:rPr>
                <w:rFonts w:ascii="Courier New" w:cs="Courier New" w:eastAsia="Courier New" w:hAnsi="Courier New"/>
                <w:sz w:val="15"/>
                <w:szCs w:val="15"/>
                <w:color w:val="auto"/>
              </w:rPr>
              <w:t>Roberts, dated as of November 18, 2002.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10.21*</w:t>
            </w: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Certificate</w:t>
            </w:r>
          </w:p>
        </w:tc>
        <w:tc>
          <w:tcPr>
            <w:tcW w:w="4180" w:type="dxa"/>
            <w:vAlign w:val="bottom"/>
            <w:gridSpan w:val="14"/>
          </w:tcPr>
          <w:p>
            <w:pPr>
              <w:spacing w:after="0"/>
              <w:rPr>
                <w:sz w:val="20"/>
                <w:szCs w:val="20"/>
                <w:color w:val="auto"/>
              </w:rPr>
            </w:pPr>
            <w:r>
              <w:rPr>
                <w:rFonts w:ascii="Courier New" w:cs="Courier New" w:eastAsia="Courier New" w:hAnsi="Courier New"/>
                <w:sz w:val="15"/>
                <w:szCs w:val="15"/>
                <w:color w:val="auto"/>
                <w:w w:val="98"/>
              </w:rPr>
              <w:t>of Interest of Julian Brodsky under the Comcast</w:t>
            </w:r>
          </w:p>
        </w:tc>
      </w:tr>
      <w:tr>
        <w:trPr>
          <w:trHeight w:val="171"/>
        </w:trPr>
        <w:tc>
          <w:tcPr>
            <w:tcW w:w="150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Holdings</w:t>
            </w:r>
          </w:p>
        </w:tc>
        <w:tc>
          <w:tcPr>
            <w:tcW w:w="80" w:type="dxa"/>
            <w:vAlign w:val="bottom"/>
          </w:tcPr>
          <w:p>
            <w:pPr>
              <w:spacing w:after="0"/>
              <w:rPr>
                <w:sz w:val="14"/>
                <w:szCs w:val="14"/>
                <w:color w:val="auto"/>
              </w:rPr>
            </w:pPr>
          </w:p>
        </w:tc>
        <w:tc>
          <w:tcPr>
            <w:tcW w:w="24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Corporation (f/k/a Comcast</w:t>
            </w:r>
          </w:p>
        </w:tc>
        <w:tc>
          <w:tcPr>
            <w:tcW w:w="126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Unfunded</w:t>
            </w:r>
          </w:p>
        </w:tc>
      </w:tr>
      <w:tr>
        <w:trPr>
          <w:trHeight w:val="171"/>
        </w:trPr>
        <w:tc>
          <w:tcPr>
            <w:tcW w:w="1500" w:type="dxa"/>
            <w:vAlign w:val="bottom"/>
          </w:tcPr>
          <w:p>
            <w:pPr>
              <w:spacing w:after="0"/>
              <w:rPr>
                <w:sz w:val="14"/>
                <w:szCs w:val="14"/>
                <w:color w:val="auto"/>
              </w:rPr>
            </w:pPr>
          </w:p>
        </w:tc>
        <w:tc>
          <w:tcPr>
            <w:tcW w:w="2920" w:type="dxa"/>
            <w:vAlign w:val="bottom"/>
            <w:gridSpan w:val="9"/>
          </w:tcPr>
          <w:p>
            <w:pPr>
              <w:ind w:left="260"/>
              <w:spacing w:after="0"/>
              <w:rPr>
                <w:sz w:val="20"/>
                <w:szCs w:val="20"/>
                <w:color w:val="auto"/>
              </w:rPr>
            </w:pPr>
            <w:r>
              <w:rPr>
                <w:rFonts w:ascii="Courier New" w:cs="Courier New" w:eastAsia="Courier New" w:hAnsi="Courier New"/>
                <w:sz w:val="15"/>
                <w:szCs w:val="15"/>
                <w:color w:val="auto"/>
                <w:w w:val="97"/>
              </w:rPr>
              <w:t>Plan of Deferred Compensation.</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10.22*</w:t>
            </w:r>
          </w:p>
        </w:tc>
        <w:tc>
          <w:tcPr>
            <w:tcW w:w="230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Employment  Agreement</w:t>
            </w:r>
          </w:p>
        </w:tc>
        <w:tc>
          <w:tcPr>
            <w:tcW w:w="2220" w:type="dxa"/>
            <w:vAlign w:val="bottom"/>
            <w:gridSpan w:val="8"/>
          </w:tcPr>
          <w:p>
            <w:pPr>
              <w:spacing w:after="0"/>
              <w:rPr>
                <w:sz w:val="20"/>
                <w:szCs w:val="20"/>
                <w:color w:val="auto"/>
              </w:rPr>
            </w:pPr>
            <w:r>
              <w:rPr>
                <w:rFonts w:ascii="Courier New" w:cs="Courier New" w:eastAsia="Courier New" w:hAnsi="Courier New"/>
                <w:sz w:val="15"/>
                <w:szCs w:val="15"/>
                <w:color w:val="auto"/>
              </w:rPr>
              <w:t>between Comcast Holdings</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1500" w:type="dxa"/>
            <w:vAlign w:val="bottom"/>
          </w:tcPr>
          <w:p>
            <w:pPr>
              <w:spacing w:after="0"/>
              <w:rPr>
                <w:sz w:val="14"/>
                <w:szCs w:val="14"/>
                <w:color w:val="auto"/>
              </w:rPr>
            </w:pPr>
          </w:p>
        </w:tc>
        <w:tc>
          <w:tcPr>
            <w:tcW w:w="4800" w:type="dxa"/>
            <w:vAlign w:val="bottom"/>
            <w:gridSpan w:val="16"/>
          </w:tcPr>
          <w:p>
            <w:pPr>
              <w:ind w:left="260"/>
              <w:spacing w:after="0"/>
              <w:rPr>
                <w:sz w:val="20"/>
                <w:szCs w:val="20"/>
                <w:color w:val="auto"/>
              </w:rPr>
            </w:pPr>
            <w:r>
              <w:rPr>
                <w:rFonts w:ascii="Courier New" w:cs="Courier New" w:eastAsia="Courier New" w:hAnsi="Courier New"/>
                <w:sz w:val="15"/>
                <w:szCs w:val="15"/>
                <w:color w:val="auto"/>
              </w:rPr>
              <w:t>(f/k/a Comcast Corporation) and Julian A. Brodsky,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of May 1, 2002.</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10.23*</w:t>
            </w: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Amendment to</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Employment</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Agreement</w:t>
            </w:r>
          </w:p>
        </w:tc>
        <w:tc>
          <w:tcPr>
            <w:tcW w:w="23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between Comcast Holdings</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Corporation</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(f/k/a</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Comcast</w:t>
            </w:r>
          </w:p>
        </w:tc>
        <w:tc>
          <w:tcPr>
            <w:tcW w:w="160" w:type="dxa"/>
            <w:vAlign w:val="bottom"/>
          </w:tcPr>
          <w:p>
            <w:pPr>
              <w:spacing w:after="0"/>
              <w:rPr>
                <w:sz w:val="14"/>
                <w:szCs w:val="14"/>
                <w:color w:val="auto"/>
              </w:rPr>
            </w:pPr>
          </w:p>
        </w:tc>
        <w:tc>
          <w:tcPr>
            <w:tcW w:w="12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Corporation)</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and</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Julian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71"/>
        </w:trPr>
        <w:tc>
          <w:tcPr>
            <w:tcW w:w="1500" w:type="dxa"/>
            <w:vAlign w:val="bottom"/>
          </w:tcPr>
          <w:p>
            <w:pPr>
              <w:spacing w:after="0"/>
              <w:rPr>
                <w:sz w:val="14"/>
                <w:szCs w:val="14"/>
                <w:color w:val="auto"/>
              </w:rPr>
            </w:pPr>
          </w:p>
        </w:tc>
        <w:tc>
          <w:tcPr>
            <w:tcW w:w="3820" w:type="dxa"/>
            <w:vAlign w:val="bottom"/>
            <w:gridSpan w:val="12"/>
          </w:tcPr>
          <w:p>
            <w:pPr>
              <w:ind w:left="260"/>
              <w:spacing w:after="0"/>
              <w:rPr>
                <w:sz w:val="20"/>
                <w:szCs w:val="20"/>
                <w:color w:val="auto"/>
              </w:rPr>
            </w:pPr>
            <w:r>
              <w:rPr>
                <w:rFonts w:ascii="Courier New" w:cs="Courier New" w:eastAsia="Courier New" w:hAnsi="Courier New"/>
                <w:sz w:val="15"/>
                <w:szCs w:val="15"/>
                <w:color w:val="auto"/>
              </w:rPr>
              <w:t>Brodsky, dated as of November 18, 2002.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10.24*</w:t>
            </w: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Executive  Employment  Agreement  between  Comcast  Holdings</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Corporation  (f/k/a  Comcast  Corporation)  and  Stephen  B.</w:t>
            </w:r>
          </w:p>
        </w:tc>
      </w:tr>
      <w:tr>
        <w:trPr>
          <w:trHeight w:val="171"/>
        </w:trPr>
        <w:tc>
          <w:tcPr>
            <w:tcW w:w="1500" w:type="dxa"/>
            <w:vAlign w:val="bottom"/>
          </w:tcPr>
          <w:p>
            <w:pPr>
              <w:spacing w:after="0"/>
              <w:rPr>
                <w:sz w:val="14"/>
                <w:szCs w:val="14"/>
                <w:color w:val="auto"/>
              </w:rPr>
            </w:pPr>
          </w:p>
        </w:tc>
        <w:tc>
          <w:tcPr>
            <w:tcW w:w="3280" w:type="dxa"/>
            <w:vAlign w:val="bottom"/>
            <w:gridSpan w:val="10"/>
          </w:tcPr>
          <w:p>
            <w:pPr>
              <w:ind w:left="260"/>
              <w:spacing w:after="0"/>
              <w:rPr>
                <w:sz w:val="20"/>
                <w:szCs w:val="20"/>
                <w:color w:val="auto"/>
              </w:rPr>
            </w:pPr>
            <w:r>
              <w:rPr>
                <w:rFonts w:ascii="Courier New" w:cs="Courier New" w:eastAsia="Courier New" w:hAnsi="Courier New"/>
                <w:sz w:val="15"/>
                <w:szCs w:val="15"/>
                <w:color w:val="auto"/>
              </w:rPr>
              <w:t>Burke, dated as of May 31, 2000.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10.25*</w:t>
            </w: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8"/>
              </w:rPr>
              <w:t>First Amendment to Executive</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w w:val="97"/>
              </w:rPr>
              <w:t>Employment</w:t>
            </w:r>
          </w:p>
        </w:tc>
        <w:tc>
          <w:tcPr>
            <w:tcW w:w="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Agreement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Comcast Holdings Corporation (f/k/a Comcast Corporation) and</w:t>
            </w:r>
          </w:p>
        </w:tc>
      </w:tr>
      <w:tr>
        <w:trPr>
          <w:trHeight w:val="171"/>
        </w:trPr>
        <w:tc>
          <w:tcPr>
            <w:tcW w:w="1500" w:type="dxa"/>
            <w:vAlign w:val="bottom"/>
          </w:tcPr>
          <w:p>
            <w:pPr>
              <w:spacing w:after="0"/>
              <w:rPr>
                <w:sz w:val="14"/>
                <w:szCs w:val="14"/>
                <w:color w:val="auto"/>
              </w:rPr>
            </w:pPr>
          </w:p>
        </w:tc>
        <w:tc>
          <w:tcPr>
            <w:tcW w:w="4180" w:type="dxa"/>
            <w:vAlign w:val="bottom"/>
            <w:gridSpan w:val="14"/>
          </w:tcPr>
          <w:p>
            <w:pPr>
              <w:ind w:left="260"/>
              <w:spacing w:after="0"/>
              <w:rPr>
                <w:sz w:val="20"/>
                <w:szCs w:val="20"/>
                <w:color w:val="auto"/>
              </w:rPr>
            </w:pPr>
            <w:r>
              <w:rPr>
                <w:rFonts w:ascii="Courier New" w:cs="Courier New" w:eastAsia="Courier New" w:hAnsi="Courier New"/>
                <w:sz w:val="15"/>
                <w:szCs w:val="15"/>
                <w:color w:val="auto"/>
                <w:w w:val="98"/>
              </w:rPr>
              <w:t>Stephen B. Burke, dated as of July 30, 2001.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10.26*</w:t>
            </w: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Executive  Employment  Agreement  between  Comcast  Holdings</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Corporation  (f/k/a  Comcast  Corporation)  and  Lawrence S.</w:t>
            </w:r>
          </w:p>
        </w:tc>
      </w:tr>
      <w:tr>
        <w:trPr>
          <w:trHeight w:val="171"/>
        </w:trPr>
        <w:tc>
          <w:tcPr>
            <w:tcW w:w="1500" w:type="dxa"/>
            <w:vAlign w:val="bottom"/>
          </w:tcPr>
          <w:p>
            <w:pPr>
              <w:spacing w:after="0"/>
              <w:rPr>
                <w:sz w:val="14"/>
                <w:szCs w:val="14"/>
                <w:color w:val="auto"/>
              </w:rPr>
            </w:pPr>
          </w:p>
        </w:tc>
        <w:tc>
          <w:tcPr>
            <w:tcW w:w="3280" w:type="dxa"/>
            <w:vAlign w:val="bottom"/>
            <w:gridSpan w:val="10"/>
          </w:tcPr>
          <w:p>
            <w:pPr>
              <w:ind w:left="260"/>
              <w:spacing w:after="0"/>
              <w:rPr>
                <w:sz w:val="20"/>
                <w:szCs w:val="20"/>
                <w:color w:val="auto"/>
              </w:rPr>
            </w:pPr>
            <w:r>
              <w:rPr>
                <w:rFonts w:ascii="Courier New" w:cs="Courier New" w:eastAsia="Courier New" w:hAnsi="Courier New"/>
                <w:sz w:val="15"/>
                <w:szCs w:val="15"/>
                <w:color w:val="auto"/>
              </w:rPr>
              <w:t>Smith, dated as of May 31, 2000.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10.27*</w:t>
            </w: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Executive  Employment  Agreement  between  Comcast  Holdings</w:t>
            </w:r>
          </w:p>
        </w:tc>
      </w:tr>
      <w:tr>
        <w:trPr>
          <w:trHeight w:val="171"/>
        </w:trPr>
        <w:tc>
          <w:tcPr>
            <w:tcW w:w="1500" w:type="dxa"/>
            <w:vAlign w:val="bottom"/>
          </w:tcPr>
          <w:p>
            <w:pPr>
              <w:spacing w:after="0"/>
              <w:rPr>
                <w:sz w:val="14"/>
                <w:szCs w:val="14"/>
                <w:color w:val="auto"/>
              </w:rPr>
            </w:pP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rPr>
              <w:t>Corporation (f/k/a Comcast</w:t>
            </w:r>
          </w:p>
        </w:tc>
        <w:tc>
          <w:tcPr>
            <w:tcW w:w="28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Corporation) and John R. Alchin,</w:t>
            </w:r>
          </w:p>
        </w:tc>
      </w:tr>
      <w:tr>
        <w:trPr>
          <w:trHeight w:val="171"/>
        </w:trPr>
        <w:tc>
          <w:tcPr>
            <w:tcW w:w="1500" w:type="dxa"/>
            <w:vAlign w:val="bottom"/>
          </w:tcPr>
          <w:p>
            <w:pPr>
              <w:spacing w:after="0"/>
              <w:rPr>
                <w:sz w:val="14"/>
                <w:szCs w:val="14"/>
                <w:color w:val="auto"/>
              </w:rPr>
            </w:pP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rPr>
              <w:t>dated as of May 31, 2000.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10.28*</w:t>
            </w: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w w:val="98"/>
              </w:rPr>
              <w:t>Comcast Corporation</w:t>
            </w:r>
          </w:p>
        </w:tc>
        <w:tc>
          <w:tcPr>
            <w:tcW w:w="36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Supplemental Executive Retirement Plan,</w:t>
            </w:r>
          </w:p>
        </w:tc>
      </w:tr>
      <w:tr>
        <w:trPr>
          <w:trHeight w:val="171"/>
        </w:trPr>
        <w:tc>
          <w:tcPr>
            <w:tcW w:w="1500" w:type="dxa"/>
            <w:vAlign w:val="bottom"/>
          </w:tcPr>
          <w:p>
            <w:pPr>
              <w:spacing w:after="0"/>
              <w:rPr>
                <w:sz w:val="14"/>
                <w:szCs w:val="14"/>
                <w:color w:val="auto"/>
              </w:rPr>
            </w:pP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as</w:t>
            </w:r>
          </w:p>
        </w:tc>
        <w:tc>
          <w:tcPr>
            <w:tcW w:w="8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amended</w:t>
            </w:r>
          </w:p>
        </w:tc>
        <w:tc>
          <w:tcPr>
            <w:tcW w:w="8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restated,</w:t>
            </w:r>
          </w:p>
        </w:tc>
        <w:tc>
          <w:tcPr>
            <w:tcW w:w="1080" w:type="dxa"/>
            <w:vAlign w:val="bottom"/>
            <w:gridSpan w:val="4"/>
          </w:tcPr>
          <w:p>
            <w:pPr>
              <w:jc w:val="center"/>
              <w:ind w:left="206"/>
              <w:spacing w:after="0"/>
              <w:rPr>
                <w:sz w:val="20"/>
                <w:szCs w:val="20"/>
                <w:color w:val="auto"/>
              </w:rPr>
            </w:pPr>
            <w:r>
              <w:rPr>
                <w:rFonts w:ascii="Courier New" w:cs="Courier New" w:eastAsia="Courier New" w:hAnsi="Courier New"/>
                <w:sz w:val="15"/>
                <w:szCs w:val="15"/>
                <w:color w:val="auto"/>
                <w:w w:val="98"/>
              </w:rPr>
              <w:t>effective</w:t>
            </w:r>
          </w:p>
        </w:tc>
        <w:tc>
          <w:tcPr>
            <w:tcW w:w="180" w:type="dxa"/>
            <w:vAlign w:val="bottom"/>
          </w:tcPr>
          <w:p>
            <w:pPr>
              <w:spacing w:after="0"/>
              <w:rPr>
                <w:sz w:val="14"/>
                <w:szCs w:val="14"/>
                <w:color w:val="auto"/>
              </w:rPr>
            </w:pPr>
          </w:p>
        </w:tc>
        <w:tc>
          <w:tcPr>
            <w:tcW w:w="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June</w:t>
            </w:r>
          </w:p>
        </w:tc>
        <w:tc>
          <w:tcPr>
            <w:tcW w:w="4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77"/>
              </w:rPr>
              <w:t>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(incorporated</w:t>
            </w:r>
          </w:p>
        </w:tc>
        <w:tc>
          <w:tcPr>
            <w:tcW w:w="80" w:type="dxa"/>
            <w:vAlign w:val="bottom"/>
          </w:tcPr>
          <w:p>
            <w:pPr>
              <w:spacing w:after="0"/>
              <w:rPr>
                <w:sz w:val="14"/>
                <w:szCs w:val="14"/>
                <w:color w:val="auto"/>
              </w:rPr>
            </w:pPr>
          </w:p>
        </w:tc>
        <w:tc>
          <w:tcPr>
            <w:tcW w:w="23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by reference to Exhibit</w:t>
            </w:r>
          </w:p>
        </w:tc>
        <w:tc>
          <w:tcPr>
            <w:tcW w:w="17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10.10 to the Comcast</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Holdings  Corporation  (f/k/a  Comcast  Corporation)  Annual</w:t>
            </w:r>
          </w:p>
        </w:tc>
      </w:tr>
      <w:tr>
        <w:trPr>
          <w:trHeight w:val="171"/>
        </w:trPr>
        <w:tc>
          <w:tcPr>
            <w:tcW w:w="1500" w:type="dxa"/>
            <w:vAlign w:val="bottom"/>
          </w:tcPr>
          <w:p>
            <w:pPr>
              <w:spacing w:after="0"/>
              <w:rPr>
                <w:sz w:val="14"/>
                <w:szCs w:val="14"/>
                <w:color w:val="auto"/>
              </w:rPr>
            </w:pPr>
          </w:p>
        </w:tc>
        <w:tc>
          <w:tcPr>
            <w:tcW w:w="4520" w:type="dxa"/>
            <w:vAlign w:val="bottom"/>
            <w:gridSpan w:val="15"/>
          </w:tcPr>
          <w:p>
            <w:pPr>
              <w:ind w:left="260"/>
              <w:spacing w:after="0"/>
              <w:rPr>
                <w:sz w:val="20"/>
                <w:szCs w:val="20"/>
                <w:color w:val="auto"/>
              </w:rPr>
            </w:pPr>
            <w:r>
              <w:rPr>
                <w:rFonts w:ascii="Courier New" w:cs="Courier New" w:eastAsia="Courier New" w:hAnsi="Courier New"/>
                <w:sz w:val="15"/>
                <w:szCs w:val="15"/>
                <w:color w:val="auto"/>
              </w:rPr>
              <w:t>Report on Form 10-K for the year ended December</w:t>
            </w:r>
          </w:p>
        </w:tc>
        <w:tc>
          <w:tcPr>
            <w:tcW w:w="10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31, 2001).</w:t>
            </w: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10.29*</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Holdings</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Corporation</w:t>
            </w:r>
          </w:p>
        </w:tc>
        <w:tc>
          <w:tcPr>
            <w:tcW w:w="16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(f/k/a Comcast</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Corporation)</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2002 Employee</w:t>
            </w:r>
          </w:p>
        </w:tc>
        <w:tc>
          <w:tcPr>
            <w:tcW w:w="80" w:type="dxa"/>
            <w:vAlign w:val="bottom"/>
          </w:tcPr>
          <w:p>
            <w:pPr>
              <w:spacing w:after="0"/>
              <w:rPr>
                <w:sz w:val="14"/>
                <w:szCs w:val="14"/>
                <w:color w:val="auto"/>
              </w:rPr>
            </w:pPr>
          </w:p>
        </w:tc>
        <w:tc>
          <w:tcPr>
            <w:tcW w:w="4100" w:type="dxa"/>
            <w:vAlign w:val="bottom"/>
            <w:gridSpan w:val="13"/>
          </w:tcPr>
          <w:p>
            <w:pPr>
              <w:ind w:left="100"/>
              <w:spacing w:after="0"/>
              <w:rPr>
                <w:sz w:val="20"/>
                <w:szCs w:val="20"/>
                <w:color w:val="auto"/>
              </w:rPr>
            </w:pPr>
            <w:r>
              <w:rPr>
                <w:rFonts w:ascii="Courier New" w:cs="Courier New" w:eastAsia="Courier New" w:hAnsi="Courier New"/>
                <w:sz w:val="15"/>
                <w:szCs w:val="15"/>
                <w:color w:val="auto"/>
                <w:w w:val="98"/>
              </w:rPr>
              <w:t>Stock Purchase Plan, as amended and restated,</w:t>
            </w:r>
          </w:p>
        </w:tc>
      </w:tr>
      <w:tr>
        <w:trPr>
          <w:trHeight w:val="171"/>
        </w:trPr>
        <w:tc>
          <w:tcPr>
            <w:tcW w:w="1500" w:type="dxa"/>
            <w:vAlign w:val="bottom"/>
          </w:tcPr>
          <w:p>
            <w:pPr>
              <w:spacing w:after="0"/>
              <w:rPr>
                <w:sz w:val="14"/>
                <w:szCs w:val="14"/>
                <w:color w:val="auto"/>
              </w:rPr>
            </w:pP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8"/>
              </w:rPr>
              <w:t>effective November 18, 2002.</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10.30*</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Cable</w:t>
            </w:r>
          </w:p>
        </w:tc>
        <w:tc>
          <w:tcPr>
            <w:tcW w:w="178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Communications</w:t>
            </w:r>
          </w:p>
        </w:tc>
        <w:tc>
          <w:tcPr>
            <w:tcW w:w="900" w:type="dxa"/>
            <w:vAlign w:val="bottom"/>
            <w:gridSpan w:val="4"/>
          </w:tcPr>
          <w:p>
            <w:pPr>
              <w:spacing w:after="0"/>
              <w:rPr>
                <w:sz w:val="20"/>
                <w:szCs w:val="20"/>
                <w:color w:val="auto"/>
              </w:rPr>
            </w:pPr>
            <w:r>
              <w:rPr>
                <w:rFonts w:ascii="Courier New" w:cs="Courier New" w:eastAsia="Courier New" w:hAnsi="Courier New"/>
                <w:sz w:val="15"/>
                <w:szCs w:val="15"/>
                <w:color w:val="auto"/>
              </w:rPr>
              <w:t>Holdings,</w:t>
            </w:r>
          </w:p>
        </w:tc>
        <w:tc>
          <w:tcPr>
            <w:tcW w:w="6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Inc.</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Deferred</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Plan</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(f/k/a</w:t>
            </w:r>
          </w:p>
        </w:tc>
        <w:tc>
          <w:tcPr>
            <w:tcW w:w="5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the</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AT&amp;T</w:t>
            </w:r>
          </w:p>
        </w:tc>
        <w:tc>
          <w:tcPr>
            <w:tcW w:w="9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6"/>
              </w:rPr>
              <w:t>Broadband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Deferred</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Compensation  Plan),  as  amended  and  restated,  effective</w:t>
            </w:r>
          </w:p>
        </w:tc>
      </w:tr>
      <w:tr>
        <w:trPr>
          <w:trHeight w:val="171"/>
        </w:trPr>
        <w:tc>
          <w:tcPr>
            <w:tcW w:w="1500" w:type="dxa"/>
            <w:vAlign w:val="bottom"/>
          </w:tcPr>
          <w:p>
            <w:pPr>
              <w:spacing w:after="0"/>
              <w:rPr>
                <w:sz w:val="14"/>
                <w:szCs w:val="14"/>
                <w:color w:val="auto"/>
              </w:rPr>
            </w:pPr>
          </w:p>
        </w:tc>
        <w:tc>
          <w:tcPr>
            <w:tcW w:w="5600" w:type="dxa"/>
            <w:vAlign w:val="bottom"/>
            <w:gridSpan w:val="18"/>
          </w:tcPr>
          <w:p>
            <w:pPr>
              <w:ind w:left="260"/>
              <w:spacing w:after="0"/>
              <w:rPr>
                <w:sz w:val="20"/>
                <w:szCs w:val="20"/>
                <w:color w:val="auto"/>
              </w:rPr>
            </w:pPr>
            <w:r>
              <w:rPr>
                <w:rFonts w:ascii="Courier New" w:cs="Courier New" w:eastAsia="Courier New" w:hAnsi="Courier New"/>
                <w:sz w:val="15"/>
                <w:szCs w:val="15"/>
                <w:color w:val="auto"/>
                <w:w w:val="98"/>
              </w:rPr>
              <w:t>November 18, 2002  (incorporated by reference to Exhibit 4.4</w:t>
            </w:r>
          </w:p>
        </w:tc>
      </w:tr>
      <w:tr>
        <w:trPr>
          <w:trHeight w:val="171"/>
        </w:trPr>
        <w:tc>
          <w:tcPr>
            <w:tcW w:w="150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Courier New" w:cs="Courier New" w:eastAsia="Courier New" w:hAnsi="Courier New"/>
                <w:sz w:val="15"/>
                <w:szCs w:val="15"/>
                <w:color w:val="auto"/>
                <w:w w:val="98"/>
              </w:rPr>
              <w:t>to our registration</w:t>
            </w:r>
          </w:p>
        </w:tc>
        <w:tc>
          <w:tcPr>
            <w:tcW w:w="36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statement on Form S-8 filed on November</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19, 2002).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10.31*</w:t>
            </w: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8"/>
              </w:rPr>
              <w:t>Comcast Cable Communications</w:t>
            </w:r>
          </w:p>
        </w:tc>
        <w:tc>
          <w:tcPr>
            <w:tcW w:w="160" w:type="dxa"/>
            <w:vAlign w:val="bottom"/>
          </w:tcPr>
          <w:p>
            <w:pPr>
              <w:spacing w:after="0"/>
              <w:rPr>
                <w:sz w:val="14"/>
                <w:szCs w:val="14"/>
                <w:color w:val="auto"/>
              </w:rPr>
            </w:pPr>
          </w:p>
        </w:tc>
        <w:tc>
          <w:tcPr>
            <w:tcW w:w="26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Holdings, Inc. Adjustment Plan</w:t>
            </w:r>
          </w:p>
        </w:tc>
      </w:tr>
      <w:tr>
        <w:trPr>
          <w:trHeight w:val="171"/>
        </w:trPr>
        <w:tc>
          <w:tcPr>
            <w:tcW w:w="1500" w:type="dxa"/>
            <w:vAlign w:val="bottom"/>
          </w:tcPr>
          <w:p>
            <w:pPr>
              <w:spacing w:after="0"/>
              <w:rPr>
                <w:sz w:val="14"/>
                <w:szCs w:val="14"/>
                <w:color w:val="auto"/>
              </w:rPr>
            </w:pPr>
          </w:p>
        </w:tc>
        <w:tc>
          <w:tcPr>
            <w:tcW w:w="4800" w:type="dxa"/>
            <w:vAlign w:val="bottom"/>
            <w:gridSpan w:val="16"/>
          </w:tcPr>
          <w:p>
            <w:pPr>
              <w:ind w:left="260"/>
              <w:spacing w:after="0"/>
              <w:rPr>
                <w:sz w:val="20"/>
                <w:szCs w:val="20"/>
                <w:color w:val="auto"/>
              </w:rPr>
            </w:pPr>
            <w:r>
              <w:rPr>
                <w:rFonts w:ascii="Courier New" w:cs="Courier New" w:eastAsia="Courier New" w:hAnsi="Courier New"/>
                <w:sz w:val="15"/>
                <w:szCs w:val="15"/>
                <w:color w:val="auto"/>
              </w:rPr>
              <w:t>(f/k/a the AT&amp;T Broadband Corp. Adjustment Plan).</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10.32</w:t>
            </w: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Amended and</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Restated</w:t>
            </w:r>
          </w:p>
        </w:tc>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Stockholders</w:t>
            </w: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Agreement,</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1"/>
        </w:trPr>
        <w:tc>
          <w:tcPr>
            <w:tcW w:w="1500" w:type="dxa"/>
            <w:vAlign w:val="bottom"/>
          </w:tcPr>
          <w:p>
            <w:pPr>
              <w:spacing w:after="0"/>
              <w:rPr>
                <w:sz w:val="14"/>
                <w:szCs w:val="14"/>
                <w:color w:val="auto"/>
              </w:rPr>
            </w:pPr>
          </w:p>
        </w:tc>
        <w:tc>
          <w:tcPr>
            <w:tcW w:w="3540" w:type="dxa"/>
            <w:vAlign w:val="bottom"/>
            <w:gridSpan w:val="11"/>
          </w:tcPr>
          <w:p>
            <w:pPr>
              <w:ind w:left="260"/>
              <w:spacing w:after="0"/>
              <w:rPr>
                <w:sz w:val="20"/>
                <w:szCs w:val="20"/>
                <w:color w:val="auto"/>
              </w:rPr>
            </w:pPr>
            <w:r>
              <w:rPr>
                <w:rFonts w:ascii="Courier New" w:cs="Courier New" w:eastAsia="Courier New" w:hAnsi="Courier New"/>
                <w:sz w:val="15"/>
                <w:szCs w:val="15"/>
                <w:color w:val="auto"/>
              </w:rPr>
              <w:t>February 9, 1995, among the Company,</w:t>
            </w:r>
          </w:p>
        </w:tc>
        <w:tc>
          <w:tcPr>
            <w:tcW w:w="20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Comcast QVC, Inc., QVC</w:t>
            </w:r>
          </w:p>
        </w:tc>
      </w:tr>
      <w:tr>
        <w:trPr>
          <w:trHeight w:val="171"/>
        </w:trPr>
        <w:tc>
          <w:tcPr>
            <w:tcW w:w="1500" w:type="dxa"/>
            <w:vAlign w:val="bottom"/>
          </w:tcPr>
          <w:p>
            <w:pPr>
              <w:spacing w:after="0"/>
              <w:rPr>
                <w:sz w:val="14"/>
                <w:szCs w:val="14"/>
                <w:color w:val="auto"/>
              </w:rPr>
            </w:pPr>
          </w:p>
        </w:tc>
        <w:tc>
          <w:tcPr>
            <w:tcW w:w="230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Programming Holdings,</w:t>
            </w:r>
          </w:p>
        </w:tc>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Inc., Liberty</w:t>
            </w:r>
          </w:p>
        </w:tc>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w w:val="97"/>
              </w:rPr>
              <w:t>Media</w:t>
            </w:r>
          </w:p>
        </w:tc>
        <w:tc>
          <w:tcPr>
            <w:tcW w:w="12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QVC</w:t>
            </w:r>
          </w:p>
        </w:tc>
      </w:tr>
      <w:tr>
        <w:trPr>
          <w:trHeight w:val="171"/>
        </w:trPr>
        <w:tc>
          <w:tcPr>
            <w:tcW w:w="150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Investment,</w:t>
            </w:r>
          </w:p>
        </w:tc>
        <w:tc>
          <w:tcPr>
            <w:tcW w:w="1500" w:type="dxa"/>
            <w:vAlign w:val="bottom"/>
            <w:gridSpan w:val="5"/>
          </w:tcPr>
          <w:p>
            <w:pPr>
              <w:spacing w:after="0"/>
              <w:rPr>
                <w:sz w:val="20"/>
                <w:szCs w:val="20"/>
                <w:color w:val="auto"/>
              </w:rPr>
            </w:pPr>
            <w:r>
              <w:rPr>
                <w:rFonts w:ascii="Courier New" w:cs="Courier New" w:eastAsia="Courier New" w:hAnsi="Courier New"/>
                <w:sz w:val="15"/>
                <w:szCs w:val="15"/>
                <w:color w:val="auto"/>
              </w:rPr>
              <w:t>Inc. and Liberty</w:t>
            </w:r>
          </w:p>
        </w:tc>
        <w:tc>
          <w:tcPr>
            <w:tcW w:w="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QVC,</w:t>
            </w:r>
          </w:p>
        </w:tc>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rPr>
              <w:t>Inc.</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(incorporated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1"/>
        </w:trPr>
        <w:tc>
          <w:tcPr>
            <w:tcW w:w="150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reference</w:t>
            </w:r>
          </w:p>
        </w:tc>
        <w:tc>
          <w:tcPr>
            <w:tcW w:w="4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77"/>
              </w:rPr>
              <w:t>to</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Exhibit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54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6"/>
              </w:rPr>
              <w:t>the</w:t>
            </w:r>
          </w:p>
        </w:tc>
        <w:tc>
          <w:tcPr>
            <w:tcW w:w="180" w:type="dxa"/>
            <w:vAlign w:val="bottom"/>
          </w:tcPr>
          <w:p>
            <w:pPr>
              <w:spacing w:after="0"/>
              <w:rPr>
                <w:sz w:val="14"/>
                <w:szCs w:val="14"/>
                <w:color w:val="auto"/>
              </w:rPr>
            </w:pPr>
          </w:p>
        </w:tc>
        <w:tc>
          <w:tcPr>
            <w:tcW w:w="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5"/>
              </w:rPr>
              <w:t>Comcast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Holdings</w:t>
            </w:r>
          </w:p>
        </w:tc>
      </w:tr>
      <w:tr>
        <w:trPr>
          <w:trHeight w:val="171"/>
        </w:trPr>
        <w:tc>
          <w:tcPr>
            <w:tcW w:w="1500" w:type="dxa"/>
            <w:vAlign w:val="bottom"/>
          </w:tcPr>
          <w:p>
            <w:pPr>
              <w:spacing w:after="0"/>
              <w:rPr>
                <w:sz w:val="14"/>
                <w:szCs w:val="14"/>
                <w:color w:val="auto"/>
              </w:rPr>
            </w:pPr>
          </w:p>
        </w:tc>
        <w:tc>
          <w:tcPr>
            <w:tcW w:w="3820" w:type="dxa"/>
            <w:vAlign w:val="bottom"/>
            <w:gridSpan w:val="12"/>
          </w:tcPr>
          <w:p>
            <w:pPr>
              <w:ind w:left="260"/>
              <w:spacing w:after="0"/>
              <w:rPr>
                <w:sz w:val="20"/>
                <w:szCs w:val="20"/>
                <w:color w:val="auto"/>
              </w:rPr>
            </w:pPr>
            <w:r>
              <w:rPr>
                <w:rFonts w:ascii="Courier New" w:cs="Courier New" w:eastAsia="Courier New" w:hAnsi="Courier New"/>
                <w:sz w:val="15"/>
                <w:szCs w:val="15"/>
                <w:color w:val="auto"/>
              </w:rPr>
              <w:t>Corporation (f/k/a Comcast Corporation)</w:t>
            </w:r>
          </w:p>
        </w:tc>
        <w:tc>
          <w:tcPr>
            <w:tcW w:w="1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Quarterly Report on</w:t>
            </w:r>
          </w:p>
        </w:tc>
      </w:tr>
      <w:tr>
        <w:trPr>
          <w:trHeight w:val="171"/>
        </w:trPr>
        <w:tc>
          <w:tcPr>
            <w:tcW w:w="1500" w:type="dxa"/>
            <w:vAlign w:val="bottom"/>
          </w:tcPr>
          <w:p>
            <w:pPr>
              <w:spacing w:after="0"/>
              <w:rPr>
                <w:sz w:val="14"/>
                <w:szCs w:val="14"/>
                <w:color w:val="auto"/>
              </w:rPr>
            </w:pPr>
          </w:p>
        </w:tc>
        <w:tc>
          <w:tcPr>
            <w:tcW w:w="4520" w:type="dxa"/>
            <w:vAlign w:val="bottom"/>
            <w:gridSpan w:val="15"/>
          </w:tcPr>
          <w:p>
            <w:pPr>
              <w:ind w:left="260"/>
              <w:spacing w:after="0"/>
              <w:rPr>
                <w:sz w:val="20"/>
                <w:szCs w:val="20"/>
                <w:color w:val="auto"/>
              </w:rPr>
            </w:pPr>
            <w:r>
              <w:rPr>
                <w:rFonts w:ascii="Courier New" w:cs="Courier New" w:eastAsia="Courier New" w:hAnsi="Courier New"/>
                <w:sz w:val="15"/>
                <w:szCs w:val="15"/>
                <w:color w:val="auto"/>
                <w:w w:val="98"/>
              </w:rPr>
              <w:t>Form 10-Q for the quarter ended March 31, 1995).</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21</w:t>
            </w:r>
          </w:p>
        </w:tc>
        <w:tc>
          <w:tcPr>
            <w:tcW w:w="230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List of Subsidiaries.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ind w:left="880"/>
              <w:spacing w:after="0"/>
              <w:rPr>
                <w:sz w:val="20"/>
                <w:szCs w:val="20"/>
                <w:color w:val="auto"/>
              </w:rPr>
            </w:pPr>
            <w:r>
              <w:rPr>
                <w:rFonts w:ascii="Courier New" w:cs="Courier New" w:eastAsia="Courier New" w:hAnsi="Courier New"/>
                <w:sz w:val="15"/>
                <w:szCs w:val="15"/>
                <w:color w:val="auto"/>
              </w:rPr>
              <w:t>23.1</w:t>
            </w:r>
          </w:p>
        </w:tc>
        <w:tc>
          <w:tcPr>
            <w:tcW w:w="276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8"/>
              </w:rPr>
              <w:t>Consent of Deloitte &amp; Touche</w:t>
            </w:r>
          </w:p>
        </w:tc>
        <w:tc>
          <w:tcPr>
            <w:tcW w:w="5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LLP.</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__________</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Pursuant to Item</w:t>
            </w:r>
          </w:p>
        </w:tc>
        <w:tc>
          <w:tcPr>
            <w:tcW w:w="14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601(4)(iii)(A)</w:t>
            </w:r>
          </w:p>
        </w:tc>
        <w:tc>
          <w:tcPr>
            <w:tcW w:w="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rPr>
              <w:t>of Regulation</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S-K, the</w:t>
            </w:r>
          </w:p>
        </w:tc>
        <w:tc>
          <w:tcPr>
            <w:tcW w:w="12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registrant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agrees to</w:t>
            </w:r>
          </w:p>
        </w:tc>
      </w:tr>
    </w:tbl>
    <w:p>
      <w:pPr>
        <w:spacing w:after="0" w:line="3"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furnish upon request to the Securities and Exchange Commission other instruments defining the rights of holders of long-term debt.</w:t>
      </w:r>
    </w:p>
    <w:p>
      <w:pPr>
        <w:spacing w:after="0" w:line="172" w:lineRule="exact"/>
        <w:rPr>
          <w:sz w:val="20"/>
          <w:szCs w:val="20"/>
          <w:color w:val="auto"/>
        </w:rPr>
      </w:pPr>
    </w:p>
    <w:p>
      <w:pPr>
        <w:ind w:left="169" w:hanging="169"/>
        <w:spacing w:after="0"/>
        <w:tabs>
          <w:tab w:leader="none" w:pos="1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7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92 -</w:t>
      </w:r>
    </w:p>
    <w:p>
      <w:pPr>
        <w:sectPr>
          <w:pgSz w:w="11900" w:h="16838" w:orient="portrait"/>
          <w:cols w:equalWidth="0" w:num="1">
            <w:col w:w="10228"/>
          </w:cols>
          <w:pgMar w:left="231" w:top="628" w:right="1440" w:bottom="0" w:gutter="0" w:footer="0" w:header="0"/>
        </w:sectPr>
      </w:pPr>
    </w:p>
    <w:bookmarkStart w:id="105" w:name="page106"/>
    <w:bookmarkEnd w:id="105"/>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280" w:firstLine="799"/>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20, 2003.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5"/>
          <w:szCs w:val="15"/>
          <w:color w:val="auto"/>
        </w:rPr>
        <w:t>By:</w:t>
        <w:tab/>
        <w:t>/s/ Brian L. Roberts</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Brian L. Roberts</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and Director</w:t>
      </w:r>
    </w:p>
    <w:p>
      <w:pPr>
        <w:spacing w:after="0" w:line="174" w:lineRule="exact"/>
        <w:rPr>
          <w:sz w:val="20"/>
          <w:szCs w:val="20"/>
          <w:color w:val="auto"/>
        </w:rPr>
      </w:pPr>
    </w:p>
    <w:p>
      <w:pPr>
        <w:ind w:right="3280"/>
        <w:spacing w:after="0" w:line="258"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w:t>
      </w: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 the capacities and on the dates indicated.</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853"/>
        </w:trPr>
        <w:tc>
          <w:tcPr>
            <w:tcW w:w="4020" w:type="dxa"/>
            <w:vAlign w:val="bottom"/>
          </w:tcPr>
          <w:p>
            <w:pPr>
              <w:ind w:left="1320"/>
              <w:spacing w:after="0"/>
              <w:rPr>
                <w:sz w:val="20"/>
                <w:szCs w:val="20"/>
                <w:color w:val="auto"/>
              </w:rPr>
            </w:pPr>
            <w:r>
              <w:rPr>
                <w:rFonts w:ascii="Courier New" w:cs="Courier New" w:eastAsia="Courier New" w:hAnsi="Courier New"/>
                <w:sz w:val="15"/>
                <w:szCs w:val="15"/>
                <w:color w:val="auto"/>
              </w:rPr>
              <w:t>Signature</w:t>
            </w:r>
          </w:p>
        </w:tc>
        <w:tc>
          <w:tcPr>
            <w:tcW w:w="466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7"/>
              </w:rPr>
              <w:t>Title</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9"/>
              </w:rPr>
              <w:t>Date</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466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Chairman of the Executive and Finance Committee</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ind w:left="760"/>
              <w:spacing w:after="0"/>
              <w:rPr>
                <w:sz w:val="20"/>
                <w:szCs w:val="20"/>
                <w:color w:val="auto"/>
              </w:rPr>
            </w:pPr>
            <w:r>
              <w:rPr>
                <w:rFonts w:ascii="Courier New" w:cs="Courier New" w:eastAsia="Courier New" w:hAnsi="Courier New"/>
                <w:sz w:val="15"/>
                <w:szCs w:val="15"/>
                <w:color w:val="auto"/>
              </w:rPr>
              <w:t>of the Board of Directors; Director</w:t>
            </w: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C. Michael Armstrong</w:t>
            </w:r>
          </w:p>
        </w:tc>
        <w:tc>
          <w:tcPr>
            <w:tcW w:w="46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Chairman of the Board of Directors; 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 Michael Armstrong</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466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President and Chief Executive Officer; 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ind w:left="1020"/>
              <w:spacing w:after="0"/>
              <w:rPr>
                <w:sz w:val="20"/>
                <w:szCs w:val="20"/>
                <w:color w:val="auto"/>
              </w:rPr>
            </w:pPr>
            <w:r>
              <w:rPr>
                <w:rFonts w:ascii="Courier New" w:cs="Courier New" w:eastAsia="Courier New" w:hAnsi="Courier New"/>
                <w:sz w:val="15"/>
                <w:szCs w:val="15"/>
                <w:color w:val="auto"/>
              </w:rPr>
              <w:t>(Principal Executive Officer)</w:t>
            </w: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466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Vice Chairman; 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Executive Vice President</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ind w:left="940"/>
              <w:spacing w:after="0"/>
              <w:rPr>
                <w:sz w:val="20"/>
                <w:szCs w:val="20"/>
                <w:color w:val="auto"/>
              </w:rPr>
            </w:pPr>
            <w:r>
              <w:rPr>
                <w:rFonts w:ascii="Courier New" w:cs="Courier New" w:eastAsia="Courier New" w:hAnsi="Courier New"/>
                <w:sz w:val="15"/>
                <w:szCs w:val="15"/>
                <w:color w:val="auto"/>
              </w:rPr>
              <w:t>(Co-Principal Financial Officer)</w:t>
            </w: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Executive Vice President and Treasurer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ind w:left="940"/>
              <w:spacing w:after="0"/>
              <w:rPr>
                <w:sz w:val="20"/>
                <w:szCs w:val="20"/>
                <w:color w:val="auto"/>
              </w:rPr>
            </w:pPr>
            <w:r>
              <w:rPr>
                <w:rFonts w:ascii="Courier New" w:cs="Courier New" w:eastAsia="Courier New" w:hAnsi="Courier New"/>
                <w:sz w:val="15"/>
                <w:szCs w:val="15"/>
                <w:color w:val="auto"/>
              </w:rPr>
              <w:t>(Co-Principal Financial Officer)</w:t>
            </w: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Lawrence J. Salva</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Senior Vice President and Controller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ind w:left="1020"/>
              <w:spacing w:after="0"/>
              <w:rPr>
                <w:sz w:val="20"/>
                <w:szCs w:val="20"/>
                <w:color w:val="auto"/>
              </w:rPr>
            </w:pPr>
            <w:r>
              <w:rPr>
                <w:rFonts w:ascii="Courier New" w:cs="Courier New" w:eastAsia="Courier New" w:hAnsi="Courier New"/>
                <w:sz w:val="15"/>
                <w:szCs w:val="15"/>
                <w:color w:val="auto"/>
              </w:rPr>
              <w:t>(Principal Accounting Officer)</w:t>
            </w: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Lawrence J. Salva</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S. Decker Anstrom</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Decker Anstrom</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Kenneth J. Bacon</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Kenneth J. Bacon</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J. Michael Cook</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J. Michael Cook</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Dr. Judith Rodin</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Dr. Judith Rodin</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Louis A. Simpson</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Louis A. Simpson</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 Michael I. Sovern</w:t>
            </w:r>
          </w:p>
        </w:tc>
        <w:tc>
          <w:tcPr>
            <w:tcW w:w="46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Director</w:t>
            </w:r>
          </w:p>
        </w:tc>
        <w:tc>
          <w:tcPr>
            <w:tcW w:w="1700" w:type="dxa"/>
            <w:vAlign w:val="bottom"/>
          </w:tcPr>
          <w:p>
            <w:pPr>
              <w:jc w:val="center"/>
              <w:ind w:left="386"/>
              <w:spacing w:after="0"/>
              <w:rPr>
                <w:sz w:val="20"/>
                <w:szCs w:val="20"/>
                <w:color w:val="auto"/>
              </w:rPr>
            </w:pPr>
            <w:r>
              <w:rPr>
                <w:rFonts w:ascii="Courier New" w:cs="Courier New" w:eastAsia="Courier New" w:hAnsi="Courier New"/>
                <w:sz w:val="15"/>
                <w:szCs w:val="15"/>
                <w:color w:val="auto"/>
                <w:w w:val="98"/>
              </w:rPr>
              <w:t>March 20, 2003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Michael I. Sovern</w:t>
            </w:r>
          </w:p>
        </w:tc>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683"/>
        </w:trPr>
        <w:tc>
          <w:tcPr>
            <w:tcW w:w="4020" w:type="dxa"/>
            <w:vAlign w:val="bottom"/>
          </w:tcPr>
          <w:p>
            <w:pPr>
              <w:spacing w:after="0"/>
              <w:rPr>
                <w:sz w:val="24"/>
                <w:szCs w:val="24"/>
                <w:color w:val="auto"/>
              </w:rPr>
            </w:pPr>
          </w:p>
        </w:tc>
        <w:tc>
          <w:tcPr>
            <w:tcW w:w="4660" w:type="dxa"/>
            <w:vAlign w:val="bottom"/>
          </w:tcPr>
          <w:p>
            <w:pPr>
              <w:ind w:left="940"/>
              <w:spacing w:after="0"/>
              <w:rPr>
                <w:sz w:val="20"/>
                <w:szCs w:val="20"/>
                <w:color w:val="auto"/>
              </w:rPr>
            </w:pPr>
            <w:r>
              <w:rPr>
                <w:rFonts w:ascii="Courier New" w:cs="Courier New" w:eastAsia="Courier New" w:hAnsi="Courier New"/>
                <w:sz w:val="15"/>
                <w:szCs w:val="15"/>
                <w:color w:val="auto"/>
              </w:rPr>
              <w:t>- 93 -</w:t>
            </w:r>
          </w:p>
        </w:tc>
        <w:tc>
          <w:tcPr>
            <w:tcW w:w="1700" w:type="dxa"/>
            <w:vAlign w:val="bottom"/>
          </w:tcPr>
          <w:p>
            <w:pPr>
              <w:spacing w:after="0"/>
              <w:rPr>
                <w:sz w:val="24"/>
                <w:szCs w:val="24"/>
                <w:color w:val="auto"/>
              </w:rPr>
            </w:pPr>
          </w:p>
        </w:tc>
      </w:tr>
    </w:tbl>
    <w:p>
      <w:pPr>
        <w:sectPr>
          <w:pgSz w:w="11900" w:h="16838" w:orient="portrait"/>
          <w:cols w:equalWidth="0" w:num="1">
            <w:col w:w="10380"/>
          </w:cols>
          <w:pgMar w:left="240" w:top="457" w:right="1279" w:bottom="969" w:gutter="0" w:footer="0" w:header="0"/>
        </w:sectPr>
      </w:pPr>
    </w:p>
    <w:bookmarkStart w:id="106" w:name="page107"/>
    <w:bookmarkEnd w:id="106"/>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Our audits of the financial statements referred to in our report dated March 17, 2003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Intangibles," effective January 1, 2002) appearing in this Annual Report on Form 10-K of Comcast Corporation (formerly known as AT&amp;T Comcast Corporation) (the "Company") for the year ended December 31, 2002 also included the financial statement schedule of the Company, listed in Item 15(b)(i).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2003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- 94 -</w:t>
      </w:r>
    </w:p>
    <w:p>
      <w:pPr>
        <w:sectPr>
          <w:pgSz w:w="11900" w:h="16838" w:orient="portrait"/>
          <w:cols w:equalWidth="0" w:num="1">
            <w:col w:w="10219"/>
          </w:cols>
          <w:pgMar w:left="240" w:top="628" w:right="1440" w:bottom="1440" w:gutter="0" w:footer="0" w:header="0"/>
        </w:sectPr>
      </w:pPr>
    </w:p>
    <w:bookmarkStart w:id="107" w:name="page108"/>
    <w:bookmarkEnd w:id="107"/>
    <w:p>
      <w:pPr>
        <w:jc w:val="center"/>
        <w:ind w:right="29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290"/>
        <w:spacing w:after="0"/>
        <w:rPr>
          <w:sz w:val="20"/>
          <w:szCs w:val="20"/>
          <w:color w:val="auto"/>
        </w:rPr>
      </w:pPr>
      <w:r>
        <w:rPr>
          <w:rFonts w:ascii="Courier New" w:cs="Courier New" w:eastAsia="Courier New" w:hAnsi="Courier New"/>
          <w:sz w:val="15"/>
          <w:szCs w:val="15"/>
          <w:color w:val="auto"/>
        </w:rPr>
        <w:t>YEARS ENDED DECEMBER 31, 2002, 2001 AND 2000</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(In millions)</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Additions</w:t>
            </w: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Balance at</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Charged to</w:t>
            </w:r>
          </w:p>
        </w:tc>
        <w:tc>
          <w:tcPr>
            <w:tcW w:w="1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Deductions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40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Beginning</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Costs and</w:t>
            </w:r>
          </w:p>
        </w:tc>
        <w:tc>
          <w:tcPr>
            <w:tcW w:w="16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from</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at End</w:t>
            </w:r>
          </w:p>
        </w:tc>
      </w:tr>
      <w:tr>
        <w:trPr>
          <w:trHeight w:val="171"/>
        </w:trPr>
        <w:tc>
          <w:tcPr>
            <w:tcW w:w="40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of Year</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Expenses(A)</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Reserves(B)</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 Year</w:t>
            </w:r>
          </w:p>
        </w:tc>
      </w:tr>
      <w:tr>
        <w:trPr>
          <w:trHeight w:val="171"/>
        </w:trPr>
        <w:tc>
          <w:tcPr>
            <w:tcW w:w="40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512"/>
        </w:trPr>
        <w:tc>
          <w:tcPr>
            <w:tcW w:w="4080" w:type="dxa"/>
            <w:vAlign w:val="bottom"/>
          </w:tcPr>
          <w:p>
            <w:pPr>
              <w:spacing w:after="0"/>
              <w:rPr>
                <w:sz w:val="20"/>
                <w:szCs w:val="20"/>
                <w:color w:val="auto"/>
              </w:rPr>
            </w:pPr>
            <w:r>
              <w:rPr>
                <w:rFonts w:ascii="Courier New" w:cs="Courier New" w:eastAsia="Courier New" w:hAnsi="Courier New"/>
                <w:sz w:val="15"/>
                <w:szCs w:val="15"/>
                <w:color w:val="auto"/>
              </w:rPr>
              <w:t>Allowance for Excess and Obsolete</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Electronic Retailing Inventories</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9" w:right="3399" w:hanging="349"/>
        <w:spacing w:after="0" w:line="238"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$71 million not charged to costs and expenses but resulting from the Broadband acquisition in 2002.</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excess and obsolete inventory written off.</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889" w:hanging="185"/>
        <w:spacing w:after="0"/>
        <w:tabs>
          <w:tab w:leader="none" w:pos="488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95 -</w:t>
      </w:r>
    </w:p>
    <w:p>
      <w:pPr>
        <w:sectPr>
          <w:pgSz w:w="11900" w:h="16838" w:orient="portrait"/>
          <w:cols w:equalWidth="0" w:num="1">
            <w:col w:w="10228"/>
          </w:cols>
          <w:pgMar w:left="231" w:top="628" w:right="1440" w:bottom="1440" w:gutter="0" w:footer="0" w:header="0"/>
        </w:sectPr>
      </w:pPr>
    </w:p>
    <w:bookmarkStart w:id="108" w:name="page109"/>
    <w:bookmarkEnd w:id="108"/>
    <w:p>
      <w:pPr>
        <w:ind w:left="2929"/>
        <w:spacing w:after="0"/>
        <w:rPr>
          <w:sz w:val="20"/>
          <w:szCs w:val="20"/>
          <w:color w:val="auto"/>
        </w:rPr>
      </w:pPr>
      <w:r>
        <w:rPr>
          <w:rFonts w:ascii="Courier New" w:cs="Courier New" w:eastAsia="Courier New" w:hAnsi="Courier New"/>
          <w:sz w:val="15"/>
          <w:szCs w:val="15"/>
          <w:color w:val="auto"/>
        </w:rPr>
        <w:t>CERTIFICATIONS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Brian L. Roberts, certify that:</w:t>
      </w:r>
    </w:p>
    <w:p>
      <w:pPr>
        <w:spacing w:after="0" w:line="171" w:lineRule="exact"/>
        <w:rPr>
          <w:sz w:val="20"/>
          <w:szCs w:val="20"/>
          <w:color w:val="auto"/>
        </w:rPr>
      </w:pP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Corporation;</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0" w:lineRule="exact"/>
        <w:rPr>
          <w:rFonts w:ascii="Courier New" w:cs="Courier New" w:eastAsia="Courier New" w:hAnsi="Courier New"/>
          <w:sz w:val="14"/>
          <w:szCs w:val="14"/>
          <w:color w:val="auto"/>
        </w:rPr>
      </w:pPr>
    </w:p>
    <w:p>
      <w:pPr>
        <w:jc w:val="both"/>
        <w:ind w:left="449" w:right="3119" w:hanging="449"/>
        <w:spacing w:after="0" w:line="264" w:lineRule="auto"/>
        <w:tabs>
          <w:tab w:leader="none" w:pos="4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59" w:lineRule="exact"/>
        <w:rPr>
          <w:rFonts w:ascii="Courier New" w:cs="Courier New" w:eastAsia="Courier New" w:hAnsi="Courier New"/>
          <w:sz w:val="14"/>
          <w:szCs w:val="14"/>
          <w:color w:val="auto"/>
        </w:rPr>
      </w:pPr>
    </w:p>
    <w:p>
      <w:pPr>
        <w:jc w:val="both"/>
        <w:ind w:left="789" w:right="3119" w:hanging="345"/>
        <w:spacing w:after="0"/>
        <w:tabs>
          <w:tab w:leader="none" w:pos="7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5"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89" w:right="3119" w:hanging="345"/>
        <w:spacing w:after="0"/>
        <w:tabs>
          <w:tab w:leader="none" w:pos="7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March 20, 2003</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BRIAN L. ROBERTS</w:t>
      </w:r>
    </w:p>
    <w:p>
      <w:pPr>
        <w:spacing w:after="0" w:line="1" w:lineRule="exact"/>
        <w:rPr>
          <w:sz w:val="20"/>
          <w:szCs w:val="20"/>
          <w:color w:val="auto"/>
        </w:rPr>
      </w:pPr>
    </w:p>
    <w:p>
      <w:pPr>
        <w:ind w:left="169" w:hanging="169"/>
        <w:spacing w:after="0"/>
        <w:tabs>
          <w:tab w:leader="none" w:pos="16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817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Brian L. Roberts Chief Executive Officer</w:t>
      </w:r>
    </w:p>
    <w:p>
      <w:pPr>
        <w:spacing w:after="0" w:line="321"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96 -</w:t>
      </w:r>
    </w:p>
    <w:p>
      <w:pPr>
        <w:sectPr>
          <w:pgSz w:w="11900" w:h="16838" w:orient="portrait"/>
          <w:cols w:equalWidth="0" w:num="1">
            <w:col w:w="10228"/>
          </w:cols>
          <w:pgMar w:left="231" w:top="628" w:right="1440" w:bottom="1440" w:gutter="0" w:footer="0" w:header="0"/>
        </w:sectPr>
      </w:pPr>
    </w:p>
    <w:bookmarkStart w:id="109" w:name="page110"/>
    <w:bookmarkEnd w:id="109"/>
    <w:p>
      <w:pPr>
        <w:ind w:left="2929"/>
        <w:spacing w:after="0"/>
        <w:rPr>
          <w:sz w:val="20"/>
          <w:szCs w:val="20"/>
          <w:color w:val="auto"/>
        </w:rPr>
      </w:pPr>
      <w:r>
        <w:rPr>
          <w:rFonts w:ascii="Courier New" w:cs="Courier New" w:eastAsia="Courier New" w:hAnsi="Courier New"/>
          <w:sz w:val="15"/>
          <w:szCs w:val="15"/>
          <w:color w:val="auto"/>
        </w:rPr>
        <w:t>CERTIFICATIONS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Lawrence S. Smith, certify that:</w:t>
      </w:r>
    </w:p>
    <w:p>
      <w:pPr>
        <w:spacing w:after="0" w:line="171" w:lineRule="exact"/>
        <w:rPr>
          <w:sz w:val="20"/>
          <w:szCs w:val="20"/>
          <w:color w:val="auto"/>
        </w:rPr>
      </w:pPr>
    </w:p>
    <w:p>
      <w:pPr>
        <w:ind w:left="44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Corporation;</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0" w:lineRule="exact"/>
        <w:rPr>
          <w:rFonts w:ascii="Courier New" w:cs="Courier New" w:eastAsia="Courier New" w:hAnsi="Courier New"/>
          <w:sz w:val="14"/>
          <w:szCs w:val="14"/>
          <w:color w:val="auto"/>
        </w:rPr>
      </w:pPr>
    </w:p>
    <w:p>
      <w:pPr>
        <w:jc w:val="both"/>
        <w:ind w:left="449" w:right="3119" w:hanging="449"/>
        <w:spacing w:after="0" w:line="264" w:lineRule="auto"/>
        <w:tabs>
          <w:tab w:leader="none" w:pos="4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59" w:lineRule="exact"/>
        <w:rPr>
          <w:rFonts w:ascii="Courier New" w:cs="Courier New" w:eastAsia="Courier New" w:hAnsi="Courier New"/>
          <w:sz w:val="14"/>
          <w:szCs w:val="14"/>
          <w:color w:val="auto"/>
        </w:rPr>
      </w:pPr>
    </w:p>
    <w:p>
      <w:pPr>
        <w:jc w:val="both"/>
        <w:ind w:left="789" w:right="3119" w:hanging="345"/>
        <w:spacing w:after="0"/>
        <w:tabs>
          <w:tab w:leader="none" w:pos="78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5"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89" w:right="3119" w:hanging="345"/>
        <w:spacing w:after="0"/>
        <w:tabs>
          <w:tab w:leader="none" w:pos="78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March 20, 2003</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LAWRENCE S. SMITH</w:t>
      </w:r>
    </w:p>
    <w:p>
      <w:pPr>
        <w:spacing w:after="0" w:line="1" w:lineRule="exact"/>
        <w:rPr>
          <w:sz w:val="20"/>
          <w:szCs w:val="20"/>
          <w:color w:val="auto"/>
        </w:rPr>
      </w:pPr>
    </w:p>
    <w:p>
      <w:pPr>
        <w:ind w:left="169" w:hanging="169"/>
        <w:spacing w:after="0"/>
        <w:tabs>
          <w:tab w:leader="none" w:pos="16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9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Lawrence S. Smith Co-Chief Financial Officer</w:t>
      </w:r>
    </w:p>
    <w:p>
      <w:pPr>
        <w:spacing w:after="0" w:line="200" w:lineRule="exact"/>
        <w:rPr>
          <w:rFonts w:ascii="Courier New" w:cs="Courier New" w:eastAsia="Courier New" w:hAnsi="Courier New"/>
          <w:sz w:val="15"/>
          <w:szCs w:val="15"/>
          <w:color w:val="auto"/>
        </w:rPr>
      </w:pPr>
    </w:p>
    <w:p>
      <w:pPr>
        <w:spacing w:after="0" w:line="29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97 -</w:t>
      </w:r>
    </w:p>
    <w:p>
      <w:pPr>
        <w:sectPr>
          <w:pgSz w:w="11900" w:h="16838" w:orient="portrait"/>
          <w:cols w:equalWidth="0" w:num="1">
            <w:col w:w="10228"/>
          </w:cols>
          <w:pgMar w:left="231" w:top="628" w:right="1440" w:bottom="1440" w:gutter="0" w:footer="0" w:header="0"/>
        </w:sectPr>
      </w:pPr>
    </w:p>
    <w:bookmarkStart w:id="110" w:name="page111"/>
    <w:bookmarkEnd w:id="110"/>
    <w:p>
      <w:pPr>
        <w:ind w:left="2929"/>
        <w:spacing w:after="0"/>
        <w:rPr>
          <w:sz w:val="20"/>
          <w:szCs w:val="20"/>
          <w:color w:val="auto"/>
        </w:rPr>
      </w:pPr>
      <w:r>
        <w:rPr>
          <w:rFonts w:ascii="Courier New" w:cs="Courier New" w:eastAsia="Courier New" w:hAnsi="Courier New"/>
          <w:sz w:val="15"/>
          <w:szCs w:val="15"/>
          <w:color w:val="auto"/>
        </w:rPr>
        <w:t>CERTIFICATIONS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John R. Alchin, certify that:</w:t>
      </w:r>
    </w:p>
    <w:p>
      <w:pPr>
        <w:spacing w:after="0" w:line="171" w:lineRule="exact"/>
        <w:rPr>
          <w:sz w:val="20"/>
          <w:szCs w:val="20"/>
          <w:color w:val="auto"/>
        </w:rPr>
      </w:pPr>
    </w:p>
    <w:p>
      <w:pPr>
        <w:ind w:left="44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Corporation;</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0" w:lineRule="exact"/>
        <w:rPr>
          <w:rFonts w:ascii="Courier New" w:cs="Courier New" w:eastAsia="Courier New" w:hAnsi="Courier New"/>
          <w:sz w:val="14"/>
          <w:szCs w:val="14"/>
          <w:color w:val="auto"/>
        </w:rPr>
      </w:pPr>
    </w:p>
    <w:p>
      <w:pPr>
        <w:jc w:val="both"/>
        <w:ind w:left="449" w:right="3119" w:hanging="449"/>
        <w:spacing w:after="0" w:line="264" w:lineRule="auto"/>
        <w:tabs>
          <w:tab w:leader="none" w:pos="44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59" w:lineRule="exact"/>
        <w:rPr>
          <w:rFonts w:ascii="Courier New" w:cs="Courier New" w:eastAsia="Courier New" w:hAnsi="Courier New"/>
          <w:sz w:val="14"/>
          <w:szCs w:val="14"/>
          <w:color w:val="auto"/>
        </w:rPr>
      </w:pPr>
    </w:p>
    <w:p>
      <w:pPr>
        <w:jc w:val="both"/>
        <w:ind w:left="789" w:right="3119" w:hanging="345"/>
        <w:spacing w:after="0"/>
        <w:tabs>
          <w:tab w:leader="none" w:pos="78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5"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89" w:right="3119" w:hanging="345"/>
        <w:spacing w:after="0"/>
        <w:tabs>
          <w:tab w:leader="none" w:pos="78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jc w:val="both"/>
        <w:ind w:left="789" w:right="3119" w:hanging="345"/>
        <w:spacing w:after="0" w:line="239" w:lineRule="auto"/>
        <w:tabs>
          <w:tab w:leader="none" w:pos="78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March 20, 2003</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/s/JOHN R. ALCHIN</w:t>
      </w:r>
    </w:p>
    <w:p>
      <w:pPr>
        <w:spacing w:after="0" w:line="1" w:lineRule="exact"/>
        <w:rPr>
          <w:sz w:val="20"/>
          <w:szCs w:val="20"/>
          <w:color w:val="auto"/>
        </w:rPr>
      </w:pPr>
    </w:p>
    <w:p>
      <w:pPr>
        <w:ind w:left="169" w:hanging="169"/>
        <w:spacing w:after="0"/>
        <w:tabs>
          <w:tab w:leader="none" w:pos="16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9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John R. Alchin Co-Chief Financial Officer</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98 -</w:t>
      </w:r>
    </w:p>
    <w:p>
      <w:pPr>
        <w:sectPr>
          <w:pgSz w:w="11900" w:h="16838" w:orient="portrait"/>
          <w:cols w:equalWidth="0" w:num="1">
            <w:col w:w="10228"/>
          </w:cols>
          <w:pgMar w:left="231" w:top="628" w:right="1440" w:bottom="1440" w:gutter="0" w:footer="0" w:header="0"/>
        </w:sectPr>
      </w:pPr>
    </w:p>
    <w:bookmarkStart w:id="111" w:name="page112"/>
    <w:bookmarkEnd w:id="111"/>
    <w:p>
      <w:pPr>
        <w:ind w:left="6120"/>
        <w:spacing w:after="0"/>
        <w:rPr>
          <w:sz w:val="20"/>
          <w:szCs w:val="20"/>
          <w:color w:val="auto"/>
        </w:rPr>
      </w:pPr>
      <w:r>
        <w:rPr>
          <w:rFonts w:ascii="Courier New" w:cs="Courier New" w:eastAsia="Courier New" w:hAnsi="Courier New"/>
          <w:sz w:val="15"/>
          <w:szCs w:val="15"/>
          <w:color w:val="auto"/>
        </w:rPr>
        <w:t>Exhibit 2.5</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[Composite Copy Reflecting First Amendment]</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EMPLOYEE BENEFITS AGREEMENT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by and between</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AT&amp;T CORP.</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AT&amp;T BROADBAND CORP.</w:t>
      </w:r>
    </w:p>
    <w:p>
      <w:pPr>
        <w:spacing w:after="0" w:line="200" w:lineRule="exact"/>
        <w:rPr>
          <w:sz w:val="20"/>
          <w:szCs w:val="20"/>
          <w:color w:val="auto"/>
        </w:rPr>
      </w:pPr>
    </w:p>
    <w:p>
      <w:pPr>
        <w:spacing w:after="0" w:line="31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19,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Ancillary Agreements</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Approved Leave of Absence</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AT&amp;T</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AT&amp;T Broadband Common Stock</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AT&amp;T Closing Stock Value</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AT&amp;T Common Stock</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AT&amp;T Deferral Plan</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5"/>
          <w:szCs w:val="15"/>
          <w:color w:val="auto"/>
        </w:rPr>
        <w:t>AT&amp;T Deferral Plan Participant</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AT&amp;T Directors' Deferral Plan</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AT&amp;T Employee</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AT&amp;T Entity</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AT&amp;T Executive</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AT&amp;T Executive Benefit Plans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AT&amp;T Force Management Program</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AT&amp;T Labor Agreement</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AT&amp;T Long Term Incentive Plan</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AT&amp;T Opening Stock Value</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AT&amp;T Participant</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AT&amp;T Pension Plans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AT&amp;T Post-Retirement Welfare Benefits Plan</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AT&amp;T Savings Plans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AT&amp;T Toll Discount Program</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AT&amp;TMPP</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AT&amp;TPP</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5"/>
          <w:szCs w:val="15"/>
          <w:color w:val="auto"/>
        </w:rPr>
        <w:t>Auditing Party</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Award</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Benefit Plan</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Broadband Adjustment Plan</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Broadband Common Stock Value</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Broadband Employee</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Broadband Entities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Broadband Long Term Savings Plans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Broadband Participant</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Broadband Pension Plans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Broadband Severance Plan</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Broadband Transferees</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5"/>
          <w:szCs w:val="15"/>
          <w:color w:val="auto"/>
        </w:rPr>
        <w:t>Close of the Distribution Date</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5"/>
          <w:szCs w:val="15"/>
          <w:color w:val="auto"/>
        </w:rPr>
        <w:t>COBRA</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Communications Services Entities</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Distribution</w:t>
      </w:r>
      <w:r>
        <w:rPr>
          <w:sz w:val="20"/>
          <w:szCs w:val="20"/>
          <w:color w:val="auto"/>
        </w:rPr>
        <w:tab/>
      </w:r>
      <w:r>
        <w:rPr>
          <w:rFonts w:ascii="Courier New" w:cs="Courier New" w:eastAsia="Courier New" w:hAnsi="Courier New"/>
          <w:sz w:val="15"/>
          <w:szCs w:val="15"/>
          <w:color w:val="auto"/>
        </w:rPr>
        <w:t>7</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39" w:right="1440" w:bottom="1440" w:gutter="0" w:footer="0" w:header="0"/>
        </w:sectPr>
      </w:pPr>
    </w:p>
    <w:bookmarkStart w:id="112" w:name="page113"/>
    <w:bookmarkEnd w:id="112"/>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Distribution Date</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5"/>
          <w:szCs w:val="15"/>
          <w:color w:val="auto"/>
        </w:rPr>
        <w:t>Distribution Ratio</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Distribution Year</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5"/>
          <w:szCs w:val="15"/>
          <w:color w:val="auto"/>
        </w:rPr>
        <w:t>EBLIP</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5"/>
          <w:szCs w:val="15"/>
          <w:color w:val="auto"/>
        </w:rPr>
        <w:t>Former Employee</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1.50</w:t>
      </w:r>
      <w:r>
        <w:rPr>
          <w:sz w:val="20"/>
          <w:szCs w:val="20"/>
          <w:color w:val="auto"/>
        </w:rPr>
        <w:tab/>
      </w:r>
      <w:r>
        <w:rPr>
          <w:rFonts w:ascii="Courier New" w:cs="Courier New" w:eastAsia="Courier New" w:hAnsi="Courier New"/>
          <w:sz w:val="15"/>
          <w:szCs w:val="15"/>
          <w:color w:val="auto"/>
        </w:rPr>
        <w:t>Health and Welfare Plans</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HIPAA</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Immediately after the Distribution Date</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Individual Agreement</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Individual Deferral Agreement</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Intrinsic Value</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Merger Agreement</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1.57</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8</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5"/>
          <w:szCs w:val="15"/>
          <w:color w:val="auto"/>
        </w:rPr>
        <w:t>Nasdaq</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1.59</w:t>
      </w:r>
      <w:r>
        <w:rPr>
          <w:sz w:val="20"/>
          <w:szCs w:val="20"/>
          <w:color w:val="auto"/>
        </w:rPr>
        <w:tab/>
      </w:r>
      <w:r>
        <w:rPr>
          <w:rFonts w:ascii="Courier New" w:cs="Courier New" w:eastAsia="Courier New" w:hAnsi="Courier New"/>
          <w:sz w:val="15"/>
          <w:szCs w:val="15"/>
          <w:color w:val="auto"/>
        </w:rPr>
        <w:t>Non-parties</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1.60</w:t>
      </w:r>
      <w:r>
        <w:rPr>
          <w:sz w:val="20"/>
          <w:szCs w:val="20"/>
          <w:color w:val="auto"/>
        </w:rPr>
        <w:tab/>
      </w: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5"/>
          <w:szCs w:val="15"/>
          <w:color w:val="auto"/>
        </w:rPr>
        <w:t>Participating Company</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1.64</w:t>
      </w:r>
      <w:r>
        <w:rPr>
          <w:sz w:val="20"/>
          <w:szCs w:val="20"/>
          <w:color w:val="auto"/>
        </w:rPr>
        <w:tab/>
      </w:r>
      <w:r>
        <w:rPr>
          <w:rFonts w:ascii="Courier New" w:cs="Courier New" w:eastAsia="Courier New" w:hAnsi="Courier New"/>
          <w:sz w:val="15"/>
          <w:szCs w:val="15"/>
          <w:color w:val="auto"/>
        </w:rPr>
        <w:t>Senior Manager</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1.65</w:t>
      </w:r>
      <w:r>
        <w:rPr>
          <w:sz w:val="20"/>
          <w:szCs w:val="20"/>
          <w:color w:val="auto"/>
        </w:rPr>
        <w:tab/>
      </w:r>
      <w:r>
        <w:rPr>
          <w:rFonts w:ascii="Courier New" w:cs="Courier New" w:eastAsia="Courier New" w:hAnsi="Courier New"/>
          <w:sz w:val="15"/>
          <w:szCs w:val="15"/>
          <w:color w:val="auto"/>
        </w:rPr>
        <w:t>Separation and Distribution Agreement</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1.66</w:t>
      </w:r>
      <w:r>
        <w:rPr>
          <w:sz w:val="20"/>
          <w:szCs w:val="20"/>
          <w:color w:val="auto"/>
        </w:rPr>
        <w:tab/>
      </w:r>
      <w:r>
        <w:rPr>
          <w:rFonts w:ascii="Courier New" w:cs="Courier New" w:eastAsia="Courier New" w:hAnsi="Courier New"/>
          <w:sz w:val="15"/>
          <w:szCs w:val="15"/>
          <w:color w:val="auto"/>
        </w:rPr>
        <w:t>Separation Transactions</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1.67</w:t>
      </w:r>
      <w:r>
        <w:rPr>
          <w:sz w:val="20"/>
          <w:szCs w:val="20"/>
          <w:color w:val="auto"/>
        </w:rPr>
        <w:tab/>
      </w:r>
      <w:r>
        <w:rPr>
          <w:rFonts w:ascii="Courier New" w:cs="Courier New" w:eastAsia="Courier New" w:hAnsi="Courier New"/>
          <w:sz w:val="15"/>
          <w:szCs w:val="15"/>
          <w:color w:val="auto"/>
        </w:rPr>
        <w:t>SMULIP</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1.68</w:t>
      </w:r>
      <w:r>
        <w:rPr>
          <w:sz w:val="20"/>
          <w:szCs w:val="20"/>
          <w:color w:val="auto"/>
        </w:rPr>
        <w:tab/>
      </w:r>
      <w:r>
        <w:rPr>
          <w:rFonts w:ascii="Courier New" w:cs="Courier New" w:eastAsia="Courier New" w:hAnsi="Courier New"/>
          <w:sz w:val="15"/>
          <w:szCs w:val="15"/>
          <w:color w:val="auto"/>
        </w:rPr>
        <w:t>Subsidiaries</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1.69</w:t>
      </w:r>
      <w:r>
        <w:rPr>
          <w:sz w:val="20"/>
          <w:szCs w:val="20"/>
          <w:color w:val="auto"/>
        </w:rPr>
        <w:tab/>
      </w:r>
      <w:r>
        <w:rPr>
          <w:rFonts w:ascii="Courier New" w:cs="Courier New" w:eastAsia="Courier New" w:hAnsi="Courier New"/>
          <w:sz w:val="15"/>
          <w:szCs w:val="15"/>
          <w:color w:val="auto"/>
        </w:rPr>
        <w:t>SVULIP</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80" w:val="left"/>
        </w:tabs>
        <w:rPr>
          <w:sz w:val="20"/>
          <w:szCs w:val="20"/>
          <w:color w:val="auto"/>
        </w:rPr>
      </w:pPr>
      <w:r>
        <w:rPr>
          <w:rFonts w:ascii="Courier New" w:cs="Courier New" w:eastAsia="Courier New" w:hAnsi="Courier New"/>
          <w:sz w:val="15"/>
          <w:szCs w:val="15"/>
          <w:color w:val="auto"/>
        </w:rPr>
        <w:t>1.70</w:t>
      </w:r>
      <w:r>
        <w:rPr>
          <w:sz w:val="20"/>
          <w:szCs w:val="20"/>
          <w:color w:val="auto"/>
        </w:rPr>
        <w:tab/>
      </w:r>
      <w:r>
        <w:rPr>
          <w:rFonts w:ascii="Courier New" w:cs="Courier New" w:eastAsia="Courier New" w:hAnsi="Courier New"/>
          <w:sz w:val="15"/>
          <w:szCs w:val="15"/>
          <w:color w:val="auto"/>
        </w:rPr>
        <w:t>Tax Sharing Agreement</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Transition Period</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U.S</w:t>
      </w:r>
      <w:r>
        <w:rPr>
          <w:sz w:val="20"/>
          <w:szCs w:val="20"/>
          <w:color w:val="auto"/>
        </w:rPr>
        <w:tab/>
      </w:r>
      <w:r>
        <w:rPr>
          <w:rFonts w:ascii="Courier New" w:cs="Courier New" w:eastAsia="Courier New" w:hAnsi="Courier New"/>
          <w:sz w:val="15"/>
          <w:szCs w:val="15"/>
          <w:color w:val="auto"/>
        </w:rPr>
        <w:t>10</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5"/>
          <w:szCs w:val="15"/>
          <w:color w:val="auto"/>
        </w:rPr>
        <w:t>GENERAL PRINCIPLES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Employment of Broadband Transferees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Employment of Broadband Employees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Employment of Broadband Transferees on Leave Status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Assumption and Retention of Liabilities; Related Assets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Broadband Participation in AT&amp;T Benefit Plans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AT&amp;T Participation in Broadband Benefit Plans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Terms of Participation by Broadband Transferees in Broadband Benefit Plans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Service Recognition</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Approval by AT&amp;T as Sole Shareholder</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AT&amp;T Labor Agreements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Change in Control Benefits</w:t>
      </w:r>
      <w:r>
        <w:rPr>
          <w:sz w:val="20"/>
          <w:szCs w:val="20"/>
          <w:color w:val="auto"/>
        </w:rPr>
        <w:tab/>
      </w: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5"/>
          <w:szCs w:val="15"/>
          <w:color w:val="auto"/>
        </w:rPr>
        <w:t>DEFINED CONTRIBUTION AND DEFINED BENEFIT PLANS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Savings Plans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Broadband Long Term Savings Plan Trust</w:t>
      </w:r>
      <w:r>
        <w:rPr>
          <w:sz w:val="20"/>
          <w:szCs w:val="20"/>
          <w:color w:val="auto"/>
        </w:rPr>
        <w:tab/>
      </w:r>
      <w:r>
        <w:rPr>
          <w:rFonts w:ascii="Courier New" w:cs="Courier New" w:eastAsia="Courier New" w:hAnsi="Courier New"/>
          <w:sz w:val="15"/>
          <w:szCs w:val="15"/>
          <w:color w:val="auto"/>
        </w:rPr>
        <w:t>14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113" w:name="page114"/>
    <w:bookmarkEnd w:id="113"/>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AT&amp;T Savings Plans and Trust</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Assumption of Liabilities and Transfer of Accounts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Vesting</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Exchange of Data; Account Transfer</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"Lost" Company Match</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AT&amp;T Pension Plans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Retention of AT&amp;T Pension Plans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Vesting</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Commencement of Pension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Bridging</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Conversions to Cash Balance</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Broadband Pension Plans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Assumption of Broadband Pension Plans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Vesting</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Bridging</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Commencement of Pension</w:t>
      </w:r>
      <w:r>
        <w:rPr>
          <w:sz w:val="20"/>
          <w:szCs w:val="20"/>
          <w:color w:val="auto"/>
        </w:rPr>
        <w:tab/>
      </w:r>
      <w:r>
        <w:rPr>
          <w:rFonts w:ascii="Courier New" w:cs="Courier New" w:eastAsia="Courier New" w:hAnsi="Courier New"/>
          <w:sz w:val="15"/>
          <w:szCs w:val="15"/>
          <w:color w:val="auto"/>
        </w:rPr>
        <w:t>17</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HEALTH AND WELFARE PLANS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Assumption of Health and Welfare Plan Liabilities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Certain Specific Claims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Health and Welfare Plan Transitional Coverage Rules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Broadband Transferees and Broadband Benefit Plans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1760"/>
        <w:spacing w:after="0"/>
        <w:tabs>
          <w:tab w:leader="none" w:pos="254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4"/>
          <w:szCs w:val="14"/>
          <w:color w:val="auto"/>
        </w:rPr>
        <w:t>AT&amp;T Employees and AT&amp;T Benefit Plans; Broadband</w:t>
      </w:r>
    </w:p>
    <w:p>
      <w:pPr>
        <w:spacing w:after="0" w:line="1" w:lineRule="exact"/>
        <w:rPr>
          <w:sz w:val="20"/>
          <w:szCs w:val="20"/>
          <w:color w:val="auto"/>
        </w:rPr>
      </w:pPr>
    </w:p>
    <w:p>
      <w:pPr>
        <w:jc w:val="right"/>
        <w:ind w:right="19"/>
        <w:spacing w:after="0"/>
        <w:tabs>
          <w:tab w:leader="dot" w:pos="160" w:val="left"/>
        </w:tabs>
        <w:rPr>
          <w:sz w:val="20"/>
          <w:szCs w:val="20"/>
          <w:color w:val="auto"/>
        </w:rPr>
      </w:pPr>
      <w:r>
        <w:rPr>
          <w:rFonts w:ascii="Courier New" w:cs="Courier New" w:eastAsia="Courier New" w:hAnsi="Courier New"/>
          <w:sz w:val="15"/>
          <w:szCs w:val="15"/>
          <w:color w:val="auto"/>
        </w:rPr>
        <w:t>Employees and Broadband Benefit Plans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HCRA/CECRA Post-Distribution Transitional Rules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AT&amp;T Health Care Reimbursement Account Plan; Broadband Transferees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AT&amp;T Child/Elder Care Reimbursement Account Plan; Broadband Transferees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Workers' Compensation Liabilities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Payroll Taxes and Reporting of Compensation</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AT&amp;T Post-Retirement Welfare Benefits Plan</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Retention of AT&amp;T Post-Retirement Welfare Benefits Plan</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Assumption of Broadband Post-Retirement Medical Plans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Eligibility of Broadband Employees; Rule of 65</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COBRA and HIPAA Compliance</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Long-Term Care; Direct Pay Arrangements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Severance Benefits</w:t>
      </w:r>
      <w:r>
        <w:rPr>
          <w:sz w:val="20"/>
          <w:szCs w:val="20"/>
          <w:color w:val="auto"/>
        </w:rPr>
        <w:tab/>
      </w:r>
      <w:r>
        <w:rPr>
          <w:rFonts w:ascii="Courier New" w:cs="Courier New" w:eastAsia="Courier New" w:hAnsi="Courier New"/>
          <w:sz w:val="15"/>
          <w:szCs w:val="15"/>
          <w:color w:val="auto"/>
        </w:rPr>
        <w:t>23</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EXECUTIVE BENEFITS AND OTHER BENEFITS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Individual Agreements - Assumption of Liabilities and Consents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AT&amp;T Short Term Incentive Plan and AT&amp;T Bonus Plan Award</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AT&amp;T Long Term Incentive Plans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AT&amp;T Options Held by Current Employees</w:t>
      </w:r>
      <w:r>
        <w:rPr>
          <w:sz w:val="20"/>
          <w:szCs w:val="20"/>
          <w:color w:val="auto"/>
        </w:rPr>
        <w:tab/>
      </w:r>
      <w:r>
        <w:rPr>
          <w:rFonts w:ascii="Courier New" w:cs="Courier New" w:eastAsia="Courier New" w:hAnsi="Courier New"/>
          <w:sz w:val="15"/>
          <w:szCs w:val="15"/>
          <w:color w:val="auto"/>
        </w:rPr>
        <w:t>25</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114" w:name="page115"/>
    <w:bookmarkEnd w:id="114"/>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AT&amp;T Options Held by Former Employees</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Miscellaneous Option Terms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Vesting and Exercisability of Options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Restricted Shares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Restricted Stock Units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Performance Shares</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(h)</w:t>
      </w:r>
      <w:r>
        <w:rPr>
          <w:sz w:val="20"/>
          <w:szCs w:val="20"/>
          <w:color w:val="auto"/>
        </w:rPr>
        <w:tab/>
      </w:r>
      <w:r>
        <w:rPr>
          <w:rFonts w:ascii="Courier New" w:cs="Courier New" w:eastAsia="Courier New" w:hAnsi="Courier New"/>
          <w:sz w:val="15"/>
          <w:szCs w:val="15"/>
          <w:color w:val="auto"/>
        </w:rPr>
        <w:t>Partial Interests in Shares or Stock Units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Incentive Stock Options; Foreign Grants/Awards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(j)</w:t>
      </w:r>
      <w:r>
        <w:rPr>
          <w:sz w:val="20"/>
          <w:szCs w:val="20"/>
          <w:color w:val="auto"/>
        </w:rPr>
        <w:tab/>
      </w:r>
      <w:r>
        <w:rPr>
          <w:rFonts w:ascii="Courier New" w:cs="Courier New" w:eastAsia="Courier New" w:hAnsi="Courier New"/>
          <w:sz w:val="15"/>
          <w:szCs w:val="15"/>
          <w:color w:val="auto"/>
        </w:rPr>
        <w:t>Individual Enforcement</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AT&amp;T Employee Stock Purchase Plan</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Savings Clause</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Registration Requirements</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Non-Competition Guidelines</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AT&amp;T Non-Competition Guideline</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Broadband Non-Competition Guideline</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Confidentiality and Proprietary Information</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Deferral Plans and Individual Deferral Agreements</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AT&amp;T Non-Qualified Pension Plans and Arrangements</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Broadband Non-Qualified Pension Plans and Arrangements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Life Insurance Programs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AT&amp;T Senior Management Universal Life Insurance Program</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AT&amp;T Executive Basic Life Insurance Program</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AT&amp;T Estate Enhancement Program</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jc w:val="right"/>
        <w:ind w:right="19"/>
        <w:spacing w:after="0"/>
        <w:tabs>
          <w:tab w:leader="none" w:pos="7620" w:val="left"/>
          <w:tab w:leader="dot" w:pos="1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AT&amp;T Supplemental Variable Universal Life Insurance Program</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Financial Counseling</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Toll Discount Program</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Relocation Plan</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5.15</w:t>
      </w:r>
      <w:r>
        <w:rPr>
          <w:sz w:val="20"/>
          <w:szCs w:val="20"/>
          <w:color w:val="auto"/>
        </w:rPr>
        <w:tab/>
      </w:r>
      <w:r>
        <w:rPr>
          <w:rFonts w:ascii="Courier New" w:cs="Courier New" w:eastAsia="Courier New" w:hAnsi="Courier New"/>
          <w:sz w:val="15"/>
          <w:szCs w:val="15"/>
          <w:color w:val="auto"/>
        </w:rPr>
        <w:t>Senior Manager Car Allowance</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5.16</w:t>
      </w:r>
      <w:r>
        <w:rPr>
          <w:sz w:val="20"/>
          <w:szCs w:val="20"/>
          <w:color w:val="auto"/>
        </w:rPr>
        <w:tab/>
      </w:r>
      <w:r>
        <w:rPr>
          <w:rFonts w:ascii="Courier New" w:cs="Courier New" w:eastAsia="Courier New" w:hAnsi="Courier New"/>
          <w:sz w:val="15"/>
          <w:szCs w:val="15"/>
          <w:color w:val="auto"/>
        </w:rPr>
        <w:t>Taxable Fringe Benefits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5"/>
          <w:szCs w:val="15"/>
          <w:color w:val="auto"/>
        </w:rPr>
        <w:t>Separation Plans</w:t>
      </w:r>
      <w:r>
        <w:rPr>
          <w:sz w:val="20"/>
          <w:szCs w:val="20"/>
          <w:color w:val="auto"/>
        </w:rPr>
        <w:tab/>
      </w:r>
      <w:r>
        <w:rPr>
          <w:rFonts w:ascii="Courier New" w:cs="Courier New" w:eastAsia="Courier New" w:hAnsi="Courier New"/>
          <w:sz w:val="15"/>
          <w:szCs w:val="15"/>
          <w:color w:val="auto"/>
        </w:rPr>
        <w:t>40</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GENERAL AND ADMINISTRATIVE</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Payment of Liabilities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Sharing of Participant Information</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Best Efforts/Cooperation</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Non-Termination of Employment; No Third-Party Beneficiaries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Audit Rights With Respect to Information Provided</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Fiduciary Matters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Collective Bargaining</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Consent of Third Parties</w:t>
      </w:r>
      <w:r>
        <w:rPr>
          <w:sz w:val="20"/>
          <w:szCs w:val="20"/>
          <w:color w:val="auto"/>
        </w:rPr>
        <w:tab/>
      </w:r>
      <w:r>
        <w:rPr>
          <w:rFonts w:ascii="Courier New" w:cs="Courier New" w:eastAsia="Courier New" w:hAnsi="Courier New"/>
          <w:sz w:val="15"/>
          <w:szCs w:val="15"/>
          <w:color w:val="auto"/>
        </w:rPr>
        <w:t>43</w:t>
      </w:r>
    </w:p>
    <w:p>
      <w:pPr>
        <w:spacing w:after="0" w:line="171" w:lineRule="exact"/>
        <w:rPr>
          <w:sz w:val="20"/>
          <w:szCs w:val="20"/>
          <w:color w:val="auto"/>
        </w:rPr>
      </w:pPr>
    </w:p>
    <w:p>
      <w:pPr>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Effect If Distribution Does Not Occur</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Relationship of Parties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780"/>
        <w:spacing w:after="0"/>
        <w:tabs>
          <w:tab w:leader="none" w:pos="1740" w:val="left"/>
          <w:tab w:leader="dot" w:pos="100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44</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28" w:right="1440" w:bottom="1440" w:gutter="0" w:footer="0" w:header="0"/>
        </w:sectPr>
      </w:pPr>
    </w:p>
    <w:bookmarkStart w:id="115" w:name="page116"/>
    <w:bookmarkEnd w:id="115"/>
    <w:p>
      <w:pPr>
        <w:jc w:val="right"/>
        <w:ind w:right="19"/>
        <w:spacing w:after="0"/>
        <w:tabs>
          <w:tab w:leader="none" w:pos="8420" w:val="left"/>
          <w:tab w:leader="dot" w:pos="1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jc w:val="right"/>
        <w:ind w:right="19"/>
        <w:spacing w:after="0"/>
        <w:tabs>
          <w:tab w:leader="none" w:pos="8420" w:val="left"/>
          <w:tab w:leader="dot" w:pos="1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Incorporation of Separation and Distribution Agreement Provisions</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jc w:val="right"/>
        <w:ind w:right="19"/>
        <w:spacing w:after="0"/>
        <w:tabs>
          <w:tab w:leader="none" w:pos="8420" w:val="left"/>
          <w:tab w:leader="dot" w:pos="16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jc w:val="right"/>
        <w:ind w:right="19"/>
        <w:spacing w:after="0"/>
        <w:tabs>
          <w:tab w:leader="none" w:pos="8420" w:val="left"/>
          <w:tab w:leader="dot" w:pos="16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References</w:t>
      </w:r>
      <w:r>
        <w:rPr>
          <w:sz w:val="20"/>
          <w:szCs w:val="20"/>
          <w:color w:val="auto"/>
        </w:rPr>
        <w:tab/>
      </w: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OF THE PARTIES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1.17</w:t>
      </w:r>
      <w:r>
        <w:rPr>
          <w:sz w:val="20"/>
          <w:szCs w:val="20"/>
          <w:color w:val="auto"/>
        </w:rPr>
        <w:tab/>
      </w:r>
      <w:r>
        <w:rPr>
          <w:rFonts w:ascii="Courier New" w:cs="Courier New" w:eastAsia="Courier New" w:hAnsi="Courier New"/>
          <w:sz w:val="14"/>
          <w:szCs w:val="14"/>
          <w:color w:val="auto"/>
        </w:rPr>
        <w:t>AT&amp;T Labor Agreements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1.29</w:t>
      </w:r>
      <w:r>
        <w:rPr>
          <w:sz w:val="20"/>
          <w:szCs w:val="20"/>
          <w:color w:val="auto"/>
        </w:rPr>
        <w:tab/>
      </w:r>
      <w:r>
        <w:rPr>
          <w:rFonts w:ascii="Courier New" w:cs="Courier New" w:eastAsia="Courier New" w:hAnsi="Courier New"/>
          <w:sz w:val="14"/>
          <w:szCs w:val="14"/>
          <w:color w:val="auto"/>
        </w:rPr>
        <w:t>Broadband Benefit Plans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1.38</w:t>
      </w:r>
      <w:r>
        <w:rPr>
          <w:sz w:val="20"/>
          <w:szCs w:val="20"/>
          <w:color w:val="auto"/>
        </w:rPr>
        <w:tab/>
      </w:r>
      <w:r>
        <w:rPr>
          <w:rFonts w:ascii="Courier New" w:cs="Courier New" w:eastAsia="Courier New" w:hAnsi="Courier New"/>
          <w:sz w:val="14"/>
          <w:szCs w:val="14"/>
          <w:color w:val="auto"/>
        </w:rPr>
        <w:t>List of Broadband Transferees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4.9</w:t>
      </w:r>
      <w:r>
        <w:rPr>
          <w:sz w:val="20"/>
          <w:szCs w:val="20"/>
          <w:color w:val="auto"/>
        </w:rPr>
        <w:tab/>
      </w:r>
      <w:r>
        <w:rPr>
          <w:rFonts w:ascii="Courier New" w:cs="Courier New" w:eastAsia="Courier New" w:hAnsi="Courier New"/>
          <w:sz w:val="14"/>
          <w:szCs w:val="14"/>
          <w:color w:val="auto"/>
        </w:rPr>
        <w:t>Severance Multiples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5.1(b)</w:t>
      </w:r>
      <w:r>
        <w:rPr>
          <w:sz w:val="20"/>
          <w:szCs w:val="20"/>
          <w:color w:val="auto"/>
        </w:rPr>
        <w:tab/>
      </w:r>
      <w:r>
        <w:rPr>
          <w:rFonts w:ascii="Courier New" w:cs="Courier New" w:eastAsia="Courier New" w:hAnsi="Courier New"/>
          <w:sz w:val="14"/>
          <w:szCs w:val="14"/>
          <w:color w:val="auto"/>
        </w:rPr>
        <w:t>Broadband Individual Agreements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SCHEDULE 5.10</w:t>
      </w:r>
      <w:r>
        <w:rPr>
          <w:sz w:val="20"/>
          <w:szCs w:val="20"/>
          <w:color w:val="auto"/>
        </w:rPr>
        <w:tab/>
      </w:r>
      <w:r>
        <w:rPr>
          <w:rFonts w:ascii="Courier New" w:cs="Courier New" w:eastAsia="Courier New" w:hAnsi="Courier New"/>
          <w:sz w:val="14"/>
          <w:szCs w:val="14"/>
          <w:color w:val="auto"/>
        </w:rPr>
        <w:t>Broadband Non-Qualified Pension Arrangements</w:t>
      </w:r>
    </w:p>
    <w:p>
      <w:pPr>
        <w:spacing w:after="0" w:line="1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EXHIBIT 5.7(a)</w:t>
      </w:r>
      <w:r>
        <w:rPr>
          <w:sz w:val="20"/>
          <w:szCs w:val="20"/>
          <w:color w:val="auto"/>
        </w:rPr>
        <w:tab/>
      </w:r>
      <w:r>
        <w:rPr>
          <w:rFonts w:ascii="Courier New" w:cs="Courier New" w:eastAsia="Courier New" w:hAnsi="Courier New"/>
          <w:sz w:val="14"/>
          <w:szCs w:val="14"/>
          <w:color w:val="auto"/>
        </w:rPr>
        <w:t>Broadband People Movement Guidelines</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799" w:right="1440" w:bottom="1440" w:gutter="0" w:footer="0" w:header="0"/>
        </w:sectPr>
      </w:pPr>
    </w:p>
    <w:bookmarkStart w:id="116" w:name="page117"/>
    <w:bookmarkEnd w:id="116"/>
    <w:p>
      <w:pPr>
        <w:ind w:left="1420"/>
        <w:spacing w:after="0"/>
        <w:rPr>
          <w:sz w:val="20"/>
          <w:szCs w:val="20"/>
          <w:color w:val="auto"/>
        </w:rPr>
      </w:pPr>
      <w:r>
        <w:rPr>
          <w:rFonts w:ascii="Courier New" w:cs="Courier New" w:eastAsia="Courier New" w:hAnsi="Courier New"/>
          <w:sz w:val="15"/>
          <w:szCs w:val="15"/>
          <w:color w:val="auto"/>
        </w:rPr>
        <w:t>AMENDED AND RESTATED EMPLOYEE BENEFITS AGREEMENT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EMPLOYEE BENEFITS AGREEMENT, dated as of December 19, 2001, is by and between AT&amp;T Corp., a New York corporation ("AT&amp;T"), and AT&amp;T Broadband Corp., a Delaware corporation ("AT&amp;T Broadband"), as amended and restated, as of November 15, 2002. Capitalized terms used herein (other than the formal names of AT&amp;T Benefit Plans and Broadband Benefit Plans and related trusts of AT&amp;T and AT&amp;T Broadband) and not otherwise defined shall have the respective meanings assigned to them in Article I or assigned to them in the Separation and Distribution Agreement (as defined below), as applicable.</w:t>
      </w:r>
    </w:p>
    <w:p>
      <w:pPr>
        <w:spacing w:after="0" w:line="177" w:lineRule="exact"/>
        <w:rPr>
          <w:sz w:val="20"/>
          <w:szCs w:val="20"/>
          <w:color w:val="auto"/>
        </w:rPr>
      </w:pPr>
    </w:p>
    <w:p>
      <w:pPr>
        <w:ind w:right="3219" w:firstLine="799"/>
        <w:spacing w:after="0" w:line="264" w:lineRule="auto"/>
        <w:rPr>
          <w:sz w:val="20"/>
          <w:szCs w:val="20"/>
          <w:color w:val="auto"/>
        </w:rPr>
      </w:pPr>
      <w:r>
        <w:rPr>
          <w:rFonts w:ascii="Courier New" w:cs="Courier New" w:eastAsia="Courier New" w:hAnsi="Courier New"/>
          <w:sz w:val="14"/>
          <w:szCs w:val="14"/>
          <w:color w:val="auto"/>
        </w:rPr>
        <w:t>WHEREAS, the Board of Directors of AT&amp;T has determined that it is in the best interests of AT&amp;T and its shareholders to separate AT&amp;T Broadband from AT&amp;T's existing businesses and provide for it to be an independent business;</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WHEREAS, in furtherance of the foregoing, AT&amp;T and AT&amp;T Broadband have entered into a Separation and Distribution Agreement, dated as of even date herewith (the "Separation and Distribution Agreement"), and other specific agreements that will govern certain matters relating to the Separation Transactions and the relationship of AT&amp;T, AT&amp;T Broadband and their respective Subsidiaries following the Distribution Date; and</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WHEREAS, pursuant to the Separation and Distribution Agreement, AT&amp;T and AT&amp;T Broadband have agreed to enter into this Agreement allocating assets, Liabilities and responsibilities with respect to certain employee compensation and benefit plans and programs between and among them.</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NOW, THEREFORE, the parties, intending to be legally bound, agree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For purposes of this Agreement, the following terms shall have the following meanings:</w:t>
      </w:r>
    </w:p>
    <w:p>
      <w:pPr>
        <w:spacing w:after="0" w:line="175"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1.1 Affiliate has the meaning given that term in the Separation and Distribution Agreement.</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1.2 Agreement means this Employee Benefits Agreement, including all the Schedules hereto.</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1.3 Ancillary Agreements has the meaning given that term in the Separation and Distribution Agreement.</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1.4 Approved Leave of Absence means an absence from active service (i) due to an individual's inability to perform his or her regular job duties by reason of illness or injury and resulting in eligibility to receive benefits pursuant to the terms of the AT&amp;T Short Term Disability Plan, or (ii) pursuant to an approved leave policy with a guaranteed right of reinstatement.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AT&amp;T is defined in the preamble to this Agreement.</w:t>
      </w:r>
    </w:p>
    <w:p>
      <w:pPr>
        <w:sectPr>
          <w:pgSz w:w="11900" w:h="16838" w:orient="portrait"/>
          <w:cols w:equalWidth="0" w:num="1">
            <w:col w:w="10219"/>
          </w:cols>
          <w:pgMar w:left="240" w:top="1140" w:right="1440" w:bottom="1440" w:gutter="0" w:footer="0" w:header="0"/>
        </w:sectPr>
      </w:pPr>
    </w:p>
    <w:bookmarkStart w:id="117" w:name="page118"/>
    <w:bookmarkEnd w:id="117"/>
    <w:p>
      <w:pPr>
        <w:ind w:right="3399" w:firstLine="444"/>
        <w:spacing w:after="0" w:line="238" w:lineRule="auto"/>
        <w:rPr>
          <w:sz w:val="20"/>
          <w:szCs w:val="20"/>
          <w:color w:val="auto"/>
        </w:rPr>
      </w:pPr>
      <w:r>
        <w:rPr>
          <w:rFonts w:ascii="Courier New" w:cs="Courier New" w:eastAsia="Courier New" w:hAnsi="Courier New"/>
          <w:sz w:val="15"/>
          <w:szCs w:val="15"/>
          <w:color w:val="auto"/>
        </w:rPr>
        <w:t>1.6 AT&amp;T Broadband Common Stock means the AT&amp;T Broadband Common Stock as defined in the Separation and Distribution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1.7 AT&amp;T Closing Stock Value means the closing per-share price of the AT&amp;T Common Stock trading "regular way with due bills" as listed on the NYSE as of 4:00 P.M., Eastern Standard Time or Eastern Daylight Time (whichever shall then be in effect) on the Distribution Date; provided, however, that if the Distribution occurs at a time when the NYSE is open for trading, AT&amp;T Closing Stock Value shall mean the price at which AT&amp;T Common Stock trading "regular way with due bills" last trades immediately before the Distribution; provided further, that if the Distribution occurs prior to the first trade of AT&amp;T Common Stock on the Distribution Date, the AT&amp;T Closing Stock Value shall mean the price at which AT&amp;T Common Stock trading "regular way with due bills" last trades on the trading day immediately preceding the Distribution Date.</w:t>
      </w:r>
    </w:p>
    <w:p>
      <w:pPr>
        <w:spacing w:after="0" w:line="179"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1.8 AT&amp;T Common Stock has the meaning set forth in the Separation and Distribution Agreement.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1.9 AT&amp;T Deferral Plan means the AT&amp;T Senior Management Incentive Award Deferral Plan in effect as of the time relevant to the applicable provision of this Agreement.</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1.10 AT&amp;T Deferral Plan Participant means any individual who has an account balance in the AT&amp;T Deferral Plan as of the Distribution Date.</w:t>
      </w:r>
    </w:p>
    <w:p>
      <w:pPr>
        <w:spacing w:after="0" w:line="17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1.11 AT&amp;T Directors' Deferral Plan means the AT&amp;T Deferred Compensation Plan for Non-Employee Directors, as amended from time to time.</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1.12 AT&amp;T Employee means any (1) individual who, immediately prior to the Close of the Distribution Date, is (a) either actively employed by, or then on Approved Leave of Absence from, any AT&amp;T Entity, other than a Broadband Entity or (b) designated by mutual written agreement of AT&amp;T and AT&amp;T Broadband as an AT&amp;T Employee, and (2) solely for purposes of Section 5.3(a)(i) and Section 5.3(d), any former employee or consultant of an AT&amp;T Entity whose last compensation from an AT&amp;T Entity was paid through a payroll system administered outside of the United States.</w:t>
      </w:r>
    </w:p>
    <w:p>
      <w:pPr>
        <w:spacing w:after="0" w:line="177"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1.13 AT&amp;T Entity means AT&amp;T, a Broadband Entity or a Communications Services Entity.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1.14 AT&amp;T Executive means an AT&amp;T Employee (other than a Broadband Entity), at salary grade level "E" or above (or comparable positions), who immediately before the Close of the Distribution Date is eligible to participate in or receive a benefit under any AT&amp;T Executive Benefit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1.15 AT&amp;T Executive Benefit Plans means the executive benefit and nonqualified plans, programs, and arrangements (exclusive of Individual Agreements) established, sponsored, maintained, or agreed upon, by any AT&amp;T Entity (other than a Broadband Entity) for the benefit of employees and former employees of any AT&amp;T Entity (other than a Broadband Entity) before the Close of the Distribution Date.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18" w:name="page119"/>
    <w:bookmarkEnd w:id="118"/>
    <w:p>
      <w:pPr>
        <w:ind w:right="3119" w:firstLine="444"/>
        <w:spacing w:after="0" w:line="239" w:lineRule="auto"/>
        <w:rPr>
          <w:sz w:val="20"/>
          <w:szCs w:val="20"/>
          <w:color w:val="auto"/>
        </w:rPr>
      </w:pPr>
      <w:r>
        <w:rPr>
          <w:rFonts w:ascii="Courier New" w:cs="Courier New" w:eastAsia="Courier New" w:hAnsi="Courier New"/>
          <w:sz w:val="15"/>
          <w:szCs w:val="15"/>
          <w:color w:val="auto"/>
        </w:rPr>
        <w:t>1.16 AT&amp;T Force Management Program means the AT&amp;T Separation Plan, the AT&amp;T Senior Management Separation Plan, the AT&amp;T Special Executive Separation Plan and the AT&amp;T Senior Officer Separation Plan in effect as of the time relevant to the applicable provision of this Agreement.</w:t>
      </w:r>
    </w:p>
    <w:p>
      <w:pPr>
        <w:spacing w:after="0" w:line="176"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1.17 AT&amp;T Labor Agreement shall mean each labor agreement and collective bargaining agreement, other than any such agreement to which any Broadband Entity is a party. The AT&amp;T Labor Agreements are listed on Schedule 1.17.</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1.18 AT&amp;T Long Term Incentive Plan means any of the AT&amp;T 1987 Long Term Incentive Program, the AT&amp;T 1997 Long Term Incentive Program and such other stock-based incentive plans assumed by AT&amp;T by reason of merger, acquisition or otherwise, including incentive plans of Lin Broadcasting Corporation, McCaw Cellular Communications, Inc., Teleport Communications Group, Inc., ACC Corp., U S WEST, Inc., U S WEST Media Group, Inc., MediaOne Group Inc. and Tele-Communications Inc. and any other incentive plan identified in writing by AT&amp;T before the Close of the Distribution Date, all as in effect as of the time relevant to the applicable provisions of this Agreement.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1.19 AT&amp;T Opening Stock Value means (a) the opening per-share price of AT&amp;T Common Stock as listed on the NYSE as of the opening of trading on the first trading day following the Distribution Date; provided, however, that if the Distribution occurs at a time when the NYSE is open for trading, AT&amp;T Opening Stock Value shall mean the price at which AT&amp;T Common Stock trades as of the moment immediately after the Distribution; and provided further, that if the Distribution occurs prior to opening of trading on the NYSE on the Distribution Date, the AT&amp;T Opening Stock Value shall mean the price at which AT&amp;T Common Stock first trades on the Distribution Date; or (b) if there occurs any stock split, reverse stock split or similar change in capital affecting the AT&amp;T Common Stock between the time as of which the AT&amp;T Closing Stock Value is determined and the time as of which the AT&amp;T Opening Stock Value would be determined under clause (a), the amount determined pursuant to clause (a) shall be appropriately adjusted to reflect such change in capital. As an example of the operation of clause (b) of the preceding sentence, if there is a one-for-five reverse stock split of the AT&amp;T Common Stock Value between the time as of which the AT&amp;T Closing Stock Value is determined and the time as of which the AT&amp;T Opening Stock Value would be determined under clause (a) of the preceding sentence, the AT&amp;T Opening Stock Value will mean one-fifth of the amount determined under clause (a) of the preceding sentence.</w:t>
      </w:r>
    </w:p>
    <w:p>
      <w:pPr>
        <w:spacing w:after="0" w:line="186"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1.20 AT&amp;T Participant means any individual other than a Broadband Participant who holds an award under any AT&amp;T Long Term Incentive Plan.</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1.21 AT&amp;T Pension Plans means the AT&amp;TMPP, the AT&amp;TPP, the AT&amp;T Excess Benefit and Compensation Plan, and the AT&amp;T Non-Qualified Pension Plan in effect as of the time relevant to the applicable provision of this Agreement.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1.22 AT&amp;T Post-Retirement Welfare Benefits Plan means the Health and Welfare Plan of AT&amp;T providing medical expense benefits for retirees, dental expense benefits for retirees, life insurance benefits for retirees (provided, that in the case of the life insurance plans, the applicable AT&amp;T Employee, Broadband Employee or Broadband Transferee was enrolled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19" w:name="page120"/>
    <w:bookmarkEnd w:id="119"/>
    <w:p>
      <w:pPr>
        <w:ind w:right="3219"/>
        <w:spacing w:after="0"/>
        <w:rPr>
          <w:sz w:val="20"/>
          <w:szCs w:val="20"/>
          <w:color w:val="auto"/>
        </w:rPr>
      </w:pPr>
      <w:r>
        <w:rPr>
          <w:rFonts w:ascii="Courier New" w:cs="Courier New" w:eastAsia="Courier New" w:hAnsi="Courier New"/>
          <w:sz w:val="15"/>
          <w:szCs w:val="15"/>
          <w:color w:val="auto"/>
        </w:rPr>
        <w:t>for coverage as an active employee under the corresponding active-employee life insurance plans at the time of his or her termination of employment) and the AT&amp;T Toll Discount Program. For purposes of this Agreement, the EBLIP, the SMULIP, the SVULIP, the AT&amp;T Corp. Estate Enhancement Program (including the AT&amp;T Corp. Alternative Death Benefit Program and the AT&amp;T Corp. Special Death Benefit Program) and any other plans, programs or arrangements not expressly identified in this Section 1.23 shall not be considered part of the AT&amp;T Post-Retirement Welfare Benefits Plan.</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1.23 AT&amp;T Savings Plans means the AT&amp;T defined contribution plans, in effect as of the time relevant to the applicable provision of this Agreement, sponsored by AT&amp;T or by any AT&amp;T Entity, other than the Broadband Long Term Savings Plan.</w:t>
      </w:r>
    </w:p>
    <w:p>
      <w:pPr>
        <w:spacing w:after="0" w:line="176"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1.24 AT&amp;T Toll Discount Program means the AT&amp;T Senior Manager Telephone Discount Program and the AT&amp;T Toll Discount Program in effect as of the time relevant to the applicable provisions of this Agreement.</w:t>
      </w:r>
    </w:p>
    <w:p>
      <w:pPr>
        <w:spacing w:after="0" w:line="175" w:lineRule="exact"/>
        <w:rPr>
          <w:sz w:val="20"/>
          <w:szCs w:val="20"/>
          <w:color w:val="auto"/>
        </w:rPr>
      </w:pPr>
    </w:p>
    <w:p>
      <w:pPr>
        <w:jc w:val="both"/>
        <w:ind w:right="3479" w:firstLine="444"/>
        <w:spacing w:after="0" w:line="238" w:lineRule="auto"/>
        <w:rPr>
          <w:sz w:val="20"/>
          <w:szCs w:val="20"/>
          <w:color w:val="auto"/>
        </w:rPr>
      </w:pPr>
      <w:r>
        <w:rPr>
          <w:rFonts w:ascii="Courier New" w:cs="Courier New" w:eastAsia="Courier New" w:hAnsi="Courier New"/>
          <w:sz w:val="15"/>
          <w:szCs w:val="15"/>
          <w:color w:val="auto"/>
        </w:rPr>
        <w:t>1.25 AT&amp;TMPP means the AT&amp;T Management Pension Plan in effect as of the time relevant to the applicable provision of this Agreement.</w:t>
      </w:r>
    </w:p>
    <w:p>
      <w:pPr>
        <w:spacing w:after="0" w:line="175" w:lineRule="exact"/>
        <w:rPr>
          <w:sz w:val="20"/>
          <w:szCs w:val="20"/>
          <w:color w:val="auto"/>
        </w:rPr>
      </w:pPr>
    </w:p>
    <w:p>
      <w:pPr>
        <w:jc w:val="both"/>
        <w:ind w:right="3299" w:firstLine="444"/>
        <w:spacing w:after="0" w:line="238" w:lineRule="auto"/>
        <w:rPr>
          <w:sz w:val="20"/>
          <w:szCs w:val="20"/>
          <w:color w:val="auto"/>
        </w:rPr>
      </w:pPr>
      <w:r>
        <w:rPr>
          <w:rFonts w:ascii="Courier New" w:cs="Courier New" w:eastAsia="Courier New" w:hAnsi="Courier New"/>
          <w:sz w:val="15"/>
          <w:szCs w:val="15"/>
          <w:color w:val="auto"/>
        </w:rPr>
        <w:t>1.26 AT&amp;TPP means the AT&amp;T Pension Plan in effect as of the time relevant to the applicable provision of this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1.27 Auditing Party is defined in Section 6.4(a).</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1.28 Award, when immediately preceded by "AT&amp;T," means an award under the AT&amp;T Long Term Incentive Plan. When immediately preceded by "Broadband," Award means an award under the Broadband Adjustment Plan.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1.29 Benefit Plan shall mean, with respect to an entity or any of its Subsidiaries, (a) each "employee welfare benefit plan" (as defined in Section 3(1) of ERISA) and all other employee benefits arrangements, policies or payroll practices (including, without limitation, severance pay, sick leave, vacation pay, salary continuation, disability, retirement, deferred compensation, bonus, stock purchase, stock option or other equity-based compensation, hospitalization, medical insurance or life insurance) sponsored or maintained by such entity or by any of its Subsidiaries (or to which such entity or any of its Subsidiaries contributes or is required to contribute) and (b) all "employee pension benefit plans" (as defined in Section 3(2) of ERISA), occupational pension plan or arrangement or other pension arrangements sponsored, maintained or contributed to by such entity or any of its Subsidiaries (or to which such entity or any of its Subsidiaries contributes or is required to contribute). When immediately preceded by "AT&amp;T," Benefit Plan means any Benefit Plan sponsored, maintained or contributed to by AT&amp;T or a Communications Services Entity. When immediately preceded by "Broadband," Benefit Plan means any Benefit Plan sponsored, maintained or contributed to by Broadband or any Broadband Entity. The Broadband Benefit Plans are listed in Schedule 1.29 hereto.</w:t>
      </w:r>
    </w:p>
    <w:p>
      <w:pPr>
        <w:spacing w:after="0" w:line="33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1.30 Broadband Adjustment Plan means the long term incentive plan or program to be established by AT&amp;T Broadband, effective immediately prior to the Distribution Date, in connection with the treatment of Awards as described in Article V.</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20" w:name="page121"/>
    <w:bookmarkEnd w:id="120"/>
    <w:p>
      <w:pPr>
        <w:ind w:right="3119" w:firstLine="444"/>
        <w:spacing w:after="0" w:line="258" w:lineRule="auto"/>
        <w:rPr>
          <w:sz w:val="20"/>
          <w:szCs w:val="20"/>
          <w:color w:val="auto"/>
        </w:rPr>
      </w:pPr>
      <w:r>
        <w:rPr>
          <w:rFonts w:ascii="Courier New" w:cs="Courier New" w:eastAsia="Courier New" w:hAnsi="Courier New"/>
          <w:sz w:val="14"/>
          <w:szCs w:val="14"/>
          <w:color w:val="auto"/>
        </w:rPr>
        <w:t>1.31 Broadband Common Stock Value means (a) if the AT&amp;T Common Stock trades "ex-distribution" or "when issued (to give effect to the Distribution)" on the NYSE on or immediately prior to the Distribution Date, the excess of the AT&amp;T Closing Stock Value over the AT&amp;T Ex-Distribution Closing Stock Value, and (b) if the AT&amp;T Common Stock does not trade "ex-distribution" or "when issued (to give effect to the Distribution)" on the NYSE on or immediately prior to the Distribution Date, the opening per-share price of Parent Class A Special Common Stock (as defined in the Merger Agreement) as listed on Nasdaq as of the opening of trading on the first trading day following the Distribution Date, divided by the Exchange Ratio (as defined in the Merger Agreement); provided, however, that if, for purposes of clause (b), the Distribution occurs at a time when Nasdaq is open for trading, Broadband Common Stock Value shall be determined using the price at which Parent Class A Special Common Stock trades as of the moment immediately after the Distribution; and provided further, that if, for purposes of clause (b), the Distribution occurs prior to opening of trading on Nasdaq on the Distribution Date, the Broadband Common Stock Value shall be determined using the price at which Parent Class A Special Common Stock first trades on the Distribution Date. For purposes of this Section 1.31, the "AT&amp;T Ex-Distribution Closing Stock Value" means the closing per-share price of the AT&amp;T Common Stock trading "ex-distribution" or "when issued (to give effect to the Distribution)" as listed on the NYSE as of 4:00 P.M., Eastern Standard Time or Eastern Daylight Time (whichever shall then be in effect) on the Distribution Date; provided, however, that if the Distribution occurs at a time when the NYSE is open for trading, AT&amp;T Ex-Distribution Closing Stock Value shall mean the price at which AT&amp;T Common Stock trading "ex-distribution" or "when issued (to give effect to the Distribution)" last trades immediately before the Distribution; provided further, that if the Distribution occurs prior to the first trade on the Distribution Date, the AT&amp;T Ex-Distribution Closing Stock Value shall mean the price at which AT&amp;T Common Stock trading "ex-distribution" or "when issued (to give effect to the Distribution)" last trades on the trading day immediately preceding the Distribution Date.</w:t>
      </w:r>
    </w:p>
    <w:p>
      <w:pPr>
        <w:spacing w:after="0" w:line="34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1.32 Broadband Employee means any individual who, immediately prior to the Distribution, is either actively employed by or then on Approved Leave of Absence from a Broadband Entity, other than a Broadband Transferee.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1.33 Broadband Entities means the members of the AT&amp;T Broadband Group, as defined in the Separation and Distribution Agreement, including without limitation AT&amp;T Broadband; AT&amp;T Broadband, L.L.C., a Delaware limited liability company; MediaOne Group Inc., a Delaware corporation; and each of their respective Subsidiaries and Affiliates.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1.34 Broadband Long Term Savings Plans means the AT&amp;T Broadband Long Term Savings Plan, the United Artists Cablesystems Corporation Savings and Investment Plan and the TKR Cable Company Defined Contribution Plan, each as in effect as of the time relevant to the applicable provision of this agreement.</w:t>
      </w:r>
    </w:p>
    <w:p>
      <w:pPr>
        <w:spacing w:after="0" w:line="16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1.35 . Broadband Participant means any Broadband Employee, Broadband Transferee and any former employee, director or consultant of an AT&amp;T Entity whose services immediately before such employment or service ended were being primarily performed for a Broadband Entity, in each case, who holds an award under any AT&amp;T Long Term Incentive Plan.</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21" w:name="page122"/>
    <w:bookmarkEnd w:id="121"/>
    <w:p>
      <w:pPr>
        <w:ind w:right="3119" w:firstLine="444"/>
        <w:spacing w:after="0" w:line="239" w:lineRule="auto"/>
        <w:rPr>
          <w:sz w:val="20"/>
          <w:szCs w:val="20"/>
          <w:color w:val="auto"/>
        </w:rPr>
      </w:pPr>
      <w:r>
        <w:rPr>
          <w:rFonts w:ascii="Courier New" w:cs="Courier New" w:eastAsia="Courier New" w:hAnsi="Courier New"/>
          <w:sz w:val="15"/>
          <w:szCs w:val="15"/>
          <w:color w:val="auto"/>
        </w:rPr>
        <w:t>1.36 Broadband Pension Plans means the AT&amp;T Broadband Pension Plan, the AT&amp;T Broadband Non-Qualified Pension Plan, the Kearns-Tribune Corporation Pension Plan and the MediaOne Group Mid Career Plan, each as in effect as of the time relevant to the applicable provision of this Agreement.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1.37 Broadband Severance Plan means the AT&amp;T Broadband Severance Plan.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1.38 Broadband Transferees means those AT&amp;T Employees who are listed on Schedule 1.38 hereto, as such Schedule may be amended from time to time by the mutual written consent of AT&amp;T and AT&amp;T Broadband.</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1.39 Close of the Distribution Date means 11:59:59 P.M., Eastern Standard Time or Eastern Daylight Time (whichever shall then be in effect), on the Distribution Date.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1.40 COBRA means the continuation coverage requirements for "group health plans" under Title X of the Consolidated Omnibus Budget Reconciliation Act of 1985, as amended, and as codified in Code ss. 4980B and ERISA ss.ss. 601 through 608.</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1.41 Code means the Internal Revenue Code of 1986, as amended, or any successor federal income tax law. Reference to a specific Code provision also includes any proposed, temporary or final regulation in force under that provision.</w:t>
      </w:r>
    </w:p>
    <w:p>
      <w:pPr>
        <w:spacing w:after="0" w:line="176"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1.42 Communications Services Entities means the members of the AT&amp;T Communications Group, as defined in the Separation and Distribution Agreement, and their respective Subsidiaries and Affiliates after the Distribution Date.</w:t>
      </w:r>
    </w:p>
    <w:p>
      <w:pPr>
        <w:spacing w:after="0" w:line="159"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1.43 Distribution has the meaning given that term in the Separation and Distribution Agreement.</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1.44 Distribution Date has the meaning given that term in the Separation and Distribution Agreement.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1.45 Distribution Ratio means a fraction, the numerator of which shall be the number of shares of AT&amp;T Broadband Common Stock distributed to the shareholders of AT&amp;T Common Stock in the Distribution, and the denominator of which is the number of shares of AT&amp;T Common Stock outstanding at the close of business on the Record Date. [Assumed to be one].</w:t>
      </w:r>
    </w:p>
    <w:p>
      <w:pPr>
        <w:spacing w:after="0" w:line="174" w:lineRule="exact"/>
        <w:rPr>
          <w:sz w:val="20"/>
          <w:szCs w:val="20"/>
          <w:color w:val="auto"/>
        </w:rPr>
      </w:pPr>
    </w:p>
    <w:p>
      <w:pPr>
        <w:ind w:right="4199" w:firstLine="444"/>
        <w:spacing w:after="0" w:line="238" w:lineRule="auto"/>
        <w:rPr>
          <w:sz w:val="20"/>
          <w:szCs w:val="20"/>
          <w:color w:val="auto"/>
        </w:rPr>
      </w:pPr>
      <w:r>
        <w:rPr>
          <w:rFonts w:ascii="Courier New" w:cs="Courier New" w:eastAsia="Courier New" w:hAnsi="Courier New"/>
          <w:sz w:val="15"/>
          <w:szCs w:val="15"/>
          <w:color w:val="auto"/>
        </w:rPr>
        <w:t>1.46 Distribution Year means the calendar year during which the Distribution Date occurs.</w:t>
      </w:r>
    </w:p>
    <w:p>
      <w:pPr>
        <w:spacing w:after="0" w:line="175"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1.47 EBLIP means the AT&amp;T Executive Basic Life Insurance Program in effect as of the time relevant to the applicable provisions of this Agreement.</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1.48 ERISA means the Employee Retirement Income Security Act of 1974, as amended. Reference to a specific provision of ERISA also includes any proposed, temporary or final regulation in force under that provision.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22" w:name="page123"/>
    <w:bookmarkEnd w:id="122"/>
    <w:p>
      <w:pPr>
        <w:ind w:right="3219" w:firstLine="444"/>
        <w:spacing w:after="0"/>
        <w:rPr>
          <w:sz w:val="20"/>
          <w:szCs w:val="20"/>
          <w:color w:val="auto"/>
        </w:rPr>
      </w:pPr>
      <w:r>
        <w:rPr>
          <w:rFonts w:ascii="Courier New" w:cs="Courier New" w:eastAsia="Courier New" w:hAnsi="Courier New"/>
          <w:sz w:val="15"/>
          <w:szCs w:val="15"/>
          <w:color w:val="auto"/>
        </w:rPr>
        <w:t>1.49 Former Employee means (a) any Former Employee as defined in Section 5.3(b)(i); provided, however, that solely for purposes of Section 5.3(b)(i) and Section 5.3(d), Former Employee shall not include any former employee or consultant of an AT&amp;T Entity whose last compensation from an AT&amp;T Entity was paid through a payroll system administered outside of the United States.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1.50 Health and Welfare Plans shall mean any plan, fund or program which was established or is maintained for the purpose of providing for its participants or their beneficiaries, through the purchase of insurance or otherwise, medical, surgical or hospital care or benefits, or benefits in the event of sickness, accident, disability, death or unemployment, or vacation benefits, apprenticeship or other training programs or day care centers, scholarship funds, or prepaid legal services, including any such plan, fund or program as defined in Section 3(1) of ERISA. When immediately preceded by "AT&amp;T," Health and Welfare Plans means each Health and Welfare Plan that is an AT&amp;T Benefit Plan. When immediately preceded by "Broadband," Health and Welfare Plans means the AT&amp;T Broadband Health and FSA Plan, the AT&amp;T Broadband Life Insurance Plan, the AT&amp;T Broadband Long-Term Care Insurance Plan, the AT&amp;T Broadband Pre-Paid Legal Expense Plan, the AT&amp;T Broadband Severance Plan, the AT&amp;T Broadband Disability Plan, the MediaOne Group VEBA Trust and the AT&amp;T Broadband VEBA Trust and each other Health and Welfare Plan that is a Broadband Benefit Plan.</w:t>
      </w:r>
    </w:p>
    <w:p>
      <w:pPr>
        <w:spacing w:after="0" w:line="18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1.51 HIPAA means the health insurance portability and accountability requirements for "group health plans" under the Health Insurance Portability and Accountability Act of 1996, as amended.</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1.52 Immediately after the Distribution Date means on the first moment of the day after the Distribution Date.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1.53 Individual Agreement means an individual contract or agreement (whether written or unwritten) entered into prior to the Close of the Distribution Date (other than an Individual Deferral Agreement as defined below) between any AT&amp;T Entity and an AT&amp;T Executive that establishes the right of such individual to special executive compensation or benefits, including a supplemental pension benefit, deferred compensation, severance, hiring bonus, loan, guaranteed payment, special allowance, tax equalization or disability benefit, or a share units grant (payable in the form of cash or otherwise) under individual phantom share agreements. An Individual Agreement does not include any individual contract, application or agreement entered into or by any AT&amp;T Entity and an AT&amp;T Executive (or his or her assignee) that relates to eligibility for coverage under the AT&amp;T Post-Retirement Welfare Benefits Plan, or life insurance coverage for the AT&amp;T Executive under the EBLIP, the SMULIP, the SVULIP, or the AT&amp;T Estate Enhancement Program (including the AT&amp;T Alternative Death Benefit Program and the AT&amp;T Special Death Benefit Program).</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1.54 Individual Deferral Agreement means an agreement entered into prior to the Close of the Distribution Date by any AT&amp;T Entity and any AT&amp;T Executive for the deferral of compensation (other than a deferral election made by an AT&amp;T Executive or a Broadband Transferee under the AT&amp;T Deferral Plan or the AT&amp;T Broadband Deferred Compensation Plan) and with respect to which all events have occurred and all conditions have been satisfied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23" w:name="page124"/>
    <w:bookmarkEnd w:id="123"/>
    <w:p>
      <w:pPr>
        <w:ind w:right="3399"/>
        <w:spacing w:after="0" w:line="238" w:lineRule="auto"/>
        <w:rPr>
          <w:sz w:val="20"/>
          <w:szCs w:val="20"/>
          <w:color w:val="auto"/>
        </w:rPr>
      </w:pPr>
      <w:r>
        <w:rPr>
          <w:rFonts w:ascii="Courier New" w:cs="Courier New" w:eastAsia="Courier New" w:hAnsi="Courier New"/>
          <w:sz w:val="15"/>
          <w:szCs w:val="15"/>
          <w:color w:val="auto"/>
        </w:rPr>
        <w:t>entitling such individual to payment of such deferred compensation other than termination of employment or the mere passage of time.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1.55 Intrinsic Value means, with respect to an Option, as defined below, the result obtained by multiplying (a) times (b) where "(a)" equals the result obtained by subtracting the exercise price per share of the Option from (i) the AT&amp;T Closing Stock Value or (ii) the AT&amp;T Opening Stock Value or (iii) the AT&amp;T Broadband Common Stock Value, whichever is applicable, as specified in Section 5.3, and "(b)" equals the number of shares of stock subject to such Option, as specified in Section 5.3. In cases where the exercise price per share of an Option exceeds (i) the AT&amp;T Closing Stock Value or (ii) the AT&amp;T Opening Stock Value or (iii) the AT&amp;T Broadband Common Stock Value, whichever is applicable, Intrinsic Value shall be a negative number.</w:t>
      </w:r>
    </w:p>
    <w:p>
      <w:pPr>
        <w:spacing w:after="0" w:line="16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1.56 Merger Agreement means the Agreement and Plan of Merger dated as of December 19, 2001 by and among AT&amp;T Corp., AT&amp;T Broadband Corp., Comcast Corporation, AT&amp;T Broadband Acquisition Corp., Comcast Acquisition Corp. and AT&amp;T Comcast Corporation.</w:t>
      </w:r>
    </w:p>
    <w:p>
      <w:pPr>
        <w:spacing w:after="0" w:line="176"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1.57 Liabilities has the meaning given that term in the Separation and Distribution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1.58 Nasdaq means The Nasdaq Stock Market.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1.59 Non-parties is defined in Section 6.4.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1.60 NYSE means the New York Stock Exchange.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1.61 Option, when immediately preceded by "AT&amp;T," means an option (either nonqualified or incentive) to purchase, or a stock appreciation right with respect to, shares of AT&amp;T Common Stock pursuant to an AT&amp;T Long Term Incentive Plan. When immediately preceded by "Broadband," Option means an option (either nonqualified or incentive) to purchase, or a stock appreciation right with respect to, shares of AT&amp;T Broadband Common Stock pursuant to the Broadband Adjustment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1.62 Participating Company means (a) AT&amp;T, (b) any Person (other than an individual) that AT&amp;T has approved for participation in, and which is participating in, a plan sponsored by any AT&amp;T Entity, and (c) any Person (other than an individual) which, by the terms of such a plan, participates in such plan or any employees of which, by the terms of such plan, participate in or are covered by such plan.</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1.63 Person has the meaning given that term in the Separation and Distribution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1.64 Senior Manager means an employee or former employee, at salary grade level above "E" or (or comparable positions) of an AT&amp;T Entity (other than a Broadband Entity), who immediately before the Close of the Distribution Date is eligible to participate in or receive a benefit under any AT&amp;T Executive Benefit Plan.</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24" w:name="page125"/>
    <w:bookmarkEnd w:id="124"/>
    <w:p>
      <w:pPr>
        <w:ind w:right="3399" w:firstLine="444"/>
        <w:spacing w:after="0" w:line="238" w:lineRule="auto"/>
        <w:rPr>
          <w:sz w:val="20"/>
          <w:szCs w:val="20"/>
          <w:color w:val="auto"/>
        </w:rPr>
      </w:pPr>
      <w:r>
        <w:rPr>
          <w:rFonts w:ascii="Courier New" w:cs="Courier New" w:eastAsia="Courier New" w:hAnsi="Courier New"/>
          <w:sz w:val="15"/>
          <w:szCs w:val="15"/>
          <w:color w:val="auto"/>
        </w:rPr>
        <w:t>1.65 Separation and Distribution Agreement is defined in the recitals to this Agreement.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1.66 Separation Transactions is defined in the recitals to this Agreement.</w:t>
      </w:r>
    </w:p>
    <w:p>
      <w:pPr>
        <w:spacing w:after="0" w:line="18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1.67 SMULIP means the AT&amp;T Senior Management Universal Life Insurance Program in effect as of the time relevant to the applicable provisions of this Agreement.</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1.68 Subsidiaries has the meaning given that term in the Separation and Distribution Agreement.</w:t>
      </w:r>
    </w:p>
    <w:p>
      <w:pPr>
        <w:spacing w:after="0" w:line="17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1.69 SVULIP means the AT&amp;T Supplemental Variable Universal Life Insurance Program in effect as of the time relevant to the applicable provisions of this Agreement.</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1.70 Tax Sharing Agreement means the Tax Sharing Agreement entered into as of the date hereof between AT&amp;T and AT&amp;T Broadband.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1.71 Transition Period has the meaning set forth in Section 2.8.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1.72 U.S. means the 50 United States and the District of Columbia.</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GENERAL PRINCIPLES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2.1 Employment of Broadband Transferees. Effective not later than immediately before the Distribution, all Broadband Transferees, other than Broadband Transferees on Approved Leave of Absence, shall become employees of AT&amp;T Broadband or another Broadband Entity.</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2.2 Employment of Broadband Employees. All Broadband Employees and Broadband Transferees, other than Broadband Transferees on Approved Leave of Absence, shall continue to be employees of AT&amp;T Broadband or another Broadband Entity, as the case may be, immediately after the Distribution.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2.3 Employment of Broadband Transferees on Leave Status. In the case of any Broadband Transferee who is on Approved Leave of Absence as of the Distribution Date, AT&amp;T or a Communication Services Entity after the Distribution Date shall continue to employ such Broadband Transferee on Leave Status until the first business day following expiration of the Broadband Transferee's Approved Leave of Absence. A Broadband Transferee on Approved Leave of Absence shall be transferred to the employ of AT&amp;T Broadband or another Broadband Entity upon his or her return to active service immediately following the conclusion of such Approved Leave of Absence (provided such return occurs no later than the first anniversary of the Distribution Date, or such a later date if such Approved Leave of Absence is preceded by a short-term disability, e.g., related to childbirth).</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25" w:name="page126"/>
    <w:bookmarkEnd w:id="125"/>
    <w:p>
      <w:pPr>
        <w:ind w:left="449"/>
        <w:spacing w:after="0"/>
        <w:rPr>
          <w:sz w:val="20"/>
          <w:szCs w:val="20"/>
          <w:color w:val="auto"/>
        </w:rPr>
      </w:pPr>
      <w:r>
        <w:rPr>
          <w:rFonts w:ascii="Courier New" w:cs="Courier New" w:eastAsia="Courier New" w:hAnsi="Courier New"/>
          <w:sz w:val="15"/>
          <w:szCs w:val="15"/>
          <w:color w:val="auto"/>
        </w:rPr>
        <w:t>2.4 Assumption and Retention of Liabilities; Related Assets.</w:t>
      </w:r>
    </w:p>
    <w:p>
      <w:pPr>
        <w:spacing w:after="0" w:line="174" w:lineRule="exact"/>
        <w:rPr>
          <w:sz w:val="20"/>
          <w:szCs w:val="20"/>
          <w:color w:val="auto"/>
        </w:rPr>
      </w:pPr>
    </w:p>
    <w:p>
      <w:pPr>
        <w:jc w:val="both"/>
        <w:ind w:left="9" w:right="3219" w:firstLine="878"/>
        <w:spacing w:after="0" w:line="258" w:lineRule="auto"/>
        <w:tabs>
          <w:tab w:leader="none" w:pos="125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Distribution Date, except as expressly provided in this Agreement, AT&amp;T and the Communication Services Entities shall assume or retain, as applicable, and AT&amp;T hereby agrees to pay, perform, fulfill and discharge,</w:t>
      </w:r>
    </w:p>
    <w:p>
      <w:pPr>
        <w:ind w:left="9" w:right="3119" w:hanging="9"/>
        <w:spacing w:after="0" w:line="258" w:lineRule="auto"/>
        <w:tabs>
          <w:tab w:leader="none" w:pos="3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under all AT&amp;T Benefit Plans, (ii) all Liabilities with respect to the employment or termination of employment of all AT&amp;T Employees and their dependents and beneficiaries (other than the Broadband Transferees), former employees of any AT&amp;T Entity (other than a Broadband Entity), including, without limitation those Liabilities arising out of or resulting from employment of any Broadband Transferee by any AT&amp;T Entity for periods prior to which they began performing services for any Broadband Entity on or before the Distribution Date, and their dependents and beneficiaries, and other service providers (including any individual who is, or was, an independent contractor, temporary employee, temporary service worker, consultant, freelancer, agency employee, leased employee, on-call worker, incidental worker, or nonpayroll worker of any AT&amp;T Entity (other than a Broadband Entity) or in any other employment, non-employment, or retainer arrangement, or relationship with any AT&amp;T Entity (other than a Broadband Entity)), in each case that arose in connection with or as a result of employment with or the performance of services to any AT&amp;T Entity (other than a Broadband Entity), (iii) any other Liabilities expressly assigned to AT&amp;T or a Communications Services Entity under this Agreement and (iv) all Liabilities with respect to Broadband Transferees on Approved Leave of Absence Status until their employment by AT&amp;T Broadband or a Broadband Entity begins, as set forth in Section 2.3 (excluding Liabilities arising in connection with or as a result of the employment of Broadband Transferees while rendering services to any Broadband Entity or under any Broadband Benefit Plan). All assets held in trust to fund the AT&amp;T Benefit Plans and all insurance policies funding the AT&amp;T Benefit Plans shall be AT&amp;T Communications Assets (as defined in the Separation and Distribution Agreement), except to the extent specifically provided otherwise in this Agreement.</w:t>
      </w:r>
    </w:p>
    <w:p>
      <w:pPr>
        <w:spacing w:after="0" w:line="345" w:lineRule="exact"/>
        <w:rPr>
          <w:rFonts w:ascii="Courier New" w:cs="Courier New" w:eastAsia="Courier New" w:hAnsi="Courier New"/>
          <w:sz w:val="14"/>
          <w:szCs w:val="14"/>
          <w:color w:val="auto"/>
        </w:rPr>
      </w:pPr>
    </w:p>
    <w:p>
      <w:pPr>
        <w:ind w:left="9" w:right="3119" w:firstLine="878"/>
        <w:spacing w:after="0" w:line="258" w:lineRule="auto"/>
        <w:tabs>
          <w:tab w:leader="none" w:pos="1251"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Distribution Date, except as expressly provided in this Agreement, AT&amp;T Broadband and the Broadband Entities shall assume or retain, as applicable, and AT&amp;T Broadband hereby agrees to pay, perform, fulfill and discharge, (i) all Liabilities under all Broadband Benefit Plans, (ii) all Liabilities with respect to the employment or termination of employment of Broadband Transferees (and for Broadband Transferees on Approved Leave of Absence, upon their transfer to employment by AT&amp;T Broadband or a Broadband Entity as set forth in Section 2.3) and their dependents and beneficiaries, including without limitation those Liabilities arising out of or resulting from employment by any AT&amp;T Entity for periods after they began performing services for any Broadband Entity and on or before the Distribution Date (excluding such Liabilities with respect to benefits accrued or claims incurred prior to the Distribution Date under the AT&amp;T Benefit Plans), (iii) all Liabilities with respect to the employment or termination of employment of all Broadband Employees, former employees of a Broadband Entity and other service providers (including any individual who is, or was, an independent contractor, temporary employee, temporary service worker, consultant, freelancer, agency employee, leased employee, on-call worker, incidental worker, or nonpayroll worker of AT&amp;T Broadband or a Broadband Entity or in any other employment, non-employment, or retainer arrangement, or relationship with AT&amp;T Broadband or a Broadband Entity), and their dependents and beneficiaries, and (iv) all Liabilities that are expressly assigned to AT&amp;T Broadband or any Broadband Entity under this Agreement. Notwithstanding any other</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26" w:name="page127"/>
    <w:bookmarkEnd w:id="126"/>
    <w:p>
      <w:pPr>
        <w:ind w:right="3119"/>
        <w:spacing w:after="0"/>
        <w:rPr>
          <w:sz w:val="20"/>
          <w:szCs w:val="20"/>
          <w:color w:val="auto"/>
        </w:rPr>
      </w:pPr>
      <w:r>
        <w:rPr>
          <w:rFonts w:ascii="Courier New" w:cs="Courier New" w:eastAsia="Courier New" w:hAnsi="Courier New"/>
          <w:sz w:val="15"/>
          <w:szCs w:val="15"/>
          <w:color w:val="auto"/>
        </w:rPr>
        <w:t>provision of this Agreement except Sections 5.1 and 6.1, neither AT&amp;T Broadband nor any Broadband Entity shall have any obligation to or Liabilities with respect to any Broadband Transferee on Approved Leave of Absence until he or she becomes an employee of AT&amp;T Broadband or a Broadband Entity as provided in Section 2.3. All assets held in trust to fund the Broadband Benefit Plans and all insurance policies funding the Broadband Benefit Plans shall be AT&amp;T Broadband Assets (as defined in the Separation and Distribution Agreement), except to the extent specifically provided otherwise in this Agreement.</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2.5 Broadband Participation in AT&amp;T Benefit Plans. Effective as of the Close of the Distribution Date, AT&amp;T Broadband and each other Broadband Entity shall cease to be a Participating Company in any AT&amp;T Benefit Plan, as well as the AT&amp;T Work and Family Program, the AT&amp;T Relocation Program and the Theodore N. Vail Award Program and Trust, and AT&amp;T and AT&amp;T Broadband shall take all necessary action before the Distribution Date to effectuate such cessation as a Participating Company.</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2.6 AT&amp;T Participation in Broadband Benefit Plans. Effective as of the Close of the Distribution Date, AT&amp;T and each Communications Services Entity shall cease to be a Participating Company in any Broadband Benefit Plan, and AT&amp;T and AT&amp;T Broadband shall take all necessary action before the Distribution Date to effectuate such cessation as a Participating Company.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2.7 Terms of Participation by Broadband Transferees in Broadband Benefit Plans. Each Broadband Benefit Plan shall provide that all service, all eligible compensation as recognized under the Broadband Benefit Plan and all other benefit-affecting determinations with respect to all Broadband Transferees that, as of the Close of the Distribution Date, were recognized under any corresponding AT&amp;T Benefit Plan shall, as of Immediately after the Distribution Date, receive full recognition, credit and validity and be taken into account under such Broadband Benefit Plan, except to the extent that duplication of benefits would result and except for purposes of benefit accruals under any defined benefit pension plan.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2.8 Service Recognition. AT&amp;T, AT&amp;T Broadband, the Communications Services Entities and the other Broadband Entities shall (a) mutually credit service recognized by the others under the terms of their respective Benefit Plans where appropriate (but not for purposes of benefit accruals under any defined benefit pension plan), (b) where reasonably practicable, arrange for transfer of accounts between the Broadband Long Term Savings Plans and the AT&amp;T Savings Plans, and (c) provide coverage and benefits relating to health and welfare plans in a manner consistent with the provisions of Sections 4.1, 4.2 and 4.3, with respect to individuals who cease employment with AT&amp;T Broadband or another Broadband Entity and immediately become employees of AT&amp;T or a Communications Services Entity and AT&amp;T Employees who cease employment with AT&amp;T or a Communications Services Entity and who immediately become employees of AT&amp;T Broadband or another Broadband Entity, in each case within a period not to exceed six months in duration after the Distribution Date (the "Transition Period"). The service crediting described above shall be subject to any applicable "service bridging" or "break in service" rules under the Broadband Benefit Plans and the AT&amp;T Benefit Plans.</w:t>
      </w:r>
    </w:p>
    <w:p>
      <w:pPr>
        <w:spacing w:after="0" w:line="18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2.9 Approval by AT&amp;T as Sole Shareholder. Prior to the Distribution, AT&amp;T shall cause AT&amp;T Broadband to adopt the Broadband Adjustment Plan which shall have terms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7" w:name="page128"/>
    <w:bookmarkEnd w:id="127"/>
    <w:p>
      <w:pPr>
        <w:ind w:right="3119"/>
        <w:spacing w:after="0"/>
        <w:rPr>
          <w:sz w:val="20"/>
          <w:szCs w:val="20"/>
          <w:color w:val="auto"/>
        </w:rPr>
      </w:pPr>
      <w:r>
        <w:rPr>
          <w:rFonts w:ascii="Courier New" w:cs="Courier New" w:eastAsia="Courier New" w:hAnsi="Courier New"/>
          <w:sz w:val="15"/>
          <w:szCs w:val="15"/>
          <w:color w:val="auto"/>
        </w:rPr>
        <w:t>conditions that are substantially similar to the AT&amp;T 1997 Long Term Incentive Program, except that a change of control shall mean a change of control of AT&amp;T Broadband, which plan shall be approved prior to the Distribution by AT&amp;T as AT&amp;T Broadband's sole shareholder. If AT&amp;T Broadband or any other Broadband Entity adopts any other Broadband Benefit Plan, one or more benefit plans for non-employee directors of AT&amp;T Broadband or any other Broadband Entity or "change in control" compensation and benefit provisions, or enters into or assumes any employment agreements with executives of AT&amp;T Broadband or any other Broadband Entity, while AT&amp;T Broadband or the other Broadband Entities are wholly owned subsidiaries of AT&amp;T, and the plan, plans, provisions or agreements are reasonably acceptable to AT&amp;T, and the parties mutually agree that shareholder approval is legally required or advisable, then AT&amp;T shall cooperate in obtaining such shareholder approval before the Distribution Date of any such Broadband Benefit Plan, non-employee director plan, "change in control" provision or employment agreement. The adoption and approval of such plans, benefits, provisions or agreements (other than the adoption of the Broadband Adjustment Plan) shall be subject to Section 8.01(xv) of the Merger Agreement, without regard to that portion of the introductory language of such Section that relates to the Employee Benefits Agreement.</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2.10 AT&amp;T Labor Agreements. As of the Close of the Distribution Date, AT&amp;T shall retain all AT&amp;T Labor Agreements and AT&amp;T shall take all actions reasonably necessary and within its power and authority to ensure that, from and after the Distribution Date, except as required by applicable law, AT&amp;T Broadband shall have no obligation related to or derived from (1) any AT&amp;T Labor Agreement (other than, without limiting any rights of Parent under the Merger Agreement, as a result of a violation before the Distribution Date by any Broadband Entity of any obligation that it may have under such AT&amp;T Labor Agreement) or (2) any other legal obligations, duties, requirements, claims or Liabilities related to collective bargaining, recognition, or unfair labor practices involving an AT&amp;T Entity (other than AT&amp;T Broadband or another Broadband Entity).</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2.11 Change in Control Benefits. Various provisions of a number of Benefit Plans sponsored by AT&amp;T and/or AT&amp;T Broadband are automatically effected in the event of a "Change in Control" of AT&amp;T, as such term is defined in the AT&amp;T 1997 Long Term Incentive Program, in accordance with the provisions of the Resolutions of the Board of Directors of AT&amp;T effective as of October 23, 2000. In addition, from and after the Distribution, corresponding provisions of the Broadband Benefit Plans will be automatically effected as a result of a "Change in Control" of AT&amp;T Broadband, as defined in and pursuant to the Broadband Adjustment Plan. To the extent any such provisions of an AT&amp;T Benefit Plan or a Broadband Benefit Plan or of such Resolutions differ from the provisions of this Agreement, those provisions will supersede specific provisions of this Agreement following any such "Change in Control." AT&amp;T and AT&amp;T Broadband shall continue to maintain after the Distribution Date such plans and programs as are necessary to provide the benefits specified in such Resolutions to eligible employees following such a "Change in Control," as that term is defined in the AT&amp;T 1997 Long Term Incentive Plan as of the date of such resolutions and in the Broadband Adjustment Plan (as adopted pursuant to Section 2.9), as the case may be (except that the Broadband Benefit Plans shall be amended as of the Distribution to provide that a "Change in Control" means a "Change in Control" of AT&amp;T Broadband).</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28" w:name="page129"/>
    <w:bookmarkEnd w:id="128"/>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DEFINED CONTRIBUTION AND DEFINED BENEFIT PLANS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Savings Plans.</w:t>
      </w:r>
    </w:p>
    <w:p>
      <w:pPr>
        <w:spacing w:after="0" w:line="174" w:lineRule="exact"/>
        <w:rPr>
          <w:sz w:val="20"/>
          <w:szCs w:val="20"/>
          <w:color w:val="auto"/>
        </w:rPr>
      </w:pPr>
    </w:p>
    <w:p>
      <w:pPr>
        <w:ind w:right="3119" w:firstLine="878"/>
        <w:spacing w:after="0" w:line="259" w:lineRule="auto"/>
        <w:tabs>
          <w:tab w:leader="none" w:pos="124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Long Term Savings Plan Trust. Effective as of the Close of the Distribution Date, any trusts established and forming part of the Broadband Long Term Savings Plans (the "Broadband Savings Trust") shall cease to participate in the AT&amp;T Savings Plan Group Trust. AT&amp;T and AT&amp;T Broadband shall take all actions necessary or appropriate, and adopt or cause to be adopted any amendments to any trust agreements or plan documents reasonably necessary to ensure that settlor responsibility for and control of the Broadband Savings Trust is assumed or retained by AT&amp;T Broadband following the Distribution. From and after the Distribution Date, AT&amp;T Broadband shall assume and retain sole and complete responsibility for the Broadband Long Term Savings Plans and the Broadband Savings Trust and any and all assets and Liabilities related thereto.</w:t>
      </w:r>
    </w:p>
    <w:p>
      <w:pPr>
        <w:spacing w:after="0" w:line="165" w:lineRule="exact"/>
        <w:rPr>
          <w:rFonts w:ascii="Courier New" w:cs="Courier New" w:eastAsia="Courier New" w:hAnsi="Courier New"/>
          <w:sz w:val="14"/>
          <w:szCs w:val="14"/>
          <w:color w:val="auto"/>
        </w:rPr>
      </w:pPr>
    </w:p>
    <w:p>
      <w:pPr>
        <w:ind w:right="3119" w:firstLine="878"/>
        <w:spacing w:after="0" w:line="260" w:lineRule="auto"/>
        <w:tabs>
          <w:tab w:leader="none" w:pos="124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Savings Plans and Trust. Effective as of the Close of the Distribution Date, AT&amp;T shall retain sole and complete responsibility for, and all Liabilities relating to, the AT&amp;T Savings Plans and the AT&amp;T Savings Plan Group Trust. Without limiting the generality of the foregoing, AT&amp;T and AT&amp;T Broadband shall take all actions necessary or appropriate, and adopt or cause to be adopted any amendments to any trust agreements or plan documents reasonably necessary to ensure that settlor responsibility and control of the AT&amp;T Savings Plan Group Trust is retained by AT&amp;T from and after the Distribution.</w:t>
      </w:r>
    </w:p>
    <w:p>
      <w:pPr>
        <w:spacing w:after="0" w:line="161"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of Liabilities and Transfer of Accounts. AT&amp;T and AT&amp;T Broadband shall adopt, or cause to be adopted, all reasonable and necessary plan amendments and procedures by which each Broadband Employee and each Broadband Transferee who has an account under the AT&amp;T Savings Plans may make a one-time election to have such account transferred to the Broadband Long Term Savings Plan, and each AT&amp;T Employee (excluding Broadband Transferees) who has an account under the Broadband Long Term Savings Plan may make a one-time election to have such account transferred to the appropriate AT&amp;T Savings Plan, in each case, as soon as practicable after April 15 of the year following the Distribution Year or such earlier date as AT&amp;T and AT&amp;T Broadband shall mutually determine, or to have such account remain in the AT&amp;T Savings Plans or the Broadband Long Term Savings Plan until the AT&amp;T Employee, the Broadband Employee or Broadband Transferee receives a distribution from such plan in accordance with the terms of the plans and applicable law; provided, however, that such transfer shall not occur if AT&amp;T or AT&amp;T Broadband reasonably determines that the transfer could result in the failure of any AT&amp;T Savings Plan or the Broadband Long Term Savings Plan to qualify under Code Section 401(a). Such transfers shall be made in such manner and upon such terms and conditions as AT&amp;T and AT&amp;T Broadband shall mutually agree, but shall accommodate the in-kind transfer of qualifying employer securities of AT&amp;T and AT&amp;T Broadband and outstanding loan balances.</w:t>
      </w:r>
    </w:p>
    <w:p>
      <w:pPr>
        <w:spacing w:after="0" w:line="186"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As of the Close of the Distribution Date, all account balances of AT&amp;T Employees (excluding Broadband Transferees) in the Broadband Long Term Savings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129" w:name="page130"/>
    <w:bookmarkEnd w:id="129"/>
    <w:p>
      <w:pPr>
        <w:ind w:right="3219"/>
        <w:spacing w:after="0" w:line="238" w:lineRule="auto"/>
        <w:rPr>
          <w:sz w:val="20"/>
          <w:szCs w:val="20"/>
          <w:color w:val="auto"/>
        </w:rPr>
      </w:pPr>
      <w:r>
        <w:rPr>
          <w:rFonts w:ascii="Courier New" w:cs="Courier New" w:eastAsia="Courier New" w:hAnsi="Courier New"/>
          <w:sz w:val="15"/>
          <w:szCs w:val="15"/>
          <w:color w:val="auto"/>
        </w:rPr>
        <w:t>Plan, and all account balances of Broadband Employees and Broadband Transferees in the AT&amp;T Savings Plans, shall be immediately vested.</w:t>
      </w:r>
    </w:p>
    <w:p>
      <w:pPr>
        <w:spacing w:after="0" w:line="175" w:lineRule="exact"/>
        <w:rPr>
          <w:sz w:val="20"/>
          <w:szCs w:val="20"/>
          <w:color w:val="auto"/>
        </w:rPr>
      </w:pPr>
    </w:p>
    <w:p>
      <w:pPr>
        <w:ind w:right="3119" w:firstLine="878"/>
        <w:spacing w:after="0" w:line="258" w:lineRule="auto"/>
        <w:tabs>
          <w:tab w:leader="none" w:pos="124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Data; Account Transfer. AT&amp;T and AT&amp;T Broadband agree to provide to each other, as soon as practicable after the Distribution Date, a list of the AT&amp;T Employees (excluding Broadband Transferees) who were participants in or are otherwise entitled to benefits under the Broadband Long Term Savings Plan and a list of Broadband Employees and Broadband Transferees who were participants in or are otherwise entitled to benefits under the AT&amp;T Savings Plan, including descriptions of their respective account balances and the protected benefits (within the meaning of Section 411(d)(6) of the Code) attached to their accounts. Except as otherwise specifically provided above regarding plan qualification, as soon as practicable after April 15 of the year following the Distribution Year, or such earlier date as AT&amp;T and AT&amp;T Broadband shall mutually agree: (i) AT&amp;T Broadband shall cause the accounts (including any outstanding loan balances) of the AT&amp;T Employees who elect a transfer under the Broadband Long Term Savings Plan to be transferred to the AT&amp;T Savings Plan and its related trust in cash or such other assets as mutually agreed by AT&amp;T and AT&amp;T Broadband (in any event, including in-kind transfers of AT&amp;T Common Stock, AT&amp;T Broadband Common Stock and participant loan balances), and the AT&amp;T Savings Plan shall assume and be solely responsible for all Liabilities under each of the AT&amp;T Savings Plans with respect to AT&amp;T Employees who elect a transfer of their accounts (to the extent assets related to those accounts are transferred from the Broadband Long Term Savings Plans); and (ii) AT&amp;T shall cause the accounts (including any outstanding loan balances) of the Broadband Employees and Broadband Transferees who elect a transfer under the AT&amp;T Savings Plan to be transferred to the Broadband Long Term Savings Plan and the Broadband Savings Trust in cash or such other assets as mutually agreed by AT&amp;T and AT&amp;T Broadband (in any event, including in-kind transfers of AT&amp;T Common Stock, AT&amp;T Broadband Common Stock and participant loan balances) and the Broadband Long Term Savings Plan shall assume and be solely responsible for all Liabilities under the Broadband Long Term Savings Plans to or relating to Broadband Employees and Broadband Transferees who elect a transfer of their accounts (to the extent assets related to those accounts are transferred from the AT&amp;T Savings Plans); and (iii) AT&amp;T and AT&amp;T Broadband shall cause their respective savings plans and related trusts to satisfy all protected benefit requirements under the Code and applicable law with respect to the transferred accounts.</w:t>
      </w:r>
    </w:p>
    <w:p>
      <w:pPr>
        <w:spacing w:after="0" w:line="347" w:lineRule="exact"/>
        <w:rPr>
          <w:rFonts w:ascii="Courier New" w:cs="Courier New" w:eastAsia="Courier New" w:hAnsi="Courier New"/>
          <w:sz w:val="14"/>
          <w:szCs w:val="14"/>
          <w:color w:val="auto"/>
        </w:rPr>
      </w:pPr>
    </w:p>
    <w:p>
      <w:pPr>
        <w:ind w:right="3219" w:firstLine="878"/>
        <w:spacing w:after="0"/>
        <w:tabs>
          <w:tab w:leader="none" w:pos="124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Company Match. AT&amp;T shall make a one-time payment directly to the Broadband Transferees, in the year following the Distribution Year, of the amount of "lost savings plan matching contributions," if any, to which they would have been entitled under existing AT&amp;T practices with respect to compensation earned on or before the Distribution Date that is in excess of the annual limits imposed by Code Section 401(a)(17).</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 AT&amp;T Pension Plans.</w:t>
      </w:r>
    </w:p>
    <w:p>
      <w:pPr>
        <w:spacing w:after="0" w:line="174" w:lineRule="exact"/>
        <w:rPr>
          <w:sz w:val="20"/>
          <w:szCs w:val="20"/>
          <w:color w:val="auto"/>
        </w:rPr>
      </w:pPr>
    </w:p>
    <w:p>
      <w:pPr>
        <w:ind w:right="3219" w:firstLine="878"/>
        <w:spacing w:after="0" w:line="238" w:lineRule="auto"/>
        <w:tabs>
          <w:tab w:leader="none" w:pos="124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AT&amp;T Pension Plans. Effective as of the Close of the Distribution Date, AT&amp;T shall retain: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30" w:name="page131"/>
    <w:bookmarkEnd w:id="130"/>
    <w:p>
      <w:pPr>
        <w:ind w:left="-440" w:right="3119" w:firstLine="1233"/>
        <w:spacing w:after="0" w:line="239" w:lineRule="auto"/>
        <w:tabs>
          <w:tab w:leader="none" w:pos="115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of the AT&amp;T Pension Plans and their related trusts and any other trust or other funding arrangement established or maintained with respect to such plans, or any assets held as of the Distribution Date with respect to such plans; and</w:t>
      </w:r>
    </w:p>
    <w:p>
      <w:pPr>
        <w:spacing w:after="0" w:line="176" w:lineRule="exact"/>
        <w:rPr>
          <w:rFonts w:ascii="Courier New" w:cs="Courier New" w:eastAsia="Courier New" w:hAnsi="Courier New"/>
          <w:sz w:val="15"/>
          <w:szCs w:val="15"/>
          <w:color w:val="auto"/>
        </w:rPr>
      </w:pPr>
    </w:p>
    <w:p>
      <w:pPr>
        <w:ind w:left="-440" w:right="3119" w:firstLine="1233"/>
        <w:spacing w:after="0" w:line="239" w:lineRule="auto"/>
        <w:tabs>
          <w:tab w:leader="none" w:pos="124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claims incurred by or on behalf of any individuals with respect to benefits under any AT&amp;T Pension Plan.</w:t>
      </w:r>
    </w:p>
    <w:p>
      <w:pPr>
        <w:spacing w:after="0" w:line="175" w:lineRule="exact"/>
        <w:rPr>
          <w:rFonts w:ascii="Courier New" w:cs="Courier New" w:eastAsia="Courier New" w:hAnsi="Courier New"/>
          <w:sz w:val="15"/>
          <w:szCs w:val="15"/>
          <w:color w:val="auto"/>
        </w:rPr>
      </w:pPr>
    </w:p>
    <w:p>
      <w:pPr>
        <w:ind w:left="-440" w:right="3119" w:firstLine="878"/>
        <w:spacing w:after="0" w:line="239" w:lineRule="auto"/>
        <w:tabs>
          <w:tab w:leader="none" w:pos="80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Effective as of the Close of the Distribution Date, each Broadband Employee and each Broadband Transferee who is a participant in an AT&amp;T Pension Plan shall be vested in his or her accrued benefit under the AT&amp;T Pension Plans.</w:t>
      </w:r>
    </w:p>
    <w:p>
      <w:pPr>
        <w:spacing w:after="0" w:line="176" w:lineRule="exact"/>
        <w:rPr>
          <w:rFonts w:ascii="Courier New" w:cs="Courier New" w:eastAsia="Courier New" w:hAnsi="Courier New"/>
          <w:sz w:val="15"/>
          <w:szCs w:val="15"/>
          <w:color w:val="auto"/>
        </w:rPr>
      </w:pPr>
    </w:p>
    <w:p>
      <w:pPr>
        <w:ind w:left="-440" w:right="3299" w:firstLine="878"/>
        <w:spacing w:after="0"/>
        <w:tabs>
          <w:tab w:leader="none" w:pos="80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Pension. Effective as of the Close of the Distribution Date, each Broadband Employee and Broadband Transferee who is a participant in an AT&amp;T Pension Plan shall be deemed to have terminated employment with the sponsor of such AT&amp;T Pension Plan and shall be eligible to commence his or her pension in accordance with the terms of such plan.</w:t>
      </w:r>
    </w:p>
    <w:p>
      <w:pPr>
        <w:spacing w:after="0" w:line="174" w:lineRule="exact"/>
        <w:rPr>
          <w:rFonts w:ascii="Courier New" w:cs="Courier New" w:eastAsia="Courier New" w:hAnsi="Courier New"/>
          <w:sz w:val="15"/>
          <w:szCs w:val="15"/>
          <w:color w:val="auto"/>
        </w:rPr>
      </w:pPr>
    </w:p>
    <w:p>
      <w:pPr>
        <w:ind w:left="-440" w:right="3119" w:firstLine="878"/>
        <w:spacing w:after="0"/>
        <w:tabs>
          <w:tab w:leader="none" w:pos="80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Bridging. Effective as of the Close of the Distribution Date, all unbridged net credited service of each Broadband Employee and Broadband Transferee who transferred, or was reassigned, to a Broadband Entity on or after March 9, 1999 and before the Close of the Distribution Date from a Participating Company in the AT&amp;TMPP or the AT&amp;TPP shall be bridged, provided that the unbridged net credited service would have been eligible for bridging under the bridging rules of the AT&amp;TMPP or the AT&amp;TPP in the event that the Broadband Employee and Broadband Transferee had continued to qualify as an "Employee" under the AT&amp;TMPP or the AT&amp;TPP and satisfied the applicable bridging rules under those plans.</w:t>
      </w:r>
    </w:p>
    <w:p>
      <w:pPr>
        <w:spacing w:after="0" w:line="178" w:lineRule="exact"/>
        <w:rPr>
          <w:rFonts w:ascii="Courier New" w:cs="Courier New" w:eastAsia="Courier New" w:hAnsi="Courier New"/>
          <w:sz w:val="15"/>
          <w:szCs w:val="15"/>
          <w:color w:val="auto"/>
        </w:rPr>
      </w:pPr>
    </w:p>
    <w:p>
      <w:pPr>
        <w:ind w:left="-440" w:right="3119" w:firstLine="878"/>
        <w:spacing w:after="0"/>
        <w:tabs>
          <w:tab w:leader="none" w:pos="80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Conversions to Cash Balance. Each Broadband Employee and Broadband Transferee who transferred, or was reassigned, to a Broadband Entity on or after March 9, 1999 from a Participating Company in the AT&amp;TMPP or the AT&amp;TPP who has a portion of his or her accrued benefit under a prior formula under the AT&amp;T Pension Plans that has not yet been converted to cash balance shall be deemed to have completed any minimum period of net credited service that is required for such conversion.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Broadband Pension Plans.</w:t>
      </w:r>
    </w:p>
    <w:p>
      <w:pPr>
        <w:spacing w:after="0" w:line="174" w:lineRule="exact"/>
        <w:rPr>
          <w:sz w:val="20"/>
          <w:szCs w:val="20"/>
          <w:color w:val="auto"/>
        </w:rPr>
      </w:pPr>
    </w:p>
    <w:p>
      <w:pPr>
        <w:ind w:left="-440" w:right="3119" w:firstLine="878"/>
        <w:spacing w:after="0" w:line="239" w:lineRule="auto"/>
        <w:tabs>
          <w:tab w:leader="none" w:pos="80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or Retention of Broadband Pension Plans. Effective as of the Close of the Distribution Date, AT&amp;T Broadband shall assume or retain, as applicable:</w:t>
      </w:r>
    </w:p>
    <w:p>
      <w:pPr>
        <w:spacing w:after="0" w:line="175" w:lineRule="exact"/>
        <w:rPr>
          <w:rFonts w:ascii="Courier New" w:cs="Courier New" w:eastAsia="Courier New" w:hAnsi="Courier New"/>
          <w:sz w:val="15"/>
          <w:szCs w:val="15"/>
          <w:color w:val="auto"/>
        </w:rPr>
      </w:pPr>
    </w:p>
    <w:p>
      <w:pPr>
        <w:ind w:left="-440" w:right="3119" w:firstLine="1233"/>
        <w:spacing w:after="0" w:line="239" w:lineRule="auto"/>
        <w:tabs>
          <w:tab w:leader="none" w:pos="115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of the Broadband Pension Plans and their related trusts and any other trust or other funding arrangement established or maintained with respect to such plans, or any assets held as of the Distribution Date with respect to such plans; and</w:t>
      </w:r>
    </w:p>
    <w:p>
      <w:pPr>
        <w:spacing w:after="0" w:line="176" w:lineRule="exact"/>
        <w:rPr>
          <w:rFonts w:ascii="Courier New" w:cs="Courier New" w:eastAsia="Courier New" w:hAnsi="Courier New"/>
          <w:sz w:val="15"/>
          <w:szCs w:val="15"/>
          <w:color w:val="auto"/>
        </w:rPr>
      </w:pPr>
    </w:p>
    <w:p>
      <w:pPr>
        <w:ind w:left="-440" w:right="3119" w:firstLine="1233"/>
        <w:spacing w:after="0" w:line="239" w:lineRule="auto"/>
        <w:tabs>
          <w:tab w:leader="none" w:pos="124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claims incurred by or on behalf of any individuals with respect to benefits under any Broadband Pension Plan.</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79"/>
          </w:cols>
          <w:pgMar w:left="680" w:top="631" w:right="1440" w:bottom="1440" w:gutter="0" w:footer="0" w:header="0"/>
        </w:sectPr>
      </w:pPr>
    </w:p>
    <w:bookmarkStart w:id="131" w:name="page132"/>
    <w:bookmarkEnd w:id="131"/>
    <w:p>
      <w:pPr>
        <w:ind w:right="3299" w:firstLine="878"/>
        <w:spacing w:after="0" w:line="261" w:lineRule="auto"/>
        <w:tabs>
          <w:tab w:leader="none" w:pos="124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Effective as of the Close of the Distribution Date, the Broadband Pension Plan shall be amended to provide that each AT&amp;T Employee (excluding Broadband Transferees) who has any accrued benefits under the Broadband Pension Plan shall be vested, as of the Close of the Distribution Date, in his or her accrued benefit under the Broadband Pension Plan.</w:t>
      </w:r>
    </w:p>
    <w:p>
      <w:pPr>
        <w:spacing w:after="0" w:line="161"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Bridging. Effective as of the Close of the Distribution Date, the Broadband Pension Plan shall be amended to provide that any unbridged term of employment of each AT&amp;T Employee who transferred, or was reassigned, on or after June 15, 2000 and before the Close of the Distribution Date to AT&amp;T or a Communications Services Entity from a Broadband Entity shall be bridged, provided that the unbridged term of employment would have been eligible for bridging under the bridging rules of the Broadband Pension Plan in the event that the AT&amp;T Employee had continued to qualify as an "Employee" under the Broadband Pension Plan and satisfied the applicable bridging rules under such plan.</w:t>
      </w:r>
    </w:p>
    <w:p>
      <w:pPr>
        <w:spacing w:after="0" w:line="178" w:lineRule="exact"/>
        <w:rPr>
          <w:rFonts w:ascii="Courier New" w:cs="Courier New" w:eastAsia="Courier New" w:hAnsi="Courier New"/>
          <w:sz w:val="15"/>
          <w:szCs w:val="15"/>
          <w:color w:val="auto"/>
        </w:rPr>
      </w:pPr>
    </w:p>
    <w:p>
      <w:pPr>
        <w:ind w:right="3119" w:firstLine="878"/>
        <w:spacing w:after="0" w:line="261" w:lineRule="auto"/>
        <w:tabs>
          <w:tab w:leader="none" w:pos="124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Pension. Effective as of the Close of the Distribution Date, each AT&amp;T Employee (excluding Broadband Transferees) who is a participant in the Broadband Pension Plan shall be deemed to have terminated employment with the sponsor of such Broadband Pension Plan and shall be eligible to commence his or her pension in accordance with the terms of such plan.</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 AND WELFARE PLANS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4.1 Assumption of Health and Welfare Plan Liabilities.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General. As of the Close of the Distribution Date, AT&amp;T shall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retain:</w:t>
      </w:r>
    </w:p>
    <w:p>
      <w:pPr>
        <w:spacing w:after="0" w:line="174" w:lineRule="exact"/>
        <w:rPr>
          <w:sz w:val="20"/>
          <w:szCs w:val="20"/>
          <w:color w:val="auto"/>
        </w:rPr>
      </w:pPr>
    </w:p>
    <w:p>
      <w:pPr>
        <w:ind w:right="3119" w:firstLine="1233"/>
        <w:spacing w:after="0" w:line="239" w:lineRule="auto"/>
        <w:tabs>
          <w:tab w:leader="none" w:pos="159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of all AT&amp;T Health and Welfare Plans and any trust or other funding arrangement established or maintained with respect to such plans, or any assets held as of the Distribution Date with respect to such plans; and</w:t>
      </w:r>
    </w:p>
    <w:p>
      <w:pPr>
        <w:spacing w:after="0" w:line="176" w:lineRule="exact"/>
        <w:rPr>
          <w:rFonts w:ascii="Courier New" w:cs="Courier New" w:eastAsia="Courier New" w:hAnsi="Courier New"/>
          <w:sz w:val="15"/>
          <w:szCs w:val="15"/>
          <w:color w:val="auto"/>
        </w:rPr>
      </w:pPr>
    </w:p>
    <w:p>
      <w:pPr>
        <w:ind w:right="3299" w:firstLine="1233"/>
        <w:spacing w:after="0"/>
        <w:tabs>
          <w:tab w:leader="none" w:pos="16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health and welfare coverage or claims incurred by or on behalf of AT&amp;T Employees, Broadband Transferees and, to the extent applicable, Broadband Employees, or their covered dependents under the AT&amp;T Health and Welfare Plans on or before the Close of the Distribution Date; and</w:t>
      </w:r>
    </w:p>
    <w:p>
      <w:pPr>
        <w:spacing w:after="0" w:line="174" w:lineRule="exact"/>
        <w:rPr>
          <w:rFonts w:ascii="Courier New" w:cs="Courier New" w:eastAsia="Courier New" w:hAnsi="Courier New"/>
          <w:sz w:val="15"/>
          <w:szCs w:val="15"/>
          <w:color w:val="auto"/>
        </w:rPr>
      </w:pPr>
    </w:p>
    <w:p>
      <w:pPr>
        <w:ind w:right="3299" w:firstLine="1233"/>
        <w:spacing w:after="0" w:line="239" w:lineRule="auto"/>
        <w:tabs>
          <w:tab w:leader="none" w:pos="17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4.1(b), all Liabilities relating to health and welfare coverage or claims incurred by or on behalf of AT&amp;T Employees or their covered dependents after the Close of the Distribution Date under the AT&amp;T Health and Welfare Plans.</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Except as provided in Section 4.1(b), AT&amp;T shall not assume any Liability relating to health and welfare claims incurred by or on behalf of Broadband Transferees, Broadband Employees or their covered dependents after the Distribution Date, and such claims shall be satisfied pursuant to Section 4.2. Except as provided in Section 4.1(b), a claim or Liability (1) for medical, dental, vision and/or prescription drug benefits shall be deemed to be incurred upon the rendering of</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32" w:name="page133"/>
    <w:bookmarkEnd w:id="132"/>
    <w:p>
      <w:pPr>
        <w:ind w:right="3119"/>
        <w:spacing w:after="0"/>
        <w:rPr>
          <w:sz w:val="20"/>
          <w:szCs w:val="20"/>
          <w:color w:val="auto"/>
        </w:rPr>
      </w:pPr>
      <w:r>
        <w:rPr>
          <w:rFonts w:ascii="Courier New" w:cs="Courier New" w:eastAsia="Courier New" w:hAnsi="Courier New"/>
          <w:sz w:val="15"/>
          <w:szCs w:val="15"/>
          <w:color w:val="auto"/>
        </w:rPr>
        <w:t>health services giving rise to the obligation to pay such benefits; (2) for life insurance and accidental death and dismemberment and business travel accident insurance benefits and workers' compensation benefits shall be deemed to be incurred upon the occurrence of the event giving rise to the entitlement to such benefits; (3) for salary continuation or other disability benefits shall be deemed to be incurred upon the effective date that an individual is deemed to be disabled, giving rise to the entitlement to such benefits; and (4) for a period of continuous hospitalization shall be deemed to be incurred on the date of admission to the hospital.</w:t>
      </w:r>
    </w:p>
    <w:p>
      <w:pPr>
        <w:spacing w:after="0" w:line="177" w:lineRule="exact"/>
        <w:rPr>
          <w:sz w:val="20"/>
          <w:szCs w:val="20"/>
          <w:color w:val="auto"/>
        </w:rPr>
      </w:pPr>
    </w:p>
    <w:p>
      <w:pPr>
        <w:ind w:right="3119" w:firstLine="878"/>
        <w:spacing w:after="0"/>
        <w:tabs>
          <w:tab w:leader="none" w:pos="124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Specific Claims. AT&amp;T shall be responsible for all Liabilities under the applicable AT&amp;T Health and Welfare Plan that relate to, arise out of or result from any period of continuous hospitalization of a Broadband Transferee, a Broadband Employee or his or her covered dependent which begins before the Close of the Distribution Date under an AT&amp;T Health and Welfare Plan and continues after the Close of the Distribution Date; provided, however, that AT&amp;T shall not be responsible for Liabilities in excess of the benefits otherwise provided by the terms of the respective plans. AT&amp;T also shall be responsible for all Liabilities under the applicable AT&amp;T Health and Welfare Plan that relate to, arise out of or result from any denture work, bridge work, crown installation or root canal therapy for a Broadband Transferee, a Broadband Employee or his or her covered dependent for which preparatory dental services have been rendered under an AT&amp;T Health and Welfare Plan on or before the Distribution Date and such dental treatment continues after the Distribution Date, provided that such dental treatment is concluded within allowable time limitations under the applicable AT&amp;T Health and Welfare Plan. Coverage for any such hospitalization or dental services shall be provided after the Distribution Date without interruption under the appropriate AT&amp;T Health and Welfare Plan until such hospitalization or treatment for such condition is concluded or discontinued subject to applicable plan rules and limitations. The corresponding Broadband Health and Welfare Plan that covers the Broadband Transferee or his or her covered dependent after the Distribution Date shall be secondarily liable (for purposes of coordination of benefits) in accordance with its terms and conditions with respect to any such hospitalization or dental treatment.</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4.2 Health and Welfare Plan Transitional Coverage Rules.</w:t>
      </w:r>
    </w:p>
    <w:p>
      <w:pPr>
        <w:spacing w:after="0" w:line="171" w:lineRule="exact"/>
        <w:rPr>
          <w:sz w:val="20"/>
          <w:szCs w:val="20"/>
          <w:color w:val="auto"/>
        </w:rPr>
      </w:pPr>
    </w:p>
    <w:p>
      <w:pPr>
        <w:ind w:left="1240" w:hanging="362"/>
        <w:spacing w:after="0"/>
        <w:tabs>
          <w:tab w:leader="none" w:pos="12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As of the Close of the Distribution Date, AT&amp;T Broadband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retain:</w:t>
      </w:r>
    </w:p>
    <w:p>
      <w:pPr>
        <w:spacing w:after="0" w:line="174" w:lineRule="exact"/>
        <w:rPr>
          <w:rFonts w:ascii="Courier New" w:cs="Courier New" w:eastAsia="Courier New" w:hAnsi="Courier New"/>
          <w:sz w:val="15"/>
          <w:szCs w:val="15"/>
          <w:color w:val="auto"/>
        </w:rPr>
      </w:pPr>
    </w:p>
    <w:p>
      <w:pPr>
        <w:ind w:right="3219" w:firstLine="1233"/>
        <w:spacing w:after="0" w:line="239" w:lineRule="auto"/>
        <w:tabs>
          <w:tab w:leader="none" w:pos="159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of all Broadband Health and Welfare Plans and any trust or other funding arrangement established or maintained with respect to such plans, or any assets held as of the Distribution Date with respect to such plans; and</w:t>
      </w:r>
    </w:p>
    <w:p>
      <w:pPr>
        <w:spacing w:after="0" w:line="176" w:lineRule="exact"/>
        <w:rPr>
          <w:rFonts w:ascii="Courier New" w:cs="Courier New" w:eastAsia="Courier New" w:hAnsi="Courier New"/>
          <w:sz w:val="15"/>
          <w:szCs w:val="15"/>
          <w:color w:val="auto"/>
        </w:rPr>
      </w:pPr>
    </w:p>
    <w:p>
      <w:pPr>
        <w:ind w:right="3119" w:firstLine="1233"/>
        <w:spacing w:after="0" w:line="239" w:lineRule="auto"/>
        <w:tabs>
          <w:tab w:leader="none" w:pos="168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health and welfare coverage or claims incurred by or on behalf of Broadband Employees and their covered dependents under the Broadband Health and Welfare Plans on or before the Distribution Date; and</w:t>
      </w:r>
    </w:p>
    <w:p>
      <w:pPr>
        <w:spacing w:after="0" w:line="176" w:lineRule="exact"/>
        <w:rPr>
          <w:rFonts w:ascii="Courier New" w:cs="Courier New" w:eastAsia="Courier New" w:hAnsi="Courier New"/>
          <w:sz w:val="15"/>
          <w:szCs w:val="15"/>
          <w:color w:val="auto"/>
        </w:rPr>
      </w:pPr>
    </w:p>
    <w:p>
      <w:pPr>
        <w:ind w:right="3299" w:firstLine="1233"/>
        <w:spacing w:after="0" w:line="239" w:lineRule="auto"/>
        <w:tabs>
          <w:tab w:leader="none" w:pos="177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health and welfare coverage or claims incurred by or on behalf of Broadband Employees or their covered dependents and Broadband Transferees or their covered dependents after the Distribution Date, except as provided in Section 4.1(b).</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33" w:name="page134"/>
    <w:bookmarkEnd w:id="133"/>
    <w:p>
      <w:pPr>
        <w:ind w:left="-440" w:right="3119" w:firstLine="878"/>
        <w:spacing w:after="0" w:line="258" w:lineRule="auto"/>
        <w:tabs>
          <w:tab w:leader="none" w:pos="80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Transferees and Broadband Benefit Plans. Broadband Transferees and their eligible covered dependents who were participants in the AT&amp;T Health and Welfare Plans as of the Close of the Distribution Date shall be immediately eligible, after the Close of the Distribution Date, to participate in the corresponding Broadband Health and Welfare Plans then available to similarly situated Broadband Employees, subject to the terms and conditions of such plans, but without regard for any requirements of proof of insurability and without regard to any restrictions or limitations with respect to preexisting condition, provided such pre-existing condition is otherwise a covered condition under the terms of such plan. Subject to the agreement of any applicable insurer, all compensation, periods of service, benefit elections, deductible payments, payments toward the applicable out-of-pocket maximums and other benefit-affecting determinations affecting Broadband Transferees that, as of the Close of the Distribution Date, were recognized under the AT&amp;T Health and Welfare Plans shall receive full recognition, credit and validity and be taken into account under the Broadband Health and Welfare Plans Immediately after the Distribution Date in a manner consistent with the manner in which such benefit affecting determinations were treated under the terms of the AT&amp;T Health and Welfare Plans immediately prior to the Close of the Distribution Date.</w:t>
      </w:r>
    </w:p>
    <w:p>
      <w:pPr>
        <w:spacing w:after="0" w:line="173" w:lineRule="exact"/>
        <w:rPr>
          <w:rFonts w:ascii="Courier New" w:cs="Courier New" w:eastAsia="Courier New" w:hAnsi="Courier New"/>
          <w:sz w:val="14"/>
          <w:szCs w:val="14"/>
          <w:color w:val="auto"/>
        </w:rPr>
      </w:pPr>
    </w:p>
    <w:p>
      <w:pPr>
        <w:ind w:left="-440" w:right="3219" w:firstLine="878"/>
        <w:spacing w:after="0"/>
        <w:tabs>
          <w:tab w:leader="none" w:pos="80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Employees and AT&amp;T Benefit Plans; Broadband Employees and Broadband Benefit Plans. Any AT&amp;T Employee who participates in an AT&amp;T Health and Welfare Plan immediately before the Close of the Distribution Date shall automatically continue such participation in the AT&amp;T Health and Welfare Plan without any change in coverage and without the need for any new or additional enrollment and without change in any election made with respect to coverage under such plan. Any Broadband Employee who participates in a Broadband Health and Welfare Plan immediately before the Close of the Distribution Date shall automatically continue such participation without change in coverage, and without the need for any new or additional enrollment and without change in any election made with respect to coverage under such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 HCRA/CECRA Post-Distribution Transitional Rules.</w:t>
      </w:r>
    </w:p>
    <w:p>
      <w:pPr>
        <w:spacing w:after="0" w:line="174" w:lineRule="exact"/>
        <w:rPr>
          <w:sz w:val="20"/>
          <w:szCs w:val="20"/>
          <w:color w:val="auto"/>
        </w:rPr>
      </w:pPr>
    </w:p>
    <w:p>
      <w:pPr>
        <w:ind w:left="-440" w:right="3219" w:firstLine="878"/>
        <w:spacing w:after="0"/>
        <w:tabs>
          <w:tab w:leader="none" w:pos="80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Health Care Reimbursement Account Plan; Broadband Transferees. To the extent any Broadband Transferee or Broadband Employee made contributions to the AT&amp;T Health Care Reimbursement Account Plan ("AT&amp;T HCRA Plan") during the Distribution Year, such Broadband Transferee or Broadband Employee shall be permitted to file claims for reimbursement for qualifying health care expenses incurred during the Distribution Year through the Close of the Distribution Date, for a total amount not to exceed the amount elected by such Broadband Transferee or Broadband Employee for that year. Such claims may be filed at any time on or before April 15 of the year following the Distribution Year in the manner permitted under the AT&amp;T HCRA Plan. Account balances, whether positive or negative, shall not be transferred or assigned from AT&amp;T or a Communication Services Entity to AT&amp;T Broadband or another Broadband Entity. Any Broadband Transferee or Broadband Employee who made contributions to the AT&amp;T HCRA Plan during the Distribution Year shall have the right to elect continuation coverage in the AT&amp;T HCRA for the balance of the Distribution Year through COBRA.</w:t>
      </w:r>
    </w:p>
    <w:p>
      <w:pPr>
        <w:spacing w:after="0" w:line="182" w:lineRule="exact"/>
        <w:rPr>
          <w:rFonts w:ascii="Courier New" w:cs="Courier New" w:eastAsia="Courier New" w:hAnsi="Courier New"/>
          <w:sz w:val="15"/>
          <w:szCs w:val="15"/>
          <w:color w:val="auto"/>
        </w:rPr>
      </w:pPr>
    </w:p>
    <w:p>
      <w:pPr>
        <w:ind w:left="-440" w:right="3299" w:firstLine="878"/>
        <w:spacing w:after="0" w:line="271" w:lineRule="auto"/>
        <w:tabs>
          <w:tab w:leader="none" w:pos="80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Child/Elder Care Reimbursement Account Plan; Broadband Transferees. To the extent any Broadband Transferee or Broadband Employee made</w:t>
      </w:r>
    </w:p>
    <w:p>
      <w:pPr>
        <w:spacing w:after="0" w:line="15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631" w:right="1440" w:bottom="1440" w:gutter="0" w:footer="0" w:header="0"/>
        </w:sectPr>
      </w:pPr>
    </w:p>
    <w:bookmarkStart w:id="134" w:name="page135"/>
    <w:bookmarkEnd w:id="134"/>
    <w:p>
      <w:pPr>
        <w:ind w:right="3119"/>
        <w:spacing w:after="0" w:line="258" w:lineRule="auto"/>
        <w:rPr>
          <w:sz w:val="20"/>
          <w:szCs w:val="20"/>
          <w:color w:val="auto"/>
        </w:rPr>
      </w:pPr>
      <w:r>
        <w:rPr>
          <w:rFonts w:ascii="Courier New" w:cs="Courier New" w:eastAsia="Courier New" w:hAnsi="Courier New"/>
          <w:sz w:val="14"/>
          <w:szCs w:val="14"/>
          <w:color w:val="auto"/>
        </w:rPr>
        <w:t>contributions to the AT&amp;T Child/Elder Care Reimbursement Account Plan ("AT&amp;T CECRA Plan") during the Distribution Year and such Broadband Transferee or Broadband Employee has a positive account balance in his or her "Child/Elder Care Reimbursement Account" under the AT&amp;T CECRA Plan as of the Close of the Distribution Date, such Broadband Transferee or Broadband Employee shall be entitled to file claims for reimbursement for qualifying child and elder care expenses incurred at any time during the Distribution Year for a total amount not to exceed the amount of his or her positive account balance determined as of the Close of the Distribution Date. A Broadband Transferee or Broadband Employee shall be considered to have a "positive account balance" in the AT&amp;T CECRA Plan if, as of the determination date, (i) the total amount he or she actually contributed to the AT&amp;T CECRA Plan for the Distribution Year, minus (ii) the total amount of reimbursements paid to such Broadband Transferee or Broadband Employee for qualifying child care and elder care expenses incurred at any time during the Distribution Year, is a positive number. Such claims may be filed at any time on or before April 15 of the year following the Distribution Year, in the manner permitted under the AT&amp;T CECRA Plan. Account balances, whether positive or negative, shall not be transferred or assigned from AT&amp;T or a Communication Services Entity to AT&amp;T Broadband or another Broadband Entity.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4.4 Workers' Compensation Liabilities. Except as provided below, all workers' compensation Liabilities relating to, arising out of, or resulting from any claim by an AT&amp;T Employee or Broadband Transferee that results from an accident occurring, or from an occupational disease which becomes manifest, on or before the Close of the Distribution Date and while such AT&amp;T Employee or Broadband Transferee was employed by an AT&amp;T Entity (other than a Broadband Entity) shall be retained by AT&amp;T. AT&amp;T shall assume and be solely responsible for all workers' compensation Liabilities relating to, arising out of, or resulting from any claim incurred for a compensable injury sustained (i) by each individual who was, at the time of such injury, employed by any AT&amp;T Entity (other than a Broadband Entity), and (ii) by an AT&amp;T Employee after the Distribution Date. All workers' compensation Liabilities relating to, arising out of, or resulting from any claim by a Broadband Employee that results from an accident occurring, or from an occupational disease which becomes manifest, on or before the Distribution Date and while such Broadband Employee was employed by AT&amp;T Broadband or another Broadband Entity shall be retained by AT&amp;T Broadband. AT&amp;T Broadband shall assume and be solely responsible for all workers' compensation Liabilities relating to, arising out of, or resulting from any claim incurred for a compensable injury sustained (i) by each individual who was, at the time of such injury, employed by AT&amp;T Broadband or other Broadband Entity, and (ii) by a Broadband Employee after the Distribution Date. For purposes of this Agreement, a compensable injury shall be deemed to be sustained upon the occurrence of the event giving rise to eligibility for workers' compensation benefits or an occupational disease becomes manifest, as the case may be. AT&amp;T, AT&amp;T Broadband, the Communications Services Entities and the other Broadband Entities shall cooperate with respect to any notification to appropriate governmental agencies of the Distribution and the issuance of new, or the transfer of existing, workers' compensation insurance policies and claims handling contracts.</w:t>
      </w:r>
    </w:p>
    <w:p>
      <w:pPr>
        <w:spacing w:after="0" w:line="19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4.5 Payroll Taxes and Reporting of Compensation. AT&amp;T, AT&amp;T Broadband, the Communication Services Entities and the other Broadband Entities shall take such action as may be reasonably necessary or appropriate in order to minimize Liabilities related to payroll taxes after the Distribution Date, including as described in Section 5.3(c)(iii)-(vi). AT&amp;T, AT&amp;T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35" w:name="page136"/>
    <w:bookmarkEnd w:id="135"/>
    <w:p>
      <w:pPr>
        <w:ind w:right="3219"/>
        <w:spacing w:after="0"/>
        <w:rPr>
          <w:sz w:val="20"/>
          <w:szCs w:val="20"/>
          <w:color w:val="auto"/>
        </w:rPr>
      </w:pPr>
      <w:r>
        <w:rPr>
          <w:rFonts w:ascii="Courier New" w:cs="Courier New" w:eastAsia="Courier New" w:hAnsi="Courier New"/>
          <w:sz w:val="15"/>
          <w:szCs w:val="15"/>
          <w:color w:val="auto"/>
        </w:rPr>
        <w:t>Broadband, each Communication Services Entities and each other Broadband Entity shall each bear its responsibility for payroll tax obligations and for the proper reporting to the appropriate governmental authorities of compensation earned by their respective employees after the Close of the Distribution Date, including compensation related to the exercise of Options, as described in Section 5.3(c)(iii)-(vi).</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4.6 AT&amp;T Post-Retirement Welfare Benefits Plan.</w:t>
      </w:r>
    </w:p>
    <w:p>
      <w:pPr>
        <w:spacing w:after="0" w:line="174" w:lineRule="exact"/>
        <w:rPr>
          <w:sz w:val="20"/>
          <w:szCs w:val="20"/>
          <w:color w:val="auto"/>
        </w:rPr>
      </w:pPr>
    </w:p>
    <w:p>
      <w:pPr>
        <w:ind w:right="3119" w:firstLine="878"/>
        <w:spacing w:after="0" w:line="238" w:lineRule="auto"/>
        <w:tabs>
          <w:tab w:leader="none" w:pos="12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AT&amp;T Post-Retirement Welfare Benefits Plan. As of the Close of the Distribution Date, AT&amp;T shall retain:</w:t>
      </w:r>
    </w:p>
    <w:p>
      <w:pPr>
        <w:spacing w:after="0" w:line="174" w:lineRule="exact"/>
        <w:rPr>
          <w:rFonts w:ascii="Courier New" w:cs="Courier New" w:eastAsia="Courier New" w:hAnsi="Courier New"/>
          <w:sz w:val="15"/>
          <w:szCs w:val="15"/>
          <w:color w:val="auto"/>
        </w:rPr>
      </w:pPr>
    </w:p>
    <w:p>
      <w:pPr>
        <w:ind w:right="3299" w:firstLine="1233"/>
        <w:spacing w:after="0" w:line="239" w:lineRule="auto"/>
        <w:tabs>
          <w:tab w:leader="none" w:pos="159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Post-Retirement Welfare Benefits Plan and any trust or other funding arrangement established or maintained with respect to such plans, or any assets held as of the Distribution Date with respect to such plans; and</w:t>
      </w:r>
    </w:p>
    <w:p>
      <w:pPr>
        <w:spacing w:after="0" w:line="176" w:lineRule="exact"/>
        <w:rPr>
          <w:rFonts w:ascii="Courier New" w:cs="Courier New" w:eastAsia="Courier New" w:hAnsi="Courier New"/>
          <w:sz w:val="15"/>
          <w:szCs w:val="15"/>
          <w:color w:val="auto"/>
        </w:rPr>
      </w:pPr>
    </w:p>
    <w:p>
      <w:pPr>
        <w:ind w:right="3479" w:firstLine="1233"/>
        <w:spacing w:after="0" w:line="239" w:lineRule="auto"/>
        <w:tabs>
          <w:tab w:leader="none" w:pos="1686"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claims incurred by or on behalf of any participant or their covered dependents under the AT&amp;T Post-Retirement Welfare Benefits Plans.</w:t>
      </w:r>
    </w:p>
    <w:p>
      <w:pPr>
        <w:spacing w:after="0" w:line="175" w:lineRule="exact"/>
        <w:rPr>
          <w:rFonts w:ascii="Courier New" w:cs="Courier New" w:eastAsia="Courier New" w:hAnsi="Courier New"/>
          <w:sz w:val="15"/>
          <w:szCs w:val="15"/>
          <w:color w:val="auto"/>
        </w:rPr>
      </w:pPr>
    </w:p>
    <w:p>
      <w:pPr>
        <w:ind w:right="3219" w:firstLine="878"/>
        <w:spacing w:after="0" w:line="239" w:lineRule="auto"/>
        <w:tabs>
          <w:tab w:leader="none" w:pos="12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or Retention of Broadband Post-Retirement Medical Plans. As of the Close of the Distribution Date, AT&amp;T Broadband shall assume or retain, as applicable:</w:t>
      </w:r>
    </w:p>
    <w:p>
      <w:pPr>
        <w:spacing w:after="0" w:line="175" w:lineRule="exact"/>
        <w:rPr>
          <w:rFonts w:ascii="Courier New" w:cs="Courier New" w:eastAsia="Courier New" w:hAnsi="Courier New"/>
          <w:sz w:val="15"/>
          <w:szCs w:val="15"/>
          <w:color w:val="auto"/>
        </w:rPr>
      </w:pPr>
    </w:p>
    <w:p>
      <w:pPr>
        <w:ind w:right="3119" w:firstLine="1233"/>
        <w:spacing w:after="0"/>
        <w:tabs>
          <w:tab w:leader="none" w:pos="159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post-retirement medical expense portion of the MediaOne Health Care Plan or any other post-retirement welfare benefit plan maintained by AT&amp;T Broadband or another Broadband Entity, and any trust or other funding arrangement established or maintained with respect to such plans, or any assets held as of the Distribution Date with respect to such plans;</w:t>
      </w:r>
    </w:p>
    <w:p>
      <w:pPr>
        <w:spacing w:after="0" w:line="174" w:lineRule="exact"/>
        <w:rPr>
          <w:rFonts w:ascii="Courier New" w:cs="Courier New" w:eastAsia="Courier New" w:hAnsi="Courier New"/>
          <w:sz w:val="15"/>
          <w:szCs w:val="15"/>
          <w:color w:val="auto"/>
        </w:rPr>
      </w:pPr>
    </w:p>
    <w:p>
      <w:pPr>
        <w:ind w:right="3219" w:firstLine="1233"/>
        <w:spacing w:after="0"/>
        <w:tabs>
          <w:tab w:leader="none" w:pos="1686"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relating to, arising out of, or resulting from claims incurred by or on behalf of any participant or their covered dependents under the MediaOne post-retirement medical expense plan or any other post-retirement welfare benefit plan maintained by AT&amp;T Broadband or another Broadband Entity.</w:t>
      </w:r>
    </w:p>
    <w:p>
      <w:pPr>
        <w:spacing w:after="0" w:line="174"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of Broadband Employees; Rule of 65. As of the Close of the Distribution Date, AT&amp;T shall amend the AT&amp;T Post-Retirement Welfare Benefits Plan, to provide that each Broadband Employee or Broadband Transferee who was an AT&amp;T management employee and was transferred or reassigned to AT&amp;T Broadband or another Broadband Entity before the Distribution Date and on or after March 9, 1999, and after attaining at least ten years of net credited service as of the date of such transfer or reassignment, shall be eligible to participate in the AT&amp;T Post-Retirement Welfare Benefits Plan, provided that the sum of such individual's age and net credited service (both expressed in days), determined as of the Distribution Date, is no less than 23,725 days (which equals the product of 65 years and 365 days per year) (referred to as the "Rule of 65"). While a Broadband Employee or a Broadband Transferee who is eligible to participate in the AT&amp;T Post-Retirement Welfare Benefits Plan is covered as an active employee under the Broadband Health and Welfare Plans, the coverage provided to such Broadband Employee or Broadband Transferee and his or her covered</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136" w:name="page137"/>
    <w:bookmarkEnd w:id="136"/>
    <w:p>
      <w:pPr>
        <w:ind w:right="3299"/>
        <w:spacing w:after="0" w:line="239" w:lineRule="auto"/>
        <w:rPr>
          <w:sz w:val="20"/>
          <w:szCs w:val="20"/>
          <w:color w:val="auto"/>
        </w:rPr>
      </w:pPr>
      <w:r>
        <w:rPr>
          <w:rFonts w:ascii="Courier New" w:cs="Courier New" w:eastAsia="Courier New" w:hAnsi="Courier New"/>
          <w:sz w:val="15"/>
          <w:szCs w:val="15"/>
          <w:color w:val="auto"/>
        </w:rPr>
        <w:t>dependents (if any) under the AT&amp;T Post-Retirement Welfare Benefits Plan shall be secondary to the coverage provided under the Broadband Health and Welfare Plans.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4.7 COBRA and HIPAA Compliance. AT&amp;T shall be responsible for administering compliance with the health care continuation requirements of COBRA, the certificate of creditable coverage requirements of HIPAA, and the corresponding provisions of the AT&amp;T Health and Welfare Plans with respect to Broadband Transferees and Broadband Employees (if any) and their covered dependents who incur a COBRA qualifying event or loss of coverage under the AT&amp;T Health and Welfare Plans at any time on or before the Close of the Distribution Date. Effective Immediately after the Distribution Date, AT&amp;T and the Communications Services Entities shall be responsible for administering compliance with the health care continuation requirements of COBRA, the certificate of creditable coverage requirements of HIPAA, and the corresponding provisions of the AT&amp;T Health and Welfare Plans with respect to AT&amp;T Employees and their covered dependents who incur a COBRA qualifying event or loss of coverage under the AT&amp;T Health and Welfare Plans at any time after the Close of the Distribution Date. Effective Immediately after the Distribution Date, AT&amp;T Broadband or another Broadband Entity shall be responsible for administering compliance with the health care continuation requirements of COBRA, the certificate of creditable coverage requirements of HIPAA, and the corresponding provisions of the Broadband Health and Welfare Plans with respect to Broadband Employees and Broadband Transferees and their covered dependents who incur a COBRA qualifying event or loss of coverage under the Broadband Health and Welfare Plans at any time after the Close of the Distribution Date. AT&amp;T shall assume or retain all Liabilities and obligations under COBRA with respect to any individual whose employment with an AT&amp;T Entity terminated prior to the Close of the Distribution Date and whose last employment with an AT&amp;T Entity was not with AT&amp;T Broadband or another Broadband Entity. AT&amp;T Broadband or another applicable Broadband Entity shall assume or retain all Liabilities and obligations under COBRA with respect to any individual whose employment with an AT&amp;T Entity terminated prior to the Close of the Distribution Date and whose last employment with an AT&amp;T Entity was with AT&amp;T Broadband or another Broadband Entity.</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4.8 Long-Term Care; Direct Pay Arrangements. As of the Close of the Distribution Date, AT&amp;T shall retain all Liabilities relating to the AT&amp;T Long-Term Care Plan for Management Employees and the AT&amp;T Long-Term Care Plan for Occupational Employees and shall take, or cause its third-party vendor or insurer to take, all such actions as are or may be reasonably necessary to enable any Broadband Transferee or Broadband Employee (if any) and his or her eligible family members covered under either the AT&amp;T Long-Term Care Plan for Management Employees or the AT&amp;T Long-Term Care Plan for Occupational Employees as of the Distribution Date to continue such coverage on a direct pay basis after the Close of the Distribution Date.</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4.9 Severance Benefits. AT&amp;T Broadband shall provide to Broadband Transferees who become eligible to receive severance benefits under the Broadband Severance Plan after the Close of the Distribution Date but prior to the first anniversary of the Distribution Date, severance payments in an amount not less than the greater of (i) the severance payment amounts that such Broadband Transferees would have received under the AT&amp;T Force Management Program as in effect on the Distribution Date as set forth in Schedule 4.9 or (ii) the severance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37" w:name="page138"/>
    <w:bookmarkEnd w:id="137"/>
    <w:p>
      <w:pPr>
        <w:ind w:right="3119"/>
        <w:spacing w:after="0"/>
        <w:rPr>
          <w:sz w:val="20"/>
          <w:szCs w:val="20"/>
          <w:color w:val="auto"/>
        </w:rPr>
      </w:pPr>
      <w:r>
        <w:rPr>
          <w:rFonts w:ascii="Courier New" w:cs="Courier New" w:eastAsia="Courier New" w:hAnsi="Courier New"/>
          <w:sz w:val="15"/>
          <w:szCs w:val="15"/>
          <w:color w:val="auto"/>
        </w:rPr>
        <w:t>payment amounts otherwise payable to Broadband Transferees under the Broadband Severance Plan as in effect on the date of termination of employment. The determination of severance payments under either the AT&amp;T Force Management Program or the Broadband Severance Plan shall take into account service with AT&amp;T prior to the Close of the Distribution Date and service with AT&amp;T Broadband or a Broadband Entity after the Close of the Distribution Date.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EXECUTIVE BENEFITS AND OTHER BENEFITS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 Individual Agreements - Assumption of Liabilities and Consents.</w:t>
      </w:r>
    </w:p>
    <w:p>
      <w:pPr>
        <w:spacing w:after="0" w:line="174" w:lineRule="exact"/>
        <w:rPr>
          <w:sz w:val="20"/>
          <w:szCs w:val="20"/>
          <w:color w:val="auto"/>
        </w:rPr>
      </w:pPr>
    </w:p>
    <w:p>
      <w:pPr>
        <w:ind w:right="3119" w:firstLine="878"/>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been providing compensation and benefits, subject to reimbursement from a Broadband Entity, to Broadband Transferees during the period those Broadband Transferees have been providing services on a substantially full-time basis to a Broadband Entity. AT&amp;T shall continue to provide such compensation and benefits through the Distribution Date (or, in the case of a Broadband Transferee on Approved Leave of Absence, until he or she becomes a Broadband Employee in accordance with Section 2.3), and be entitled to reimbursement from AT&amp;T Broadband or another Broadband Entity, in accordance with established practice and Section 6.1.</w:t>
      </w:r>
    </w:p>
    <w:p>
      <w:pPr>
        <w:spacing w:after="0" w:line="177" w:lineRule="exact"/>
        <w:rPr>
          <w:rFonts w:ascii="Courier New" w:cs="Courier New" w:eastAsia="Courier New" w:hAnsi="Courier New"/>
          <w:sz w:val="15"/>
          <w:szCs w:val="15"/>
          <w:color w:val="auto"/>
        </w:rPr>
      </w:pPr>
    </w:p>
    <w:p>
      <w:pPr>
        <w:ind w:right="3119" w:firstLine="878"/>
        <w:spacing w:after="0" w:line="259" w:lineRule="auto"/>
        <w:tabs>
          <w:tab w:leader="none" w:pos="12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Individual Agreements provide for the payment of certain compensation and benefits in the event of the termination of employment of the individual covered by the terms of such Individual Agreements. Effective as of the Close of the Distribution Date (or, in the case of Broadband Transferees on Approved Leave of Absence, the date on which such Broadband Transferee becomes employed by AT&amp;T Broadband or another Broadband Entity pursuant to Section 2.3), AT&amp;T Broadband shall assume or retain, as applicable, all Liabilities with respect to those Individual Agreements and other matters set forth on Schedule 5.1(b) to this Agreement in consideration of and with respect to services rendered to AT&amp;T Broadband or another Broadband Entity after the Distribution Date, including without limitation, payment of any compensation or benefit which is not yet due and payable pursuant to the terms of such Individual Agreement. A Broadband Transferee who is a party to an Individual Agreement, the obligations of which are assumed or retained by AT&amp;T Broadband pursuant to the provisions of this Section 5.1(b), shall not be deemed to have terminated employment in connection with or in anticipation of the consummation of the transactions contemplated by the Separation and Distribution Agreement for purposes of administering benefits under such Individual Agreement, the payment or vesting of which is conditioned upon termination of employment.</w:t>
      </w:r>
    </w:p>
    <w:p>
      <w:pPr>
        <w:spacing w:after="0" w:line="332"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Close of the Distribution Date, AT&amp;T shall retain all Liabilities with respect to any Individual Agreements between AT&amp;T and any AT&amp;T Employee (except for Individual Agreements assumed by AT&amp;T Broadband pursuant to Section 5.1(b)) in consideration of and with respect to services rendered prior to, on or after the Distribution Date, including payment of any compensation or benefits which is not yet due and payable pursuant to the terms of any such Individual Agreement.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38" w:name="page139"/>
    <w:bookmarkEnd w:id="138"/>
    <w:p>
      <w:pPr>
        <w:ind w:left="440"/>
        <w:spacing w:after="0"/>
        <w:rPr>
          <w:sz w:val="20"/>
          <w:szCs w:val="20"/>
          <w:color w:val="auto"/>
        </w:rPr>
      </w:pPr>
      <w:r>
        <w:rPr>
          <w:rFonts w:ascii="Courier New" w:cs="Courier New" w:eastAsia="Courier New" w:hAnsi="Courier New"/>
          <w:sz w:val="15"/>
          <w:szCs w:val="15"/>
          <w:color w:val="auto"/>
        </w:rPr>
        <w:t>5.2 AT&amp;T Short Term Incentive Plan and AT&amp;T Bonus Plan Award.</w:t>
      </w:r>
    </w:p>
    <w:p>
      <w:pPr>
        <w:spacing w:after="0" w:line="174" w:lineRule="exact"/>
        <w:rPr>
          <w:sz w:val="20"/>
          <w:szCs w:val="20"/>
          <w:color w:val="auto"/>
        </w:rPr>
      </w:pPr>
    </w:p>
    <w:p>
      <w:pPr>
        <w:ind w:right="3119" w:firstLine="878"/>
        <w:spacing w:after="0" w:line="259" w:lineRule="auto"/>
        <w:tabs>
          <w:tab w:leader="none" w:pos="124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AT&amp;T Broadband Board of Directors shall be responsible for determining all awards that would otherwise be payable under the AT&amp;T Short Term Incentive Plan to Broadband Transferees who are Senior Managers, and AT&amp;T Broadband shall be responsible for determining all awards that would otherwise be payable pursuant to the AT&amp;T Bonus Plan Award to Broadband Transferees who are not Senior Managers, for the Distribution Year. AT&amp;T Broadband shall also determine for Broadband Transferees (other than for Senior Managers) (i) the extent to which established performance criteria (as interpreted by AT&amp;T Broadband, in its sole discretion, after taking into account the effects of the Separation Transactions) have been met, and (ii) the payment level for each Broadband Transferee. AT&amp;T Broadband shall assume all Liabilities with respect to any such awards payable to Broadband Transferees for the Distribution Year and thereafter. Notwithstanding the foregoing, AT&amp;T Broadband shall honor the terms of Individual Agreements as set forth in Section 5.1(b).</w:t>
      </w:r>
    </w:p>
    <w:p>
      <w:pPr>
        <w:spacing w:after="0" w:line="163" w:lineRule="exact"/>
        <w:rPr>
          <w:rFonts w:ascii="Courier New" w:cs="Courier New" w:eastAsia="Courier New" w:hAnsi="Courier New"/>
          <w:sz w:val="14"/>
          <w:szCs w:val="14"/>
          <w:color w:val="auto"/>
        </w:rPr>
      </w:pPr>
    </w:p>
    <w:p>
      <w:pPr>
        <w:ind w:right="3299" w:firstLine="878"/>
        <w:spacing w:after="0" w:line="259" w:lineRule="auto"/>
        <w:tabs>
          <w:tab w:leader="none" w:pos="124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AT&amp;T Board of Directors shall be responsible for determining all awards that would otherwise be payable under the AT&amp;T Short Term Incentive Plan to AT&amp;T Employees, (excluding Broadband Transferees) who are Senior Managers, and AT&amp;T shall be responsible for determining all awards that would otherwise be payable pursuant to the AT&amp;T Bonus Plan Award to AT&amp;T Employees (excluding Broadband Transferees) who are not Senior Managers, for the Distribution Year. AT&amp;T shall also determine for AT&amp;T Employees (excluding Broadband Transferees) who are not Senior Managers (i) the extent to which established performance criteria (as interpreted by AT&amp;T, in its sole discretion, after taking into account the effects of the Separation Transactions) have been met, and (ii) the payment level for each such AT&amp;T Employee (excluding Broadband Transferees). AT&amp;T shall retain all Liabilities with respect to any such awards payable to AT&amp;T Employees for the Distribution Year and thereafter. Notwithstanding the foregoing, AT&amp;T shall honor the terms of Individual Agreements as set forth in Section 5.1(c).</w:t>
      </w:r>
    </w:p>
    <w:p>
      <w:pPr>
        <w:spacing w:after="0" w:line="33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5.3 AT&amp;T Long Term Incentive Plans. AT&amp;T and AT&amp;T Broadband shall use their reasonable best efforts to take all actions necessary or appropriate so that each outstanding award granted under any AT&amp;T Long Term Incentive Plan held by any individual shall be adjusted as set forth in this Article V.</w:t>
      </w:r>
    </w:p>
    <w:p>
      <w:pPr>
        <w:spacing w:after="0" w:line="174" w:lineRule="exact"/>
        <w:rPr>
          <w:sz w:val="20"/>
          <w:szCs w:val="20"/>
          <w:color w:val="auto"/>
        </w:rPr>
      </w:pPr>
    </w:p>
    <w:p>
      <w:pPr>
        <w:ind w:left="1240" w:hanging="362"/>
        <w:spacing w:after="0"/>
        <w:tabs>
          <w:tab w:leader="none" w:pos="12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Options Held by Current Employees.</w:t>
      </w:r>
    </w:p>
    <w:p>
      <w:pPr>
        <w:spacing w:after="0" w:line="174" w:lineRule="exact"/>
        <w:rPr>
          <w:rFonts w:ascii="Courier New" w:cs="Courier New" w:eastAsia="Courier New" w:hAnsi="Courier New"/>
          <w:sz w:val="15"/>
          <w:szCs w:val="15"/>
          <w:color w:val="auto"/>
        </w:rPr>
      </w:pPr>
    </w:p>
    <w:p>
      <w:pPr>
        <w:ind w:right="3119" w:firstLine="1233"/>
        <w:spacing w:after="0"/>
        <w:tabs>
          <w:tab w:leader="none" w:pos="1597"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determined by the Committee (as that term is defined in the AT&amp;T 1997 Long Term Incentive Program) pursuant to its authority under any of the AT&amp;T Long Term Incentive Plans, each AT&amp;T Option outstanding under any AT&amp;T Long Term Incentive Plan as of the Distribution Date that is held by an AT&amp;T Employee (other than a Broadband Transferee) shall be subject to the same terms and conditions after the Distribution as the terms and conditions applicable to such AT&amp;T Option immediately prior to the Distribution; provided, however, that from and after the Close of the Distribution (i) the number of shares of AT&amp;T Common Stock subject to such AT&amp;T Option, rounded to the nearest whole share, shall be equal to the product of (x) the number of shares of AT&amp;T Common Stock subject to such AT&amp;T Option immediately prior to the Distribution Date and (y) the quotient obtained by</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8" w:right="1440" w:bottom="1440" w:gutter="0" w:footer="0" w:header="0"/>
        </w:sectPr>
      </w:pPr>
    </w:p>
    <w:bookmarkStart w:id="139" w:name="page140"/>
    <w:bookmarkEnd w:id="139"/>
    <w:p>
      <w:pPr>
        <w:ind w:right="3119"/>
        <w:spacing w:after="0"/>
        <w:rPr>
          <w:sz w:val="20"/>
          <w:szCs w:val="20"/>
          <w:color w:val="auto"/>
        </w:rPr>
      </w:pPr>
      <w:r>
        <w:rPr>
          <w:rFonts w:ascii="Courier New" w:cs="Courier New" w:eastAsia="Courier New" w:hAnsi="Courier New"/>
          <w:sz w:val="15"/>
          <w:szCs w:val="15"/>
          <w:color w:val="auto"/>
        </w:rPr>
        <w:t>dividing the AT&amp;T Closing Stock Value by the AT&amp;T Opening Stock Value and (ii) the exercise price of such AT&amp;T Option, rounded to the nearest whole cent, shall be equal to the product of (x) the exercise price of such AT&amp;T Option immediately prior to the Distribution and (y) the quotient obtained by dividing the AT&amp;T Opening Stock Value by the AT&amp;T Closing Stock Value.</w:t>
      </w:r>
    </w:p>
    <w:p>
      <w:pPr>
        <w:spacing w:after="0" w:line="174" w:lineRule="exact"/>
        <w:rPr>
          <w:sz w:val="20"/>
          <w:szCs w:val="20"/>
          <w:color w:val="auto"/>
        </w:rPr>
      </w:pPr>
    </w:p>
    <w:p>
      <w:pPr>
        <w:ind w:right="3119" w:firstLine="1233"/>
        <w:spacing w:after="0"/>
        <w:tabs>
          <w:tab w:leader="none" w:pos="168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determined by the Committee (as that term is defined in the AT&amp;T 1997 Long Term Incentive Program) pursuant to its authority under any of the AT&amp;T Long Term Incentive Plans, each AT&amp;T Option outstanding under any AT&amp;T Long Term Incentive Plan as of the Distribution Date that is held by a Broadband Employee or a Broadband Transferee shall be converted into a Broadband Option issued pursuant to the Broadband Adjustment Plan, subject to the same terms and conditions after the Distribution as the terms and conditions applicable to such AT&amp;T Option immediately prior to the Distribution; provided, however, that from and after the Close of the Distribution (i) the number of shares of AT&amp;T Broadband Common Stock subject to such Broadband Option, rounded to the nearest whole share, shall be equal to the product of (x) the number of shares of AT&amp;T Common Stock subject to the AT&amp;T Option immediately prior to the Distribution Date and (y) the quotient obtained by dividing the AT&amp;T Closing Stock Value by the Broadband Common Stock Value, (ii) the exercise price of such Broadband Option, rounded to the nearest whole cent, shall be equal to the product of (x) the exercise price of the AT&amp;T Option immediately prior to the Distribution and (y) the quotient obtained by dividing the Broadband Common Stock Value by the AT&amp;T Closing Stock Value, and (iii) each Broadband Option shall be subject to the change in control provisions of the Broadband Adjustment Plan.</w:t>
      </w:r>
    </w:p>
    <w:p>
      <w:pPr>
        <w:spacing w:after="0" w:line="18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Options Held by Former Employees.</w:t>
      </w:r>
    </w:p>
    <w:p>
      <w:pPr>
        <w:spacing w:after="0" w:line="174" w:lineRule="exact"/>
        <w:rPr>
          <w:rFonts w:ascii="Courier New" w:cs="Courier New" w:eastAsia="Courier New" w:hAnsi="Courier New"/>
          <w:sz w:val="15"/>
          <w:szCs w:val="15"/>
          <w:color w:val="auto"/>
        </w:rPr>
      </w:pPr>
    </w:p>
    <w:p>
      <w:pPr>
        <w:ind w:right="3119" w:firstLine="1233"/>
        <w:spacing w:after="0" w:line="259" w:lineRule="auto"/>
        <w:tabs>
          <w:tab w:leader="none" w:pos="159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determined by the Committee (as that term is defined in the AT&amp;T 1997 Long Term Incentive Program) pursuant to its authority under any of the AT&amp;T Long Term Incentive Plans, each AT&amp;T Option outstanding under any AT&amp;T Long Term Incentive Plan as of the Distribution Date that is held by any individual who is not an AT&amp;T Employee, a Broadband Employee or a Broadband Transferee (a "Former Employee") shall be converted, immediately prior to the Distribution, into an adjusted AT&amp;T Option under the applicable AT&amp;T Long Term Incentive Plan and a Broadband Option under the Broadband Adjustment Plan, whereby the combined Intrinsic Value of such adjusted AT&amp;T Option and Broadband Option held by such individual immediately after the Distribution equals the Intrinsic Value of such AT&amp;T Option immediately before the Distribution.</w:t>
      </w:r>
    </w:p>
    <w:p>
      <w:pPr>
        <w:spacing w:after="0" w:line="16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(ii) The adjustment set forth in Section 5.3(b)(i) shall be made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74" w:lineRule="exact"/>
        <w:rPr>
          <w:sz w:val="20"/>
          <w:szCs w:val="20"/>
          <w:color w:val="auto"/>
        </w:rPr>
      </w:pPr>
    </w:p>
    <w:p>
      <w:pPr>
        <w:ind w:right="3119" w:firstLine="1677"/>
        <w:spacing w:after="0"/>
        <w:tabs>
          <w:tab w:leader="none" w:pos="204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of Adjusted AT&amp;T Option. The exercise price per share of AT&amp;T Common Stock subject to an adjusted AT&amp;T Option shall equal the product obtained by multiplying (a) times (b) where "(a)" equals the exercise price per share of the AT&amp;T Option with respect to which the adjustment is being made immediately before the Distribution, and "(b)" equals the quotient obtained by dividing the AT&amp;T Opening Stock Value by the AT&amp;T Closing Stock Value.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140" w:name="page141"/>
    <w:bookmarkEnd w:id="140"/>
    <w:p>
      <w:pPr>
        <w:ind w:left="9" w:right="3219" w:firstLine="1677"/>
        <w:spacing w:after="0" w:line="258" w:lineRule="auto"/>
        <w:tabs>
          <w:tab w:leader="none" w:pos="2050" w:val="left"/>
        </w:tabs>
        <w:numPr>
          <w:ilvl w:val="3"/>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of Broadband Option. The exercise price per share of AT&amp;T Broadband Stock subject to a Broadband Option issued pursuant to Section 5.3(b)(i) shall equal the product obtained by multiplying (c) times</w:t>
      </w:r>
    </w:p>
    <w:p>
      <w:pPr>
        <w:ind w:left="9" w:right="3399" w:hanging="9"/>
        <w:spacing w:after="0" w:line="239" w:lineRule="auto"/>
        <w:tabs>
          <w:tab w:leader="none" w:pos="36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"(c)" equals the exercise price per share of the AT&amp;T Option with respect to which the Broadband Option is granted immediately before the Distribution and "(d)" equals the quotient obtained by dividing the Broadband Common Stock Value by the AT&amp;T Closing Stock Value.</w:t>
      </w:r>
    </w:p>
    <w:p>
      <w:pPr>
        <w:spacing w:after="0" w:line="176" w:lineRule="exact"/>
        <w:rPr>
          <w:rFonts w:ascii="Courier New" w:cs="Courier New" w:eastAsia="Courier New" w:hAnsi="Courier New"/>
          <w:sz w:val="15"/>
          <w:szCs w:val="15"/>
          <w:color w:val="auto"/>
        </w:rPr>
      </w:pPr>
    </w:p>
    <w:p>
      <w:pPr>
        <w:ind w:left="9" w:right="3119" w:firstLine="1677"/>
        <w:spacing w:after="0"/>
        <w:tabs>
          <w:tab w:leader="none" w:pos="2050"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Subject to the Broadband Options. The number of shares of AT&amp;T Broadband Common Stock subject to a Broadband Option granted pursuant to Section 5.3(b)(i) shall equal the quotient obtained by dividing (a) by (b) where "(a)" equals the amount determined by multiplying the Intrinsic Value of the AT&amp;T Option with respect to which the adjustment is being made, based on the AT&amp;T Closing Stock Value and the exercise price per share of such AT&amp;T Option, by a fraction, the numerator of which is the Broadband Stock Value and the denominator of which is the AT&amp;T Closing Stock Value, and "(b)" equals the Intrinsic Value of an Option to purchase one share of AT&amp;T Broadband Common Stock based on the Broadband Common Stock Value and the exercise price of such Broadband Option as calculated in (B) above.</w:t>
      </w:r>
    </w:p>
    <w:p>
      <w:pPr>
        <w:spacing w:after="0" w:line="178" w:lineRule="exact"/>
        <w:rPr>
          <w:rFonts w:ascii="Courier New" w:cs="Courier New" w:eastAsia="Courier New" w:hAnsi="Courier New"/>
          <w:sz w:val="15"/>
          <w:szCs w:val="15"/>
          <w:color w:val="auto"/>
        </w:rPr>
      </w:pPr>
    </w:p>
    <w:p>
      <w:pPr>
        <w:ind w:left="9" w:right="3119" w:firstLine="1677"/>
        <w:spacing w:after="0"/>
        <w:tabs>
          <w:tab w:leader="none" w:pos="2050" w:val="left"/>
        </w:tabs>
        <w:numPr>
          <w:ilvl w:val="3"/>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Subject to Adjusted AT&amp;T Options. The number of shares of AT&amp;T Common Stock subject to an adjusted AT&amp;T Option shall equal the quotient obtained by dividing (a) by (b) where "(a)" equals (i) the Intrinsic Value of the AT&amp;T Option with respect to which the adjustment is being made, based on the AT&amp;T Closing Stock Value and the exercise price per share of such AT&amp;T Option, minus (ii) the Intrinsic Value of the Broadband Option granted pursuant to Section 5.3(b)(ii)(C) with respect to the AT&amp;T Option for which the adjustment is being made, based upon the Broadband Stock Value, and "(b)" equals the Intrinsic Value of an Option to purchase one share of AT&amp;T Common Stock based on the AT&amp;T Opening Stock Value and the exercise price of such adjusted AT&amp;T Option as set forth above.</w:t>
      </w:r>
    </w:p>
    <w:p>
      <w:pPr>
        <w:spacing w:after="0" w:line="176"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Option Terms.</w:t>
      </w:r>
    </w:p>
    <w:p>
      <w:pPr>
        <w:spacing w:after="0" w:line="174" w:lineRule="exact"/>
        <w:rPr>
          <w:rFonts w:ascii="Courier New" w:cs="Courier New" w:eastAsia="Courier New" w:hAnsi="Courier New"/>
          <w:sz w:val="15"/>
          <w:szCs w:val="15"/>
          <w:color w:val="auto"/>
        </w:rPr>
      </w:pPr>
    </w:p>
    <w:p>
      <w:pPr>
        <w:ind w:left="9" w:right="3119" w:firstLine="1233"/>
        <w:spacing w:after="0" w:line="259" w:lineRule="auto"/>
        <w:tabs>
          <w:tab w:leader="none" w:pos="1606"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and AT&amp;T Broadband acknowledge that, in the context of the Separation Transactions, the adjustment to AT&amp;T Options as set forth in this Section 5.3 will be implemented, in part, by the issuance of Broadband Options under the terms of the Broadband Adjustment Plan. Accordingly, it is intended that, to the extent of the issuance of such Broadband Options in connection with the adjustments set forth in this Section 5.3, the Broadband Adjustment Plan shall be considered a successor to the AT&amp;T Long Term Incentive Plan and to have assumed the obligation of the AT&amp;T Long Term Incentive Plan to make the adjustment of AT&amp;T Options as set forth in this Section 5.3.</w:t>
      </w:r>
    </w:p>
    <w:p>
      <w:pPr>
        <w:spacing w:after="0" w:line="166" w:lineRule="exact"/>
        <w:rPr>
          <w:rFonts w:ascii="Courier New" w:cs="Courier New" w:eastAsia="Courier New" w:hAnsi="Courier New"/>
          <w:sz w:val="14"/>
          <w:szCs w:val="14"/>
          <w:color w:val="auto"/>
        </w:rPr>
      </w:pPr>
    </w:p>
    <w:p>
      <w:pPr>
        <w:ind w:left="9" w:right="3219" w:firstLine="1233"/>
        <w:spacing w:after="0"/>
        <w:tabs>
          <w:tab w:leader="none" w:pos="1695"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Distribution Date, adjusted AT&amp;T Options, regardless of by whom held, shall be settled by AT&amp;T pursuant to the terms of the AT&amp;T Long Term Incentive Plan, and Broadband Options, regardless of by whom held, shall be settled by AT&amp;T Broadband pursuant to the terms of the Broadband Adjustment Plan.</w:t>
      </w:r>
    </w:p>
    <w:p>
      <w:pPr>
        <w:spacing w:after="0" w:line="174" w:lineRule="exact"/>
        <w:rPr>
          <w:rFonts w:ascii="Courier New" w:cs="Courier New" w:eastAsia="Courier New" w:hAnsi="Courier New"/>
          <w:sz w:val="15"/>
          <w:szCs w:val="15"/>
          <w:color w:val="auto"/>
        </w:rPr>
      </w:pPr>
    </w:p>
    <w:p>
      <w:pPr>
        <w:jc w:val="both"/>
        <w:ind w:left="9" w:right="3219" w:firstLine="1233"/>
        <w:spacing w:after="0" w:line="239" w:lineRule="auto"/>
        <w:tabs>
          <w:tab w:leader="none" w:pos="1784"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pursuant to a separate agreement between AT&amp;T and Qwest Communications International, Inc. (the "Qwest Agreement"), AT&amp;T or a</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631" w:right="1440" w:bottom="1440" w:gutter="0" w:footer="0" w:header="0"/>
        </w:sectPr>
      </w:pPr>
    </w:p>
    <w:bookmarkStart w:id="141" w:name="page142"/>
    <w:bookmarkEnd w:id="141"/>
    <w:p>
      <w:pPr>
        <w:ind w:right="3119"/>
        <w:spacing w:after="0"/>
        <w:rPr>
          <w:sz w:val="20"/>
          <w:szCs w:val="20"/>
          <w:color w:val="auto"/>
        </w:rPr>
      </w:pPr>
      <w:r>
        <w:rPr>
          <w:rFonts w:ascii="Courier New" w:cs="Courier New" w:eastAsia="Courier New" w:hAnsi="Courier New"/>
          <w:sz w:val="15"/>
          <w:szCs w:val="15"/>
          <w:color w:val="auto"/>
        </w:rPr>
        <w:t>Communications Services Entity shall claim the benefit of federal, state, and local tax deductions related to the exercise of all adjusted AT&amp;T Options after the Distribution Date and none of AT&amp;T Broadband or any Broadband Entity shall claim any such tax deductions. Except as otherwise provided pursuant to the Qwest Agreement, after the Distribution Date, AT&amp;T and the Communications Services Entities shall be responsible for the proper payroll tax treatment and the proper reporting to the appropriate governmental authorities of compensation relating to all option exercises of AT&amp;T Options.</w:t>
      </w:r>
    </w:p>
    <w:p>
      <w:pPr>
        <w:spacing w:after="0" w:line="177" w:lineRule="exact"/>
        <w:rPr>
          <w:sz w:val="20"/>
          <w:szCs w:val="20"/>
          <w:color w:val="auto"/>
        </w:rPr>
      </w:pPr>
    </w:p>
    <w:p>
      <w:pPr>
        <w:ind w:right="3219" w:firstLine="1233"/>
        <w:spacing w:after="0"/>
        <w:tabs>
          <w:tab w:leader="none" w:pos="16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Broadband Options granted pursuant to this Section 5.3 with respect to options subject to the Qwest Agreement, AT&amp;T Broadband or a Broadband Entity shall claim the benefit of federal, state and local tax deductions related to the exercise of Broadband Options after the Distribution Date and neither AT&amp;T nor any Communications Services Entity shall claim any such tax deductions. Except with respect to Broadband Options granted pursuant to this Section 5.3 with respect to options subject to the Qwest Agreement, after the Distribution Date, AT&amp;T Broadband and the Broadband Entities shall be responsible for the proper payroll tax treatment and the proper reporting to the appropriate governmental authorities of compensation relating to all option exercises of Broadband Options.</w:t>
      </w:r>
    </w:p>
    <w:p>
      <w:pPr>
        <w:spacing w:after="0" w:line="178" w:lineRule="exact"/>
        <w:rPr>
          <w:rFonts w:ascii="Courier New" w:cs="Courier New" w:eastAsia="Courier New" w:hAnsi="Courier New"/>
          <w:sz w:val="15"/>
          <w:szCs w:val="15"/>
          <w:color w:val="auto"/>
        </w:rPr>
      </w:pPr>
    </w:p>
    <w:p>
      <w:pPr>
        <w:ind w:right="3119" w:firstLine="1233"/>
        <w:spacing w:after="0" w:line="258" w:lineRule="auto"/>
        <w:tabs>
          <w:tab w:leader="none" w:pos="159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With respect to any adjusted AT&amp;T Option held by persons, other than AT&amp;T Employees, who as of the date of exercise are no longer employed by an AT&amp;T Entity, but whose last employment with an AT&amp;T Entity was with a Broadband Entity, and (B) with respect to any Broadband Option held by persons, other than Broadband Employees, who as of the date of exercise are no longer employed by an AT&amp;T Entity, but whose last employment with an AT&amp;T Entity was not with a Broadband Entity (each, a "Crossover Option"), in each case Salomon Smith Barney, or such other entity as AT&amp;T or AT&amp;T Broadband may agree, shall act as the recordkeeper for the Crossover Options; provided, however, that each of AT&amp;T and AT&amp;T Broadband shall expeditiously select and agree upon a recordkeeper so as to avoid any unreasonable expenses. If the exercise of Crossover Options is made pursuant to a broker-assisted cashless exercise through the recordkeeper in accordance with the regulations of the Federal Reserve Board, then immediately after such exercise, the recordkeeper shall sell the number of shares necessary to remit the following payments (which may be all the shares): (i) to the issuer of the option, the exercise price; and (ii) to the former employer of the option holder, the employee's share of income and payroll taxes. The recordkeeper shall thereafter remit to the option holder (i) the balance of the proceeds from the sale of all shares or (ii) the remaining whole shares and cash for any fractional shares, as applicable.</w:t>
      </w:r>
    </w:p>
    <w:p>
      <w:pPr>
        <w:spacing w:after="0" w:line="344" w:lineRule="exact"/>
        <w:rPr>
          <w:rFonts w:ascii="Courier New" w:cs="Courier New" w:eastAsia="Courier New" w:hAnsi="Courier New"/>
          <w:sz w:val="14"/>
          <w:szCs w:val="14"/>
          <w:color w:val="auto"/>
        </w:rPr>
      </w:pPr>
    </w:p>
    <w:p>
      <w:pPr>
        <w:ind w:right="3119" w:firstLine="1233"/>
        <w:spacing w:after="0" w:line="261" w:lineRule="auto"/>
        <w:tabs>
          <w:tab w:leader="none" w:pos="168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and AT&amp;T Broadband agree to act (or to take such action) with respect to such federal, state, or local tax deductions, and with respect to fulfilling the payroll tax and reporting obligations on compensation, consistent with (iii) through (v) above, as are reasonably necessary or appropriate to achieve, maintain and/or preserve such tax results.</w:t>
      </w:r>
    </w:p>
    <w:p>
      <w:pPr>
        <w:spacing w:after="0" w:line="161" w:lineRule="exact"/>
        <w:rPr>
          <w:rFonts w:ascii="Courier New" w:cs="Courier New" w:eastAsia="Courier New" w:hAnsi="Courier New"/>
          <w:sz w:val="14"/>
          <w:szCs w:val="14"/>
          <w:color w:val="auto"/>
        </w:rPr>
      </w:pPr>
    </w:p>
    <w:p>
      <w:pPr>
        <w:ind w:right="3119" w:firstLine="1233"/>
        <w:spacing w:after="0"/>
        <w:tabs>
          <w:tab w:leader="none" w:pos="177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as a result of a determination (as defined in Section 1313 of the Code) or (b) in the opinion of nationally recognized tax counsel to AT&amp;T or AT&amp;T Broadband, which opinion and tax counsel are reasonably acceptable to the other party hereto, as a result of final or pending Treasury Regulations, Internal Revenue Service announcement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142" w:name="page143"/>
    <w:bookmarkEnd w:id="142"/>
    <w:p>
      <w:pPr>
        <w:ind w:right="3119"/>
        <w:spacing w:after="0" w:line="258" w:lineRule="auto"/>
        <w:rPr>
          <w:sz w:val="20"/>
          <w:szCs w:val="20"/>
          <w:color w:val="auto"/>
        </w:rPr>
      </w:pPr>
      <w:r>
        <w:rPr>
          <w:rFonts w:ascii="Courier New" w:cs="Courier New" w:eastAsia="Courier New" w:hAnsi="Courier New"/>
          <w:sz w:val="14"/>
          <w:szCs w:val="14"/>
          <w:color w:val="auto"/>
        </w:rPr>
        <w:t>otherwise, in each case, there is a substantial likelihood that the tax deductions related to the exercise of Options under this Agreement and/or the payroll tax and reporting obligations related to the exercise of Options, will be inconsistent with all or any part of Section 5.3(c)(iii) through (vi) above, the parties shall negotiate in good faith to restructure the arrangements set forth herein so that (I) if, pursuant to the determination or opinion, a party gets a tax deduction it was not entitled to claim under the terms of this Agreement, that party shall pay over to the party entitled to claim the deduction under the terms of this Agreement, as if and for the tax year(s) recognized through a reduction in taxes due and/or the receipt of a refund in an amount equal to the lesser of (x) its tax benefit and (y) the benefit otherwise available to the party entitled to such deduction under the terms of this Agreement, as if and for the tax year(s) when such deduction would have resulted in a reduction in taxes due and/or the receipt of a refund and (II) the reporting and financial burden of the payroll taxes are, to the extent practicable, as described above. Any such amounts shall be payable within 30 days of the filing of the return in which the benefit described in (x) or (y) of the preceding sentence, whichever is later, is reflected. If the parties are unable to reach an agreement on how to restructure the arrangements set forth herein within 90 days of such determination or the receipt of the opinion of counsel described in the first sentence of this subparagraph (vii) such disagreement shall be resolved by a nationally recognized law firm or accounting firm ("Independent Third Party"), selected in a manner similar to the procedure set forth in Section 11.7(a) of the Tax Sharing Agreement, whose judgment shall be conclusive and binding upon the parties. The cost of any Independent Third Party shall be shared equally between the parties.</w:t>
      </w:r>
    </w:p>
    <w:p>
      <w:pPr>
        <w:spacing w:after="0" w:line="343" w:lineRule="exact"/>
        <w:rPr>
          <w:sz w:val="20"/>
          <w:szCs w:val="20"/>
          <w:color w:val="auto"/>
        </w:rPr>
      </w:pPr>
    </w:p>
    <w:p>
      <w:pPr>
        <w:ind w:left="1240" w:hanging="362"/>
        <w:spacing w:after="0"/>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Exercisability of Options.</w:t>
      </w:r>
    </w:p>
    <w:p>
      <w:pPr>
        <w:spacing w:after="0" w:line="174" w:lineRule="exact"/>
        <w:rPr>
          <w:rFonts w:ascii="Courier New" w:cs="Courier New" w:eastAsia="Courier New" w:hAnsi="Courier New"/>
          <w:sz w:val="15"/>
          <w:szCs w:val="15"/>
          <w:color w:val="auto"/>
        </w:rPr>
      </w:pPr>
    </w:p>
    <w:p>
      <w:pPr>
        <w:ind w:right="3119" w:firstLine="1233"/>
        <w:spacing w:after="0"/>
        <w:tabs>
          <w:tab w:leader="none" w:pos="159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adjusted AT&amp;T Option issued to an AT&amp;T Employee (other than a Broadband Transferee) as part of the adjustment to AT&amp;T Options pursuant to this Section 5.3 shall, except as specifically provided herein, be subject to the same terms and conditions set forth in the original AT&amp;T Option with respect to which the adjusted AT&amp;T Option was issued.</w:t>
      </w:r>
    </w:p>
    <w:p>
      <w:pPr>
        <w:spacing w:after="0" w:line="174" w:lineRule="exact"/>
        <w:rPr>
          <w:rFonts w:ascii="Courier New" w:cs="Courier New" w:eastAsia="Courier New" w:hAnsi="Courier New"/>
          <w:sz w:val="15"/>
          <w:szCs w:val="15"/>
          <w:color w:val="auto"/>
        </w:rPr>
      </w:pPr>
    </w:p>
    <w:p>
      <w:pPr>
        <w:ind w:right="3219" w:firstLine="1233"/>
        <w:spacing w:after="0"/>
        <w:tabs>
          <w:tab w:leader="none" w:pos="168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Option issued to a Broadband Employee or Broadband Transferee as part of the adjustment to AT&amp;T Options pursuant to this Section 5.3 shall, except as specifically provided herein, be subject to the same terms and conditions set forth in the original AT&amp;T Option with respect to which the Broadband Option was received except that each unvested Broadband Option shall be subject to the change in control provisions of the Broadband Adjustment Plan.</w:t>
      </w:r>
    </w:p>
    <w:p>
      <w:pPr>
        <w:spacing w:after="0" w:line="175" w:lineRule="exact"/>
        <w:rPr>
          <w:rFonts w:ascii="Courier New" w:cs="Courier New" w:eastAsia="Courier New" w:hAnsi="Courier New"/>
          <w:sz w:val="15"/>
          <w:szCs w:val="15"/>
          <w:color w:val="auto"/>
        </w:rPr>
      </w:pPr>
    </w:p>
    <w:p>
      <w:pPr>
        <w:ind w:right="3119" w:firstLine="1233"/>
        <w:spacing w:after="0"/>
        <w:tabs>
          <w:tab w:leader="none" w:pos="1775"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adjusted AT&amp;T Options and Broadband Options shall not be exercisable during a period beginning on a date prior to the Distribution Date determined by AT&amp;T in its sole discretion, and continuing until the AT&amp;T Opening Stock Value and the Broadband Common Stock Value are determined immediately after the Distribution, or such longer period as AT&amp;T or AT&amp;T Broadband determines necessary to implement the provisions of this Section 5.3.</w:t>
      </w:r>
    </w:p>
    <w:p>
      <w:pPr>
        <w:spacing w:after="0" w:line="175" w:lineRule="exact"/>
        <w:rPr>
          <w:rFonts w:ascii="Courier New" w:cs="Courier New" w:eastAsia="Courier New" w:hAnsi="Courier New"/>
          <w:sz w:val="15"/>
          <w:szCs w:val="15"/>
          <w:color w:val="auto"/>
        </w:rPr>
      </w:pPr>
    </w:p>
    <w:p>
      <w:pPr>
        <w:ind w:right="3399" w:firstLine="1233"/>
        <w:spacing w:after="0" w:line="239" w:lineRule="auto"/>
        <w:tabs>
          <w:tab w:leader="none" w:pos="168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Option and each AT&amp;T Option issued to any Former Employee as part of the adjustment to AT&amp;T Options pursuant to this Section 5.3 shall be subject to the same terms and conditions regarding term, vesting and other provisions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143" w:name="page144"/>
    <w:bookmarkEnd w:id="143"/>
    <w:p>
      <w:pPr>
        <w:ind w:right="3119"/>
        <w:spacing w:after="0" w:line="271" w:lineRule="auto"/>
        <w:rPr>
          <w:sz w:val="20"/>
          <w:szCs w:val="20"/>
          <w:color w:val="auto"/>
        </w:rPr>
      </w:pPr>
      <w:r>
        <w:rPr>
          <w:rFonts w:ascii="Courier New" w:cs="Courier New" w:eastAsia="Courier New" w:hAnsi="Courier New"/>
          <w:sz w:val="14"/>
          <w:szCs w:val="14"/>
          <w:color w:val="auto"/>
        </w:rPr>
        <w:t>regarding exercise as set forth in the original AT&amp;T option with respect to which the adjusted AT&amp;T Option was issued and the Broadband Option was received.</w:t>
      </w:r>
    </w:p>
    <w:p>
      <w:pPr>
        <w:spacing w:after="0" w:line="154" w:lineRule="exact"/>
        <w:rPr>
          <w:sz w:val="20"/>
          <w:szCs w:val="20"/>
          <w:color w:val="auto"/>
        </w:rPr>
      </w:pPr>
    </w:p>
    <w:p>
      <w:pPr>
        <w:ind w:right="3119" w:firstLine="878"/>
        <w:spacing w:after="0" w:line="239" w:lineRule="auto"/>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Shares. As determined by the Committee (as that term is defined in the AT&amp;T 1997 Long Term Incentive Program) pursuant to its authority under any of the AT&amp;T Long Term Incentive Plans:</w:t>
      </w:r>
    </w:p>
    <w:p>
      <w:pPr>
        <w:spacing w:after="0" w:line="175" w:lineRule="exact"/>
        <w:rPr>
          <w:rFonts w:ascii="Courier New" w:cs="Courier New" w:eastAsia="Courier New" w:hAnsi="Courier New"/>
          <w:sz w:val="15"/>
          <w:szCs w:val="15"/>
          <w:color w:val="auto"/>
        </w:rPr>
      </w:pPr>
    </w:p>
    <w:p>
      <w:pPr>
        <w:ind w:right="3219" w:firstLine="1233"/>
        <w:spacing w:after="0" w:line="239" w:lineRule="auto"/>
        <w:tabs>
          <w:tab w:leader="none" w:pos="159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AT&amp;T Participant who is the holder of an AT&amp;T Award consisting of AT&amp;T restricted shares that is outstanding as of the Distribution Date shall receive, as of the Close of the Distribution Date:</w:t>
      </w:r>
    </w:p>
    <w:p>
      <w:pPr>
        <w:spacing w:after="0" w:line="175" w:lineRule="exact"/>
        <w:rPr>
          <w:rFonts w:ascii="Courier New" w:cs="Courier New" w:eastAsia="Courier New" w:hAnsi="Courier New"/>
          <w:sz w:val="15"/>
          <w:szCs w:val="15"/>
          <w:color w:val="auto"/>
        </w:rPr>
      </w:pPr>
    </w:p>
    <w:p>
      <w:pPr>
        <w:ind w:right="3119" w:firstLine="1677"/>
        <w:spacing w:after="0" w:line="239" w:lineRule="auto"/>
        <w:tabs>
          <w:tab w:leader="none" w:pos="2041"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applicable AT&amp;T Long Term Incentive Plan for the number of stock units (valued with respect to AT&amp;T Broadband Common Stock), determined by multiplying the number of AT&amp;T restricted shares held as of the Distribution Date by the Distribution Ratio; and</w:t>
      </w:r>
    </w:p>
    <w:p>
      <w:pPr>
        <w:spacing w:after="0" w:line="176" w:lineRule="exact"/>
        <w:rPr>
          <w:rFonts w:ascii="Courier New" w:cs="Courier New" w:eastAsia="Courier New" w:hAnsi="Courier New"/>
          <w:sz w:val="15"/>
          <w:szCs w:val="15"/>
          <w:color w:val="auto"/>
        </w:rPr>
      </w:pPr>
    </w:p>
    <w:p>
      <w:pPr>
        <w:ind w:right="3119" w:firstLine="1677"/>
        <w:spacing w:after="0"/>
        <w:tabs>
          <w:tab w:leader="none" w:pos="2041"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adjusted AT&amp;T restricted shares under the applicable AT&amp;T Long Term Incentive Plan determined by dividing (a) by (b) where "(a)" equals the value of the AT&amp;T restricted shares held as of the Distribution Date, based on the AT&amp;T Closing Stock Value, reduced by the value of the stock units awarded pursuant to Section 5.3(e)(i)(A), based on the Broadband Common Stock Value, and "(b)" equals the value of a single AT&amp;T restricted share, based on the AT&amp;T Opening Stock Value.</w:t>
      </w:r>
    </w:p>
    <w:p>
      <w:pPr>
        <w:spacing w:after="0" w:line="175" w:lineRule="exact"/>
        <w:rPr>
          <w:rFonts w:ascii="Courier New" w:cs="Courier New" w:eastAsia="Courier New" w:hAnsi="Courier New"/>
          <w:sz w:val="15"/>
          <w:szCs w:val="15"/>
          <w:color w:val="auto"/>
        </w:rPr>
      </w:pPr>
    </w:p>
    <w:p>
      <w:pPr>
        <w:ind w:right="3119" w:firstLine="1233"/>
        <w:spacing w:after="0" w:line="239" w:lineRule="auto"/>
        <w:tabs>
          <w:tab w:leader="none" w:pos="1686"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Participant holding an AT&amp;T Award consisting of AT&amp;T restricted shares outstanding as of the Distribution Date shall receive, as of the Close of the Distribution Date:</w:t>
      </w:r>
    </w:p>
    <w:p>
      <w:pPr>
        <w:spacing w:after="0" w:line="175" w:lineRule="exact"/>
        <w:rPr>
          <w:rFonts w:ascii="Courier New" w:cs="Courier New" w:eastAsia="Courier New" w:hAnsi="Courier New"/>
          <w:sz w:val="15"/>
          <w:szCs w:val="15"/>
          <w:color w:val="auto"/>
        </w:rPr>
      </w:pPr>
    </w:p>
    <w:p>
      <w:pPr>
        <w:ind w:right="3119" w:firstLine="1677"/>
        <w:spacing w:after="0" w:line="262" w:lineRule="auto"/>
        <w:tabs>
          <w:tab w:leader="none" w:pos="2041"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under the Broadband Adjustment Plan for a number of AT&amp;T Broadband restricted shares (valued with respect to AT&amp;T Broadband Common Stock) determined by multiplying the number of AT&amp;T restricted shares held as of the Distribution Date by the Distribution Ratio; and</w:t>
      </w:r>
    </w:p>
    <w:p>
      <w:pPr>
        <w:spacing w:after="0" w:line="160" w:lineRule="exact"/>
        <w:rPr>
          <w:rFonts w:ascii="Courier New" w:cs="Courier New" w:eastAsia="Courier New" w:hAnsi="Courier New"/>
          <w:sz w:val="14"/>
          <w:szCs w:val="14"/>
          <w:color w:val="auto"/>
        </w:rPr>
      </w:pPr>
    </w:p>
    <w:p>
      <w:pPr>
        <w:ind w:right="3119" w:firstLine="1677"/>
        <w:spacing w:after="0"/>
        <w:tabs>
          <w:tab w:leader="none" w:pos="2041"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Broadband Adjustment Plan for a number of AT&amp;T restricted shares, determined by dividing (a) by (b) where "(a)" equals the value of the AT&amp;T restricted shares held as of the Distribution Date, based on the AT&amp;T Closing Stock Value, reduced by the value of the AT&amp;T Broadband restricted shares awarded pursuant to Section 5.3(e)(ii)(A), based on the Broadband Common Stock Value, and "(b)" equals the value of a single AT&amp;T stock unit, based on the AT&amp;T Opening Stock Value.</w:t>
      </w:r>
    </w:p>
    <w:p>
      <w:pPr>
        <w:spacing w:after="0" w:line="175" w:lineRule="exact"/>
        <w:rPr>
          <w:rFonts w:ascii="Courier New" w:cs="Courier New" w:eastAsia="Courier New" w:hAnsi="Courier New"/>
          <w:sz w:val="15"/>
          <w:szCs w:val="15"/>
          <w:color w:val="auto"/>
        </w:rPr>
      </w:pPr>
    </w:p>
    <w:p>
      <w:pPr>
        <w:ind w:right="3119" w:firstLine="1233"/>
        <w:spacing w:after="0"/>
        <w:tabs>
          <w:tab w:leader="none" w:pos="1775"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Participant shall continue to vest or satisfy service requirements with respect to his or her Broadband Award of restricted shares under the Broadband Adjustment Plan and shall continue to vest in his or her adjusted AT&amp;T restricted shares under the AT&amp;T Long-Term Incentive Plan during his or her employment with AT&amp;T Broadband or another Broadband Entity and shall continue to be subject to the same terms and conditions of the original AT&amp;T restricted share award, except: (A) employment with AT&amp;T Broadband or another Broadband Entity shall be treated as continued employment, (B) any term of such award with respect to a change in control of AT&amp;T shall be modified to refer to a change in control of AT&amp;T Broadband; and (C) with respect to restricted shares granted pursuant to</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144" w:name="page145"/>
    <w:bookmarkEnd w:id="144"/>
    <w:p>
      <w:pPr>
        <w:ind w:right="3119"/>
        <w:spacing w:after="0" w:line="239" w:lineRule="auto"/>
        <w:rPr>
          <w:sz w:val="20"/>
          <w:szCs w:val="20"/>
          <w:color w:val="auto"/>
        </w:rPr>
      </w:pPr>
      <w:r>
        <w:rPr>
          <w:rFonts w:ascii="Courier New" w:cs="Courier New" w:eastAsia="Courier New" w:hAnsi="Courier New"/>
          <w:sz w:val="15"/>
          <w:szCs w:val="15"/>
          <w:color w:val="auto"/>
        </w:rPr>
        <w:t>Section 5.3(e)(ii)(A) (the value of which is determined by reference to the underlying value of AT&amp;T Broadband Common Stock), dividend equivalents paid with respect to any such award shall be payable after the Distribution Date with reference to dividends on AT&amp;T Broadband Common Stock, if any.</w:t>
      </w:r>
    </w:p>
    <w:p>
      <w:pPr>
        <w:spacing w:after="0" w:line="176" w:lineRule="exact"/>
        <w:rPr>
          <w:sz w:val="20"/>
          <w:szCs w:val="20"/>
          <w:color w:val="auto"/>
        </w:rPr>
      </w:pPr>
    </w:p>
    <w:p>
      <w:pPr>
        <w:ind w:right="3119" w:firstLine="1233"/>
        <w:spacing w:after="0"/>
        <w:tabs>
          <w:tab w:leader="none" w:pos="168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AT&amp;T Participant shall continue to vest or satisfy service requirements with respect to his or her award of AT&amp;T Award of restricted shares and stock units under the AT&amp;T Long Term Incentive Plan in accordance with the terms and conditions of the original AT&amp;T restricted share award with respect to which the AT&amp;T Award of restricted shares and stock units are issued, except: (A) each such award shall be settled by AT&amp;T or a Communications Services Entity in accordance with the terms of such award and the applicable AT&amp;T Long Term Incentive Plan; and (B) with respect to stock units granted pursuant to Section 5.3(e)(i)(A) (the value of which is determined by reference to the underlying value of AT&amp;T Broadband Common Stock), dividend equivalents paid with respect to any such award shall be payable after the Distribution Date with reference to dividends on AT&amp;T Broadband Common Stock, if any.</w:t>
      </w:r>
    </w:p>
    <w:p>
      <w:pPr>
        <w:spacing w:after="0" w:line="180" w:lineRule="exact"/>
        <w:rPr>
          <w:rFonts w:ascii="Courier New" w:cs="Courier New" w:eastAsia="Courier New" w:hAnsi="Courier New"/>
          <w:sz w:val="15"/>
          <w:szCs w:val="15"/>
          <w:color w:val="auto"/>
        </w:rPr>
      </w:pPr>
    </w:p>
    <w:p>
      <w:pPr>
        <w:jc w:val="both"/>
        <w:ind w:right="3399" w:firstLine="878"/>
        <w:spacing w:after="0" w:line="239" w:lineRule="auto"/>
        <w:tabs>
          <w:tab w:leader="none" w:pos="124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Units. As determined by the Committee (as that term is defined in the AT&amp;T 1997 Long Term Incentive Program) pursuant to its authority under any of the AT&amp;T Long Term Incentive Plans:</w:t>
      </w:r>
    </w:p>
    <w:p>
      <w:pPr>
        <w:spacing w:after="0" w:line="175" w:lineRule="exact"/>
        <w:rPr>
          <w:rFonts w:ascii="Courier New" w:cs="Courier New" w:eastAsia="Courier New" w:hAnsi="Courier New"/>
          <w:sz w:val="15"/>
          <w:szCs w:val="15"/>
          <w:color w:val="auto"/>
        </w:rPr>
      </w:pPr>
    </w:p>
    <w:p>
      <w:pPr>
        <w:ind w:right="3659" w:firstLine="1233"/>
        <w:spacing w:after="0" w:line="264" w:lineRule="auto"/>
        <w:tabs>
          <w:tab w:leader="none" w:pos="159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AT&amp;T Participant who is the holder of an AT&amp;T Award consisting of AT&amp;T restricted stock units that is outstanding as of the Distribution Date shall receive, as of the Close of the Distribution Date:</w:t>
      </w:r>
    </w:p>
    <w:p>
      <w:pPr>
        <w:spacing w:after="0" w:line="159" w:lineRule="exact"/>
        <w:rPr>
          <w:rFonts w:ascii="Courier New" w:cs="Courier New" w:eastAsia="Courier New" w:hAnsi="Courier New"/>
          <w:sz w:val="14"/>
          <w:szCs w:val="14"/>
          <w:color w:val="auto"/>
        </w:rPr>
      </w:pPr>
    </w:p>
    <w:p>
      <w:pPr>
        <w:ind w:right="3119" w:firstLine="1677"/>
        <w:spacing w:after="0" w:line="239" w:lineRule="auto"/>
        <w:tabs>
          <w:tab w:leader="none" w:pos="2041"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applicable AT&amp;T Long Term Incentive Plan for the number of stock units (valued with respect to AT&amp;T Broadband Common Stock), determined by multiplying the number of AT&amp;T restricted stock units held as of the Distribution Date by the Distribution Ratio; and</w:t>
      </w:r>
    </w:p>
    <w:p>
      <w:pPr>
        <w:spacing w:after="0" w:line="176" w:lineRule="exact"/>
        <w:rPr>
          <w:rFonts w:ascii="Courier New" w:cs="Courier New" w:eastAsia="Courier New" w:hAnsi="Courier New"/>
          <w:sz w:val="15"/>
          <w:szCs w:val="15"/>
          <w:color w:val="auto"/>
        </w:rPr>
      </w:pPr>
    </w:p>
    <w:p>
      <w:pPr>
        <w:ind w:right="3299" w:firstLine="1677"/>
        <w:spacing w:after="0"/>
        <w:tabs>
          <w:tab w:leader="none" w:pos="2041"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of adjusted AT&amp;T restricted stock units under the applicable AT&amp;T Long Term Incentive Plan determined by dividing (a) by (b) where "(a)" equals the value of the AT&amp;T restricted stock units held as of the Distribution Date, based on the AT&amp;T Closing Stock Value, reduced by the value of the stock units awarded pursuant to Section 5.3(f)(i)(A), based on the Broadband Common Stock Value, and "(b)" equals the value of a single AT&amp;T restricted stock unit, based on the AT&amp;T Opening Stock Value.</w:t>
      </w:r>
    </w:p>
    <w:p>
      <w:pPr>
        <w:spacing w:after="0" w:line="175" w:lineRule="exact"/>
        <w:rPr>
          <w:rFonts w:ascii="Courier New" w:cs="Courier New" w:eastAsia="Courier New" w:hAnsi="Courier New"/>
          <w:sz w:val="15"/>
          <w:szCs w:val="15"/>
          <w:color w:val="auto"/>
        </w:rPr>
      </w:pPr>
    </w:p>
    <w:p>
      <w:pPr>
        <w:ind w:right="3299" w:firstLine="1233"/>
        <w:spacing w:after="0" w:line="239" w:lineRule="auto"/>
        <w:tabs>
          <w:tab w:leader="none" w:pos="168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Participant holding an AT&amp;T Award consisting of AT&amp;T restricted stock units outstanding as of the Distribution Date shall receive, as of the Close of the Distribution Date:</w:t>
      </w:r>
    </w:p>
    <w:p>
      <w:pPr>
        <w:spacing w:after="0" w:line="175" w:lineRule="exact"/>
        <w:rPr>
          <w:rFonts w:ascii="Courier New" w:cs="Courier New" w:eastAsia="Courier New" w:hAnsi="Courier New"/>
          <w:sz w:val="15"/>
          <w:szCs w:val="15"/>
          <w:color w:val="auto"/>
        </w:rPr>
      </w:pPr>
    </w:p>
    <w:p>
      <w:pPr>
        <w:ind w:right="3119" w:firstLine="1677"/>
        <w:spacing w:after="0" w:line="262" w:lineRule="auto"/>
        <w:tabs>
          <w:tab w:leader="none" w:pos="2041"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under the Broadband Adjustment Plan for a number of AT&amp;T Broadband restricted stock units (valued with respect to AT&amp;T Broadband Common Stock) determined by multiplying the number of AT&amp;T restricted stock units held as of the Distribution Date by the Distribution Ratio; and</w:t>
      </w:r>
    </w:p>
    <w:p>
      <w:pPr>
        <w:spacing w:after="0" w:line="160" w:lineRule="exact"/>
        <w:rPr>
          <w:rFonts w:ascii="Courier New" w:cs="Courier New" w:eastAsia="Courier New" w:hAnsi="Courier New"/>
          <w:sz w:val="14"/>
          <w:szCs w:val="14"/>
          <w:color w:val="auto"/>
        </w:rPr>
      </w:pPr>
    </w:p>
    <w:p>
      <w:pPr>
        <w:ind w:right="3119" w:firstLine="1677"/>
        <w:spacing w:after="0" w:line="239" w:lineRule="auto"/>
        <w:tabs>
          <w:tab w:leader="none" w:pos="2041"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Broadband Adjustment Plan for a number of stock units (valued with respect to AT&amp;T Common Stock), determined by dividing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45" w:name="page146"/>
    <w:bookmarkEnd w:id="145"/>
    <w:p>
      <w:pPr>
        <w:ind w:left="9" w:right="3219" w:hanging="9"/>
        <w:spacing w:after="0"/>
        <w:tabs>
          <w:tab w:leader="none" w:pos="36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 where "(a)" equals the value of the AT&amp;T restricted stock units held as of the Distribution Date, based on the AT&amp;T Closing Stock Value, reduced by the value of the AT&amp;T Broadband restricted stock units awarded pursuant to Section 5.3(f)(ii)(A), based on the Broadband Common Stock Value, and "(b)" equals the value of a single AT&amp;T stock unit, based on the AT&amp;T Opening Stock Value.</w:t>
      </w:r>
    </w:p>
    <w:p>
      <w:pPr>
        <w:spacing w:after="0" w:line="175" w:lineRule="exact"/>
        <w:rPr>
          <w:rFonts w:ascii="Courier New" w:cs="Courier New" w:eastAsia="Courier New" w:hAnsi="Courier New"/>
          <w:sz w:val="15"/>
          <w:szCs w:val="15"/>
          <w:color w:val="auto"/>
        </w:rPr>
      </w:pPr>
    </w:p>
    <w:p>
      <w:pPr>
        <w:ind w:left="9" w:right="3119" w:firstLine="1233"/>
        <w:spacing w:after="0"/>
        <w:tabs>
          <w:tab w:leader="none" w:pos="1784"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Participant shall continue to vest or satisfy service requirements with respect to his or her Broadband Award of restricted stock units and stock units under the Broadband Adjustment Plan in accordance with the terms and conditions of the original AT&amp;T restricted stock unit award with respect to which the Broadband Award of restricted stock units and stock units are issued, except: (A) any term of such award with respect to a change in control of AT&amp;T shall be modified to refer to a change in control of AT&amp;T Broadband; (B) with respect to restricted stock units granted pursuant to Section 5.3(f)(ii)(A) (the value of which is determined by reference to the underlying value of AT&amp;T Broadband Common Stock), dividend equivalents paid with respect to any such award shall be payable after the Distribution Date with reference to dividends on AT&amp;T Broadband Common Stock, if any; and (C) each such award shall be settled by AT&amp;T Broadband or another Broadband Entity in accordance with the terms of such award and the Broadband Adjustment Plan.</w:t>
      </w:r>
    </w:p>
    <w:p>
      <w:pPr>
        <w:spacing w:after="0" w:line="181" w:lineRule="exact"/>
        <w:rPr>
          <w:rFonts w:ascii="Courier New" w:cs="Courier New" w:eastAsia="Courier New" w:hAnsi="Courier New"/>
          <w:sz w:val="15"/>
          <w:szCs w:val="15"/>
          <w:color w:val="auto"/>
        </w:rPr>
      </w:pPr>
    </w:p>
    <w:p>
      <w:pPr>
        <w:ind w:left="9" w:right="3119" w:firstLine="1233"/>
        <w:spacing w:after="0"/>
        <w:tabs>
          <w:tab w:leader="none" w:pos="1695"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AT&amp;T Participant shall continue to vest or satisfy service requirements with respect to his or her award of AT&amp;T Award of restricted stock units and stock units under the AT&amp;T Long Term Incentive Plan in accordance with the terms and conditions of the original AT&amp;T restricted stock unit award with respect to which the AT&amp;T Award of restricted stock units and stock units are issued, except: (A) each such award shall be settled by AT&amp;T or a Communications Services Entity in accordance with the terms of such award and the applicable AT&amp;T Long Term Incentive Plan; and (B) with respect to stock units granted pursuant to Section 5.3(f)(i)(A) (the value of which is determined by reference to the underlying value of AT&amp;T Broadband Common Stock), dividend equivalents paid with respect to any such award shall be payable after the Distribution Date with reference to dividends on AT&amp;T Broadband Common Stock, if any</w:t>
      </w:r>
    </w:p>
    <w:p>
      <w:pPr>
        <w:spacing w:after="0" w:line="180" w:lineRule="exact"/>
        <w:rPr>
          <w:rFonts w:ascii="Courier New" w:cs="Courier New" w:eastAsia="Courier New" w:hAnsi="Courier New"/>
          <w:sz w:val="15"/>
          <w:szCs w:val="15"/>
          <w:color w:val="auto"/>
        </w:rPr>
      </w:pPr>
    </w:p>
    <w:p>
      <w:pPr>
        <w:ind w:left="9" w:right="3299" w:firstLine="878"/>
        <w:spacing w:after="0" w:line="239"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 As determined by the Committee (as that term is defined in the AT&amp;T 1997 Long Term Incentive Program) pursuant to its authority under any of the AT&amp;T Long Term Incentive Plans:</w:t>
      </w:r>
    </w:p>
    <w:p>
      <w:pPr>
        <w:spacing w:after="0" w:line="175" w:lineRule="exact"/>
        <w:rPr>
          <w:rFonts w:ascii="Courier New" w:cs="Courier New" w:eastAsia="Courier New" w:hAnsi="Courier New"/>
          <w:sz w:val="15"/>
          <w:szCs w:val="15"/>
          <w:color w:val="auto"/>
        </w:rPr>
      </w:pPr>
    </w:p>
    <w:p>
      <w:pPr>
        <w:ind w:left="9" w:right="3219" w:firstLine="1233"/>
        <w:spacing w:after="0" w:line="239" w:lineRule="auto"/>
        <w:tabs>
          <w:tab w:leader="none" w:pos="160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AT&amp;T Participant who is the holder of an AT&amp;T Award consisting of AT&amp;T performance shares for any open cycle that is outstanding as of the Distribution Date shall receive, as of the Close of the Distribution Date:</w:t>
      </w:r>
    </w:p>
    <w:p>
      <w:pPr>
        <w:spacing w:after="0" w:line="176" w:lineRule="exact"/>
        <w:rPr>
          <w:rFonts w:ascii="Courier New" w:cs="Courier New" w:eastAsia="Courier New" w:hAnsi="Courier New"/>
          <w:sz w:val="15"/>
          <w:szCs w:val="15"/>
          <w:color w:val="auto"/>
        </w:rPr>
      </w:pPr>
    </w:p>
    <w:p>
      <w:pPr>
        <w:ind w:left="9" w:right="3119" w:firstLine="1677"/>
        <w:spacing w:after="0" w:line="239" w:lineRule="auto"/>
        <w:tabs>
          <w:tab w:leader="none" w:pos="2050"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applicable AT&amp;T Long Term Incentive Plan for the number of stock units (valued with respect to AT&amp;T Broadband Common Stock), determined by multiplying the number of AT&amp;T performance shares held as of the Distribution Date by the Distribution Ratio; and</w:t>
      </w:r>
    </w:p>
    <w:p>
      <w:pPr>
        <w:spacing w:after="0" w:line="176" w:lineRule="exact"/>
        <w:rPr>
          <w:rFonts w:ascii="Courier New" w:cs="Courier New" w:eastAsia="Courier New" w:hAnsi="Courier New"/>
          <w:sz w:val="15"/>
          <w:szCs w:val="15"/>
          <w:color w:val="auto"/>
        </w:rPr>
      </w:pPr>
    </w:p>
    <w:p>
      <w:pPr>
        <w:ind w:left="9" w:right="3119" w:firstLine="1677"/>
        <w:spacing w:after="0" w:line="239" w:lineRule="auto"/>
        <w:tabs>
          <w:tab w:leader="none" w:pos="2050"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adjusted award of AT&amp;T performance shares under the applicable AT&amp;T Long Term Incentive Plan for a number of AT&amp;T performance shares (valued with respect to AT&amp;T Common Stock) determined by dividing (a) by (b) where "(a)" equals the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8"/>
          </w:cols>
          <w:pgMar w:left="231" w:top="631" w:right="1440" w:bottom="1440" w:gutter="0" w:footer="0" w:header="0"/>
        </w:sectPr>
      </w:pPr>
    </w:p>
    <w:bookmarkStart w:id="146" w:name="page147"/>
    <w:bookmarkEnd w:id="146"/>
    <w:p>
      <w:pPr>
        <w:ind w:right="3119"/>
        <w:spacing w:after="0"/>
        <w:rPr>
          <w:sz w:val="20"/>
          <w:szCs w:val="20"/>
          <w:color w:val="auto"/>
        </w:rPr>
      </w:pPr>
      <w:r>
        <w:rPr>
          <w:rFonts w:ascii="Courier New" w:cs="Courier New" w:eastAsia="Courier New" w:hAnsi="Courier New"/>
          <w:sz w:val="15"/>
          <w:szCs w:val="15"/>
          <w:color w:val="auto"/>
        </w:rPr>
        <w:t>value of the AT&amp;T performance shares held as of the Distribution Date, based on the AT&amp;T Closing Stock Value, reduced by the value of the stock units awarded pursuant to Section 5.3(g)(i)(A), based on the Broadband Common Stock Value, and "(b)" equals the value of a single AT&amp;T performance share, based on the AT&amp;T Opening Stock Value.</w:t>
      </w:r>
    </w:p>
    <w:p>
      <w:pPr>
        <w:spacing w:after="0" w:line="174" w:lineRule="exact"/>
        <w:rPr>
          <w:sz w:val="20"/>
          <w:szCs w:val="20"/>
          <w:color w:val="auto"/>
        </w:rPr>
      </w:pPr>
    </w:p>
    <w:p>
      <w:pPr>
        <w:ind w:right="3299" w:firstLine="1233"/>
        <w:spacing w:after="0" w:line="264" w:lineRule="auto"/>
        <w:tabs>
          <w:tab w:leader="none" w:pos="168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Broadband Participant holding an AT&amp;T Award consisting of AT&amp;T performance shares for any open cycle that is outstanding as of the Distribution Date shall receive, as of the Close of the Distribution Date:</w:t>
      </w:r>
    </w:p>
    <w:p>
      <w:pPr>
        <w:spacing w:after="0" w:line="159" w:lineRule="exact"/>
        <w:rPr>
          <w:rFonts w:ascii="Courier New" w:cs="Courier New" w:eastAsia="Courier New" w:hAnsi="Courier New"/>
          <w:sz w:val="14"/>
          <w:szCs w:val="14"/>
          <w:color w:val="auto"/>
        </w:rPr>
      </w:pPr>
    </w:p>
    <w:p>
      <w:pPr>
        <w:ind w:right="3119" w:firstLine="1677"/>
        <w:spacing w:after="0" w:line="262" w:lineRule="auto"/>
        <w:tabs>
          <w:tab w:leader="none" w:pos="204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under the Broadband Adjustment Plan for a number of AT&amp;T Broadband performance shares (valued with respect to AT&amp;T Broadband Common Stock) determined by multiplying the number of AT&amp;T performance shares held as of the Distribution Date by the Distribution Ratio; and</w:t>
      </w:r>
    </w:p>
    <w:p>
      <w:pPr>
        <w:spacing w:after="0" w:line="160" w:lineRule="exact"/>
        <w:rPr>
          <w:rFonts w:ascii="Courier New" w:cs="Courier New" w:eastAsia="Courier New" w:hAnsi="Courier New"/>
          <w:sz w:val="14"/>
          <w:szCs w:val="14"/>
          <w:color w:val="auto"/>
        </w:rPr>
      </w:pPr>
    </w:p>
    <w:p>
      <w:pPr>
        <w:ind w:right="3119" w:firstLine="1677"/>
        <w:spacing w:after="0"/>
        <w:tabs>
          <w:tab w:leader="none" w:pos="2041"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under the Broadband Adjustment Plan for a number of stock units (valued with respect to AT&amp;T Common Stock), determined by dividing (a) by (b) where "(a)" equals the value of the AT&amp;T performance shares held as of the Distribution Date, based on the AT&amp;T Closing Stock Value, reduced by the value of the AT&amp;T Broadband performance shares awarded pursuant to Section 5.3(g)(ii)(A), based on the Broadband Common Stock Value, and "(b)" equals the value of a single AT&amp;T stock unit, based on the AT&amp;T Opening Stock Value.</w:t>
      </w:r>
    </w:p>
    <w:p>
      <w:pPr>
        <w:spacing w:after="0" w:line="176" w:lineRule="exact"/>
        <w:rPr>
          <w:rFonts w:ascii="Courier New" w:cs="Courier New" w:eastAsia="Courier New" w:hAnsi="Courier New"/>
          <w:sz w:val="15"/>
          <w:szCs w:val="15"/>
          <w:color w:val="auto"/>
        </w:rPr>
      </w:pPr>
    </w:p>
    <w:p>
      <w:pPr>
        <w:ind w:right="3119" w:firstLine="1233"/>
        <w:spacing w:after="0" w:line="258" w:lineRule="auto"/>
        <w:tabs>
          <w:tab w:leader="none" w:pos="1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Broadband Participant shall continue to vest or satisfy service requirements with respect to his or her Broadband Award of adjusted performance shares and stock units under the Broadband Adjustment Plan in accordance with the terms and conditions of the original AT&amp;T performance share award with respect to which the adjusted performance shares and stock units are issued, except: (A) any term of such award with respect to a change in control of AT&amp;T shall be modified to refer to a change in control of AT&amp;T Broadband; (B) the value and performance criteria of AT&amp;T Broadband performance shares held by a Broadband Participant will be based on the underlying value of a share of AT&amp;T Broadband Common Stock and performance measures as determined by the Compensation and Employee Benefits Committee of the AT&amp;T Broadband Board of Directors (or its successor) from time to time; (C) each stock unit awarded pursuant to Section 5.3(g)(ii)(B) shall be deemed earned at 100% of target, valued by reference to the underlying value of a share of AT&amp;T Common Stock; (D) with respect to performance shares granted pursuant to Section 5.3(g)(ii)(A) (the value of which is determined by reference to the underlying value of AT&amp;T Broadband Common Stock), dividend equivalents paid with respect to any such award shall be payable after the Distribution Date with reference to dividends on AT&amp;T Broadband Common Stock, if any; and (E) each such award shall be settled by AT&amp;T Broadband or another Broadband Entity in accordance with the terms of such award and the Broadband Adjustment Plan.</w:t>
      </w:r>
    </w:p>
    <w:p>
      <w:pPr>
        <w:spacing w:after="0" w:line="344" w:lineRule="exact"/>
        <w:rPr>
          <w:rFonts w:ascii="Courier New" w:cs="Courier New" w:eastAsia="Courier New" w:hAnsi="Courier New"/>
          <w:sz w:val="14"/>
          <w:szCs w:val="14"/>
          <w:color w:val="auto"/>
        </w:rPr>
      </w:pPr>
    </w:p>
    <w:p>
      <w:pPr>
        <w:ind w:right="3219" w:firstLine="1233"/>
        <w:spacing w:after="0" w:line="260" w:lineRule="auto"/>
        <w:tabs>
          <w:tab w:leader="none" w:pos="168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AT&amp;T Participant shall continue to vest or satisfy service requirements with respect to his or her award of adjusted performance shares and stock units under the AT&amp;T Long Term Incentive Plan in accordance with the terms and conditions of the original AT&amp;T performance share award with respect to which the adjusted performance shares and stock units are issued, except: (A) the value and performance criteria of AT&amp;T performance shares held by an AT&amp;T Participant will be based on the underlying value of a share of AT&amp;T</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47" w:name="page148"/>
    <w:bookmarkEnd w:id="147"/>
    <w:p>
      <w:pPr>
        <w:ind w:right="3119"/>
        <w:spacing w:after="0" w:line="259" w:lineRule="auto"/>
        <w:rPr>
          <w:sz w:val="20"/>
          <w:szCs w:val="20"/>
          <w:color w:val="auto"/>
        </w:rPr>
      </w:pPr>
      <w:r>
        <w:rPr>
          <w:rFonts w:ascii="Courier New" w:cs="Courier New" w:eastAsia="Courier New" w:hAnsi="Courier New"/>
          <w:sz w:val="14"/>
          <w:szCs w:val="14"/>
          <w:color w:val="auto"/>
        </w:rPr>
        <w:t>Common Stock after the Distribution and performance measures as determined by the Compensation and Employee Benefits Committee of the AT&amp;T Board of Directors (or its successor) from time to time; (B) each stock unit issued pursuant to Section 5.3(g)(i)(A) shall be deemed earned at 100% of target, valued by reference to the underlying value of a share of AT&amp;T Broadband Common Stock; (C) each such award shall be settled by AT&amp;T or a Communications Services Entity in accordance with the terms of such award and the applicable AT&amp;T Long Term Incentive Plan; and (D) with respect to stock units granted pursuant to Section 5.3(g)(i)(A) (the value of which is determined by reference to the underlying value of AT&amp;T Broadband Common Stock), dividend equivalents paid with respect to any such award shall be payable after the Distribution Date with reference to dividends on AT&amp;T Broadband Common Stock, if any.</w:t>
      </w:r>
    </w:p>
    <w:p>
      <w:pPr>
        <w:spacing w:after="0" w:line="165" w:lineRule="exact"/>
        <w:rPr>
          <w:sz w:val="20"/>
          <w:szCs w:val="20"/>
          <w:color w:val="auto"/>
        </w:rPr>
      </w:pPr>
    </w:p>
    <w:p>
      <w:pPr>
        <w:ind w:right="3119" w:firstLine="878"/>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Interests in Shares or Stock Units. To the extent that any adjustment in stock options, performance shares, stock units, restricted stock, or restricted stock units results in any fractional interest in shares (or stock units), normal rounding principles shall be applied such that adjustments resulting in a fractional interest of .5 or greater will be rounded up to the nearest whole share or unit and adjustments resulting in a fractional interest of less than .5 will be rounded down to the nearest whole share or unit. No fractional interests in shares or stock units shall be payable in cash or otherwise.</w:t>
      </w:r>
    </w:p>
    <w:p>
      <w:pPr>
        <w:spacing w:after="0" w:line="177" w:lineRule="exact"/>
        <w:rPr>
          <w:rFonts w:ascii="Courier New" w:cs="Courier New" w:eastAsia="Courier New" w:hAnsi="Courier New"/>
          <w:sz w:val="15"/>
          <w:szCs w:val="15"/>
          <w:color w:val="auto"/>
        </w:rPr>
      </w:pPr>
    </w:p>
    <w:p>
      <w:pPr>
        <w:ind w:right="3299" w:firstLine="878"/>
        <w:spacing w:after="0" w:line="259" w:lineRule="auto"/>
        <w:tabs>
          <w:tab w:leader="none" w:pos="124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Foreign Grants/Awards. AT&amp;T and AT&amp;T Broadband shall use their best efforts to preserve the value and tax treatment accorded incentive stock options awarded under the AT&amp;T Long Term Incentive Plan, and to preserve the value and tax treatment accorded grants/awards provided to non-U.S. employees under any domestic or foreign equity-based incentive program sponsored by an AT&amp;T Entity. The parties hereby delegate to the AT&amp;T Executive Vice President-Human Resources, for periods before the Distribution Date, the authority to determine an appropriate methodology for adjusting such grants or awards in a manner that is, to the extent possible, consistent with the treatment of such awards and grants for U.S. employees.</w:t>
      </w:r>
    </w:p>
    <w:p>
      <w:pPr>
        <w:spacing w:after="0" w:line="165"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Enforcement. Notwithstanding the provisions of Section 6.3 of this Agreement or any provision of any other Ancillary Agreement (as defined in the Separation and Distribution Agreement) or the Merger Agreement, any individual who, immediately prior to the Distribution is a holder of an AT&amp;T Option, a grant of AT&amp;T restricted stock, restricted stock units, performance shares or stock units, shall have the right in his or her individual capacity to enforce the provisions of this Section 5.3, subject to the provisions of Section 5.5.</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5.4 AT&amp;T Employee Stock Purchase Plan. In accordance with the AT&amp;T Employee Stock Purchase Plan, AT&amp;T shall cause (a) all amounts credited to the "Periodic Deposit Account" of each Broadband Transferee and each Broadband Employee under the AT&amp;T Employee Stock Purchase Plan to be applied on the next exercise date coincident with or next following the Distribution Date or, with respect to a Broadband Transferee who is on an Approved Leave of Absence as of the Distribution Date, the next exercise date after the date the employment of such a Broadband Transferee is transferred to a Broadband Entity (the "Next Exercise Date") toward the purchase of AT&amp;T Common Stock, and then (b) stock certificates with respect to whole shares of all AT&amp;T Common Stock and any other stock held by the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148" w:name="page149"/>
    <w:bookmarkEnd w:id="148"/>
    <w:p>
      <w:pPr>
        <w:ind w:right="3299"/>
        <w:spacing w:after="0"/>
        <w:rPr>
          <w:sz w:val="20"/>
          <w:szCs w:val="20"/>
          <w:color w:val="auto"/>
        </w:rPr>
      </w:pPr>
      <w:r>
        <w:rPr>
          <w:rFonts w:ascii="Courier New" w:cs="Courier New" w:eastAsia="Courier New" w:hAnsi="Courier New"/>
          <w:sz w:val="15"/>
          <w:szCs w:val="15"/>
          <w:color w:val="auto"/>
        </w:rPr>
        <w:t>recordkeeper, and cash with respect to fractional shares of AT&amp;T Common Stock and any other stock held by the recordkeeper, to be distributed as soon as practicable after the Next Exercise Date, and then (c) the recordkeeping accounts of all Broadband Transferees and Broadband Employees to be terminated under the AT&amp;T Stock Purchase Plan.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5.5 Savings Clause. Notwithstanding any other provision of Section 5.3, if and to the extent either AT&amp;T or AT&amp;T Broadband shall determine in its reasonable judgment, after consultation with its legal counsel or financial accountants, as appropriate, that any action required to be taken by it under Section 5.3 does not comply with applicable laws or does not properly satisfy all relevant financial accounting pronouncements, then AT&amp;T and AT&amp;T Broadband shall take such other action as they mutually agree is necessary or appropriate in order to address such laws or such financial accounting concerns.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5.6 Registration Requirements. As soon as possible following the time as of which the Form 10 or Form 8-A, as the case may be, is declared effective by the Securities and Exchange Commission but in any case before the Distribution Date and before the date of issuance or grant of any Broadband Option and/or shares of AT&amp;T Broadband Common Stock pursuant to this Article V, AT&amp;T Broadband agrees that it shall file a Form S-8 Registration Statement with respect to and cause to be registered pursuant to the Securities Act of 1933, as amended, the shares of AT&amp;T Broadband Common Stock authorized for issuance under the Broadband Adjustment Plan as required pursuant to such Act and any applicable rules or regulations thereunder.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5.7 Non-Competition Guidelines.</w:t>
      </w:r>
    </w:p>
    <w:p>
      <w:pPr>
        <w:spacing w:after="0" w:line="174" w:lineRule="exact"/>
        <w:rPr>
          <w:sz w:val="20"/>
          <w:szCs w:val="20"/>
          <w:color w:val="auto"/>
        </w:rPr>
      </w:pPr>
    </w:p>
    <w:p>
      <w:pPr>
        <w:ind w:right="3119" w:firstLine="878"/>
        <w:spacing w:after="0"/>
        <w:tabs>
          <w:tab w:leader="none" w:pos="124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Non-Competition Guideline. Effective as of the Close of the Distribution Date, AT&amp;T shall cause the AT&amp;T Non-Competition Guideline, to be amended to provide that all AT&amp;T Employees who terminate employment with AT&amp;T or a Communications Services Entity and become employed by AT&amp;T Broadband or another Broadband Entity at any time prior to the end of the sixth calendar month that ends after the Close of the Distribution Date, shall not be subject to the AT&amp;T Non-Competition Guideline while such individual is employed by AT&amp;T Broadband, another Broadband Entity or Parent (as defined in the Merger Agreement) or any of its Affiliates; provided, however, that nothing in this Section 5.7(a) shall relieve any person from any obligation under the AT&amp;T Non-Competition Guideline with respect to engaging in conduct (e.g., recruitment or solicitation of AT&amp;T Employees or criticism of AT&amp;T) that is "in conflict with or adverse to the interests of" AT&amp;T, as such terms are defined in the AT&amp;T Non-Competition Guideline. Notwithstanding the foregoing, no AT&amp;T Employee who becomes employed by AT&amp;T Broadband or another Broadband Entity shall be deemed to have violated the AT&amp;T Non-Competition Guideline as a result of the recruitment or solicitation of any AT&amp;T Employee in accordance with the People Movement Guidelines set forth in Exhibit 5.7(a) to this Agreement. Notwithstanding the foregoing, an AT&amp;T Employee, who terminates employment with AT&amp;T or a Communications Services Entity and becomes employed by AT&amp;T Broadband or another Broadband Entity at any time prior to the end of the sixth calendar month that ends after the Close of the Distribution Date, shall be deemed to be employed by a competitor of AT&amp;T for purposes of determining compliance with the provisions of the AT&amp;T Non-Competition Guideline only if within the six month period following such individual's termination of employment with AT&amp;T or such Communication Services Entity and</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149" w:name="page150"/>
    <w:bookmarkEnd w:id="149"/>
    <w:p>
      <w:pPr>
        <w:ind w:right="3119"/>
        <w:spacing w:after="0"/>
        <w:rPr>
          <w:sz w:val="20"/>
          <w:szCs w:val="20"/>
          <w:color w:val="auto"/>
        </w:rPr>
      </w:pPr>
      <w:r>
        <w:rPr>
          <w:rFonts w:ascii="Courier New" w:cs="Courier New" w:eastAsia="Courier New" w:hAnsi="Courier New"/>
          <w:sz w:val="15"/>
          <w:szCs w:val="15"/>
          <w:color w:val="auto"/>
        </w:rPr>
        <w:t>before the end of the sixth calendar month that ends after the Close of the Distribution Date, such individual becomes employed by a company that is an active and significant competitor of AT&amp;T excluding Parent or any of its Affiliates. For purposes of this paragraph, during the six month period following the Close of the Distribution Date, "active and significant competitor" means a company in competition with AT&amp;T in a line of business which represents more than five percent (5%) of AT&amp;T's consolidated gross revenues (excluding AT&amp;T Broadband's revenues) for its most recently completed fiscal year. After the end of the six month period following the Close of the Distribution Date, whether an employer is a competitor of AT&amp;T will be determined pursuant to AT&amp;T's current usual and customary practice in administering the AT&amp;T Non-Competition Guideline.</w:t>
      </w:r>
    </w:p>
    <w:p>
      <w:pPr>
        <w:spacing w:after="0" w:line="180" w:lineRule="exact"/>
        <w:rPr>
          <w:sz w:val="20"/>
          <w:szCs w:val="20"/>
          <w:color w:val="auto"/>
        </w:rPr>
      </w:pPr>
    </w:p>
    <w:p>
      <w:pPr>
        <w:ind w:right="3119" w:firstLine="878"/>
        <w:spacing w:after="0" w:line="258" w:lineRule="auto"/>
        <w:tabs>
          <w:tab w:leader="none" w:pos="124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Non-Competition Guideline. In the event that AT&amp;T Broadband shall adopt or maintain a non-competition guideline effective for periods after the Distribution Date, such guideline shall expressly provide that no employee of AT&amp;T Broadband or other Broadband Entity who terminates employment with AT&amp;T Broadband or another Broadband Entity and becomes employed by AT&amp;T or a Communications Services Entity at any time prior to the end of the sixth calendar month that ends after the Close of the Distribution Date, shall be treated as being employed by a competitor of AT&amp;T Broadband or another Broadband Entity for purposes of determining compliance with the non-competition provisions of such AT&amp;T Broadband non-competition guideline while such individual remains employed by AT&amp;T or a Communications Services Entity; provided, however, that nothing in this Section 5.7(b) shall relieve any person from any obligation under such Broadband non-competition guideline with respect to engaging in conduct (e.g., recruitment or solicitation of employees or criticism of AT&amp;T Broadband) that is "in conflict with or adverse to the interests of" AT&amp;T Broadband or any Broadband Entity, as such terms are defined in such guideline. Notwithstanding the foregoing, no Broadband Employee who becomes employed by AT&amp;T or a Communications Services Entity shall be deemed to have violated such guideline as a result of the recruitment or solicitation of any employee of AT&amp;T Broadband or another Broadband Entity to the extent that the hiring of any employee of AT&amp;T Broadband or another Broadband Entity conforms to procedures set forth in the People Movement Guidelines attached to this Agreement as Exhibit 5.7(b). Notwithstanding the foregoing, a Broadband Employee who terminates employment with AT&amp;T Broadband or another Broadband Entity and becomes employed by AT&amp;T or a Communications Services Entity at any time prior to the end of the sixth calendar month that ends after the Close of the Distribution Date shall be deemed to be employed by a competitor of AT&amp;T Broadband for purposes of determining compliance with the provisions of the Broadband non-competition guideline only if within the six month period following such individual's termination of employment with AT&amp;T Broadband or another Broadband Entity and before the end of the sixth calendar month that ends after the Close of the Distribution Date, such Broadband Employee becomes employed by a company excluding AT&amp;T and the Communications Services Entities that is an active and significant competitor of AT&amp;T Broadband. For purposes of this paragraph, during the six month period following the Close of the Distribution Date, "active and significant competitor" means a company in competition with AT&amp;T Broadband in a line of business which represents more than five percent (5%) of the AT&amp;T Broadband consolidated gross revenues for its most recently completed fiscal year (excluding AT&amp;T's revenues). At the conclusion of such six calendar month period, AT&amp;T Broadband may deem employment, other than continuing employment with AT&amp;T or 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150" w:name="page151"/>
    <w:bookmarkEnd w:id="150"/>
    <w:p>
      <w:pPr>
        <w:ind w:right="3839"/>
        <w:spacing w:after="0" w:line="238" w:lineRule="auto"/>
        <w:rPr>
          <w:sz w:val="20"/>
          <w:szCs w:val="20"/>
          <w:color w:val="auto"/>
        </w:rPr>
      </w:pPr>
      <w:r>
        <w:rPr>
          <w:rFonts w:ascii="Courier New" w:cs="Courier New" w:eastAsia="Courier New" w:hAnsi="Courier New"/>
          <w:sz w:val="15"/>
          <w:szCs w:val="15"/>
          <w:color w:val="auto"/>
        </w:rPr>
        <w:t>Communications Services Entity, to be a violation of such AT&amp;T Broadband non-competition guideline.</w:t>
      </w:r>
    </w:p>
    <w:p>
      <w:pPr>
        <w:spacing w:after="0" w:line="175" w:lineRule="exact"/>
        <w:rPr>
          <w:sz w:val="20"/>
          <w:szCs w:val="20"/>
          <w:color w:val="auto"/>
        </w:rPr>
      </w:pPr>
    </w:p>
    <w:p>
      <w:pPr>
        <w:ind w:right="3119" w:firstLine="878"/>
        <w:spacing w:after="0" w:line="260" w:lineRule="auto"/>
        <w:tabs>
          <w:tab w:leader="none" w:pos="124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and Proprietary Information. No provision of the Separation and Distribution Agreement or this Agreement shall be deemed to release any individual for any violation of the Broadband non-competition guideline or such AT&amp;T Non-Competition Guideline pertaining to confidential or proprietary information or any agreement or policy pertaining to confidential or proprietary information of AT&amp;T Broadband or any of its Affiliates or of AT&amp;T or any of its Affiliates, respectively, or otherwise relieve any individual of his or her obligations under such guideline or any such agreements or policies.</w:t>
      </w:r>
    </w:p>
    <w:p>
      <w:pPr>
        <w:spacing w:after="0" w:line="161"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Plans and Individual Deferral Agreements. AT&amp;T shall retain all Liabilities relating to (i) AT&amp;T Deferral Plan Participants under the AT&amp;T Deferral Plan, (ii) Non-Employee Directors under the AT&amp;T Directors' Deferral Plan, and (iii) all Individual Deferral Agreements except as listed on Schedule 5.1(b), and AT&amp;T shall make payments under such plans and Individual Deferral Agreements at the times and in the manner designated in the applicable schedules on file with AT&amp;T as of the Distribution Date and in accordance with the terms of such plans and Individual Deferral Agreements, including the Special Distribution Option approved by the AT&amp;T Board. For purposes of this Section 5.8, no AT&amp;T Deferral Plan Participants, other than Broadband Transferees, and/or parties to Individual Deferral Agreements, shall be deemed to have terminated employment for purposes of administration of the AT&amp;T Deferral Plan or any Individual Deferral Agreements as a result of the consummation of the transactions contemplated by the Separation and Distribution Agreement. AT&amp;T Broadband and the Broadband Entities shall assume or retain, as applicable, all Liabilities with respect to any Individual Deferral Agreement with respect to Broadband Transferees as listed on Schedule 5.1(b). Notwithstanding anything in this Section 5.7(d) to the contrary, if any Broadband Transferee has elected to defer compensation under the AT&amp;T Deferral Plan prior to the Distribution Date, and as of the Distribution Date such compensation is not yet otherwise payable pursuant to the terms of any such election, then AT&amp;T Broadband, at the time such Broadband Transferee becomes an employee of AT&amp;T Broadband or any other Broadband Entity, shall honor such deferral election as if it had been properly and timely made under the applicable AT&amp;T Broadband deferred compensation plan, and shall allow such Broadband Transferee to immediately commence deferral of such compensation in accordance with the terms of the original deferral election.</w:t>
      </w:r>
    </w:p>
    <w:p>
      <w:pPr>
        <w:spacing w:after="0" w:line="19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5.8 AT&amp;T Non-Qualified Pension Plans and Arrangements. AT&amp;T shall retain all Liabilities relating to the AT&amp;T Non-Qualified Pension Plan, the AT&amp;T Excess Benefit and Compensation Plan, the AT&amp;T Mid-Career Pension Plan, the AT&amp;T Senior Management Long Term Disability and Survivor Protection Plan, and any individual non-qualified pension arrangements other than those listed in Schedule 5.10 hereto and all Liabilities relating to AT&amp;T Employees or Broadband Transferees under the AT&amp;T Non-Qualified Pension Plan, the AT&amp;T Excess Benefit and Compensation Plan, the AT&amp;T Mid-Career Pension Plan, the AT&amp;T Senior Management Long Term Disability and Survivor Protection Plan, and any individual non-qualified pension arrangements other than those listed in Schedule 5.10 hereto and all Liabilities with respect to any participant under such plans and arrangements as of the Close of the Distribution Date, as well as all assets held under any trust or other arrangement established as maintained for the funding of such Liabilities, and shall make benefit payments to AT&amp;T</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151" w:name="page152"/>
    <w:bookmarkEnd w:id="151"/>
    <w:p>
      <w:pPr>
        <w:ind w:left="9" w:right="3299"/>
        <w:spacing w:after="0" w:line="239" w:lineRule="auto"/>
        <w:rPr>
          <w:sz w:val="20"/>
          <w:szCs w:val="20"/>
          <w:color w:val="auto"/>
        </w:rPr>
      </w:pPr>
      <w:r>
        <w:rPr>
          <w:rFonts w:ascii="Courier New" w:cs="Courier New" w:eastAsia="Courier New" w:hAnsi="Courier New"/>
          <w:sz w:val="15"/>
          <w:szCs w:val="15"/>
          <w:color w:val="auto"/>
        </w:rPr>
        <w:t>Employees and Broadband Transferees at such times and in such manner as is provided for under the terms of the respective non-qualified pension plans and arrangements.</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5.9 Broadband Non-Qualified Pension Plans and Arrangements. For periods after the Distribution Date, AT&amp;T Broadband shall retain all Liabilities relating to the AT&amp;T Broadband Non-Qualified Pension Plan, the MediaOne Group Mid-Career Plan, the MediaOne Group Non-Qualified Pension &amp; Mid-Career Pension Trust, the AT&amp;T Broadband Deferred Compensation Plan, the MediaOne Group Deferred Compensation Trust and any individual non-qualified pension arrangements identified in Schedule 5.10 hereto and all Liabilities relating to Broadband Employees under such plans and arrangements as of the Close of the Distribution Date, and shall make benefit payments to Broadband Employees at such times and in such manner as is provided for under the terms of the respective non-qualified pension plans and arrangements.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5.10 Life Insurance Programs.</w:t>
      </w:r>
    </w:p>
    <w:p>
      <w:pPr>
        <w:spacing w:after="0" w:line="174" w:lineRule="exact"/>
        <w:rPr>
          <w:sz w:val="20"/>
          <w:szCs w:val="20"/>
          <w:color w:val="auto"/>
        </w:rPr>
      </w:pPr>
    </w:p>
    <w:p>
      <w:pPr>
        <w:ind w:left="9" w:right="3119" w:firstLine="878"/>
        <w:spacing w:after="0" w:line="258" w:lineRule="auto"/>
        <w:tabs>
          <w:tab w:leader="none" w:pos="125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Senior Management Universal Life Insurance Program. As of the Close of the Distribution Date, AT&amp;T shall retain all Liabilities relating to the AT&amp;T Senior Management Universal Life Insurance Program. The life insurance amount under the SMULIP shall be frozen (the "frozen SMULIP coverage") as of the Close of the Distribution Date for any Broadband Transferee who is a SMULIP participant as of the Close of the Distribution Date and who either (i) is then eligible to participate in the AT&amp;T Post-Retirement Welfare Benefits Plan or</w:t>
      </w:r>
    </w:p>
    <w:p>
      <w:pPr>
        <w:spacing w:after="0" w:line="1" w:lineRule="exact"/>
        <w:rPr>
          <w:rFonts w:ascii="Courier New" w:cs="Courier New" w:eastAsia="Courier New" w:hAnsi="Courier New"/>
          <w:sz w:val="14"/>
          <w:szCs w:val="14"/>
          <w:color w:val="auto"/>
        </w:rPr>
      </w:pPr>
    </w:p>
    <w:p>
      <w:pPr>
        <w:ind w:left="9" w:right="3119" w:hanging="9"/>
        <w:spacing w:after="0" w:line="259" w:lineRule="auto"/>
        <w:tabs>
          <w:tab w:leader="none" w:pos="45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eligible to participate in the AT&amp;T Post-Retirement Welfare Benefits Plan pursuant to the provisions of Section 4.6. AT&amp;T shall allow such Broadband Transferee to continue to participate in the SMULIP until the Broadband Transferee's attainment of his or her "normal termination date" under the terms of the SMULIP as such terms exist on the date of this Agreement. During the Broadband Transferee's participation in the SMULIP after the Distribution Date, AT&amp;T shall pay the premiums determined to be due under the applicable life insurance policy (and any tax adjustment payments, determined in accordance with the terms of the SMULIP as they exist on the date of this Agreement) to provide the frozen SMULIP coverage amount. The participation of each other Broadband Transferee who participates in the SMULIP shall terminate as of the Close of the Distribution Date, the life insurance policy covering the life of such Broadband Transferee under the SMULIP may be allowed to lapse, surrendered for its cash surrender value, or continued with premium payments being made from the Broadband Transferee's (or his or her assignee's) personal assets and, after the Close of the Distribution Date, none of AT&amp;T, AT&amp;T Broadband, the Broadband Entities and the Communications Services Entities shall have any further obligation with respect thereto.</w:t>
      </w:r>
    </w:p>
    <w:p>
      <w:pPr>
        <w:spacing w:after="0" w:line="333" w:lineRule="exact"/>
        <w:rPr>
          <w:rFonts w:ascii="Courier New" w:cs="Courier New" w:eastAsia="Courier New" w:hAnsi="Courier New"/>
          <w:sz w:val="14"/>
          <w:szCs w:val="14"/>
          <w:color w:val="auto"/>
        </w:rPr>
      </w:pPr>
    </w:p>
    <w:p>
      <w:pPr>
        <w:ind w:left="9" w:right="3119" w:firstLine="878"/>
        <w:spacing w:after="0"/>
        <w:tabs>
          <w:tab w:leader="none" w:pos="125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Executive Basic Life Insurance Program. As of the Close of the Distribution Date, AT&amp;T shall retain all Liabilities relating to the AT&amp;T Executive Basic Life Insurance Program. The life insurance amount under the EBLIP shall be frozen (the "frozen EBLIP coverage") as of the Close of the Distribution Date for any Broadband Transferee who is an EBLIP participant as of the Close of the Distribution Date and who either (i) is then eligible to participate in the AT&amp;T Post-Retirement Welfare Benefits Plan; or (ii) may be eligible to participate in the AT&amp;T Post-Retirement Welfare Benefits Plan pursuant to the provisions of Section 4.6. AT&amp;T shall allow such Broadband Transferee to continue to participate in the EBLIP until Broadband Transferee's attainment of his or her "normal termination date" under</w:t>
      </w:r>
    </w:p>
    <w:p>
      <w:pPr>
        <w:spacing w:after="0" w:line="34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631" w:right="1440" w:bottom="1440" w:gutter="0" w:footer="0" w:header="0"/>
        </w:sectPr>
      </w:pPr>
    </w:p>
    <w:bookmarkStart w:id="152" w:name="page153"/>
    <w:bookmarkEnd w:id="152"/>
    <w:p>
      <w:pPr>
        <w:ind w:right="3119"/>
        <w:spacing w:after="0"/>
        <w:rPr>
          <w:sz w:val="20"/>
          <w:szCs w:val="20"/>
          <w:color w:val="auto"/>
        </w:rPr>
      </w:pPr>
      <w:r>
        <w:rPr>
          <w:rFonts w:ascii="Courier New" w:cs="Courier New" w:eastAsia="Courier New" w:hAnsi="Courier New"/>
          <w:sz w:val="15"/>
          <w:szCs w:val="15"/>
          <w:color w:val="auto"/>
        </w:rPr>
        <w:t>the terms of the EBLIP as such terms exist on the date of this Agreement. During the Broadband Transferee's period of continued participation in the EBLIP, AT&amp;T shall pay the premiums determined to be due under the applicable life insurance policy to provide the frozen EBLIP coverage. Notwithstanding any provision of this Section 5.11(b) to the contrary, after any Broadband Transferee who continues to participate in the EBLIP attains age 66, the participant's frozen EBLIP coverage shall be reduced according to the benefit schedule of the EBLIP for participants age 66 and older as such schedule exists on the date of this Agreement. The participation of all other Broadband Transferees who participate in the EBLIP shall terminate as of the Close of the Distribution Date, and AT&amp;T shall transfer ownership of the life insurance policy covering the Broadband Transferee ("EBLIP Policy") (after withdrawing the total cash surrender value from the life insurance policy) to the Broadband Transferee (or his or her assignee). Following transfer of the EBLIP Policy, AT&amp;T, AT&amp;T Broadband, the Broadband Entities and the Communications Services Entities, as the case may be, shall have no further obligation with respect to the EBLIP Policy and the Broadband Transferee (or his or her assignee) may allow the EBLIP Policy to lapse or continue the coverage under the EBLIP Policy with premium payments being made from the Broadband Transferee's (or his or her assignee's) personal assets.</w:t>
      </w:r>
    </w:p>
    <w:p>
      <w:pPr>
        <w:spacing w:after="0" w:line="186" w:lineRule="exact"/>
        <w:rPr>
          <w:sz w:val="20"/>
          <w:szCs w:val="20"/>
          <w:color w:val="auto"/>
        </w:rPr>
      </w:pPr>
    </w:p>
    <w:p>
      <w:pPr>
        <w:ind w:right="3119" w:firstLine="878"/>
        <w:spacing w:after="0" w:line="239" w:lineRule="auto"/>
        <w:tabs>
          <w:tab w:leader="none" w:pos="124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Estate Enhancement Program. As of the Close of the Distribution Date, AT&amp;T shall retain all Liabilities relating to the AT&amp;T Estate Enhancement Program.</w:t>
      </w:r>
    </w:p>
    <w:p>
      <w:pPr>
        <w:spacing w:after="0" w:line="175"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Supplemental Variable Universal Life Insurance Program. As of the Close of the Distribution Date, AT&amp;T shall retain all Liabilities relating to the AT&amp;T Supplemental Variable Universal Life Insurance Program. The participation of all Broadband Transferees in the SVULIP shall terminate as of the Close of the Distribution Date. Affected Broadband Transferees may, in their sole discretion, continue, on a direct-pay basis, part or all of the coverage previously provided to them under the SVULIP.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5.11 Financial Counseling.</w:t>
      </w:r>
    </w:p>
    <w:p>
      <w:pPr>
        <w:spacing w:after="0" w:line="174" w:lineRule="exact"/>
        <w:rPr>
          <w:sz w:val="20"/>
          <w:szCs w:val="20"/>
          <w:color w:val="auto"/>
        </w:rPr>
      </w:pPr>
    </w:p>
    <w:p>
      <w:pPr>
        <w:ind w:right="3119" w:firstLine="878"/>
        <w:spacing w:after="0" w:line="258" w:lineRule="auto"/>
        <w:tabs>
          <w:tab w:leader="none" w:pos="124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Close of the Distribution Date, AT&amp;T shall retain all Liabilities relating to the AT&amp;T Senior Management Financial Counseling Program or the AT&amp;T Executive Financial Counseling Program and all AT&amp;T agreements with vendors for the provision of financial counseling services. Following the Distribution Date, AT&amp;T shall provide financial counseling program benefits (including preparation of income tax returns for the Distribution Year) for one year following the Distribution Date for those Broadband Transferees who immediately before the Close of the Distribution Date were (i) receiving financial counseling program benefits under either the AT&amp;T Senior Management Financial Counseling Program or the AT&amp;T Executive Financial Counseling Program, and (ii) then eligible to participate in the AT&amp;T Post-Retirement Welfare Benefits Plans or who would be eligible to so participate pursuant to Section</w:t>
      </w:r>
    </w:p>
    <w:p>
      <w:pPr>
        <w:spacing w:after="0" w:line="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4.6. To the extent the provision of any such benefit by AT&amp;T is taxable income to the Broadband Transferee, AT&amp;T shall make a tax adjustment payment to such Broadband Transferee in accordance with AT&amp;T tax "gross-up" policies for similarly situated retiring employees at the AT&amp;T Executive level. AT&amp;T financial counseling benefits will terminate for all other Broadband Transferees as of the Close of the Distribution Date.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53" w:name="page154"/>
    <w:bookmarkEnd w:id="153"/>
    <w:p>
      <w:pPr>
        <w:ind w:right="3579" w:firstLine="878"/>
        <w:spacing w:after="0" w:line="239" w:lineRule="auto"/>
        <w:tabs>
          <w:tab w:leader="none" w:pos="124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5.11(a), AT&amp;T shall have no responsibility for providing financial counseling services to any Broadband Transferee.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5.12 Toll Discount Program. As of the Close of the Distribution Date, AT&amp;T shall retain all Liabilities relating to the AT&amp;T Toll Discount Program. Any Broadband Employee or Broadband Transferee who is eligible to participate in the AT&amp;T Post-Retirement Welfare Benefits Plan as of the Close of the Distribution Date shall be entitled to continue to receive toll reimbursements in accordance with the terms of the applicable assumed AT&amp;T Toll Discount Program. AT&amp;T shall discontinue making toll reimbursements to each other Broadband Employee and Broadband Transferee under the AT&amp;T Toll Discount Program effective as of the later of (a) the Close of the Distribution Date (or such sooner date when AT&amp;T terminates the AT&amp;T Toll Discount Program) or (b) the date on which the Broadband Employee or Broadband Transferee would no longer be in an eligible class of employees under the applicable AT&amp;T Toll Discount Program.</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5.13 Relocation Plan. AT&amp;T Broadband shall be responsible for all Liabilities with respect to the relocation expenses of any Broadband Transferee related to their employment by Broadband or a Broadband Entity. AT&amp;T shall be responsible for all Liabilities with respect to the relocation expenses authorized by AT&amp;T for any employees who, before the Close of the Distribution Date, leave the employment of AT&amp;T Broadband or a Broadband Entity to become employees of AT&amp;T or a Communications Services Entity.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5.14 Senior Manager Car Allowance. As of the Close of the Distribution Date, AT&amp;T shall retain all Liabilities relating to the Senior Manager Ground Transportation Program. AT&amp;T shall discontinue making car allowance payments to each Broadband Transferee under the Senior Manager Ground Transportation Program effective as of the later of (a) the Close of the Distribution Date (or such sooner date when AT&amp;T terminates the Senior Manager Ground Transportation Program) or (b) the date on which the Broadband Transferee would no longer be in an eligible class of employees under that program.</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5.15 Taxable Fringe Benefits. As of the Close of the Distribution Date, AT&amp;T shall retain all Liabilities with respect to the AT&amp;T Taxable Fringe Benefit Program. AT&amp;T shall discontinue providing benefits to each Broadband Transferee under the AT&amp;T Taxable Fringe Benefit Program effective as of the later of (a) the Close of the Distribution Date (or such sooner date when AT&amp;T terminates the AT&amp;T Taxable Fringe Benefit Program) and (b) the date on which the Broadband Transferees would no longer be in an eligible class of employees under that program.</w:t>
      </w:r>
    </w:p>
    <w:p>
      <w:pPr>
        <w:spacing w:after="0" w:line="177"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5.16 Separation Plans. Certain plans and programs of AT&amp;T, including but not limited to the AT&amp;T Senior Officer Separation Plan (the "SOSP"), the AT&amp;T Senior Management Separation Plan (the "SMSP") and the AT&amp;T Special Executive Separation Plan (the "SESP"), provide for the payment of certain compensation and benefits in the event of the termination of employment of the individual covered by the terms of such plans. As of the Close of the Distribution Date, AT&amp;T shall retain all Liabilities relating to the SOSP, the SMSP and the SESP and all Liabilities relating to, arising out of, or resulting from claims incurred by or on behalf of any individual under such plans. A Broadband Transferee shall not be deemed to have terminated employment for purposes of determining eligibility for benefits under the SOSP, the</w:t>
      </w:r>
    </w:p>
    <w:p>
      <w:pPr>
        <w:spacing w:after="0" w:line="3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154" w:name="page155"/>
    <w:bookmarkEnd w:id="154"/>
    <w:p>
      <w:pPr>
        <w:ind w:right="3219"/>
        <w:spacing w:after="0" w:line="239" w:lineRule="auto"/>
        <w:rPr>
          <w:sz w:val="20"/>
          <w:szCs w:val="20"/>
          <w:color w:val="auto"/>
        </w:rPr>
      </w:pPr>
      <w:r>
        <w:rPr>
          <w:rFonts w:ascii="Courier New" w:cs="Courier New" w:eastAsia="Courier New" w:hAnsi="Courier New"/>
          <w:sz w:val="15"/>
          <w:szCs w:val="15"/>
          <w:color w:val="auto"/>
        </w:rPr>
        <w:t>SMSP, the SESP or other similar plans and programs in connection with or in anticipation of the consummation of the transactions contemplated by the Separation and Distribution Agreement, and shall cease to be covered thereby as of the Close of the Distribution Date.</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GENERAL AND ADMINISTRATIVE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6.1 Payment of Liabilities. AT&amp;T Broadband shall pay directly, or reimburse AT&amp;T in accordance with established practice for, all compensation payable to Broadband Transferees for services rendered to AT&amp;T Broadband or another Broadband Entity while in the employ of AT&amp;T or an Communication Services Entity on or before the Distribution Date (or, in the case of a Broadband Transferee on Approved Leave of Absence, until he or she becomes a Broadband Employee in accordance with Section 2.3) to the extent not already reimbursed. To the extent the amount of such Liabilities is not yet determinable because the status of individuals as Broadband Transferees is not yet determined, except as otherwise specified herein or in another Ancillary Agreement with respect to particular Liabilities, AT&amp;T Broadband shall make such payments or reimbursements based upon AT&amp;T's reasonable estimates of the amounts thereof, and when such status is determined, AT&amp;T Broadband shall make additional reimbursements or payments, or AT&amp;T shall reimburse AT&amp;T Broadband, to the extent necessary to reflect the actual amount of such Liabilities.</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6.2 Sharing of Participant Information. AT&amp;T and AT&amp;T Broadband shall share, and AT&amp;T shall cause each Communications Services Entity to share, and AT&amp;T Broadband shall cause each other Broadband Entity to share with each other and their respective agents and vendors (without obtaining releases) all participant information necessary for the efficient and accurate administration of each of the Broadband Benefit Plans and the AT&amp;T Benefit Plans. AT&amp;T and AT&amp;T Broadband and their respective authorized agents shall, subject to applicable laws on confidentiality, be given reasonable and timely access to, and may make copies of, all information relating to the subjects of this Agreement in the custody of the other party, to the extent necessary for such administration. Until the Close of the Distribution Date, all participant information shall be provided in the manner and medium applicable to Participating Companies in Benefit Plans of AT&amp;T generally, and thereafter until December 31, 2002, all participant information shall be provided in a manner and medium as may be mutually agreed to by AT&amp;T and AT&amp;T Broadband. AT&amp;T Broadband will notify AT&amp;T of the termination following the Distribution Date of any Broadband Employee or Broadband Transferee who is eligible to participate in the AT&amp;T Post-Retirement Welfare Benefits Plans.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6.3 Best Efforts/Cooperation. Each of the parties hereto will use its commercially reasonable best efforts to promptly take, or cause to be taken, all actions and to do, or cause to be done, all things necessary, proper or advisable under applicable laws and regulations to consummate the transactions contemplated by this Agreement. Each of the parties hereto shall cooperate fully on any issue relating to the transactions contemplated by this Agreement for which the other party seeks a determination letter or private letter ruling from the Internal Revenue Service, an advisory opinion from the Department of Labor or any other filing, consent or approval with respect to or by a governmental agency.</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155" w:name="page156"/>
    <w:bookmarkEnd w:id="155"/>
    <w:p>
      <w:pPr>
        <w:ind w:right="3119" w:firstLine="444"/>
        <w:spacing w:after="0" w:line="258" w:lineRule="auto"/>
        <w:rPr>
          <w:sz w:val="20"/>
          <w:szCs w:val="20"/>
          <w:color w:val="auto"/>
        </w:rPr>
      </w:pPr>
      <w:r>
        <w:rPr>
          <w:rFonts w:ascii="Courier New" w:cs="Courier New" w:eastAsia="Courier New" w:hAnsi="Courier New"/>
          <w:sz w:val="14"/>
          <w:szCs w:val="14"/>
          <w:color w:val="auto"/>
        </w:rPr>
        <w:t>6.4 Non-Termination of Employment; No Third-Party Beneficiaries. Without limiting the generality of Section 11.5 of the Separation and Distribution Agreement, which is hereby incorporated herein by reference, except as expressly provided in Section 5.3(j) of this Agreement, no provision of this Agreement or the Separation and Distribution Agreement shall be construed to create any right, or accelerate entitlement, to any compensation or benefit whatsoever on the part of any AT&amp;T Employee, Broadband Employee or Broadband Transferee or other future, present, or former employee of any AT&amp;T Entity under any Broadband Benefit Plan or AT&amp;T Benefit Plan or otherwise. Without limiting the generality of the foregoing: (i) except as expressly provided in this Agreement or with respect to the AT&amp;T Pension Plans and the AT&amp;T Post-Retirement Welfare Benefits Plan, the occurrence of the Close of the Distribution Date shall not cause any employee to be deemed to have incurred a termination of employment which entitles such individual to the commencement of benefits under any of the AT&amp;T Benefit Plans or any of the Individual Agreements or severance under the AT&amp;T Force Management Plan or the Broadband Severance Plan; (ii) except as expressly provided in this Agreement, nothing in this Agreement shall preclude AT&amp;T or any Communications Services Entity, at any time after the Close of the Distribution Date, from amending, merging, modifying, terminating, eliminating, reducing, or otherwise altering in any respect any AT&amp;T Benefit Plan, any benefit under any Benefit Plan or any trust, insurance policy or funding vehicle related to any AT&amp;T Benefit Plan; and (iii) except as expressly provided in this Agreement, nothing in this Agreement shall preclude AT&amp;T Broadband or any other Broadband Entity, at any time after the Close of the Distribution Date, from amending, merging, modifying, terminating, eliminating, reducing, or otherwise altering in any respect any Broadband Benefit Plan, any benefit under any Benefit Plan or any trust, insurance policy or funding vehicle related to any Broadband Benefit Plan.</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6.5 Audit Rights With Respect to Information Provided.</w:t>
      </w:r>
    </w:p>
    <w:p>
      <w:pPr>
        <w:spacing w:after="0" w:line="174" w:lineRule="exact"/>
        <w:rPr>
          <w:sz w:val="20"/>
          <w:szCs w:val="20"/>
          <w:color w:val="auto"/>
        </w:rPr>
      </w:pPr>
    </w:p>
    <w:p>
      <w:pPr>
        <w:ind w:right="3219" w:firstLine="878"/>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AT&amp;T and AT&amp;T Broadband, and their duly authorized representatives, shall have the right to conduct reasonable audits with respect to all information provided to it by the other party. The party conducting the audit (the "Auditing Party") may adopt reasonable procedures and guidelines for conducting audits and the selection of audit representatives under this Section 6.4. The Auditing Party shall have the right to make copies of any records at its expense, subject to the confidentiality provisions set forth in the Separation and Distribution Agreement, which are incorporated by reference herein. The party being audited shall provide the Auditing Party's representatives with reasonable access during normal business hours to its operations, computer systems and paper and electronic files, and provide workspace to its representatives. After any audit is completed, the party being audited shall have the right to review a draft of the audit findings and to comment on those findings in writing within ten business days after receiving such draft.</w:t>
      </w:r>
    </w:p>
    <w:p>
      <w:pPr>
        <w:spacing w:after="0" w:line="181"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Auditing Party's audit rights under this Section 6.4 shall include the right to audit, or participate in an audit facilitated by the party being audited, of any Subsidiaries and Affiliates of the party being audited and to require the other party to request any benefit providers and third parties with whom the party being audited has a relationship, or agents of such party, to agree to such an audit to the extent any such persons are affected by or addressed in this Agreement (collectively, the "Non-parties"). The party being audited shall, upon written request from the Auditing Party, provide an individual (at the Auditing Party's expense) to</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156" w:name="page157"/>
    <w:bookmarkEnd w:id="156"/>
    <w:p>
      <w:pPr>
        <w:ind w:right="3219"/>
        <w:spacing w:after="0"/>
        <w:rPr>
          <w:sz w:val="20"/>
          <w:szCs w:val="20"/>
          <w:color w:val="auto"/>
        </w:rPr>
      </w:pPr>
      <w:r>
        <w:rPr>
          <w:rFonts w:ascii="Courier New" w:cs="Courier New" w:eastAsia="Courier New" w:hAnsi="Courier New"/>
          <w:sz w:val="15"/>
          <w:szCs w:val="15"/>
          <w:color w:val="auto"/>
        </w:rPr>
        <w:t>supervise any audit of a Non-party. The Auditing Party shall be responsible for supplying, at the Auditing Party's expense, additional personnel sufficient to complete the audit in a reasonably timely manner. The responsibility of the party being audited shall be limited to providing, at the Auditing Party's expense, a single individual at each audited site for purposes of facilitating the audit.</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6.6 Fiduciary Matters. It is acknowledged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6.7 Collective Bargaining. To the extent any provision of this Agreement is contrary to the provisions of any collective bargaining agreement to which AT&amp;T or any Affiliate of AT&amp;T is a party, the terms of such collective bargaining agreement with respect to the entities bound by such collective bargaining agreement shall prevail. Should any provisions of this Agreement be deemed to relate to a topic determined by an appropriate authority to be a mandatory subject of collective bargaining, AT&amp;T, AT&amp;T Broadband, another Broadband Entity or a Communications Services Entity may be obligated to bargain with the union representing affected employees concerning those subjects.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6.8 Consent of Third Parties. If any provision of this Agreement is dependent on the consent of any third party (such as a vendor or a union) and such consent is withheld, the parties hereto shall use their reasonable best efforts to implement the applicable provisions of this Agreement to the full extent practicable. If any provision of this Agreement cannot be implemented due to the failure of such third party to consent, the parties hereto shall negotiate in good faith to implement the provision in a mutually satisfactory manner. The phrase "reasonable best efforts" as used herein shall not be construed to require any party to incur any non-routine or unreasonable expense or Liability or to waive any right.</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7.1 Effect If Distribution Does Not Occur. If the Separation and Distribution Agreement is terminated prior to the Distribution Date, then all actions and events that are, under this Agreement, to be taken or occur effective immediately prior to or as of the Close of the Distribution Date, or Immediately after the Distribution Date, or otherwise in connection with the Separation Transactions shall not be taken or occur except to the extent specifically agreed by AT&amp;T and AT&amp;T Broadband.</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7.2 Relationship of Parties. Nothing in this Agreement shall be deemed or construed by the parties or any third party as creating the relationship of principal and agent, partnership or joint venture between the parties, it being understood and agreed that no provision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157" w:name="page158"/>
    <w:bookmarkEnd w:id="157"/>
    <w:p>
      <w:pPr>
        <w:ind w:right="3299"/>
        <w:spacing w:after="0" w:line="271" w:lineRule="auto"/>
        <w:rPr>
          <w:sz w:val="20"/>
          <w:szCs w:val="20"/>
          <w:color w:val="auto"/>
        </w:rPr>
      </w:pPr>
      <w:r>
        <w:rPr>
          <w:rFonts w:ascii="Courier New" w:cs="Courier New" w:eastAsia="Courier New" w:hAnsi="Courier New"/>
          <w:sz w:val="14"/>
          <w:szCs w:val="14"/>
          <w:color w:val="auto"/>
        </w:rPr>
        <w:t>contained herein, and no act of the parties, shall be deemed to create any relationship between the parties other than the relationship set forth herein.</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7.3 Affiliates. Each of AT&amp;T and AT&amp;T Broadband shall cause to be performed, and hereby guarantees the performance of, all actions, agreements and obligations set forth in this Agreement to be performed by another Broadband Entity or a Communications Services Entity, respectively.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7.4 Notices. All notices or other communications required or permitted to be given hereunder shall be in writing and shall be delivered by hand or sent by facsimile or sent, postage prepaid, by registered, certified or express mail or reputable overnight courier service and shall be deemed given when so delivered by hand or facsimile, or, if mailed, three days after mailing (one Business Day in the case of express mail or overnight courier service), as follows (or at such other address for a party as shall be specified by notice given in accordance with this Section 7.4):</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if to AT&amp;T:</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AT&amp;T Corp.</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295 North Maple Avenue</w:t>
      </w:r>
    </w:p>
    <w:p>
      <w:pPr>
        <w:spacing w:after="0" w:line="1" w:lineRule="exact"/>
        <w:rPr>
          <w:sz w:val="20"/>
          <w:szCs w:val="20"/>
          <w:color w:val="auto"/>
        </w:rPr>
      </w:pPr>
    </w:p>
    <w:p>
      <w:pPr>
        <w:ind w:left="2560"/>
        <w:spacing w:after="0"/>
        <w:tabs>
          <w:tab w:leader="none" w:pos="4940" w:val="left"/>
        </w:tabs>
        <w:rPr>
          <w:sz w:val="20"/>
          <w:szCs w:val="20"/>
          <w:color w:val="auto"/>
        </w:rPr>
      </w:pPr>
      <w:r>
        <w:rPr>
          <w:rFonts w:ascii="Courier New" w:cs="Courier New" w:eastAsia="Courier New" w:hAnsi="Courier New"/>
          <w:sz w:val="15"/>
          <w:szCs w:val="15"/>
          <w:color w:val="auto"/>
        </w:rPr>
        <w:t>Basking Ridge, New Jersey</w:t>
      </w:r>
      <w:r>
        <w:rPr>
          <w:sz w:val="20"/>
          <w:szCs w:val="20"/>
          <w:color w:val="auto"/>
        </w:rPr>
        <w:tab/>
      </w:r>
      <w:r>
        <w:rPr>
          <w:rFonts w:ascii="Courier New" w:cs="Courier New" w:eastAsia="Courier New" w:hAnsi="Courier New"/>
          <w:sz w:val="14"/>
          <w:szCs w:val="14"/>
          <w:color w:val="auto"/>
        </w:rPr>
        <w:t>07920-1002</w:t>
      </w:r>
    </w:p>
    <w:p>
      <w:pPr>
        <w:spacing w:after="0" w:line="1" w:lineRule="exact"/>
        <w:rPr>
          <w:sz w:val="20"/>
          <w:szCs w:val="20"/>
          <w:color w:val="auto"/>
        </w:rPr>
      </w:pPr>
    </w:p>
    <w:p>
      <w:pPr>
        <w:ind w:left="2560"/>
        <w:spacing w:after="0"/>
        <w:tabs>
          <w:tab w:leader="none" w:pos="36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Mirian Graddick</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AT&amp;T Corp.</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295 North Maple Avenue</w:t>
      </w:r>
    </w:p>
    <w:p>
      <w:pPr>
        <w:spacing w:after="0" w:line="1" w:lineRule="exact"/>
        <w:rPr>
          <w:sz w:val="20"/>
          <w:szCs w:val="20"/>
          <w:color w:val="auto"/>
        </w:rPr>
      </w:pPr>
    </w:p>
    <w:p>
      <w:pPr>
        <w:ind w:left="2560"/>
        <w:spacing w:after="0"/>
        <w:tabs>
          <w:tab w:leader="none" w:pos="4940" w:val="left"/>
        </w:tabs>
        <w:rPr>
          <w:sz w:val="20"/>
          <w:szCs w:val="20"/>
          <w:color w:val="auto"/>
        </w:rPr>
      </w:pPr>
      <w:r>
        <w:rPr>
          <w:rFonts w:ascii="Courier New" w:cs="Courier New" w:eastAsia="Courier New" w:hAnsi="Courier New"/>
          <w:sz w:val="15"/>
          <w:szCs w:val="15"/>
          <w:color w:val="auto"/>
        </w:rPr>
        <w:t>Basking Ridge, New Jersey</w:t>
      </w:r>
      <w:r>
        <w:rPr>
          <w:sz w:val="20"/>
          <w:szCs w:val="20"/>
          <w:color w:val="auto"/>
        </w:rPr>
        <w:tab/>
      </w:r>
      <w:r>
        <w:rPr>
          <w:rFonts w:ascii="Courier New" w:cs="Courier New" w:eastAsia="Courier New" w:hAnsi="Courier New"/>
          <w:sz w:val="14"/>
          <w:szCs w:val="14"/>
          <w:color w:val="auto"/>
        </w:rPr>
        <w:t>07920-1002</w:t>
      </w:r>
    </w:p>
    <w:p>
      <w:pPr>
        <w:spacing w:after="0" w:line="1" w:lineRule="exact"/>
        <w:rPr>
          <w:sz w:val="20"/>
          <w:szCs w:val="20"/>
          <w:color w:val="auto"/>
        </w:rPr>
      </w:pPr>
    </w:p>
    <w:p>
      <w:pPr>
        <w:ind w:left="2560"/>
        <w:spacing w:after="0"/>
        <w:tabs>
          <w:tab w:leader="none" w:pos="36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Robert Feit, Esq.</w:t>
      </w:r>
    </w:p>
    <w:p>
      <w:pPr>
        <w:spacing w:after="0" w:line="1" w:lineRule="exact"/>
        <w:rPr>
          <w:sz w:val="20"/>
          <w:szCs w:val="20"/>
          <w:color w:val="auto"/>
        </w:rPr>
      </w:pPr>
    </w:p>
    <w:p>
      <w:pPr>
        <w:ind w:left="2560"/>
        <w:spacing w:after="0"/>
        <w:tabs>
          <w:tab w:leader="none" w:pos="396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(908) 221-8287</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Wachtell, Lipton, Rosen &amp; Katz</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51 West 52nd Street</w:t>
      </w:r>
    </w:p>
    <w:p>
      <w:pPr>
        <w:spacing w:after="0" w:line="1" w:lineRule="exact"/>
        <w:rPr>
          <w:sz w:val="20"/>
          <w:szCs w:val="20"/>
          <w:color w:val="auto"/>
        </w:rPr>
      </w:pPr>
    </w:p>
    <w:p>
      <w:pPr>
        <w:ind w:left="2560"/>
        <w:spacing w:after="0"/>
        <w:tabs>
          <w:tab w:leader="none" w:pos="3780" w:val="left"/>
        </w:tabs>
        <w:rPr>
          <w:sz w:val="20"/>
          <w:szCs w:val="20"/>
          <w:color w:val="auto"/>
        </w:rPr>
      </w:pPr>
      <w:r>
        <w:rPr>
          <w:rFonts w:ascii="Courier New" w:cs="Courier New" w:eastAsia="Courier New" w:hAnsi="Courier New"/>
          <w:sz w:val="15"/>
          <w:szCs w:val="15"/>
          <w:color w:val="auto"/>
        </w:rPr>
        <w:t>New York, NY</w:t>
        <w:tab/>
        <w:t>10019</w:t>
      </w:r>
    </w:p>
    <w:p>
      <w:pPr>
        <w:spacing w:after="0" w:line="1" w:lineRule="exact"/>
        <w:rPr>
          <w:sz w:val="20"/>
          <w:szCs w:val="20"/>
          <w:color w:val="auto"/>
        </w:rPr>
      </w:pPr>
    </w:p>
    <w:p>
      <w:pPr>
        <w:ind w:left="2560"/>
        <w:spacing w:after="0"/>
        <w:tabs>
          <w:tab w:leader="none" w:pos="36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Karen G. Krueger</w:t>
      </w:r>
    </w:p>
    <w:p>
      <w:pPr>
        <w:spacing w:after="0" w:line="1" w:lineRule="exact"/>
        <w:rPr>
          <w:sz w:val="20"/>
          <w:szCs w:val="20"/>
          <w:color w:val="auto"/>
        </w:rPr>
      </w:pPr>
    </w:p>
    <w:p>
      <w:pPr>
        <w:ind w:left="2560"/>
        <w:spacing w:after="0"/>
        <w:tabs>
          <w:tab w:leader="none" w:pos="396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(212) 403-2242</w:t>
      </w:r>
    </w:p>
    <w:p>
      <w:pPr>
        <w:spacing w:after="0" w:line="171" w:lineRule="exact"/>
        <w:rPr>
          <w:sz w:val="20"/>
          <w:szCs w:val="20"/>
          <w:color w:val="auto"/>
        </w:rPr>
      </w:pPr>
    </w:p>
    <w:p>
      <w:pPr>
        <w:ind w:left="2560" w:hanging="1682"/>
        <w:spacing w:after="0"/>
        <w:tabs>
          <w:tab w:leader="none" w:pos="25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AT&amp;T Broadband:</w:t>
      </w:r>
    </w:p>
    <w:p>
      <w:pPr>
        <w:spacing w:after="0" w:line="171" w:lineRule="exact"/>
        <w:rPr>
          <w:rFonts w:ascii="Courier New" w:cs="Courier New" w:eastAsia="Courier New" w:hAnsi="Courier New"/>
          <w:sz w:val="15"/>
          <w:szCs w:val="15"/>
          <w:color w:val="auto"/>
        </w:rPr>
      </w:pPr>
    </w:p>
    <w:p>
      <w:pPr>
        <w:ind w:left="2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LLC</w:t>
      </w:r>
    </w:p>
    <w:p>
      <w:pPr>
        <w:spacing w:after="0" w:line="3" w:lineRule="exact"/>
        <w:rPr>
          <w:rFonts w:ascii="Courier New" w:cs="Courier New" w:eastAsia="Courier New" w:hAnsi="Courier New"/>
          <w:sz w:val="15"/>
          <w:szCs w:val="15"/>
          <w:color w:val="auto"/>
        </w:rPr>
      </w:pPr>
    </w:p>
    <w:p>
      <w:pPr>
        <w:ind w:left="2560" w:right="49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188 Inverness Drive West Englewood CO 80112 Attention: David R. Brunick Facsimile No.: (303) 858-3184</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158" w:name="page159"/>
    <w:bookmarkEnd w:id="158"/>
    <w:p>
      <w:pPr>
        <w:ind w:left="780"/>
        <w:spacing w:after="0"/>
        <w:tabs>
          <w:tab w:leader="none" w:pos="2360" w:val="left"/>
        </w:tabs>
        <w:rPr>
          <w:sz w:val="20"/>
          <w:szCs w:val="20"/>
          <w:color w:val="auto"/>
        </w:rPr>
      </w:pPr>
      <w:r>
        <w:rPr>
          <w:rFonts w:ascii="Courier New" w:cs="Courier New" w:eastAsia="Courier New" w:hAnsi="Courier New"/>
          <w:sz w:val="15"/>
          <w:szCs w:val="15"/>
          <w:color w:val="auto"/>
        </w:rPr>
        <w:t>with a copy to:</w:t>
      </w:r>
      <w:r>
        <w:rPr>
          <w:sz w:val="20"/>
          <w:szCs w:val="20"/>
          <w:color w:val="auto"/>
        </w:rPr>
        <w:tab/>
      </w:r>
      <w:r>
        <w:rPr>
          <w:rFonts w:ascii="Courier New" w:cs="Courier New" w:eastAsia="Courier New" w:hAnsi="Courier New"/>
          <w:sz w:val="14"/>
          <w:szCs w:val="14"/>
          <w:color w:val="auto"/>
        </w:rPr>
        <w:t>Sean Lindsay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188 Inverness Drive West</w:t>
      </w:r>
    </w:p>
    <w:p>
      <w:pPr>
        <w:spacing w:after="0" w:line="1" w:lineRule="exact"/>
        <w:rPr>
          <w:sz w:val="20"/>
          <w:szCs w:val="20"/>
          <w:color w:val="auto"/>
        </w:rPr>
      </w:pPr>
    </w:p>
    <w:p>
      <w:pPr>
        <w:ind w:left="2380"/>
        <w:spacing w:after="0"/>
        <w:tabs>
          <w:tab w:leader="none" w:pos="3600" w:val="left"/>
        </w:tabs>
        <w:rPr>
          <w:sz w:val="20"/>
          <w:szCs w:val="20"/>
          <w:color w:val="auto"/>
        </w:rPr>
      </w:pPr>
      <w:r>
        <w:rPr>
          <w:rFonts w:ascii="Courier New" w:cs="Courier New" w:eastAsia="Courier New" w:hAnsi="Courier New"/>
          <w:sz w:val="15"/>
          <w:szCs w:val="15"/>
          <w:color w:val="auto"/>
        </w:rPr>
        <w:t>Englewood CO</w:t>
        <w:tab/>
        <w:t>80112</w:t>
      </w:r>
    </w:p>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Facsimile:</w:t>
        <w:tab/>
        <w:t>(303) 858-3482</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7.5 Incorporation of Separation and Distribution Agreement Provisions. The following provisions of the Separation and Distribution Agreement are hereby incorporated herein by reference, and unless otherwise expressly specified herein, such provisions shall apply as if fully set forth herein (references in this Section 7.5 to an "Article" or "Section" shall mean Articles or Sections of the Separation and Distribution Agreement, and, except as expressly set forth below, references in the material incorporated herein by reference shall be references to the Separation and Distribution Agreement): Article V (relating to Mutual Releases and Indemnification); Article VII (relating to Exchange of Information and Confidentiality); Article VIII (relating to Further Assurances and Additional Covenants); Article IX (relating to Termination); Article X (relating to Dispute Resolution and Arbitration); and Article XI (relating to Miscellaneous), excluding the notice provisions thereof.</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7.6 Governing Law. To the extent not preempted by applicable federal law, this Agreement shall be governed by and construed and interpreted in accordance with the laws of the State of New York, irrespective of the choice of laws principles of the State of New York, as to all matters, including matters of validity, construction, effect, performance and remedies.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7.7 References. Except as provided in Section 7.5, all references to Sections, Articles, Exhibits or Schedules contained herein mean Sections, Articles, Exhibits or Schedules of or to this Agreement, as the case may be, unless otherwise stated.</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8" w:right="1440" w:bottom="1440" w:gutter="0" w:footer="0" w:header="0"/>
        </w:sectPr>
      </w:pPr>
    </w:p>
    <w:bookmarkStart w:id="159" w:name="page160"/>
    <w:bookmarkEnd w:id="159"/>
    <w:p>
      <w:pPr>
        <w:ind w:right="3579" w:firstLine="799"/>
        <w:spacing w:after="0" w:line="271" w:lineRule="auto"/>
        <w:rPr>
          <w:sz w:val="20"/>
          <w:szCs w:val="20"/>
          <w:color w:val="auto"/>
        </w:rPr>
      </w:pPr>
      <w:r>
        <w:rPr>
          <w:rFonts w:ascii="Courier New" w:cs="Courier New" w:eastAsia="Courier New" w:hAnsi="Courier New"/>
          <w:sz w:val="14"/>
          <w:szCs w:val="14"/>
          <w:color w:val="auto"/>
        </w:rPr>
        <w:t>IN WITNESS WHEREOF, the parties have caused this Employee Benefits Agreement to be duly executed as of the day and year first above written.</w:t>
      </w:r>
    </w:p>
    <w:p>
      <w:pPr>
        <w:spacing w:after="0" w:line="15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AT&amp;T CORP.</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AT&amp;T BROADBAND CORP.</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802" w:right="1440" w:bottom="1440" w:gutter="0" w:footer="0" w:header="0"/>
        </w:sectPr>
      </w:pPr>
    </w:p>
    <w:bookmarkStart w:id="160" w:name="page161"/>
    <w:bookmarkEnd w:id="160"/>
    <w:p>
      <w:pPr>
        <w:spacing w:after="0" w:line="4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3.2</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AMENDED AND RESTATED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BY-LAWS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 * *</w:t>
      </w:r>
    </w:p>
    <w:p>
      <w:pPr>
        <w:spacing w:after="0" w:line="174"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The By-Laws of the Corporation are amended and restated in their entirety to read as follows:</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1</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OFFICES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1.01 .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1.02 . Other Offices. The Corporation may also have offices at such other places, within or without the Commonwealth of Pennsylvania, as the Board of Directors may determine from time to time.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2</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MEETINGS OF SHAREHOLDERS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2.01 .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2.02. Annual Meetings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219" w:firstLine="435"/>
        <w:spacing w:after="0" w:line="260" w:lineRule="auto"/>
        <w:tabs>
          <w:tab w:leader="none" w:pos="79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62"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2.03 .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2.04 .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 meeting, except as provided in Section 6.07. Such notices may be given by, or at the direction of, the Secretary or other authorized person.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2.05 . Quorum of and Action by Shareholders.</w:t>
      </w:r>
    </w:p>
    <w:p>
      <w:pPr>
        <w:spacing w:after="0" w:line="174" w:lineRule="exact"/>
        <w:rPr>
          <w:sz w:val="20"/>
          <w:szCs w:val="20"/>
          <w:color w:val="auto"/>
        </w:rPr>
      </w:pPr>
    </w:p>
    <w:p>
      <w:pPr>
        <w:ind w:right="3219" w:firstLine="435"/>
        <w:spacing w:after="0" w:line="259" w:lineRule="auto"/>
        <w:tabs>
          <w:tab w:leader="none" w:pos="79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w:t>
      </w:r>
    </w:p>
    <w:p>
      <w:pPr>
        <w:sectPr>
          <w:pgSz w:w="11900" w:h="16879" w:orient="portrait"/>
          <w:cols w:equalWidth="0" w:num="1">
            <w:col w:w="10219"/>
          </w:cols>
          <w:pgMar w:left="240" w:top="139" w:right="1440" w:bottom="0" w:gutter="0" w:footer="0" w:header="0"/>
        </w:sectPr>
      </w:pPr>
    </w:p>
    <w:bookmarkStart w:id="161" w:name="page162"/>
    <w:bookmarkEnd w:id="161"/>
    <w:p>
      <w:pPr>
        <w:ind w:right="3219"/>
        <w:spacing w:after="0" w:line="239" w:lineRule="auto"/>
        <w:rPr>
          <w:sz w:val="20"/>
          <w:szCs w:val="20"/>
          <w:color w:val="auto"/>
        </w:rPr>
      </w:pPr>
      <w:r>
        <w:rPr>
          <w:rFonts w:ascii="Courier New" w:cs="Courier New" w:eastAsia="Courier New" w:hAnsi="Courier New"/>
          <w:sz w:val="15"/>
          <w:szCs w:val="15"/>
          <w:color w:val="auto"/>
        </w:rPr>
        <w:t>present may occur, and, after such consideration and action, the meeting may be adjourned for purposes of the consideration of and action on the matter or matters for which a quorum is not present.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2" w:right="1440" w:bottom="1440" w:gutter="0" w:footer="0" w:header="0"/>
        </w:sectPr>
      </w:pPr>
    </w:p>
    <w:bookmarkStart w:id="162" w:name="page163"/>
    <w:bookmarkEnd w:id="162"/>
    <w:p>
      <w:pPr>
        <w:ind w:left="-435" w:right="3119" w:firstLine="435"/>
        <w:spacing w:after="0" w:line="259" w:lineRule="auto"/>
        <w:tabs>
          <w:tab w:leader="none" w:pos="36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66" w:lineRule="exact"/>
        <w:rPr>
          <w:rFonts w:ascii="Courier New" w:cs="Courier New" w:eastAsia="Courier New" w:hAnsi="Courier New"/>
          <w:sz w:val="14"/>
          <w:szCs w:val="14"/>
          <w:color w:val="auto"/>
        </w:rPr>
      </w:pPr>
    </w:p>
    <w:p>
      <w:pPr>
        <w:jc w:val="both"/>
        <w:ind w:left="-435" w:right="3119" w:firstLine="435"/>
        <w:spacing w:after="0" w:line="239" w:lineRule="auto"/>
        <w:tabs>
          <w:tab w:leader="none" w:pos="36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Quorum. The shareholders present at a duly organized meeting can continue to do business until adjournment, notwithstanding the withdrawal of enough shareholders to leave less than a quorum.</w:t>
      </w:r>
    </w:p>
    <w:p>
      <w:pPr>
        <w:spacing w:after="0" w:line="175" w:lineRule="exact"/>
        <w:rPr>
          <w:rFonts w:ascii="Courier New" w:cs="Courier New" w:eastAsia="Courier New" w:hAnsi="Courier New"/>
          <w:sz w:val="15"/>
          <w:szCs w:val="15"/>
          <w:color w:val="auto"/>
        </w:rPr>
      </w:pPr>
    </w:p>
    <w:p>
      <w:pPr>
        <w:ind w:left="-435" w:right="3219" w:firstLine="435"/>
        <w:spacing w:after="0" w:line="260" w:lineRule="auto"/>
        <w:tabs>
          <w:tab w:leader="none" w:pos="36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62" w:lineRule="exact"/>
        <w:rPr>
          <w:rFonts w:ascii="Courier New" w:cs="Courier New" w:eastAsia="Courier New" w:hAnsi="Courier New"/>
          <w:sz w:val="14"/>
          <w:szCs w:val="14"/>
          <w:color w:val="auto"/>
        </w:rPr>
      </w:pPr>
    </w:p>
    <w:p>
      <w:pPr>
        <w:ind w:left="-435" w:right="3119" w:firstLine="435"/>
        <w:spacing w:after="0" w:line="259" w:lineRule="auto"/>
        <w:tabs>
          <w:tab w:leader="none" w:pos="36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6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2.06 . Adjournments.</w:t>
      </w:r>
    </w:p>
    <w:p>
      <w:pPr>
        <w:spacing w:after="0" w:line="174" w:lineRule="exact"/>
        <w:rPr>
          <w:sz w:val="20"/>
          <w:szCs w:val="20"/>
          <w:color w:val="auto"/>
        </w:rPr>
      </w:pPr>
    </w:p>
    <w:p>
      <w:pPr>
        <w:ind w:left="-435" w:right="3219" w:firstLine="435"/>
        <w:spacing w:after="0" w:line="264" w:lineRule="auto"/>
        <w:tabs>
          <w:tab w:leader="none" w:pos="36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59" w:lineRule="exact"/>
        <w:rPr>
          <w:rFonts w:ascii="Courier New" w:cs="Courier New" w:eastAsia="Courier New" w:hAnsi="Courier New"/>
          <w:sz w:val="14"/>
          <w:szCs w:val="14"/>
          <w:color w:val="auto"/>
        </w:rPr>
      </w:pPr>
    </w:p>
    <w:p>
      <w:pPr>
        <w:ind w:left="-435" w:right="3219" w:firstLine="435"/>
        <w:spacing w:after="0" w:line="260" w:lineRule="auto"/>
        <w:tabs>
          <w:tab w:leader="none" w:pos="36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4"/>
          </w:cols>
          <w:pgMar w:left="675" w:top="631" w:right="1440" w:bottom="1440" w:gutter="0" w:footer="0" w:header="0"/>
        </w:sectPr>
      </w:pPr>
    </w:p>
    <w:bookmarkStart w:id="163" w:name="page164"/>
    <w:bookmarkEnd w:id="163"/>
    <w:p>
      <w:pPr>
        <w:ind w:right="3219"/>
        <w:spacing w:after="0" w:line="238" w:lineRule="auto"/>
        <w:rPr>
          <w:sz w:val="20"/>
          <w:szCs w:val="20"/>
          <w:color w:val="auto"/>
        </w:rPr>
      </w:pPr>
      <w:r>
        <w:rPr>
          <w:rFonts w:ascii="Courier New" w:cs="Courier New" w:eastAsia="Courier New" w:hAnsi="Courier New"/>
          <w:sz w:val="15"/>
          <w:szCs w:val="15"/>
          <w:color w:val="auto"/>
        </w:rPr>
        <w:t>considered at such meeting for which a quorum was present may be considered and acted upon at the initial meeting.</w:t>
      </w:r>
    </w:p>
    <w:p>
      <w:pPr>
        <w:spacing w:after="0" w:line="175" w:lineRule="exact"/>
        <w:rPr>
          <w:sz w:val="20"/>
          <w:szCs w:val="20"/>
          <w:color w:val="auto"/>
        </w:rPr>
      </w:pPr>
    </w:p>
    <w:p>
      <w:pPr>
        <w:ind w:right="3119" w:firstLine="435"/>
        <w:spacing w:after="0"/>
        <w:tabs>
          <w:tab w:leader="none" w:pos="7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2.07 . Voting List, Voting and Proxies.</w:t>
      </w:r>
    </w:p>
    <w:p>
      <w:pPr>
        <w:spacing w:after="0" w:line="174" w:lineRule="exact"/>
        <w:rPr>
          <w:sz w:val="20"/>
          <w:szCs w:val="20"/>
          <w:color w:val="auto"/>
        </w:rPr>
      </w:pPr>
    </w:p>
    <w:p>
      <w:pPr>
        <w:ind w:right="3119" w:firstLine="435"/>
        <w:spacing w:after="0"/>
        <w:tabs>
          <w:tab w:leader="none" w:pos="7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77" w:lineRule="exact"/>
        <w:rPr>
          <w:rFonts w:ascii="Courier New" w:cs="Courier New" w:eastAsia="Courier New" w:hAnsi="Courier New"/>
          <w:sz w:val="15"/>
          <w:szCs w:val="15"/>
          <w:color w:val="auto"/>
        </w:rPr>
      </w:pPr>
    </w:p>
    <w:p>
      <w:pPr>
        <w:ind w:right="3219" w:firstLine="435"/>
        <w:spacing w:after="0" w:line="259" w:lineRule="auto"/>
        <w:tabs>
          <w:tab w:leader="none" w:pos="79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6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64" w:name="page165"/>
    <w:bookmarkEnd w:id="164"/>
    <w:p>
      <w:pPr>
        <w:ind w:right="3219"/>
        <w:spacing w:after="0" w:line="239" w:lineRule="auto"/>
        <w:rPr>
          <w:sz w:val="20"/>
          <w:szCs w:val="20"/>
          <w:color w:val="auto"/>
        </w:rPr>
      </w:pPr>
      <w:r>
        <w:rPr>
          <w:rFonts w:ascii="Courier New" w:cs="Courier New" w:eastAsia="Courier New" w:hAnsi="Courier New"/>
          <w:sz w:val="15"/>
          <w:szCs w:val="15"/>
          <w:color w:val="auto"/>
        </w:rPr>
        <w:t>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76" w:lineRule="exact"/>
        <w:rPr>
          <w:sz w:val="20"/>
          <w:szCs w:val="20"/>
          <w:color w:val="auto"/>
        </w:rPr>
      </w:pPr>
    </w:p>
    <w:p>
      <w:pPr>
        <w:ind w:right="3119" w:firstLine="435"/>
        <w:spacing w:after="0"/>
        <w:tabs>
          <w:tab w:leader="none" w:pos="79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81"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by Written Consent in Lieu of a Meeting. Subject to Article NINTH of the Articles of Incorporation, the shareholders shall not be permitted to act by written consent in lieu of a meeting.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2.08 .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2.09 .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65" w:name="page166"/>
    <w:bookmarkEnd w:id="165"/>
    <w:p>
      <w:pPr>
        <w:ind w:right="3119"/>
        <w:spacing w:after="0" w:line="239" w:lineRule="auto"/>
        <w:rPr>
          <w:sz w:val="20"/>
          <w:szCs w:val="20"/>
          <w:color w:val="auto"/>
        </w:rPr>
      </w:pPr>
      <w:r>
        <w:rPr>
          <w:rFonts w:ascii="Courier New" w:cs="Courier New" w:eastAsia="Courier New" w:hAnsi="Courier New"/>
          <w:sz w:val="15"/>
          <w:szCs w:val="15"/>
          <w:color w:val="auto"/>
        </w:rPr>
        <w:t>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176" w:lineRule="exact"/>
        <w:rPr>
          <w:sz w:val="20"/>
          <w:szCs w:val="20"/>
          <w:color w:val="auto"/>
        </w:rPr>
      </w:pPr>
    </w:p>
    <w:p>
      <w:pPr>
        <w:ind w:left="440" w:right="3219" w:firstLine="438"/>
        <w:spacing w:after="0" w:line="259" w:lineRule="auto"/>
        <w:tabs>
          <w:tab w:leader="none" w:pos="123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65" w:lineRule="exact"/>
        <w:rPr>
          <w:rFonts w:ascii="Courier New" w:cs="Courier New" w:eastAsia="Courier New" w:hAnsi="Courier New"/>
          <w:sz w:val="14"/>
          <w:szCs w:val="14"/>
          <w:color w:val="auto"/>
        </w:rPr>
      </w:pPr>
    </w:p>
    <w:p>
      <w:pPr>
        <w:ind w:left="440" w:right="3219" w:firstLine="438"/>
        <w:spacing w:after="0"/>
        <w:tabs>
          <w:tab w:leader="none" w:pos="132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2.10 . Conduct Of Meetings Of Shareholders.</w:t>
      </w:r>
    </w:p>
    <w:p>
      <w:pPr>
        <w:spacing w:after="0" w:line="174" w:lineRule="exact"/>
        <w:rPr>
          <w:sz w:val="20"/>
          <w:szCs w:val="20"/>
          <w:color w:val="auto"/>
        </w:rPr>
      </w:pPr>
    </w:p>
    <w:p>
      <w:pPr>
        <w:ind w:right="3219" w:firstLine="435"/>
        <w:spacing w:after="0"/>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76" w:lineRule="exact"/>
        <w:rPr>
          <w:rFonts w:ascii="Courier New" w:cs="Courier New" w:eastAsia="Courier New" w:hAnsi="Courier New"/>
          <w:sz w:val="15"/>
          <w:szCs w:val="15"/>
          <w:color w:val="auto"/>
        </w:rPr>
      </w:pPr>
    </w:p>
    <w:p>
      <w:pPr>
        <w:ind w:right="3399" w:firstLine="435"/>
        <w:spacing w:after="0" w:line="271" w:lineRule="auto"/>
        <w:tabs>
          <w:tab w:leader="none" w:pos="79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Procedural Standard. Any action by the presiding officer in adopting rules for, and in conducting, a meeting of the shareholders shall be fair</w:t>
      </w: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66" w:name="page167"/>
    <w:bookmarkEnd w:id="166"/>
    <w:p>
      <w:pPr>
        <w:ind w:right="3299"/>
        <w:spacing w:after="0" w:line="238" w:lineRule="auto"/>
        <w:rPr>
          <w:sz w:val="20"/>
          <w:szCs w:val="20"/>
          <w:color w:val="auto"/>
        </w:rPr>
      </w:pPr>
      <w:r>
        <w:rPr>
          <w:rFonts w:ascii="Courier New" w:cs="Courier New" w:eastAsia="Courier New" w:hAnsi="Courier New"/>
          <w:sz w:val="15"/>
          <w:szCs w:val="15"/>
          <w:color w:val="auto"/>
        </w:rPr>
        <w:t>to the shareholders. The conduct of the meeting need not follow Robert's Rules of Order or any other published rules for the conduct of a meeting.</w:t>
      </w:r>
    </w:p>
    <w:p>
      <w:pPr>
        <w:spacing w:after="0" w:line="175" w:lineRule="exact"/>
        <w:rPr>
          <w:sz w:val="20"/>
          <w:szCs w:val="20"/>
          <w:color w:val="auto"/>
        </w:rPr>
      </w:pPr>
    </w:p>
    <w:p>
      <w:pPr>
        <w:ind w:right="3119" w:firstLine="435"/>
        <w:spacing w:after="0"/>
        <w:tabs>
          <w:tab w:leader="none" w:pos="7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3</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BOARD OF DIRECTORS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3.01 . Board of Directors.</w:t>
      </w:r>
    </w:p>
    <w:p>
      <w:pPr>
        <w:spacing w:after="0" w:line="174" w:lineRule="exact"/>
        <w:rPr>
          <w:sz w:val="20"/>
          <w:szCs w:val="20"/>
          <w:color w:val="auto"/>
        </w:rPr>
      </w:pPr>
    </w:p>
    <w:p>
      <w:pPr>
        <w:ind w:right="3119" w:firstLine="523"/>
        <w:spacing w:after="0"/>
        <w:tabs>
          <w:tab w:leader="none" w:pos="8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75" w:lineRule="exact"/>
        <w:rPr>
          <w:rFonts w:ascii="Courier New" w:cs="Courier New" w:eastAsia="Courier New" w:hAnsi="Courier New"/>
          <w:sz w:val="15"/>
          <w:szCs w:val="15"/>
          <w:color w:val="auto"/>
        </w:rPr>
      </w:pPr>
    </w:p>
    <w:p>
      <w:pPr>
        <w:ind w:right="3119" w:firstLine="523"/>
        <w:spacing w:after="0" w:line="239" w:lineRule="auto"/>
        <w:tabs>
          <w:tab w:leader="none" w:pos="8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Subject to Article SIXTH of the Articles of Incorporation, the number of Directors shall be as determined by the Board of Directors from time to time.</w:t>
      </w:r>
    </w:p>
    <w:p>
      <w:pPr>
        <w:spacing w:after="0" w:line="175"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78" w:lineRule="exact"/>
        <w:rPr>
          <w:rFonts w:ascii="Courier New" w:cs="Courier New" w:eastAsia="Courier New" w:hAnsi="Courier New"/>
          <w:sz w:val="15"/>
          <w:szCs w:val="15"/>
          <w:color w:val="auto"/>
        </w:rPr>
      </w:pPr>
    </w:p>
    <w:p>
      <w:pPr>
        <w:ind w:right="3219" w:firstLine="523"/>
        <w:spacing w:after="0" w:line="239" w:lineRule="auto"/>
        <w:tabs>
          <w:tab w:leader="none" w:pos="8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The entire Board of Directors or any individual Director may be removed from office only for cause by the vote of the shareholders entitled to elect directors.</w:t>
      </w:r>
    </w:p>
    <w:p>
      <w:pPr>
        <w:spacing w:after="0" w:line="172" w:lineRule="exact"/>
        <w:rPr>
          <w:rFonts w:ascii="Courier New" w:cs="Courier New" w:eastAsia="Courier New" w:hAnsi="Courier New"/>
          <w:sz w:val="15"/>
          <w:szCs w:val="15"/>
          <w:color w:val="auto"/>
        </w:rPr>
      </w:pPr>
    </w:p>
    <w:p>
      <w:pPr>
        <w:ind w:left="880" w:hanging="357"/>
        <w:spacing w:after="0"/>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A Director must be a natural person at least 18 years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age.</w:t>
      </w:r>
    </w:p>
    <w:p>
      <w:pPr>
        <w:spacing w:after="0" w:line="174" w:lineRule="exact"/>
        <w:rPr>
          <w:sz w:val="20"/>
          <w:szCs w:val="20"/>
          <w:color w:val="auto"/>
        </w:rPr>
      </w:pPr>
    </w:p>
    <w:p>
      <w:pPr>
        <w:ind w:right="3219" w:firstLine="532"/>
        <w:spacing w:after="0" w:line="271" w:lineRule="auto"/>
        <w:rPr>
          <w:sz w:val="20"/>
          <w:szCs w:val="20"/>
          <w:color w:val="auto"/>
        </w:rPr>
      </w:pPr>
      <w:r>
        <w:rPr>
          <w:rFonts w:ascii="Courier New" w:cs="Courier New" w:eastAsia="Courier New" w:hAnsi="Courier New"/>
          <w:sz w:val="14"/>
          <w:szCs w:val="14"/>
          <w:color w:val="auto"/>
        </w:rPr>
        <w:t>Section 3.02 . Place of Meetings. Meetings of the Board of Directors may be held at such place within or without the Commonwealth of Pennsylvania as the</w:t>
      </w: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67" w:name="page168"/>
    <w:bookmarkEnd w:id="167"/>
    <w:p>
      <w:pPr>
        <w:ind w:right="3219"/>
        <w:spacing w:after="0" w:line="238" w:lineRule="auto"/>
        <w:rPr>
          <w:sz w:val="20"/>
          <w:szCs w:val="20"/>
          <w:color w:val="auto"/>
        </w:rPr>
      </w:pPr>
      <w:r>
        <w:rPr>
          <w:rFonts w:ascii="Courier New" w:cs="Courier New" w:eastAsia="Courier New" w:hAnsi="Courier New"/>
          <w:sz w:val="15"/>
          <w:szCs w:val="15"/>
          <w:color w:val="auto"/>
        </w:rPr>
        <w:t>Board of Directors may appoint from time to time or as may be designated in the notice of the meeting.</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Section 3.03 .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3.04 .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3.05 .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3.06 . Notices of Meetings of Board of Directors.</w:t>
      </w:r>
    </w:p>
    <w:p>
      <w:pPr>
        <w:spacing w:after="0" w:line="174" w:lineRule="exact"/>
        <w:rPr>
          <w:sz w:val="20"/>
          <w:szCs w:val="20"/>
          <w:color w:val="auto"/>
        </w:rPr>
      </w:pPr>
    </w:p>
    <w:p>
      <w:pPr>
        <w:ind w:right="3119" w:firstLine="523"/>
        <w:spacing w:after="0"/>
        <w:tabs>
          <w:tab w:leader="none" w:pos="8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74" w:lineRule="exact"/>
        <w:rPr>
          <w:rFonts w:ascii="Courier New" w:cs="Courier New" w:eastAsia="Courier New" w:hAnsi="Courier New"/>
          <w:sz w:val="15"/>
          <w:szCs w:val="15"/>
          <w:color w:val="auto"/>
        </w:rPr>
      </w:pPr>
    </w:p>
    <w:p>
      <w:pPr>
        <w:ind w:right="3219" w:firstLine="523"/>
        <w:spacing w:after="0" w:line="239" w:lineRule="auto"/>
        <w:tabs>
          <w:tab w:leader="none" w:pos="8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76"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Section 3.07 . Quorum; Action by the Board of Directors. A majority of the Directors in office shall be necessary to constitute a quorum for the transaction of business and, subject to Article SIXTH of the Articles of Incorporation and these By-Laws, the acts of a majority of the Directors present</w:t>
      </w:r>
    </w:p>
    <w:p>
      <w:pPr>
        <w:spacing w:after="0" w:line="200" w:lineRule="exact"/>
        <w:rPr>
          <w:sz w:val="20"/>
          <w:szCs w:val="20"/>
          <w:color w:val="auto"/>
        </w:rPr>
      </w:pPr>
    </w:p>
    <w:p>
      <w:pPr>
        <w:spacing w:after="0" w:line="29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68" w:name="page169"/>
    <w:bookmarkEnd w:id="168"/>
    <w:p>
      <w:pPr>
        <w:ind w:right="3219"/>
        <w:spacing w:after="0" w:line="239" w:lineRule="auto"/>
        <w:rPr>
          <w:sz w:val="20"/>
          <w:szCs w:val="20"/>
          <w:color w:val="auto"/>
        </w:rPr>
      </w:pPr>
      <w:r>
        <w:rPr>
          <w:rFonts w:ascii="Courier New" w:cs="Courier New" w:eastAsia="Courier New" w:hAnsi="Courier New"/>
          <w:sz w:val="15"/>
          <w:szCs w:val="15"/>
          <w:color w:val="auto"/>
        </w:rPr>
        <w:t>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3.08 .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3.09 . Committees.</w:t>
      </w:r>
    </w:p>
    <w:p>
      <w:pPr>
        <w:spacing w:after="0" w:line="174" w:lineRule="exact"/>
        <w:rPr>
          <w:sz w:val="20"/>
          <w:szCs w:val="20"/>
          <w:color w:val="auto"/>
        </w:rPr>
      </w:pPr>
    </w:p>
    <w:p>
      <w:pPr>
        <w:ind w:right="3219" w:firstLine="523"/>
        <w:spacing w:after="0"/>
        <w:tabs>
          <w:tab w:leader="none" w:pos="88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75" w:lineRule="exact"/>
        <w:rPr>
          <w:rFonts w:ascii="Courier New" w:cs="Courier New" w:eastAsia="Courier New" w:hAnsi="Courier New"/>
          <w:sz w:val="15"/>
          <w:szCs w:val="15"/>
          <w:color w:val="auto"/>
        </w:rPr>
      </w:pPr>
    </w:p>
    <w:p>
      <w:pPr>
        <w:ind w:left="440" w:right="3119" w:firstLine="438"/>
        <w:spacing w:after="0" w:line="238" w:lineRule="auto"/>
        <w:tabs>
          <w:tab w:leader="none" w:pos="1239"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submission to shareholders of any action requiring approval of shareholders under the Pennsylvania BCL.</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or filling of vacancies in the Board of Directors.</w:t>
      </w:r>
    </w:p>
    <w:p>
      <w:pPr>
        <w:spacing w:after="0" w:line="171" w:lineRule="exact"/>
        <w:rPr>
          <w:rFonts w:ascii="Courier New" w:cs="Courier New" w:eastAsia="Courier New" w:hAnsi="Courier New"/>
          <w:sz w:val="15"/>
          <w:szCs w:val="15"/>
          <w:color w:val="auto"/>
        </w:rPr>
      </w:pPr>
    </w:p>
    <w:p>
      <w:pPr>
        <w:ind w:left="1420" w:hanging="542"/>
        <w:spacing w:after="0"/>
        <w:tabs>
          <w:tab w:leader="none" w:pos="14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amendment or repeal of the By-Laws.</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or repeal of any resolution of the Board of Directors that by its terms is amendable or repealable only by the Board of Directors.</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on matters committed by the Articles of Incorporation, the By-Laws or resolution of the Board of Directors to another committee of the Board of Directors.</w:t>
      </w:r>
    </w:p>
    <w:p>
      <w:pPr>
        <w:spacing w:after="0" w:line="175" w:lineRule="exact"/>
        <w:rPr>
          <w:rFonts w:ascii="Courier New" w:cs="Courier New" w:eastAsia="Courier New" w:hAnsi="Courier New"/>
          <w:sz w:val="15"/>
          <w:szCs w:val="15"/>
          <w:color w:val="auto"/>
        </w:rPr>
      </w:pPr>
    </w:p>
    <w:p>
      <w:pPr>
        <w:ind w:right="3299" w:firstLine="523"/>
        <w:spacing w:after="0" w:line="261" w:lineRule="auto"/>
        <w:tabs>
          <w:tab w:leader="none" w:pos="88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69" w:name="page170"/>
    <w:bookmarkEnd w:id="169"/>
    <w:p>
      <w:pPr>
        <w:ind w:left="9" w:right="3219"/>
        <w:spacing w:after="0" w:line="239" w:lineRule="auto"/>
        <w:rPr>
          <w:sz w:val="20"/>
          <w:szCs w:val="20"/>
          <w:color w:val="auto"/>
        </w:rPr>
      </w:pPr>
      <w:r>
        <w:rPr>
          <w:rFonts w:ascii="Courier New" w:cs="Courier New" w:eastAsia="Courier New" w:hAnsi="Courier New"/>
          <w:sz w:val="15"/>
          <w:szCs w:val="15"/>
          <w:color w:val="auto"/>
        </w:rPr>
        <w:t>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76" w:lineRule="exact"/>
        <w:rPr>
          <w:sz w:val="20"/>
          <w:szCs w:val="20"/>
          <w:color w:val="auto"/>
        </w:rPr>
      </w:pPr>
    </w:p>
    <w:p>
      <w:pPr>
        <w:ind w:left="9" w:right="3579" w:firstLine="523"/>
        <w:spacing w:after="0" w:line="238" w:lineRule="auto"/>
        <w:tabs>
          <w:tab w:leader="none" w:pos="89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Each committee of the Board of Directors shall serve at the pleasure of the Board of Directors.</w:t>
      </w:r>
    </w:p>
    <w:p>
      <w:pPr>
        <w:spacing w:after="0" w:line="174" w:lineRule="exact"/>
        <w:rPr>
          <w:rFonts w:ascii="Courier New" w:cs="Courier New" w:eastAsia="Courier New" w:hAnsi="Courier New"/>
          <w:sz w:val="15"/>
          <w:szCs w:val="15"/>
          <w:color w:val="auto"/>
        </w:rPr>
      </w:pPr>
    </w:p>
    <w:p>
      <w:pPr>
        <w:ind w:left="9" w:right="3119" w:firstLine="523"/>
        <w:spacing w:after="0"/>
        <w:tabs>
          <w:tab w:leader="none" w:pos="89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77"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Section 3.10 .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74" w:lineRule="exact"/>
        <w:rPr>
          <w:sz w:val="20"/>
          <w:szCs w:val="20"/>
          <w:color w:val="auto"/>
        </w:rPr>
      </w:pPr>
    </w:p>
    <w:p>
      <w:pPr>
        <w:ind w:left="9" w:right="3119" w:hanging="9"/>
        <w:spacing w:after="0" w:line="260" w:lineRule="auto"/>
        <w:tabs>
          <w:tab w:leader="none" w:pos="36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w:t>
      </w:r>
    </w:p>
    <w:p>
      <w:pPr>
        <w:spacing w:after="0" w:line="200" w:lineRule="exact"/>
        <w:rPr>
          <w:sz w:val="20"/>
          <w:szCs w:val="20"/>
          <w:color w:val="auto"/>
        </w:rPr>
      </w:pPr>
    </w:p>
    <w:p>
      <w:pPr>
        <w:spacing w:after="0" w:line="30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70" w:name="page171"/>
    <w:bookmarkEnd w:id="170"/>
    <w:p>
      <w:pPr>
        <w:ind w:right="3119"/>
        <w:spacing w:after="0" w:line="260" w:lineRule="auto"/>
        <w:rPr>
          <w:sz w:val="20"/>
          <w:szCs w:val="20"/>
          <w:color w:val="auto"/>
        </w:rPr>
      </w:pPr>
      <w:r>
        <w:rPr>
          <w:rFonts w:ascii="Courier New" w:cs="Courier New" w:eastAsia="Courier New" w:hAnsi="Courier New"/>
          <w:sz w:val="14"/>
          <w:szCs w:val="14"/>
          <w:color w:val="auto"/>
        </w:rPr>
        <w:t>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59"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5"/>
          <w:szCs w:val="15"/>
          <w:color w:val="auto"/>
        </w:rPr>
        <w:t>Article 4</w:t>
      </w:r>
    </w:p>
    <w:p>
      <w:pPr>
        <w:spacing w:after="0" w:line="1"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5"/>
          <w:szCs w:val="15"/>
          <w:color w:val="auto"/>
        </w:rPr>
        <w:t>OFFICERS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4.01 .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80"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Section 4.02 .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76"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Section 4.03 . Powers and Duties of the Chairman of the Board. The Chairman of the Board shall have such powers and shall perform such duties as are provided in Article SIXTH of the Articles of Incorporation.</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Section 4.04 . Powers and Duties of the Chief Executive Officer . The Chief Executive Officer shall have such powers and shall perform such duties as are provided in Article SIXTH of the Articles of Incorporation.</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71" w:name="page172"/>
    <w:bookmarkEnd w:id="171"/>
    <w:p>
      <w:pPr>
        <w:ind w:right="3119" w:firstLine="532"/>
        <w:spacing w:after="0"/>
        <w:rPr>
          <w:sz w:val="20"/>
          <w:szCs w:val="20"/>
          <w:color w:val="auto"/>
        </w:rPr>
      </w:pPr>
      <w:r>
        <w:rPr>
          <w:rFonts w:ascii="Courier New" w:cs="Courier New" w:eastAsia="Courier New" w:hAnsi="Courier New"/>
          <w:sz w:val="15"/>
          <w:szCs w:val="15"/>
          <w:color w:val="auto"/>
        </w:rPr>
        <w:t>Section 4.06 .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4.07 .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83"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Section 4.08 .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72" w:name="page173"/>
    <w:bookmarkEnd w:id="172"/>
    <w:p>
      <w:pPr>
        <w:ind w:right="3219"/>
        <w:spacing w:after="0" w:line="239" w:lineRule="auto"/>
        <w:rPr>
          <w:sz w:val="20"/>
          <w:szCs w:val="20"/>
          <w:color w:val="auto"/>
        </w:rPr>
      </w:pPr>
      <w:r>
        <w:rPr>
          <w:rFonts w:ascii="Courier New" w:cs="Courier New" w:eastAsia="Courier New" w:hAnsi="Courier New"/>
          <w:sz w:val="15"/>
          <w:szCs w:val="15"/>
          <w:color w:val="auto"/>
        </w:rPr>
        <w:t>the Board of Directors provides otherwise. The Treasurer and Secretary shall be the superior officers of the Assistant Treasurers and Assistant Secretaries, respectively.</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Section 4.09 . Vacancies. Subject to Article SIXTH of the Articles of Incorporation, the Board of Directors shall have the power to fill any vacancies in any office occurring for any reason.</w:t>
      </w:r>
    </w:p>
    <w:p>
      <w:pPr>
        <w:spacing w:after="0" w:line="175" w:lineRule="exact"/>
        <w:rPr>
          <w:sz w:val="20"/>
          <w:szCs w:val="20"/>
          <w:color w:val="auto"/>
        </w:rPr>
      </w:pPr>
    </w:p>
    <w:p>
      <w:pPr>
        <w:ind w:right="3219" w:firstLine="532"/>
        <w:spacing w:after="0" w:line="264" w:lineRule="auto"/>
        <w:rPr>
          <w:sz w:val="20"/>
          <w:szCs w:val="20"/>
          <w:color w:val="auto"/>
        </w:rPr>
      </w:pPr>
      <w:r>
        <w:rPr>
          <w:rFonts w:ascii="Courier New" w:cs="Courier New" w:eastAsia="Courier New" w:hAnsi="Courier New"/>
          <w:sz w:val="14"/>
          <w:szCs w:val="14"/>
          <w:color w:val="auto"/>
        </w:rPr>
        <w:t>Section 4.10 . Delegation of Office. Subject to Article SIXTH of the Articles of Incorporation, the Board of Directors may delegate the powers or duties of any officer of the Corporation to any other person from time to time.</w:t>
      </w:r>
    </w:p>
    <w:p>
      <w:pPr>
        <w:spacing w:after="0" w:line="15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5</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CAPITAL STOCK</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5.01 . Share Certificates.</w:t>
      </w:r>
    </w:p>
    <w:p>
      <w:pPr>
        <w:spacing w:after="0" w:line="174" w:lineRule="exact"/>
        <w:rPr>
          <w:sz w:val="20"/>
          <w:szCs w:val="20"/>
          <w:color w:val="auto"/>
        </w:rPr>
      </w:pPr>
    </w:p>
    <w:p>
      <w:pPr>
        <w:ind w:right="3119" w:firstLine="523"/>
        <w:spacing w:after="0"/>
        <w:tabs>
          <w:tab w:leader="none" w:pos="8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80"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78" w:lineRule="exact"/>
        <w:rPr>
          <w:rFonts w:ascii="Courier New" w:cs="Courier New" w:eastAsia="Courier New" w:hAnsi="Courier New"/>
          <w:sz w:val="15"/>
          <w:szCs w:val="15"/>
          <w:color w:val="auto"/>
        </w:rPr>
      </w:pPr>
    </w:p>
    <w:p>
      <w:pPr>
        <w:ind w:right="3399" w:firstLine="523"/>
        <w:spacing w:after="0"/>
        <w:tabs>
          <w:tab w:leader="none" w:pos="8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73" w:name="page174"/>
    <w:bookmarkEnd w:id="173"/>
    <w:p>
      <w:pPr>
        <w:ind w:right="3119" w:firstLine="532"/>
        <w:spacing w:after="0"/>
        <w:rPr>
          <w:sz w:val="20"/>
          <w:szCs w:val="20"/>
          <w:color w:val="auto"/>
        </w:rPr>
      </w:pPr>
      <w:r>
        <w:rPr>
          <w:rFonts w:ascii="Courier New" w:cs="Courier New" w:eastAsia="Courier New" w:hAnsi="Courier New"/>
          <w:sz w:val="15"/>
          <w:szCs w:val="15"/>
          <w:color w:val="auto"/>
        </w:rPr>
        <w:t>Section 5.02 .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5.03 . Determination of Shareholders of Record.</w:t>
      </w:r>
    </w:p>
    <w:p>
      <w:pPr>
        <w:spacing w:after="0" w:line="174" w:lineRule="exact"/>
        <w:rPr>
          <w:sz w:val="20"/>
          <w:szCs w:val="20"/>
          <w:color w:val="auto"/>
        </w:rPr>
      </w:pPr>
    </w:p>
    <w:p>
      <w:pPr>
        <w:ind w:right="3119" w:firstLine="523"/>
        <w:spacing w:after="0"/>
        <w:tabs>
          <w:tab w:leader="none" w:pos="8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77" w:lineRule="exact"/>
        <w:rPr>
          <w:rFonts w:ascii="Courier New" w:cs="Courier New" w:eastAsia="Courier New" w:hAnsi="Courier New"/>
          <w:sz w:val="15"/>
          <w:szCs w:val="15"/>
          <w:color w:val="auto"/>
        </w:rPr>
      </w:pPr>
    </w:p>
    <w:p>
      <w:pPr>
        <w:ind w:left="880" w:hanging="357"/>
        <w:spacing w:after="0"/>
        <w:tabs>
          <w:tab w:leader="none" w:pos="8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when No Record Date Fixed. If a record date is not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fixed:</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shareholders for any other purpose shall be at the close of business on the day on which the Board of Directors adopts the resolution relating thereto.</w:t>
      </w:r>
    </w:p>
    <w:p>
      <w:pPr>
        <w:spacing w:after="0" w:line="175"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classification of shareholder who may certify;</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or purposes for which the certification may be made;</w:t>
      </w:r>
    </w:p>
    <w:p>
      <w:pPr>
        <w:spacing w:after="0" w:line="171" w:lineRule="exact"/>
        <w:rPr>
          <w:rFonts w:ascii="Courier New" w:cs="Courier New" w:eastAsia="Courier New" w:hAnsi="Courier New"/>
          <w:sz w:val="15"/>
          <w:szCs w:val="15"/>
          <w:color w:val="auto"/>
        </w:rPr>
      </w:pPr>
    </w:p>
    <w:p>
      <w:pPr>
        <w:ind w:left="1420" w:hanging="542"/>
        <w:spacing w:after="0"/>
        <w:tabs>
          <w:tab w:leader="none" w:pos="142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certification and information to be contained</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74" w:name="page175"/>
    <w:bookmarkEnd w:id="174"/>
    <w:p>
      <w:pPr>
        <w:ind w:left="440" w:right="3299" w:firstLine="438"/>
        <w:spacing w:after="0" w:line="239" w:lineRule="auto"/>
        <w:tabs>
          <w:tab w:leader="none" w:pos="13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certification is with respect to a record date, the time after the record date within which the certification must be received by the Corporation; and</w:t>
      </w:r>
    </w:p>
    <w:p>
      <w:pPr>
        <w:spacing w:after="0" w:line="175" w:lineRule="exact"/>
        <w:rPr>
          <w:rFonts w:ascii="Courier New" w:cs="Courier New" w:eastAsia="Courier New" w:hAnsi="Courier New"/>
          <w:sz w:val="15"/>
          <w:szCs w:val="15"/>
          <w:color w:val="auto"/>
        </w:rPr>
      </w:pPr>
    </w:p>
    <w:p>
      <w:pPr>
        <w:ind w:left="440" w:right="3219" w:firstLine="438"/>
        <w:spacing w:after="0" w:line="238" w:lineRule="auto"/>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provisions with respect to the procedure as are deemed necessary or desirable.</w:t>
      </w:r>
    </w:p>
    <w:p>
      <w:pPr>
        <w:spacing w:after="0" w:line="175"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61"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Section 5.04 .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65"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Section 5.05 .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6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6</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NOTICES; COMPUTING TIME PERIODS</w:t>
      </w:r>
    </w:p>
    <w:p>
      <w:pPr>
        <w:spacing w:after="0" w:line="174" w:lineRule="exact"/>
        <w:rPr>
          <w:sz w:val="20"/>
          <w:szCs w:val="20"/>
          <w:color w:val="auto"/>
        </w:rPr>
      </w:pPr>
    </w:p>
    <w:p>
      <w:pPr>
        <w:jc w:val="both"/>
        <w:ind w:right="3119" w:firstLine="532"/>
        <w:spacing w:after="0" w:line="264" w:lineRule="auto"/>
        <w:rPr>
          <w:sz w:val="20"/>
          <w:szCs w:val="20"/>
          <w:color w:val="auto"/>
        </w:rPr>
      </w:pPr>
      <w:r>
        <w:rPr>
          <w:rFonts w:ascii="Courier New" w:cs="Courier New" w:eastAsia="Courier New" w:hAnsi="Courier New"/>
          <w:sz w:val="14"/>
          <w:szCs w:val="14"/>
          <w:color w:val="auto"/>
        </w:rPr>
        <w:t>Section 6.01 . Contents of Notice. Whenever any notice of a meeting of the Board of Directors or of shareholders is required to be given pursuant to these By-Laws or the Articles of Incorporation of the Corporation, as the same may be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75" w:name="page176"/>
    <w:bookmarkEnd w:id="175"/>
    <w:p>
      <w:pPr>
        <w:ind w:right="3119"/>
        <w:spacing w:after="0"/>
        <w:rPr>
          <w:sz w:val="20"/>
          <w:szCs w:val="20"/>
          <w:color w:val="auto"/>
        </w:rPr>
      </w:pPr>
      <w:r>
        <w:rPr>
          <w:rFonts w:ascii="Courier New" w:cs="Courier New" w:eastAsia="Courier New" w:hAnsi="Courier New"/>
          <w:sz w:val="15"/>
          <w:szCs w:val="15"/>
          <w:color w:val="auto"/>
        </w:rPr>
        <w:t>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6.02 .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6.03 . Computing Time Periods.</w:t>
      </w:r>
    </w:p>
    <w:p>
      <w:pPr>
        <w:spacing w:after="0" w:line="174" w:lineRule="exact"/>
        <w:rPr>
          <w:sz w:val="20"/>
          <w:szCs w:val="20"/>
          <w:color w:val="auto"/>
        </w:rPr>
      </w:pPr>
    </w:p>
    <w:p>
      <w:pPr>
        <w:ind w:right="3219" w:firstLine="523"/>
        <w:spacing w:after="0" w:line="260" w:lineRule="auto"/>
        <w:tabs>
          <w:tab w:leader="none" w:pos="8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62" w:lineRule="exact"/>
        <w:rPr>
          <w:rFonts w:ascii="Courier New" w:cs="Courier New" w:eastAsia="Courier New" w:hAnsi="Courier New"/>
          <w:sz w:val="14"/>
          <w:szCs w:val="14"/>
          <w:color w:val="auto"/>
        </w:rPr>
      </w:pPr>
    </w:p>
    <w:p>
      <w:pPr>
        <w:ind w:right="3399" w:firstLine="523"/>
        <w:spacing w:after="0" w:line="239" w:lineRule="auto"/>
        <w:tabs>
          <w:tab w:leader="none" w:pos="8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6.04 .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76" w:name="page177"/>
    <w:bookmarkEnd w:id="176"/>
    <w:p>
      <w:pPr>
        <w:ind w:right="3119"/>
        <w:spacing w:after="0"/>
        <w:rPr>
          <w:sz w:val="20"/>
          <w:szCs w:val="20"/>
          <w:color w:val="auto"/>
        </w:rPr>
      </w:pPr>
      <w:r>
        <w:rPr>
          <w:rFonts w:ascii="Courier New" w:cs="Courier New" w:eastAsia="Courier New" w:hAnsi="Courier New"/>
          <w:sz w:val="15"/>
          <w:szCs w:val="15"/>
          <w:color w:val="auto"/>
        </w:rPr>
        <w:t>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Section 6.05 .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6.06 .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6.07 .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7</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LIMITATION OF DIRECTORS' LIABILITY AND INDEMNIFICATION OF DIRECTORS,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OFFICERS AND OTHER PERSONS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7.01 .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7.02 . Indemnification and Insurance.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77" w:name="page178"/>
    <w:bookmarkEnd w:id="177"/>
    <w:p>
      <w:pPr>
        <w:ind w:left="357" w:hanging="357"/>
        <w:spacing w:after="0"/>
        <w:tabs>
          <w:tab w:leader="none" w:pos="35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Directors and Officers.</w:t>
      </w:r>
    </w:p>
    <w:p>
      <w:pPr>
        <w:spacing w:after="0" w:line="174" w:lineRule="exact"/>
        <w:rPr>
          <w:rFonts w:ascii="Courier New" w:cs="Courier New" w:eastAsia="Courier New" w:hAnsi="Courier New"/>
          <w:sz w:val="15"/>
          <w:szCs w:val="15"/>
          <w:color w:val="auto"/>
        </w:rPr>
      </w:pPr>
    </w:p>
    <w:p>
      <w:pPr>
        <w:ind w:left="-83" w:right="3119" w:firstLine="438"/>
        <w:spacing w:after="0"/>
        <w:tabs>
          <w:tab w:leader="none" w:pos="71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willful misconduct or recklessness.</w:t>
      </w:r>
    </w:p>
    <w:p>
      <w:pPr>
        <w:spacing w:after="0" w:line="179" w:lineRule="exact"/>
        <w:rPr>
          <w:rFonts w:ascii="Courier New" w:cs="Courier New" w:eastAsia="Courier New" w:hAnsi="Courier New"/>
          <w:sz w:val="15"/>
          <w:szCs w:val="15"/>
          <w:color w:val="auto"/>
        </w:rPr>
      </w:pPr>
    </w:p>
    <w:p>
      <w:pPr>
        <w:ind w:left="-83" w:right="3119" w:firstLine="438"/>
        <w:spacing w:after="0"/>
        <w:tabs>
          <w:tab w:leader="none" w:pos="804"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78" w:lineRule="exact"/>
        <w:rPr>
          <w:rFonts w:ascii="Courier New" w:cs="Courier New" w:eastAsia="Courier New" w:hAnsi="Courier New"/>
          <w:sz w:val="15"/>
          <w:szCs w:val="15"/>
          <w:color w:val="auto"/>
        </w:rPr>
      </w:pPr>
    </w:p>
    <w:p>
      <w:pPr>
        <w:ind w:left="-83" w:right="3119" w:firstLine="438"/>
        <w:spacing w:after="0"/>
        <w:tabs>
          <w:tab w:leader="none" w:pos="893"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74" w:lineRule="exact"/>
        <w:rPr>
          <w:rFonts w:ascii="Courier New" w:cs="Courier New" w:eastAsia="Courier New" w:hAnsi="Courier New"/>
          <w:sz w:val="15"/>
          <w:szCs w:val="15"/>
          <w:color w:val="auto"/>
        </w:rPr>
      </w:pPr>
    </w:p>
    <w:p>
      <w:pPr>
        <w:ind w:left="-83" w:right="3219" w:firstLine="438"/>
        <w:spacing w:after="0" w:line="239" w:lineRule="auto"/>
        <w:tabs>
          <w:tab w:leader="none" w:pos="804"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pursuant to this Section shall continue as to an Indemnitee who has ceased to be a Director or officer and shall inure to the benefit of his or her heirs, executors and administrators.</w:t>
      </w:r>
    </w:p>
    <w:p>
      <w:pPr>
        <w:spacing w:after="0" w:line="175" w:lineRule="exact"/>
        <w:rPr>
          <w:rFonts w:ascii="Courier New" w:cs="Courier New" w:eastAsia="Courier New" w:hAnsi="Courier New"/>
          <w:sz w:val="15"/>
          <w:szCs w:val="15"/>
          <w:color w:val="auto"/>
        </w:rPr>
      </w:pPr>
    </w:p>
    <w:p>
      <w:pPr>
        <w:ind w:left="-83" w:right="3299" w:firstLine="438"/>
        <w:spacing w:after="0" w:line="259" w:lineRule="auto"/>
        <w:tabs>
          <w:tab w:leader="none" w:pos="715"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w:t>
      </w:r>
    </w:p>
    <w:p>
      <w:pPr>
        <w:spacing w:after="0" w:line="200" w:lineRule="exact"/>
        <w:rPr>
          <w:sz w:val="20"/>
          <w:szCs w:val="20"/>
          <w:color w:val="auto"/>
        </w:rPr>
      </w:pPr>
    </w:p>
    <w:p>
      <w:pPr>
        <w:spacing w:after="0" w:line="304" w:lineRule="exact"/>
        <w:rPr>
          <w:sz w:val="20"/>
          <w:szCs w:val="20"/>
          <w:color w:val="auto"/>
        </w:rPr>
      </w:pPr>
    </w:p>
    <w:p>
      <w:pPr>
        <w:ind w:left="293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696"/>
          </w:cols>
          <w:pgMar w:left="763" w:top="628" w:right="1440" w:bottom="1440" w:gutter="0" w:footer="0" w:header="0"/>
        </w:sectPr>
      </w:pPr>
    </w:p>
    <w:bookmarkStart w:id="178" w:name="page179"/>
    <w:bookmarkEnd w:id="178"/>
    <w:p>
      <w:pPr>
        <w:ind w:left="440" w:right="3219"/>
        <w:spacing w:after="0" w:line="271" w:lineRule="auto"/>
        <w:rPr>
          <w:sz w:val="20"/>
          <w:szCs w:val="20"/>
          <w:color w:val="auto"/>
        </w:rPr>
      </w:pPr>
      <w:r>
        <w:rPr>
          <w:rFonts w:ascii="Courier New" w:cs="Courier New" w:eastAsia="Courier New" w:hAnsi="Courier New"/>
          <w:sz w:val="14"/>
          <w:szCs w:val="14"/>
          <w:color w:val="auto"/>
        </w:rPr>
        <w:t>without limitation an action, suit or proceeding by or in the right of the Corporation), whether civil, criminal, administrative or investigative.</w:t>
      </w:r>
    </w:p>
    <w:p>
      <w:pPr>
        <w:spacing w:after="0" w:line="154" w:lineRule="exact"/>
        <w:rPr>
          <w:sz w:val="20"/>
          <w:szCs w:val="20"/>
          <w:color w:val="auto"/>
        </w:rPr>
      </w:pPr>
    </w:p>
    <w:p>
      <w:pPr>
        <w:ind w:right="3119" w:firstLine="523"/>
        <w:spacing w:after="0"/>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81" w:lineRule="exact"/>
        <w:rPr>
          <w:rFonts w:ascii="Courier New" w:cs="Courier New" w:eastAsia="Courier New" w:hAnsi="Courier New"/>
          <w:sz w:val="15"/>
          <w:szCs w:val="15"/>
          <w:color w:val="auto"/>
        </w:rPr>
      </w:pPr>
    </w:p>
    <w:p>
      <w:pPr>
        <w:ind w:right="3399" w:firstLine="523"/>
        <w:spacing w:after="0"/>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74"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75"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7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Section 7.03 .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w:t>
      </w:r>
    </w:p>
    <w:p>
      <w:pPr>
        <w:spacing w:after="0" w:line="200" w:lineRule="exact"/>
        <w:rPr>
          <w:sz w:val="20"/>
          <w:szCs w:val="20"/>
          <w:color w:val="auto"/>
        </w:rPr>
      </w:pPr>
    </w:p>
    <w:p>
      <w:pPr>
        <w:spacing w:after="0" w:line="3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79" w:name="page180"/>
    <w:bookmarkEnd w:id="179"/>
    <w:p>
      <w:pPr>
        <w:ind w:right="3119"/>
        <w:spacing w:after="0"/>
        <w:rPr>
          <w:sz w:val="20"/>
          <w:szCs w:val="20"/>
          <w:color w:val="auto"/>
        </w:rPr>
      </w:pPr>
      <w:r>
        <w:rPr>
          <w:rFonts w:ascii="Courier New" w:cs="Courier New" w:eastAsia="Courier New" w:hAnsi="Courier New"/>
          <w:sz w:val="15"/>
          <w:szCs w:val="15"/>
          <w:color w:val="auto"/>
        </w:rPr>
        <w:t>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Section 7.04 .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8</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FISCAL YEAR</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Section 8.01 .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9</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ARTICLES OF INCORPORATION</w:t>
      </w:r>
    </w:p>
    <w:p>
      <w:pPr>
        <w:spacing w:after="0" w:line="174" w:lineRule="exact"/>
        <w:rPr>
          <w:sz w:val="20"/>
          <w:szCs w:val="20"/>
          <w:color w:val="auto"/>
        </w:rPr>
      </w:pPr>
    </w:p>
    <w:p>
      <w:pPr>
        <w:ind w:right="3299" w:firstLine="532"/>
        <w:spacing w:after="0" w:line="264" w:lineRule="auto"/>
        <w:rPr>
          <w:sz w:val="20"/>
          <w:szCs w:val="20"/>
          <w:color w:val="auto"/>
        </w:rPr>
      </w:pPr>
      <w:r>
        <w:rPr>
          <w:rFonts w:ascii="Courier New" w:cs="Courier New" w:eastAsia="Courier New" w:hAnsi="Courier New"/>
          <w:sz w:val="14"/>
          <w:szCs w:val="14"/>
          <w:color w:val="auto"/>
        </w:rPr>
        <w:t>Section 9.01 . Inconsistent Provisions. In the event of any conflict between the provisions of these By-Laws and the provisions of the Articles of Incorporation, including, but not limited to, Article SIXTH of the Articles of</w:t>
      </w:r>
    </w:p>
    <w:p>
      <w:pPr>
        <w:spacing w:after="0" w:line="200" w:lineRule="exact"/>
        <w:rPr>
          <w:sz w:val="20"/>
          <w:szCs w:val="20"/>
          <w:color w:val="auto"/>
        </w:rPr>
      </w:pPr>
    </w:p>
    <w:p>
      <w:pPr>
        <w:spacing w:after="0" w:line="29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180" w:name="page181"/>
    <w:bookmarkEnd w:id="180"/>
    <w:p>
      <w:pPr>
        <w:ind w:right="3219"/>
        <w:spacing w:after="0" w:line="238" w:lineRule="auto"/>
        <w:rPr>
          <w:sz w:val="20"/>
          <w:szCs w:val="20"/>
          <w:color w:val="auto"/>
        </w:rPr>
      </w:pPr>
      <w:r>
        <w:rPr>
          <w:rFonts w:ascii="Courier New" w:cs="Courier New" w:eastAsia="Courier New" w:hAnsi="Courier New"/>
          <w:sz w:val="15"/>
          <w:szCs w:val="15"/>
          <w:color w:val="auto"/>
        </w:rPr>
        <w:t>Incorporation, the provisions of the Articles of Incorporation shall govern and control.</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10</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AMENDMENTS</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Section 10.01 . Amendments. Except as otherwise provided in these By-Laws or in the Articles of Incorporation, including Article SIXTH, Article SEVENTH and Article TENTH of the Articles of Incorporation:</w:t>
      </w:r>
    </w:p>
    <w:p>
      <w:pPr>
        <w:spacing w:after="0" w:line="175" w:lineRule="exact"/>
        <w:rPr>
          <w:sz w:val="20"/>
          <w:szCs w:val="20"/>
          <w:color w:val="auto"/>
        </w:rPr>
      </w:pPr>
    </w:p>
    <w:p>
      <w:pPr>
        <w:ind w:right="3119" w:firstLine="523"/>
        <w:spacing w:after="0"/>
        <w:tabs>
          <w:tab w:leader="none" w:pos="8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76" w:lineRule="exact"/>
        <w:rPr>
          <w:rFonts w:ascii="Courier New" w:cs="Courier New" w:eastAsia="Courier New" w:hAnsi="Courier New"/>
          <w:sz w:val="15"/>
          <w:szCs w:val="15"/>
          <w:color w:val="auto"/>
        </w:rPr>
      </w:pPr>
    </w:p>
    <w:p>
      <w:pPr>
        <w:ind w:right="3219" w:firstLine="523"/>
        <w:spacing w:after="0" w:line="260" w:lineRule="auto"/>
        <w:tabs>
          <w:tab w:leader="none" w:pos="88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6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11</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INTERPRETATION OF BY-LAWS; SEPARABILITY</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Section 11.01 . Interpretation. All words, terms and provisions of these By-Laws shall be interpreted and defined by and in accordance with the Pennsylvania BCL.</w:t>
      </w:r>
    </w:p>
    <w:p>
      <w:pPr>
        <w:spacing w:after="0" w:line="175"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Section 11.02 .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00" w:lineRule="exact"/>
        <w:rPr>
          <w:sz w:val="20"/>
          <w:szCs w:val="20"/>
          <w:color w:val="auto"/>
        </w:rPr>
      </w:pPr>
    </w:p>
    <w:p>
      <w:pPr>
        <w:spacing w:after="0" w:line="29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81" w:name="page182"/>
    <w:bookmarkEnd w:id="181"/>
    <w:p>
      <w:pPr>
        <w:ind w:left="3100"/>
        <w:spacing w:after="0"/>
        <w:rPr>
          <w:sz w:val="20"/>
          <w:szCs w:val="20"/>
          <w:color w:val="auto"/>
        </w:rPr>
      </w:pPr>
      <w:r>
        <w:rPr>
          <w:rFonts w:ascii="Courier New" w:cs="Courier New" w:eastAsia="Courier New" w:hAnsi="Courier New"/>
          <w:sz w:val="15"/>
          <w:szCs w:val="15"/>
          <w:color w:val="auto"/>
        </w:rPr>
        <w:t>Article 12</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DETERMINATIONS BY THE BOARD</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Section 12.01 . Effect of Board Determinations. Any determination involving interpretation or application of these By-Laws made in good faith by the Board of Directors shall be final, binding and conclusive on all parties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8" w:right="1440" w:bottom="1440" w:gutter="0" w:footer="0" w:header="0"/>
        </w:sectPr>
      </w:pPr>
    </w:p>
    <w:bookmarkStart w:id="182" w:name="page183"/>
    <w:bookmarkEnd w:id="182"/>
    <w:p>
      <w:pPr>
        <w:jc w:val="right"/>
        <w:ind w:right="3119"/>
        <w:spacing w:after="0"/>
        <w:rPr>
          <w:sz w:val="20"/>
          <w:szCs w:val="20"/>
          <w:color w:val="auto"/>
        </w:rPr>
      </w:pPr>
      <w:r>
        <w:rPr>
          <w:rFonts w:ascii="Courier New" w:cs="Courier New" w:eastAsia="Courier New" w:hAnsi="Courier New"/>
          <w:sz w:val="15"/>
          <w:szCs w:val="15"/>
          <w:color w:val="auto"/>
        </w:rPr>
        <w:t>Exhibit 4.1</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[COMCAST LOGO]</w:t>
      </w:r>
    </w:p>
    <w:p>
      <w:pPr>
        <w:spacing w:after="0" w:line="34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INCORPORATED UNDER THE LAWS OF THE COMMONWEALTH OF PENNSYLVANIA</w:t>
      </w:r>
    </w:p>
    <w:p>
      <w:pPr>
        <w:sectPr>
          <w:pgSz w:w="11900" w:h="16838" w:orient="portrait"/>
          <w:cols w:equalWidth="0" w:num="1">
            <w:col w:w="10219"/>
          </w:cols>
          <w:pgMar w:left="240" w:top="13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 0003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20030N 10 1</w:t>
      </w:r>
    </w:p>
    <w:p>
      <w:pPr>
        <w:spacing w:after="0" w:line="179" w:lineRule="exact"/>
        <w:rPr>
          <w:sz w:val="20"/>
          <w:szCs w:val="20"/>
          <w:color w:val="auto"/>
        </w:rPr>
      </w:pPr>
    </w:p>
    <w:p>
      <w:pPr>
        <w:sectPr>
          <w:pgSz w:w="11900" w:h="16838" w:orient="portrait"/>
          <w:cols w:equalWidth="0" w:num="2">
            <w:col w:w="3700" w:space="720"/>
            <w:col w:w="579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34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FULLY PAID AND NON-ASSESSABLE SHARES OF THE CLASS A COMMON STOCK, PAR VALUE $.01 PER SHARE, OF</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COMCAST CORPORATION (hereinafter called the "Corporation"), transferable on the books of the Corporation by the holder hereof in person, or by duly authorized attorney, upon the surrender of this certificate properly endorsed.</w:t>
      </w:r>
    </w:p>
    <w:p>
      <w:pPr>
        <w:spacing w:after="0" w:line="4"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This certificate is not valid unless countersigned and registered by the Transfer Agent and Registrar.</w:t>
      </w:r>
    </w:p>
    <w:p>
      <w:pPr>
        <w:spacing w:after="0" w:line="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Witness Whereof, the Corporation has caused this certificate to be signed with the facsimile signatures of its duly authorized officers, and its facsimile seal to be hereunto affixed.</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11/27/02</w:t>
      </w:r>
    </w:p>
    <w:p>
      <w:pPr>
        <w:sectPr>
          <w:pgSz w:w="11900" w:h="16838" w:orient="portrait"/>
          <w:cols w:equalWidth="0" w:num="1">
            <w:col w:w="10219"/>
          </w:cols>
          <w:pgMar w:left="240" w:top="1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/s/Arhtur R. Block</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Brian J. Roberts</w:t>
      </w:r>
    </w:p>
    <w:p>
      <w:pPr>
        <w:spacing w:after="0" w:line="12"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3">
            <w:col w:w="3360" w:space="720"/>
            <w:col w:w="260" w:space="180"/>
            <w:col w:w="5699"/>
          </w:cols>
          <w:pgMar w:left="240" w:top="139" w:right="1440" w:bottom="1440" w:gutter="0" w:footer="0" w:header="0"/>
          <w:type w:val="continuous"/>
        </w:sectPr>
      </w:pPr>
    </w:p>
    <w:p>
      <w:pPr>
        <w:spacing w:after="0" w:line="31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[COMCAST CORPORATION</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SEAL</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2001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*PENNSYLVANIA*]</w:t>
      </w:r>
    </w:p>
    <w:p>
      <w:pPr>
        <w:sectPr>
          <w:pgSz w:w="11900" w:h="16838" w:orient="portrait"/>
          <w:cols w:equalWidth="0" w:num="1">
            <w:col w:w="10219"/>
          </w:cols>
          <w:pgMar w:left="240" w:top="139" w:right="1440" w:bottom="1440" w:gutter="0" w:footer="0" w:header="0"/>
          <w:type w:val="continuous"/>
        </w:sectPr>
      </w:pPr>
    </w:p>
    <w:bookmarkStart w:id="183" w:name="page184"/>
    <w:bookmarkEnd w:id="183"/>
    <w:p>
      <w:pPr>
        <w:ind w:left="6120"/>
        <w:spacing w:after="0"/>
        <w:rPr>
          <w:sz w:val="20"/>
          <w:szCs w:val="20"/>
          <w:color w:val="auto"/>
        </w:rPr>
      </w:pPr>
      <w:r>
        <w:rPr>
          <w:rFonts w:ascii="Courier New" w:cs="Courier New" w:eastAsia="Courier New" w:hAnsi="Courier New"/>
          <w:sz w:val="14"/>
          <w:szCs w:val="14"/>
          <w:color w:val="auto"/>
        </w:rPr>
        <w:t>Exhibit 4.2</w:t>
      </w:r>
    </w:p>
    <w:p>
      <w:pPr>
        <w:spacing w:after="0" w:line="35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[COMCAST LOGO]</w:t>
      </w:r>
    </w:p>
    <w:p>
      <w:pPr>
        <w:spacing w:after="0" w:line="34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INCORPORATED UNDER THE LAWS OF THE COMMONWEALTH OF PENNSYLVANIA</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CK 0004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SPECIAL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20030N 20 0</w:t>
      </w:r>
    </w:p>
    <w:p>
      <w:pPr>
        <w:spacing w:after="0" w:line="520" w:lineRule="exact"/>
        <w:rPr>
          <w:sz w:val="20"/>
          <w:szCs w:val="20"/>
          <w:color w:val="auto"/>
        </w:rPr>
      </w:pPr>
    </w:p>
    <w:p>
      <w:pPr>
        <w:sectPr>
          <w:pgSz w:w="11900" w:h="16838" w:orient="portrait"/>
          <w:cols w:equalWidth="0" w:num="2">
            <w:col w:w="4500" w:space="720"/>
            <w:col w:w="49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34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FULLY PAID AND NON-ASSESSABLE SHARES OF THE CLASS A SPECIAL COMMON STOCK, PAR VALUE $.01 PER SHARE, OF</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COMCAST CORPORATION (hereinafter called the "Corporation"), transferable on the books of the Corporation by the holder hereof in person, or by duly authorized attorney, upon the surrender of this certificate properly endorsed.</w:t>
      </w:r>
    </w:p>
    <w:p>
      <w:pPr>
        <w:spacing w:after="0" w:line="4" w:lineRule="exact"/>
        <w:rPr>
          <w:sz w:val="20"/>
          <w:szCs w:val="20"/>
          <w:color w:val="auto"/>
        </w:rPr>
      </w:pPr>
    </w:p>
    <w:p>
      <w:pPr>
        <w:jc w:val="both"/>
        <w:ind w:left="440" w:right="3119"/>
        <w:spacing w:after="0" w:line="238" w:lineRule="auto"/>
        <w:rPr>
          <w:sz w:val="20"/>
          <w:szCs w:val="20"/>
          <w:color w:val="auto"/>
        </w:rPr>
      </w:pPr>
      <w:r>
        <w:rPr>
          <w:rFonts w:ascii="Courier New" w:cs="Courier New" w:eastAsia="Courier New" w:hAnsi="Courier New"/>
          <w:sz w:val="15"/>
          <w:szCs w:val="15"/>
          <w:color w:val="auto"/>
        </w:rPr>
        <w:t>This certificate is not valid unless countersigned and registered by the Transfer Agent and Registrar.</w:t>
      </w:r>
    </w:p>
    <w:p>
      <w:pPr>
        <w:spacing w:after="0" w:line="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In Witness Whereof, the Corporation has caused this certificate to be signed with the facsimile signatures of its duly authorized officers, and its facsimile seal to be hereunto affixed.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12/3/02</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/s/Arhtur R. Block</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Brian J. Roberts</w:t>
      </w:r>
    </w:p>
    <w:p>
      <w:pPr>
        <w:spacing w:after="0" w:line="12"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3">
            <w:col w:w="3360" w:space="720"/>
            <w:col w:w="260" w:space="180"/>
            <w:col w:w="569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[COMCAST CORPORATION</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SEAL</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2001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*PENNSYLVANIA*]</w:t>
      </w:r>
    </w:p>
    <w:p>
      <w:pPr>
        <w:sectPr>
          <w:pgSz w:w="11900" w:h="16838" w:orient="portrait"/>
          <w:cols w:equalWidth="0" w:num="1">
            <w:col w:w="10219"/>
          </w:cols>
          <w:pgMar w:left="240" w:top="142" w:right="1440" w:bottom="1440" w:gutter="0" w:footer="0" w:header="0"/>
          <w:type w:val="continuous"/>
        </w:sectPr>
      </w:pPr>
    </w:p>
    <w:bookmarkStart w:id="184" w:name="page185"/>
    <w:bookmarkEnd w:id="184"/>
    <w:p>
      <w:pPr>
        <w:spacing w:after="0" w:line="3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4.7</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FIRST AMENDMENT TO AMENDED AND RESTATED1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FIVE-YEAR REVOLVING CREDIT AGREEMENT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THIS AMENDMENT (herein so called) is entered into as of February 7, 2003, among COMCAST CABLE COMMUNICATIONS, INC., a Delaware corporation ("Borrower"), COMCAST CORPORATION (formerly known as AT&amp;T Comcast Corporation), a Pennsylvania corporation ("Parent"), the Lenders party to the Credit Agreement (hereinafter defined) and BANK OF AMERICA, N.A., as Administrative Agent for the Lenders.</w:t>
      </w:r>
    </w:p>
    <w:p>
      <w:pPr>
        <w:spacing w:after="0" w:line="175"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Borrower, Parent, Lenders and Administrative Agent are party to the Five-Year Revolving Credit Agreement dated as of August 24, 2000, as amended and restated by the Amended and Restated Five-Year Revolving Credit Agreement effective as of November 18, 2002 (the "Credit Agreement"), and have agreed, upon the following terms and conditions, to amend the Credit Agreement in certain respects. Accordingly, for valuable and acknowledged consideration, Borrower, Parent, Lenders and Administrative Agent agree as follows:</w:t>
      </w:r>
    </w:p>
    <w:p>
      <w:pPr>
        <w:spacing w:after="0" w:line="173" w:lineRule="exact"/>
        <w:rPr>
          <w:sz w:val="20"/>
          <w:szCs w:val="20"/>
          <w:color w:val="auto"/>
        </w:rPr>
      </w:pPr>
    </w:p>
    <w:p>
      <w:pPr>
        <w:ind w:left="1060" w:hanging="270"/>
        <w:spacing w:after="0"/>
        <w:tabs>
          <w:tab w:leader="none" w:pos="10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References.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rPr>
          <w:sz w:val="20"/>
          <w:szCs w:val="20"/>
          <w:color w:val="auto"/>
        </w:rPr>
      </w:pPr>
      <w:r>
        <w:rPr>
          <w:rFonts w:ascii="Courier New" w:cs="Courier New" w:eastAsia="Courier New" w:hAnsi="Courier New"/>
          <w:sz w:val="15"/>
          <w:szCs w:val="15"/>
          <w:color w:val="auto"/>
        </w:rPr>
        <w:t>Unless otherwise stated in this Amendment, (a) terms defined in the Credit Agreement have the same meanings when used in this Amendment and (b) references to "Sections" are to the Credit Agreement's sections.</w:t>
      </w:r>
    </w:p>
    <w:p>
      <w:pPr>
        <w:spacing w:after="0" w:line="341" w:lineRule="exact"/>
        <w:rPr>
          <w:sz w:val="20"/>
          <w:szCs w:val="20"/>
          <w:color w:val="auto"/>
        </w:rPr>
      </w:pPr>
    </w:p>
    <w:p>
      <w:pPr>
        <w:ind w:left="1060" w:hanging="270"/>
        <w:spacing w:after="0"/>
        <w:tabs>
          <w:tab w:leader="none" w:pos="10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040" w:right="3119" w:hanging="452"/>
        <w:spacing w:after="0" w:line="238" w:lineRule="auto"/>
        <w:tabs>
          <w:tab w:leader="none" w:pos="204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6.01(a) is amended to read in its entirety as follows:</w:t>
      </w:r>
    </w:p>
    <w:p>
      <w:pPr>
        <w:spacing w:after="0" w:line="175" w:lineRule="exact"/>
        <w:rPr>
          <w:sz w:val="20"/>
          <w:szCs w:val="20"/>
          <w:color w:val="auto"/>
        </w:rPr>
      </w:pPr>
    </w:p>
    <w:p>
      <w:pPr>
        <w:jc w:val="both"/>
        <w:ind w:left="1580" w:right="3119" w:firstLine="799"/>
        <w:spacing w:after="0"/>
        <w:rPr>
          <w:sz w:val="20"/>
          <w:szCs w:val="20"/>
          <w:color w:val="auto"/>
        </w:rPr>
      </w:pPr>
      <w:r>
        <w:rPr>
          <w:rFonts w:ascii="Courier New" w:cs="Courier New" w:eastAsia="Courier New" w:hAnsi="Courier New"/>
          <w:sz w:val="15"/>
          <w:szCs w:val="15"/>
          <w:color w:val="auto"/>
        </w:rPr>
        <w:t>"As soon as available, but in any event within 105 days (in the case of clause (i) below) or 120 days (in the case of clause (ii) below) after the end of each fiscal year of Parent ending after the Effective Date, consolidated balance sheets as at the end of such fiscal year and related consolidated statements of income and cash flows for such fiscal year, of (i) Parent and its consolidated Subsidiaries and (ii) the Restricted Group,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183" w:lineRule="exact"/>
        <w:rPr>
          <w:sz w:val="20"/>
          <w:szCs w:val="20"/>
          <w:color w:val="auto"/>
        </w:rPr>
      </w:pPr>
    </w:p>
    <w:p>
      <w:pPr>
        <w:ind w:left="2040" w:right="3119" w:hanging="452"/>
        <w:spacing w:after="0" w:line="238" w:lineRule="auto"/>
        <w:tabs>
          <w:tab w:leader="none" w:pos="20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6.01(b) is amended to read in its entirety as follows:</w:t>
      </w:r>
    </w:p>
    <w:p>
      <w:pPr>
        <w:spacing w:after="0" w:line="175" w:lineRule="exact"/>
        <w:rPr>
          <w:sz w:val="20"/>
          <w:szCs w:val="20"/>
          <w:color w:val="auto"/>
        </w:rPr>
      </w:pPr>
    </w:p>
    <w:p>
      <w:pPr>
        <w:jc w:val="both"/>
        <w:ind w:left="1580" w:right="3119" w:firstLine="799"/>
        <w:spacing w:after="0"/>
        <w:rPr>
          <w:sz w:val="20"/>
          <w:szCs w:val="20"/>
          <w:color w:val="auto"/>
        </w:rPr>
      </w:pPr>
      <w:r>
        <w:rPr>
          <w:rFonts w:ascii="Courier New" w:cs="Courier New" w:eastAsia="Courier New" w:hAnsi="Courier New"/>
          <w:sz w:val="15"/>
          <w:szCs w:val="15"/>
          <w:color w:val="auto"/>
        </w:rPr>
        <w:t>"As soon as available, but in any event within 60 days after the end of each of the first three fiscal quarters of each fiscal year of Parent ending after the Effective Date, consolidated balance sheets as at the end of such fiscal quarter, and the related consolidated statements of income and cash flows for such fiscal quarter and for the portion of Parent's fiscal year then ended, of (i) Parent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Parent as fairly presenting the financial condition, results of operations and cash flows of Parent and its consolidated Subsidiaries or of the Restricted Group,</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60" w:hanging="272"/>
        <w:spacing w:after="0"/>
        <w:tabs>
          <w:tab w:leader="none" w:pos="18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Conformed to reflect signatures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First Amendment to Amended and Restated</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Five-Year Revolving Credit Agreement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as applicable, in accordance with GAAP, subject only to pro forma adjustments and normal year-end audit adjustments, except for the financial statements of the Restricted Group, which will be in accordance with GAAP except for the exclusion of the Unrestricted Subsidiaries; and"</w:t>
      </w:r>
    </w:p>
    <w:p>
      <w:pPr>
        <w:spacing w:after="0" w:line="172" w:lineRule="exact"/>
        <w:rPr>
          <w:sz w:val="20"/>
          <w:szCs w:val="20"/>
          <w:color w:val="auto"/>
        </w:rPr>
      </w:pPr>
    </w:p>
    <w:p>
      <w:pPr>
        <w:ind w:left="1060" w:hanging="270"/>
        <w:spacing w:after="0"/>
        <w:tabs>
          <w:tab w:leader="none" w:pos="10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to Effectiveness of Amendment.</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This Amendment shall not be effective until Administrative Agent receives counterparts of this Amendment executed by Borrower, Parent, Required Lenders and Administrative Agent.</w:t>
      </w:r>
    </w:p>
    <w:p>
      <w:pPr>
        <w:spacing w:after="0" w:line="172" w:lineRule="exact"/>
        <w:rPr>
          <w:sz w:val="20"/>
          <w:szCs w:val="20"/>
          <w:color w:val="auto"/>
        </w:rPr>
      </w:pPr>
    </w:p>
    <w:p>
      <w:pPr>
        <w:ind w:left="1060" w:hanging="270"/>
        <w:spacing w:after="0"/>
        <w:tabs>
          <w:tab w:leader="none" w:pos="10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139" w:right="1440" w:bottom="0" w:gutter="0" w:footer="0" w:header="0"/>
        </w:sectPr>
      </w:pPr>
    </w:p>
    <w:bookmarkStart w:id="185" w:name="page186"/>
    <w:bookmarkEnd w:id="185"/>
    <w:p>
      <w:pPr>
        <w:ind w:right="3759"/>
        <w:spacing w:after="0" w:line="271" w:lineRule="auto"/>
        <w:rPr>
          <w:sz w:val="20"/>
          <w:szCs w:val="20"/>
          <w:color w:val="auto"/>
        </w:rPr>
      </w:pPr>
      <w:r>
        <w:rPr>
          <w:rFonts w:ascii="Courier New" w:cs="Courier New" w:eastAsia="Courier New" w:hAnsi="Courier New"/>
          <w:sz w:val="14"/>
          <w:szCs w:val="14"/>
          <w:color w:val="auto"/>
        </w:rPr>
        <w:t>Borrower represents and warrants to Lenders that as of the date of this Amendment, no Default or Event of Default has occurred and is continuing.</w:t>
      </w:r>
    </w:p>
    <w:p>
      <w:pPr>
        <w:spacing w:after="0" w:line="151" w:lineRule="exact"/>
        <w:rPr>
          <w:sz w:val="20"/>
          <w:szCs w:val="20"/>
          <w:color w:val="auto"/>
        </w:rPr>
      </w:pPr>
    </w:p>
    <w:p>
      <w:pPr>
        <w:ind w:left="1060" w:hanging="270"/>
        <w:spacing w:after="0"/>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This Amendment is a Loan Document. Except as expressly modified and amended by this Amendment, all of the terms, provisions and conditions of the Loan Documents shall remain unchanged and in full force and effect. The Loan Documents and any and all other documents heretofore, now or hereafter executed and delivered pursuant to the terms of the Credit Agreement are hereby amended so that any reference to the Credit Agreement shall mean a reference to the Credit Agreement as amended hereby.</w:t>
      </w:r>
    </w:p>
    <w:p>
      <w:pPr>
        <w:spacing w:after="0" w:line="173" w:lineRule="exact"/>
        <w:rPr>
          <w:sz w:val="20"/>
          <w:szCs w:val="20"/>
          <w:color w:val="auto"/>
        </w:rPr>
      </w:pPr>
    </w:p>
    <w:p>
      <w:pPr>
        <w:ind w:left="1060" w:hanging="270"/>
        <w:spacing w:after="0"/>
        <w:tabs>
          <w:tab w:leader="none" w:pos="10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Borrower shall pay all reasonable fees and expenses paid or incurred by the Administrative Agent incident to this Amendment, including, without limitation, the reasonable fees and expenses of the Administrative Agent's counsel in connection with the negotiation, preparation, delivery and execution of this Amendment and any related documents.</w:t>
      </w:r>
    </w:p>
    <w:p>
      <w:pPr>
        <w:spacing w:after="0" w:line="172" w:lineRule="exact"/>
        <w:rPr>
          <w:sz w:val="20"/>
          <w:szCs w:val="20"/>
          <w:color w:val="auto"/>
        </w:rPr>
      </w:pPr>
    </w:p>
    <w:p>
      <w:pPr>
        <w:ind w:left="1140" w:hanging="350"/>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Unless stated otherwise herein, (a) the singular number includes the plural and vice versa and words of any gender include each other gender, in each case, as appropriate, (b) headings and captions shall not be construed in interpreting provisions of this Amendment, (c) this Amendment shall be governed by and construed in accordance with the internal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 this Amendment and the Credit Agreement, as amended by this Amendment, constitute the entire agreement and understanding among the parties hereto and supercede any and all prior agreements and understandings, oral or written, relating to the subject matter hereof.</w:t>
      </w:r>
    </w:p>
    <w:p>
      <w:pPr>
        <w:spacing w:after="0" w:line="178" w:lineRule="exact"/>
        <w:rPr>
          <w:sz w:val="20"/>
          <w:szCs w:val="20"/>
          <w:color w:val="auto"/>
        </w:rPr>
      </w:pPr>
    </w:p>
    <w:p>
      <w:pPr>
        <w:ind w:left="1060" w:hanging="270"/>
        <w:spacing w:after="0"/>
        <w:tabs>
          <w:tab w:leader="none" w:pos="10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This Amendment binds and inures to the benefit of Borrower, Parent, Administrative Agent, Lenders and their respective permitted successors and assigns.</w:t>
      </w:r>
    </w:p>
    <w:p>
      <w:pPr>
        <w:spacing w:after="0" w:line="17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PAGES FOLLOW.]</w:t>
      </w:r>
    </w:p>
    <w:p>
      <w:pPr>
        <w:spacing w:after="0" w:line="342"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First Amendment to Amended and Restated</w:t>
      </w:r>
    </w:p>
    <w:p>
      <w:pPr>
        <w:spacing w:after="0" w:line="1"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Five-Year Revolving Credit Agreement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2" w:right="1440" w:bottom="1440" w:gutter="0" w:footer="0" w:header="0"/>
        </w:sectPr>
      </w:pPr>
    </w:p>
    <w:bookmarkStart w:id="186" w:name="page187"/>
    <w:bookmarkEnd w:id="186"/>
    <w:p>
      <w:pPr>
        <w:jc w:val="both"/>
        <w:ind w:right="3119" w:firstLine="799"/>
        <w:spacing w:after="0"/>
        <w:rPr>
          <w:sz w:val="20"/>
          <w:szCs w:val="20"/>
          <w:color w:val="auto"/>
        </w:rPr>
      </w:pPr>
      <w:r>
        <w:rPr>
          <w:rFonts w:ascii="Courier New" w:cs="Courier New" w:eastAsia="Courier New" w:hAnsi="Courier New"/>
          <w:sz w:val="15"/>
          <w:szCs w:val="15"/>
          <w:color w:val="auto"/>
        </w:rPr>
        <w:t>Signature Page to that certain First Amendment to Amended and Restated Five-Year Revolving Credit Agreement dated as of the date first set forth above, among Comcast Cable Communications, Inc., as Borrower, Comcast Corporation (f/k/a AT&amp;T Comcast Corporation), as Parent, certain Lenders party thereto, and Bank of America, N.A., as Administrative Agent.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COMMUNICATIONS,</w:t>
            </w: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CITIBANK, N.A., as a Lender</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INC., 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Borrower</w:t>
            </w: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/s/ Kenneth Mikalauskas</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w w:val="97"/>
              </w:rPr>
              <w:t>/s/ Julio Ojea Quintana</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Kenneth Mikalauskas</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Julio Ojea Quintana</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Finance</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683"/>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(f/k/a AT&amp;T</w:t>
            </w: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7"/>
              </w:rPr>
              <w:t>MIZUHO CORPORATE BANK LTD., as a</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as Parent</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Lender</w:t>
            </w:r>
          </w:p>
        </w:tc>
        <w:tc>
          <w:tcPr>
            <w:tcW w:w="218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/s/ Kenneth Mikalauskas</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/s/ Raymond Ventura</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Kenneth Mikalauskas</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Raymond Ventura</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Finance</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r>
      <w:tr>
        <w:trPr>
          <w:trHeight w:val="683"/>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BANK OF AMERICA, N.A., as</w:t>
            </w: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Administrative Agent and as a Lender</w:t>
            </w: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BARCLAYS BANK PLC, as a Lender</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/s/ Todd Shipley</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/s/ L. Peter Yetman</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Todd Shipley</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L. Peter Yetman</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Managing Director</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683"/>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JPMORGAN</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CHASE BANK, as a Lender</w:t>
            </w: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WACHOVIA BANK, NATIONAL</w:t>
            </w:r>
          </w:p>
        </w:tc>
      </w:tr>
      <w:tr>
        <w:trPr>
          <w:trHeight w:val="171"/>
        </w:trPr>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ASSOCIATION, as a Lender</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/s/ Tracey Navin Ewing</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/s/ Patrick D. Finn</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Tracey Navin Ewing</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Patrick D. Finn</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Managing Director</w:t>
            </w:r>
          </w:p>
        </w:tc>
      </w:tr>
      <w:tr>
        <w:trPr>
          <w:trHeight w:val="683"/>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THE BANK</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OF NEW YORK, as a Lender</w:t>
            </w:r>
          </w:p>
        </w:tc>
        <w:tc>
          <w:tcPr>
            <w:tcW w:w="330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7"/>
              </w:rPr>
              <w:t>FLEET NATIONAL BANK, as a Lender</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/s/ Michael E. Masters</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/s/ Michael D. Elwell</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Michael E. Masters</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Michael D. Elwell</w:t>
            </w:r>
          </w:p>
        </w:tc>
      </w:tr>
      <w:tr>
        <w:trPr>
          <w:trHeight w:val="171"/>
        </w:trPr>
        <w:tc>
          <w:tcPr>
            <w:tcW w:w="74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Assistant Vice-President</w:t>
            </w:r>
          </w:p>
        </w:tc>
        <w:tc>
          <w:tcPr>
            <w:tcW w:w="112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Signature Page to First Amendment to Amended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Restated Five-Year Revolving Credit Agreement</w:t>
      </w:r>
    </w:p>
    <w:p>
      <w:pPr>
        <w:sectPr>
          <w:pgSz w:w="11900" w:h="16838" w:orient="portrait"/>
          <w:cols w:equalWidth="0" w:num="1">
            <w:col w:w="10219"/>
          </w:cols>
          <w:pgMar w:left="240" w:top="972" w:right="1440" w:bottom="1440" w:gutter="0" w:footer="0" w:header="0"/>
        </w:sectPr>
      </w:pPr>
    </w:p>
    <w:bookmarkStart w:id="187" w:name="page188"/>
    <w:bookmarkEnd w:id="187"/>
    <w:p>
      <w:pPr>
        <w:jc w:val="both"/>
        <w:ind w:right="3119" w:firstLine="799"/>
        <w:spacing w:after="0"/>
        <w:rPr>
          <w:sz w:val="20"/>
          <w:szCs w:val="20"/>
          <w:color w:val="auto"/>
        </w:rPr>
      </w:pPr>
      <w:r>
        <w:rPr>
          <w:rFonts w:ascii="Courier New" w:cs="Courier New" w:eastAsia="Courier New" w:hAnsi="Courier New"/>
          <w:sz w:val="15"/>
          <w:szCs w:val="15"/>
          <w:color w:val="auto"/>
        </w:rPr>
        <w:t>Signature Page to that certain First Amendment to Amended and Restated Five-Year Revolving Credit Agreement dated as of the date first set forth above, among Comcast Cable Communications, Inc., as Borrower, Comcast Corporation (f/k/a AT&amp;T Comcast Corporation), as Parent, certain Lenders party thereto, and Bank of America, N.A., as Administrative Agent.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THE BANK</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OF NOVA SCOTIA, as a Lender</w:t>
            </w:r>
          </w:p>
        </w:tc>
        <w:tc>
          <w:tcPr>
            <w:tcW w:w="3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BANK OF TOKYO-MITSUBISHI TRUST</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COMPANY, as a Lender</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 Brenda S. Insull</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By:</w:t>
            </w: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/s/ Spencer Hughes</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Brenda S. Insull</w:t>
            </w:r>
          </w:p>
        </w:tc>
        <w:tc>
          <w:tcPr>
            <w:tcW w:w="112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Spencer Hughes</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12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r>
      <w:tr>
        <w:trPr>
          <w:trHeight w:val="683"/>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DEUTSCHE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BANK AG NEW YORK</w:t>
            </w:r>
          </w:p>
        </w:tc>
        <w:tc>
          <w:tcPr>
            <w:tcW w:w="352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8"/>
              </w:rPr>
              <w:t>LEHMAN COMMERCIAL PAPER INC., as a</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BRANCH, as a Lender</w:t>
            </w: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rPr>
              <w:t>Lender</w:t>
            </w:r>
          </w:p>
        </w:tc>
        <w:tc>
          <w:tcPr>
            <w:tcW w:w="2400" w:type="dxa"/>
            <w:vAlign w:val="bottom"/>
          </w:tcPr>
          <w:p>
            <w:pPr>
              <w:spacing w:after="0"/>
              <w:rPr>
                <w:sz w:val="14"/>
                <w:szCs w:val="14"/>
                <w:color w:val="auto"/>
              </w:rPr>
            </w:pP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 William W. McGinty</w:t>
            </w: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 Suzanne Flynn</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William W. McGinty</w:t>
            </w: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Suzanne Flynn</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Authorized Signatory</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 Christopher S. Hall</w:t>
            </w: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Christopher S. Hall</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Managing Director</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LLOYDS TSB BANK PLC, as a Lender</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SUNTRUST</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BANK, as a Lender</w:t>
            </w: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 Windsor R. Davies</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Windsor R. Davies</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 Jeffrey Hauser</w:t>
            </w: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Jeffrey Hauser</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BNP PARIBAS, as a Lender</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MELLON BANK, N.A., as a Lender</w:t>
            </w: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 Gregg Bonardi</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Gregg Bonardi</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 Nancy E. Gale</w:t>
            </w: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Nancy E. Gale</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rPr>
              <w:t>By:</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 Ben Todres</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Ben Todres</w:t>
            </w:r>
          </w:p>
        </w:tc>
      </w:tr>
      <w:tr>
        <w:trPr>
          <w:trHeight w:val="171"/>
        </w:trPr>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bl>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Signature Page to First Amendment to Amended and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Restated Five-Year Revolving Credit Agreement</w:t>
      </w:r>
    </w:p>
    <w:p>
      <w:pPr>
        <w:sectPr>
          <w:pgSz w:w="11900" w:h="16838" w:orient="portrait"/>
          <w:cols w:equalWidth="0" w:num="1">
            <w:col w:w="10219"/>
          </w:cols>
          <w:pgMar w:left="240" w:top="801" w:right="1440" w:bottom="1440" w:gutter="0" w:footer="0" w:header="0"/>
        </w:sectPr>
      </w:pPr>
    </w:p>
    <w:bookmarkStart w:id="188" w:name="page189"/>
    <w:bookmarkEnd w:id="188"/>
    <w:p>
      <w:pPr>
        <w:jc w:val="both"/>
        <w:ind w:right="3119" w:firstLine="799"/>
        <w:spacing w:after="0"/>
        <w:rPr>
          <w:sz w:val="20"/>
          <w:szCs w:val="20"/>
          <w:color w:val="auto"/>
        </w:rPr>
      </w:pPr>
      <w:r>
        <w:rPr>
          <w:rFonts w:ascii="Courier New" w:cs="Courier New" w:eastAsia="Courier New" w:hAnsi="Courier New"/>
          <w:sz w:val="15"/>
          <w:szCs w:val="15"/>
          <w:color w:val="auto"/>
        </w:rPr>
        <w:t>Signature Page to that certain First Amendment to Amended and Restated Five-Year Revolving Credit Agreement dated as of the date first set forth above, among Comcast Cable Communications, Inc., as Borrower, Comcast Corporation (f/k/a AT&amp;T Comcast Corporation), as Parent, certain Lenders party thereto, and Bank of America, N.A., as Administrative Agent.</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right="1160"/>
        <w:spacing w:after="0" w:line="238" w:lineRule="auto"/>
        <w:rPr>
          <w:sz w:val="20"/>
          <w:szCs w:val="20"/>
          <w:color w:val="auto"/>
        </w:rPr>
      </w:pPr>
      <w:r>
        <w:rPr>
          <w:rFonts w:ascii="Courier New" w:cs="Courier New" w:eastAsia="Courier New" w:hAnsi="Courier New"/>
          <w:sz w:val="15"/>
          <w:szCs w:val="15"/>
          <w:color w:val="auto"/>
        </w:rPr>
        <w:t>DRESDNER BANK AG NEW YORK BRANCH, as a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BANK NATIONAL ASSOCIATION,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Lender</w:t>
      </w:r>
    </w:p>
    <w:p>
      <w:pPr>
        <w:spacing w:after="0" w:line="200" w:lineRule="exact"/>
        <w:rPr>
          <w:sz w:val="20"/>
          <w:szCs w:val="20"/>
          <w:color w:val="auto"/>
        </w:rPr>
      </w:pPr>
    </w:p>
    <w:p>
      <w:pPr>
        <w:sectPr>
          <w:pgSz w:w="11900" w:h="16838" w:orient="portrait"/>
          <w:cols w:equalWidth="0" w:num="2">
            <w:col w:w="3360" w:space="720"/>
            <w:col w:w="6139"/>
          </w:cols>
          <w:pgMar w:left="240" w:top="631"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Brian Schneider</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Brian Schneider</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Vice President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Jaycee Earll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Jaycee Earll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Vice President</w:t>
      </w:r>
    </w:p>
    <w:p>
      <w:pPr>
        <w:spacing w:after="0" w:line="9" w:lineRule="exact"/>
        <w:rPr>
          <w:sz w:val="20"/>
          <w:szCs w:val="20"/>
          <w:color w:val="auto"/>
        </w:rPr>
      </w:pPr>
    </w:p>
    <w:p>
      <w:pPr>
        <w:sectPr>
          <w:pgSz w:w="11900" w:h="16838" w:orient="portrait"/>
          <w:cols w:equalWidth="0" w:num="4">
            <w:col w:w="260" w:space="520"/>
            <w:col w:w="2580" w:space="720"/>
            <w:col w:w="180" w:space="620"/>
            <w:col w:w="533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Brian Smith</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Brian Smith</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19"/>
          </w:cols>
          <w:pgMar w:left="240" w:top="6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w:t>
      </w:r>
    </w:p>
    <w:p>
      <w:pPr>
        <w:sectPr>
          <w:pgSz w:w="11900" w:h="16838" w:orient="portrait"/>
          <w:cols w:equalWidth="0" w:num="1">
            <w:col w:w="10219"/>
          </w:cols>
          <w:pgMar w:left="240" w:top="631"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SoVonna Day Goins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SoVonna Day Goins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260" w:space="520"/>
            <w:col w:w="9439"/>
          </w:cols>
          <w:pgMar w:left="240" w:top="631"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Doreen B. Welch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Doreen B. Welch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w:t>
      </w:r>
    </w:p>
    <w:p>
      <w:pPr>
        <w:spacing w:after="0" w:line="200" w:lineRule="exact"/>
        <w:rPr>
          <w:sz w:val="20"/>
          <w:szCs w:val="20"/>
          <w:color w:val="auto"/>
        </w:rPr>
      </w:pPr>
    </w:p>
    <w:p>
      <w:pPr>
        <w:sectPr>
          <w:pgSz w:w="11900" w:h="16838" w:orient="portrait"/>
          <w:cols w:equalWidth="0" w:num="2">
            <w:col w:w="260" w:space="520"/>
            <w:col w:w="9439"/>
          </w:cols>
          <w:pgMar w:left="240" w:top="631" w:right="1440"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CAPITAL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Lender</w:t>
      </w:r>
    </w:p>
    <w:p>
      <w:pPr>
        <w:sectPr>
          <w:pgSz w:w="11900" w:h="16838" w:orient="portrait"/>
          <w:cols w:equalWidth="0" w:num="1">
            <w:col w:w="10219"/>
          </w:cols>
          <w:pgMar w:left="240" w:top="631"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Nancy E. Meadows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E. Meadows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Vice President</w:t>
      </w:r>
    </w:p>
    <w:p>
      <w:pPr>
        <w:spacing w:after="0" w:line="200" w:lineRule="exact"/>
        <w:rPr>
          <w:sz w:val="20"/>
          <w:szCs w:val="20"/>
          <w:color w:val="auto"/>
        </w:rPr>
      </w:pPr>
    </w:p>
    <w:p>
      <w:pPr>
        <w:sectPr>
          <w:pgSz w:w="11900" w:h="16838" w:orient="portrait"/>
          <w:cols w:equalWidth="0" w:num="2">
            <w:col w:w="260" w:space="520"/>
            <w:col w:w="9439"/>
          </w:cols>
          <w:pgMar w:left="240" w:top="631" w:right="1440"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Signature Page to First Amendment to Amended and</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Restated Five-Year Revolving Credit Agreement</w:t>
      </w:r>
    </w:p>
    <w:p>
      <w:pPr>
        <w:sectPr>
          <w:pgSz w:w="11900" w:h="16838" w:orient="portrait"/>
          <w:cols w:equalWidth="0" w:num="1">
            <w:col w:w="10219"/>
          </w:cols>
          <w:pgMar w:left="240" w:top="631" w:right="1440" w:bottom="1440" w:gutter="0" w:footer="0" w:header="0"/>
          <w:type w:val="continuous"/>
        </w:sectPr>
      </w:pPr>
    </w:p>
    <w:bookmarkStart w:id="189" w:name="page190"/>
    <w:bookmarkEnd w:id="1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spacing w:after="0" w:line="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4.9</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FIRST AMENDMENT TO AMENDED AND RESTATED</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364-DAY REVOLVING CREDIT AGREEMENT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THIS AMENDMENT (herein so called) is entered into as of February 7, 2003, among COMCAST CABLE COMMUNICATIONS, INC., a Delaware corporation ("Borrower"), COMCAST CORPORATION (formerly known as AT&amp;T Comcast Corporation), a Pennsylvania corporation ("Parent"), the Lenders party to the Credit Agreement (hereinafter defined) and BANK OF AMERICA, N.A., as Administrative Agent for the Lenders.</w:t>
      </w:r>
    </w:p>
    <w:p>
      <w:pPr>
        <w:spacing w:after="0" w:line="175"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Borrower, Parent, Lenders and Administrative Agent are party to the 364-Day Revolving Credit Agreement dated as of May 7, 2002, as amended and restated by the Amended and Restated 364-Day Revolving Credit Agreement effective as of November 18, 2002 (the "Credit Agreement"), and have agreed, upon the following terms and conditions, to amend the Credit Agreement in certain respects. Accordingly, for valuable and acknowledged consideration, Borrower, Parent, Lenders and Administrative Agent agree as follows:</w:t>
      </w:r>
    </w:p>
    <w:p>
      <w:pPr>
        <w:spacing w:after="0" w:line="173" w:lineRule="exact"/>
        <w:rPr>
          <w:sz w:val="20"/>
          <w:szCs w:val="20"/>
          <w:color w:val="auto"/>
        </w:rPr>
      </w:pPr>
    </w:p>
    <w:p>
      <w:pPr>
        <w:ind w:left="1060" w:hanging="270"/>
        <w:spacing w:after="0"/>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References.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Unless otherwise stated in this Amendment, (a) terms defined in the Credit Agreement have the same meanings when used in this Amendment and (b) references to "Sections" are to the Credit Agreement's sections.</w:t>
      </w:r>
    </w:p>
    <w:p>
      <w:pPr>
        <w:spacing w:after="0" w:line="172" w:lineRule="exact"/>
        <w:rPr>
          <w:sz w:val="20"/>
          <w:szCs w:val="20"/>
          <w:color w:val="auto"/>
        </w:rPr>
      </w:pPr>
    </w:p>
    <w:p>
      <w:pPr>
        <w:ind w:left="1060" w:hanging="270"/>
        <w:spacing w:after="0"/>
        <w:tabs>
          <w:tab w:leader="none" w:pos="106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ind w:left="1060" w:hanging="625"/>
        <w:spacing w:after="0"/>
        <w:tabs>
          <w:tab w:leader="none" w:pos="10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040" w:right="3119" w:hanging="452"/>
        <w:spacing w:after="0" w:line="238" w:lineRule="auto"/>
        <w:tabs>
          <w:tab w:leader="none" w:pos="2040"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6.01(a) is amended to read in its entirety as follows:</w:t>
      </w:r>
    </w:p>
    <w:p>
      <w:pPr>
        <w:spacing w:after="0" w:line="175" w:lineRule="exact"/>
        <w:rPr>
          <w:sz w:val="20"/>
          <w:szCs w:val="20"/>
          <w:color w:val="auto"/>
        </w:rPr>
      </w:pPr>
    </w:p>
    <w:p>
      <w:pPr>
        <w:jc w:val="both"/>
        <w:ind w:left="1580" w:right="3119" w:firstLine="799"/>
        <w:spacing w:after="0"/>
        <w:rPr>
          <w:sz w:val="20"/>
          <w:szCs w:val="20"/>
          <w:color w:val="auto"/>
        </w:rPr>
      </w:pPr>
      <w:r>
        <w:rPr>
          <w:rFonts w:ascii="Courier New" w:cs="Courier New" w:eastAsia="Courier New" w:hAnsi="Courier New"/>
          <w:sz w:val="15"/>
          <w:szCs w:val="15"/>
          <w:color w:val="auto"/>
        </w:rPr>
        <w:t>"As soon as available, but in any event within 105 days (in the case of clause (i) below) or 120 days (in the case of clause (ii) below) after the end of each fiscal year of Parent ending after the Effective Date, consolidated balance sheets as at the end of such fiscal year and related consolidated statements of income and cash flows for such fiscal year, of (i) Parent and its consolidated Subsidiaries and (ii) the Restricted Group,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183" w:lineRule="exact"/>
        <w:rPr>
          <w:sz w:val="20"/>
          <w:szCs w:val="20"/>
          <w:color w:val="auto"/>
        </w:rPr>
      </w:pPr>
    </w:p>
    <w:p>
      <w:pPr>
        <w:ind w:left="2040" w:right="3119" w:hanging="452"/>
        <w:spacing w:after="0" w:line="238" w:lineRule="auto"/>
        <w:tabs>
          <w:tab w:leader="none" w:pos="20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6.01(b) is amended to read in its entirety as follows:</w:t>
      </w:r>
    </w:p>
    <w:p>
      <w:pPr>
        <w:spacing w:after="0" w:line="175" w:lineRule="exact"/>
        <w:rPr>
          <w:sz w:val="20"/>
          <w:szCs w:val="20"/>
          <w:color w:val="auto"/>
        </w:rPr>
      </w:pPr>
    </w:p>
    <w:p>
      <w:pPr>
        <w:jc w:val="both"/>
        <w:ind w:left="1580" w:right="3119" w:firstLine="799"/>
        <w:spacing w:after="0"/>
        <w:rPr>
          <w:sz w:val="20"/>
          <w:szCs w:val="20"/>
          <w:color w:val="auto"/>
        </w:rPr>
      </w:pPr>
      <w:r>
        <w:rPr>
          <w:rFonts w:ascii="Courier New" w:cs="Courier New" w:eastAsia="Courier New" w:hAnsi="Courier New"/>
          <w:sz w:val="15"/>
          <w:szCs w:val="15"/>
          <w:color w:val="auto"/>
        </w:rPr>
        <w:t>"As soon as available, but in any event within 60 days after the end of each of the first three fiscal quarters of each fiscal year of Parent ending after the Effective Date, consolidated balance sheets as at the end of such fiscal quarter, and the related consolidated statements of income and cash flows for such fiscal quarter and for the portion of Parent's fiscal year then ended, of (i) Parent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Parent as fairly presenting the financial condition, results of operations and cash flows of Parent and its consolidated Subsidiaries or of the Restricted Group,</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tabs>
          <w:tab w:leader="none" w:pos="760" w:val="left"/>
        </w:tabs>
        <w:rPr>
          <w:sz w:val="20"/>
          <w:szCs w:val="20"/>
          <w:color w:val="auto"/>
        </w:rPr>
      </w:pPr>
      <w:r>
        <w:rPr>
          <w:rFonts w:ascii="Courier New" w:cs="Courier New" w:eastAsia="Courier New" w:hAnsi="Courier New"/>
          <w:sz w:val="15"/>
          <w:szCs w:val="15"/>
          <w:color w:val="auto"/>
        </w:rPr>
        <w:t>1</w:t>
        <w:tab/>
        <w:t>Conformed to reflect signatures</w:t>
      </w: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First Amendement to Amended and Restated</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364-Day Revolving Credit Agreement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as applicable, in accordance with GAAP, subject only to pro forma adjustments and normal year-end audit adjustments, except for the financial statements of the Restricted Group, which will be in accordance with GAAP except for the exclusion of the Unrestricted Subsidiaries; and"</w:t>
      </w:r>
    </w:p>
    <w:p>
      <w:pPr>
        <w:spacing w:after="0" w:line="172" w:lineRule="exact"/>
        <w:rPr>
          <w:sz w:val="20"/>
          <w:szCs w:val="20"/>
          <w:color w:val="auto"/>
        </w:rPr>
      </w:pPr>
    </w:p>
    <w:p>
      <w:pPr>
        <w:ind w:left="1060" w:hanging="270"/>
        <w:spacing w:after="0"/>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to Effectiveness of Amendment.</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This Amendment shall not be effective until Administrative Agent receives counterparts of this Amendment executed by Borrower, Parent, Required Lenders and Administrative Agent.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4. Representations.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spacing w:after="0" w:line="271" w:lineRule="auto"/>
        <w:rPr>
          <w:sz w:val="20"/>
          <w:szCs w:val="20"/>
          <w:color w:val="auto"/>
        </w:rPr>
      </w:pPr>
      <w:r>
        <w:rPr>
          <w:rFonts w:ascii="Courier New" w:cs="Courier New" w:eastAsia="Courier New" w:hAnsi="Courier New"/>
          <w:sz w:val="14"/>
          <w:szCs w:val="14"/>
          <w:color w:val="auto"/>
        </w:rPr>
        <w:t>Borrower represents and warrants to Lenders that as of the date of this Amendment, no Default or Event of Default has occurred and is continuing.</w:t>
      </w:r>
    </w:p>
    <w:p>
      <w:pPr>
        <w:sectPr>
          <w:pgSz w:w="11900" w:h="16891" w:orient="portrait"/>
          <w:cols w:equalWidth="0" w:num="1">
            <w:col w:w="10219"/>
          </w:cols>
          <w:pgMar w:left="240" w:top="139" w:right="1440" w:bottom="0" w:gutter="0" w:footer="0" w:header="0"/>
        </w:sectPr>
      </w:pPr>
    </w:p>
    <w:bookmarkStart w:id="191" w:name="page192"/>
    <w:bookmarkEnd w:id="191"/>
    <w:p>
      <w:pPr>
        <w:ind w:left="1060" w:hanging="270"/>
        <w:spacing w:after="0"/>
        <w:tabs>
          <w:tab w:leader="none" w:pos="10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This Amendment is a Loan Document. Except as expressly modified and amended by this Amendment, all of the terms, provisions and conditions of the Loan Documents shall remain unchanged and in full force and effect. The Loan Documents and any and all other documents heretofore, now or hereafter executed and delivered pursuant to the terms of the Credit Agreement are hereby amended so that any reference to the Credit Agreement shall mean a reference to the Credit Agreement as amended hereby.</w:t>
      </w:r>
    </w:p>
    <w:p>
      <w:pPr>
        <w:spacing w:after="0" w:line="173" w:lineRule="exact"/>
        <w:rPr>
          <w:sz w:val="20"/>
          <w:szCs w:val="20"/>
          <w:color w:val="auto"/>
        </w:rPr>
      </w:pPr>
    </w:p>
    <w:p>
      <w:pPr>
        <w:ind w:left="1060" w:hanging="270"/>
        <w:spacing w:after="0"/>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Borrower shall pay all reasonable fees and expenses paid or incurred by the Administrative Agent incident to this Amendment, including, without limitation, the reasonable fees and expenses of the Administrative Agent's counsel in connection with the negotiation, preparation, delivery and execution of this Amendment and any related documents.</w:t>
      </w:r>
    </w:p>
    <w:p>
      <w:pPr>
        <w:spacing w:after="0" w:line="172" w:lineRule="exact"/>
        <w:rPr>
          <w:sz w:val="20"/>
          <w:szCs w:val="20"/>
          <w:color w:val="auto"/>
        </w:rPr>
      </w:pPr>
    </w:p>
    <w:p>
      <w:pPr>
        <w:ind w:left="1140" w:hanging="350"/>
        <w:spacing w:after="0"/>
        <w:tabs>
          <w:tab w:leader="none" w:pos="11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Unless stated otherwise herein, (a) the singular number includes the plural and vice versa and words of any gender include each other gender, in each case, as appropriate, (b) headings and captions shall not be construed in interpreting provisions of this Amendment, (c) this Amendment shall be governed by and construed in accordance with the internal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 this Amendment and the Credit Agreement, as amended by this Amendment, constitute the entire agreement and understanding among the parties hereto and supercede any and all prior agreements and understandings, oral or written, relating to the subject matter hereof.</w:t>
      </w:r>
    </w:p>
    <w:p>
      <w:pPr>
        <w:spacing w:after="0" w:line="178" w:lineRule="exact"/>
        <w:rPr>
          <w:sz w:val="20"/>
          <w:szCs w:val="20"/>
          <w:color w:val="auto"/>
        </w:rPr>
      </w:pPr>
    </w:p>
    <w:p>
      <w:pPr>
        <w:ind w:left="1060" w:hanging="270"/>
        <w:spacing w:after="0"/>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This Amendment binds and inures to the benefit of Borrower, Parent, Administrative Agent, Lenders and their respective permitted successors and assigns.</w:t>
      </w:r>
    </w:p>
    <w:p>
      <w:pPr>
        <w:spacing w:after="0" w:line="17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PAGES FOLLOW.]</w:t>
      </w:r>
    </w:p>
    <w:p>
      <w:pPr>
        <w:spacing w:after="0" w:line="174" w:lineRule="exact"/>
        <w:rPr>
          <w:sz w:val="20"/>
          <w:szCs w:val="20"/>
          <w:color w:val="auto"/>
        </w:rPr>
      </w:pPr>
    </w:p>
    <w:p>
      <w:pPr>
        <w:jc w:val="right"/>
        <w:ind w:left="4080" w:right="3119" w:hanging="1515"/>
        <w:spacing w:after="0" w:line="258" w:lineRule="auto"/>
        <w:tabs>
          <w:tab w:leader="none" w:pos="354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Amendement to Amended and Restated 364-Day Revolving Credit Agreement</w:t>
      </w:r>
    </w:p>
    <w:p>
      <w:pPr>
        <w:ind w:left="4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10" w:right="1440" w:bottom="1440" w:gutter="0" w:footer="0" w:header="0"/>
        </w:sectPr>
      </w:pPr>
    </w:p>
    <w:bookmarkStart w:id="192" w:name="page193"/>
    <w:bookmarkEnd w:id="192"/>
    <w:p>
      <w:pPr>
        <w:jc w:val="both"/>
        <w:ind w:right="3119" w:firstLine="799"/>
        <w:spacing w:after="0"/>
        <w:rPr>
          <w:sz w:val="20"/>
          <w:szCs w:val="20"/>
          <w:color w:val="auto"/>
        </w:rPr>
      </w:pPr>
      <w:r>
        <w:rPr>
          <w:rFonts w:ascii="Courier New" w:cs="Courier New" w:eastAsia="Courier New" w:hAnsi="Courier New"/>
          <w:sz w:val="15"/>
          <w:szCs w:val="15"/>
          <w:color w:val="auto"/>
        </w:rPr>
        <w:t>Signature Page to that certain First Amendment to Amended and Restated 364-Day Revolving Credit Agreement dated as of the date first set forth above, among Comcast Cable Communications, Inc., as Borrower, Comcast Corporation (f/k/a AT&amp;T Comcast Corporation), as Parent, certain Lenders party thereto, and Bank of America, N.A., as Administrative Agent.</w:t>
      </w:r>
    </w:p>
    <w:p>
      <w:pPr>
        <w:sectPr>
          <w:pgSz w:w="11900" w:h="16838" w:orient="portrait"/>
          <w:cols w:equalWidth="0" w:num="1">
            <w:col w:w="10219"/>
          </w:cols>
          <w:pgMar w:left="240" w:top="972" w:right="1440" w:bottom="1440" w:gutter="0" w:footer="0" w:header="0"/>
        </w:sectPr>
      </w:pPr>
    </w:p>
    <w:p>
      <w:pPr>
        <w:spacing w:after="0" w:line="345" w:lineRule="exact"/>
        <w:rPr>
          <w:sz w:val="20"/>
          <w:szCs w:val="20"/>
          <w:color w:val="auto"/>
        </w:rPr>
      </w:pPr>
    </w:p>
    <w:p>
      <w:pPr>
        <w:ind w:right="340"/>
        <w:spacing w:after="0" w:line="271" w:lineRule="auto"/>
        <w:rPr>
          <w:sz w:val="20"/>
          <w:szCs w:val="20"/>
          <w:color w:val="auto"/>
        </w:rPr>
      </w:pPr>
      <w:r>
        <w:rPr>
          <w:rFonts w:ascii="Courier New" w:cs="Courier New" w:eastAsia="Courier New" w:hAnsi="Courier New"/>
          <w:sz w:val="14"/>
          <w:szCs w:val="14"/>
          <w:color w:val="auto"/>
        </w:rPr>
        <w:t>COMCAST CABLE COMMUNICATIONS, INC., as Borrower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as a Lender</w:t>
      </w:r>
    </w:p>
    <w:p>
      <w:pPr>
        <w:spacing w:after="0" w:line="399" w:lineRule="exact"/>
        <w:rPr>
          <w:sz w:val="20"/>
          <w:szCs w:val="20"/>
          <w:color w:val="auto"/>
        </w:rPr>
      </w:pPr>
    </w:p>
    <w:p>
      <w:pPr>
        <w:sectPr>
          <w:pgSz w:w="11900" w:h="16838" w:orient="portrait"/>
          <w:cols w:equalWidth="0" w:num="2">
            <w:col w:w="2900" w:space="720"/>
            <w:col w:w="6599"/>
          </w:cols>
          <w:pgMar w:left="240" w:top="972"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60"/>
        <w:spacing w:after="0" w:line="262" w:lineRule="auto"/>
        <w:rPr>
          <w:sz w:val="20"/>
          <w:szCs w:val="20"/>
          <w:color w:val="auto"/>
        </w:rPr>
      </w:pPr>
      <w:r>
        <w:rPr>
          <w:rFonts w:ascii="Courier New" w:cs="Courier New" w:eastAsia="Courier New" w:hAnsi="Courier New"/>
          <w:sz w:val="14"/>
          <w:szCs w:val="14"/>
          <w:color w:val="auto"/>
        </w:rPr>
        <w:t>/s/ Kenneth Mikalauskas ----------------------- Kenneth Mikalauskas Vice President - Finance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SoVonna Day Goins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SoVonna Day Goins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74" w:lineRule="exact"/>
        <w:rPr>
          <w:sz w:val="20"/>
          <w:szCs w:val="20"/>
          <w:color w:val="auto"/>
        </w:rPr>
      </w:pPr>
    </w:p>
    <w:p>
      <w:pPr>
        <w:sectPr>
          <w:pgSz w:w="11900" w:h="16838" w:orient="portrait"/>
          <w:cols w:equalWidth="0" w:num="4">
            <w:col w:w="260" w:space="520"/>
            <w:col w:w="2400" w:space="720"/>
            <w:col w:w="260" w:space="540"/>
            <w:col w:w="5519"/>
          </w:cols>
          <w:pgMar w:left="240" w:top="972" w:right="1440"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both"/>
        <w:ind w:right="440"/>
        <w:spacing w:after="0" w:line="271" w:lineRule="auto"/>
        <w:rPr>
          <w:sz w:val="20"/>
          <w:szCs w:val="20"/>
          <w:color w:val="auto"/>
        </w:rPr>
      </w:pPr>
      <w:r>
        <w:rPr>
          <w:rFonts w:ascii="Courier New" w:cs="Courier New" w:eastAsia="Courier New" w:hAnsi="Courier New"/>
          <w:sz w:val="14"/>
          <w:szCs w:val="14"/>
          <w:color w:val="auto"/>
        </w:rPr>
        <w:t>COMCAST CORPORATION (f/k/a AT&amp;T Comcast Corporation), as 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Doreen B. Welch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Doreen B. Welch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w:t>
      </w:r>
    </w:p>
    <w:p>
      <w:pPr>
        <w:spacing w:after="0" w:line="390" w:lineRule="exact"/>
        <w:rPr>
          <w:sz w:val="20"/>
          <w:szCs w:val="20"/>
          <w:color w:val="auto"/>
        </w:rPr>
      </w:pPr>
    </w:p>
    <w:p>
      <w:pPr>
        <w:sectPr>
          <w:pgSz w:w="11900" w:h="16838" w:orient="portrait"/>
          <w:cols w:equalWidth="0" w:num="3">
            <w:col w:w="3180" w:space="720"/>
            <w:col w:w="260" w:space="540"/>
            <w:col w:w="5519"/>
          </w:cols>
          <w:pgMar w:left="240" w:top="972"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60"/>
        <w:spacing w:after="0" w:line="258" w:lineRule="auto"/>
        <w:rPr>
          <w:sz w:val="20"/>
          <w:szCs w:val="20"/>
          <w:color w:val="auto"/>
        </w:rPr>
      </w:pPr>
      <w:r>
        <w:rPr>
          <w:rFonts w:ascii="Courier New" w:cs="Courier New" w:eastAsia="Courier New" w:hAnsi="Courier New"/>
          <w:sz w:val="14"/>
          <w:szCs w:val="14"/>
          <w:color w:val="auto"/>
        </w:rPr>
        <w:t>/s/ Kenneth Mikalauskas ----------------------- Kenneth Mikalauskas Vice President - Finance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BARCLAYS BANK PLC, as a Lender</w:t>
      </w:r>
    </w:p>
    <w:p>
      <w:pPr>
        <w:spacing w:after="0" w:line="524" w:lineRule="exact"/>
        <w:rPr>
          <w:sz w:val="20"/>
          <w:szCs w:val="20"/>
          <w:color w:val="auto"/>
        </w:rPr>
      </w:pPr>
    </w:p>
    <w:p>
      <w:pPr>
        <w:sectPr>
          <w:pgSz w:w="11900" w:h="16838" w:orient="portrait"/>
          <w:cols w:equalWidth="0" w:num="3">
            <w:col w:w="260" w:space="520"/>
            <w:col w:w="2300" w:space="720"/>
            <w:col w:w="6419"/>
          </w:cols>
          <w:pgMar w:left="240" w:top="972" w:right="1440" w:bottom="1440" w:gutter="0" w:footer="0" w:header="0"/>
          <w:type w:val="continuous"/>
        </w:sectPr>
      </w:pPr>
    </w:p>
    <w:p>
      <w:pPr>
        <w:ind w:left="3800"/>
        <w:spacing w:after="0" w:line="237" w:lineRule="auto"/>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L. Peter Yetman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Peter Yetman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4080" w:space="520"/>
            <w:col w:w="5619"/>
          </w:cols>
          <w:pgMar w:left="240" w:top="97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BANK OF AMERICA,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and as a Lender</w:t>
      </w:r>
    </w:p>
    <w:p>
      <w:pPr>
        <w:spacing w:after="0" w:line="17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DEUTSCHE BANK AG NEW YORK BRANCH,</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as a Lender</w:t>
      </w:r>
    </w:p>
    <w:p>
      <w:pPr>
        <w:sectPr>
          <w:pgSz w:w="11900" w:h="16838" w:orient="portrait"/>
          <w:cols w:equalWidth="0" w:num="1">
            <w:col w:w="10219"/>
          </w:cols>
          <w:pgMar w:left="240" w:top="97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Todd Shipley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Todd Shipley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W. McGinty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W. McGinty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1" w:lineRule="exact"/>
        <w:rPr>
          <w:sz w:val="20"/>
          <w:szCs w:val="20"/>
          <w:color w:val="auto"/>
        </w:rPr>
      </w:pPr>
    </w:p>
    <w:p>
      <w:pPr>
        <w:sectPr>
          <w:pgSz w:w="11900" w:h="16838" w:orient="portrait"/>
          <w:cols w:equalWidth="0" w:num="4">
            <w:col w:w="260" w:space="520"/>
            <w:col w:w="2300" w:space="720"/>
            <w:col w:w="280" w:space="520"/>
            <w:col w:w="5619"/>
          </w:cols>
          <w:pgMar w:left="240" w:top="97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JPMORGAN CHASE BANK, as a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Christopher S. Hall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S. 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Director</w:t>
      </w:r>
    </w:p>
    <w:p>
      <w:pPr>
        <w:spacing w:after="0" w:line="3" w:lineRule="exact"/>
        <w:rPr>
          <w:sz w:val="20"/>
          <w:szCs w:val="20"/>
          <w:color w:val="auto"/>
        </w:rPr>
      </w:pPr>
    </w:p>
    <w:p>
      <w:pPr>
        <w:sectPr>
          <w:pgSz w:w="11900" w:h="16838" w:orient="portrait"/>
          <w:cols w:equalWidth="0" w:num="3">
            <w:col w:w="3080" w:space="720"/>
            <w:col w:w="280" w:space="520"/>
            <w:col w:w="5619"/>
          </w:cols>
          <w:pgMar w:left="240" w:top="97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Tracey Navin Ewing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Tracey Navin Ewing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3" w:lineRule="exact"/>
        <w:rPr>
          <w:sz w:val="20"/>
          <w:szCs w:val="20"/>
          <w:color w:val="auto"/>
        </w:rPr>
      </w:pPr>
    </w:p>
    <w:p>
      <w:pPr>
        <w:sectPr>
          <w:pgSz w:w="11900" w:h="16838" w:orient="portrait"/>
          <w:cols w:equalWidth="0" w:num="2">
            <w:col w:w="260" w:space="520"/>
            <w:col w:w="9439"/>
          </w:cols>
          <w:pgMar w:left="240" w:top="972" w:right="1440" w:bottom="1440" w:gutter="0" w:footer="0" w:header="0"/>
          <w:type w:val="continuous"/>
        </w:sectPr>
      </w:pPr>
    </w:p>
    <w:p>
      <w:pPr>
        <w:jc w:val="center"/>
        <w:ind w:right="219"/>
        <w:spacing w:after="0"/>
        <w:rPr>
          <w:sz w:val="20"/>
          <w:szCs w:val="20"/>
          <w:color w:val="auto"/>
        </w:rPr>
      </w:pPr>
      <w:r>
        <w:rPr>
          <w:rFonts w:ascii="Courier New" w:cs="Courier New" w:eastAsia="Courier New" w:hAnsi="Courier New"/>
          <w:sz w:val="14"/>
          <w:szCs w:val="14"/>
          <w:color w:val="auto"/>
        </w:rPr>
        <w:t>CITIBANK, N.A., as a Lender</w:t>
      </w:r>
    </w:p>
    <w:p>
      <w:pPr>
        <w:sectPr>
          <w:pgSz w:w="11900" w:h="16838" w:orient="portrait"/>
          <w:cols w:equalWidth="0" w:num="1">
            <w:col w:w="10219"/>
          </w:cols>
          <w:pgMar w:left="240" w:top="972" w:right="1440" w:bottom="1440" w:gutter="0" w:footer="0" w:header="0"/>
          <w:type w:val="continuous"/>
        </w:sectPr>
      </w:pPr>
    </w:p>
    <w:p>
      <w:pPr>
        <w:spacing w:after="0" w:line="35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Julio Ojea Quintana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Julio Ojea Quintana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4080" w:space="520"/>
            <w:col w:w="5619"/>
          </w:cols>
          <w:pgMar w:left="240" w:top="972" w:right="1440" w:bottom="1440" w:gutter="0" w:footer="0" w:header="0"/>
          <w:type w:val="continuous"/>
        </w:sectPr>
      </w:pPr>
    </w:p>
    <w:p>
      <w:pPr>
        <w:spacing w:after="0" w:line="14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Signature Page to First Amendment to Amended and Restated</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364-Day Revolving Credit Agreement</w:t>
      </w:r>
    </w:p>
    <w:p>
      <w:pPr>
        <w:sectPr>
          <w:pgSz w:w="11900" w:h="16838" w:orient="portrait"/>
          <w:cols w:equalWidth="0" w:num="1">
            <w:col w:w="10219"/>
          </w:cols>
          <w:pgMar w:left="240" w:top="972" w:right="1440" w:bottom="1440" w:gutter="0" w:footer="0" w:header="0"/>
          <w:type w:val="continuous"/>
        </w:sectPr>
      </w:pPr>
    </w:p>
    <w:bookmarkStart w:id="193" w:name="page194"/>
    <w:bookmarkEnd w:id="193"/>
    <w:p>
      <w:pPr>
        <w:jc w:val="both"/>
        <w:ind w:right="3119" w:firstLine="799"/>
        <w:spacing w:after="0"/>
        <w:rPr>
          <w:sz w:val="20"/>
          <w:szCs w:val="20"/>
          <w:color w:val="auto"/>
        </w:rPr>
      </w:pPr>
      <w:r>
        <w:rPr>
          <w:rFonts w:ascii="Courier New" w:cs="Courier New" w:eastAsia="Courier New" w:hAnsi="Courier New"/>
          <w:sz w:val="15"/>
          <w:szCs w:val="15"/>
          <w:color w:val="auto"/>
        </w:rPr>
        <w:t>Signature Page to that certain First Amendment to Amended and Restated 364-Day Revolving Credit Agreement dated as of the date first set forth above, among Comcast Cable Communications, Inc., as Borrower, Comcast Corporation (f/k/a AT&amp;T Comcast Corporation), as Parent, certain Lenders party thereto, and Bank of America, N.A., as Administrative Agent.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WACHOVIA</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BANK, NATIONAL</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1"/>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ASSOCIATION, as a Lender</w:t>
            </w:r>
          </w:p>
        </w:tc>
        <w:tc>
          <w:tcPr>
            <w:tcW w:w="3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LLOYDS TSB BANK PLC, as a Lender</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 Patrick D. Finn</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/s/ Windsor R. Davies</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Patrick D. Finn</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Windsor R. Davies</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Managing Director</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683"/>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MIZUHO CORPORATE BANK LTD., as a</w:t>
            </w:r>
          </w:p>
        </w:tc>
        <w:tc>
          <w:tcPr>
            <w:tcW w:w="3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MERRILL LYNCH CAPITAL</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Lender</w:t>
            </w:r>
          </w:p>
        </w:tc>
        <w:tc>
          <w:tcPr>
            <w:tcW w:w="2660" w:type="dxa"/>
            <w:vAlign w:val="bottom"/>
          </w:tcPr>
          <w:p>
            <w:pPr>
              <w:spacing w:after="0"/>
              <w:rPr>
                <w:sz w:val="14"/>
                <w:szCs w:val="14"/>
                <w:color w:val="auto"/>
              </w:rPr>
            </w:pPr>
          </w:p>
        </w:tc>
        <w:tc>
          <w:tcPr>
            <w:tcW w:w="3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CORPORATION, as a Lender</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 Raymond Ventura</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/s/ Nancy E. Meadows</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Raymond Ventura</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Nancy E. Meadows</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Assistant Vice President</w:t>
            </w:r>
          </w:p>
        </w:tc>
      </w:tr>
      <w:tr>
        <w:trPr>
          <w:trHeight w:val="683"/>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FLEET NATIONAL BANK, as a Lender</w:t>
            </w:r>
          </w:p>
        </w:tc>
        <w:tc>
          <w:tcPr>
            <w:tcW w:w="34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U.S. BANK NATIONAL ASSOCIATION, as a</w:t>
            </w:r>
          </w:p>
        </w:tc>
      </w:tr>
      <w:tr>
        <w:trPr>
          <w:trHeight w:val="171"/>
        </w:trPr>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Lender</w:t>
            </w:r>
          </w:p>
        </w:tc>
        <w:tc>
          <w:tcPr>
            <w:tcW w:w="252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 Michael D. Elwell</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/s/ Jaycee Earll</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Michael D. Elwell</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Jaycee Earll</w:t>
            </w:r>
          </w:p>
        </w:tc>
      </w:tr>
      <w:tr>
        <w:trPr>
          <w:trHeight w:val="171"/>
        </w:trPr>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Courier New" w:cs="Courier New" w:eastAsia="Courier New" w:hAnsi="Courier New"/>
                <w:sz w:val="15"/>
                <w:szCs w:val="15"/>
                <w:color w:val="auto"/>
              </w:rPr>
              <w:t>Assistant Vice President</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THE BANK</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OF NOVA SCOTIA, as a Lender</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 Brenda S. Insull</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Brenda S. Insull</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683"/>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SUNTRUST</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BANK, as a Lender</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/s/ Jeffrey Hauser</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Jeffrey Hauser</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 Page to First Amendment to Amended and Restated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364-Day Revolving Credit Agreement</w:t>
      </w:r>
    </w:p>
    <w:p>
      <w:pPr>
        <w:sectPr>
          <w:pgSz w:w="11900" w:h="16838" w:orient="portrait"/>
          <w:cols w:equalWidth="0" w:num="1">
            <w:col w:w="10219"/>
          </w:cols>
          <w:pgMar w:left="240" w:top="801" w:right="1440" w:bottom="1440" w:gutter="0" w:footer="0" w:header="0"/>
        </w:sectPr>
      </w:pPr>
    </w:p>
    <w:bookmarkStart w:id="194" w:name="page195"/>
    <w:bookmarkEnd w:id="1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spacing w:after="0" w:line="3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10.1</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1987 STOCK OPTION PLAN</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(As Amended and Restated, Effective November 18, 2002)</w:t>
      </w:r>
    </w:p>
    <w:p>
      <w:pPr>
        <w:spacing w:after="0" w:line="171" w:lineRule="exact"/>
        <w:rPr>
          <w:sz w:val="20"/>
          <w:szCs w:val="20"/>
          <w:color w:val="auto"/>
        </w:rPr>
      </w:pPr>
    </w:p>
    <w:p>
      <w:pPr>
        <w:ind w:left="1869" w:hanging="272"/>
        <w:spacing w:after="0"/>
        <w:tabs>
          <w:tab w:leader="none" w:pos="186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Purpose.</w:t>
      </w:r>
    </w:p>
    <w:p>
      <w:pPr>
        <w:ind w:left="18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1686"/>
        <w:spacing w:after="0"/>
        <w:rPr>
          <w:sz w:val="20"/>
          <w:szCs w:val="20"/>
          <w:color w:val="auto"/>
        </w:rPr>
      </w:pPr>
      <w:r>
        <w:rPr>
          <w:rFonts w:ascii="Courier New" w:cs="Courier New" w:eastAsia="Courier New" w:hAnsi="Courier New"/>
          <w:sz w:val="15"/>
          <w:szCs w:val="15"/>
          <w:color w:val="auto"/>
        </w:rPr>
        <w:t>COMCAST CORPORATION, a Pennsylvania corporation (formerly known as AT&amp;T Comcast Corporation), hereby amends and restates the Comcast Corporation 1987 Stock Option Plan, As Amended and Restated, Effective November 18, 2002, (the "Plan"), effective November 18, 2002, upon the consummation of the combination of Comcast Holdings Corporation (formerly known as Comcast Corporation) and Comcast Cable Communications Holdings, Inc. (formerly known as AT&amp;T Broadband Corp.) (the "AT&amp;T Broadband Transaction").</w:t>
      </w:r>
    </w:p>
    <w:p>
      <w:pPr>
        <w:spacing w:after="0" w:line="176" w:lineRule="exact"/>
        <w:rPr>
          <w:sz w:val="20"/>
          <w:szCs w:val="20"/>
          <w:color w:val="auto"/>
        </w:rPr>
      </w:pPr>
    </w:p>
    <w:p>
      <w:pPr>
        <w:jc w:val="both"/>
        <w:ind w:left="9" w:right="3119" w:firstLine="1597"/>
        <w:spacing w:after="0"/>
        <w:rPr>
          <w:sz w:val="20"/>
          <w:szCs w:val="20"/>
          <w:color w:val="auto"/>
        </w:rPr>
      </w:pPr>
      <w:r>
        <w:rPr>
          <w:rFonts w:ascii="Courier New" w:cs="Courier New" w:eastAsia="Courier New" w:hAnsi="Courier New"/>
          <w:sz w:val="15"/>
          <w:szCs w:val="15"/>
          <w:color w:val="auto"/>
        </w:rPr>
        <w:t>The Company originally adopted the Comcast Corporation 1987 Stock Option Plan effective January 5, 1987. The Plan was originally intended as an additional incentive to employees and non-employee members of the Board of Directors (together the "Optionees") to enter into or remain in the employ of the Company or any Affiliate (as defined below) or to serve on the Board of Directors of the Company or any Affiliate and to devote themselves to the Company's success by providing them with an opportunity to acquire or increase their proprietary interest in the Company through receipt of rights (the "Options") to acquire the Company's Class A Special Common Stock, par value, $1.00 per share. Each Option granted under the Plan to an employee of the Company or an Affiliate was intended to be an incentive stock option ("ISO") within the meaning of section 422(b) of the Internal Revenue Code of 1986, as amended (the "Code") for federal income tax purposes, except to the extent any such ISO grant exceed the applicable limitation on the amount of Options that could be granted as ISOs under the Code, and except for any Option specifically designated at the time of grant as not being an ISO.</w:t>
      </w:r>
    </w:p>
    <w:p>
      <w:pPr>
        <w:spacing w:after="0" w:line="183" w:lineRule="exact"/>
        <w:rPr>
          <w:sz w:val="20"/>
          <w:szCs w:val="20"/>
          <w:color w:val="auto"/>
        </w:rPr>
      </w:pPr>
    </w:p>
    <w:p>
      <w:pPr>
        <w:jc w:val="both"/>
        <w:ind w:left="9" w:right="3119" w:firstLine="1597"/>
        <w:spacing w:after="0"/>
        <w:rPr>
          <w:sz w:val="20"/>
          <w:szCs w:val="20"/>
          <w:color w:val="auto"/>
        </w:rPr>
      </w:pPr>
      <w:r>
        <w:rPr>
          <w:rFonts w:ascii="Courier New" w:cs="Courier New" w:eastAsia="Courier New" w:hAnsi="Courier New"/>
          <w:sz w:val="15"/>
          <w:szCs w:val="15"/>
          <w:color w:val="auto"/>
        </w:rPr>
        <w:t>No additional Options may be granted under the Plan. Upon the consummation of the AT&amp;T Broadband Transaction, each Option to acquire Class A Special Common Stock, par value, $1.00 per share of Comcast Holdings Corporation (formerly known as Comcast Corporation), shall automatically become an option to acquire Class A Special Common Stock, par value $0.01 per share, of Comcast Corporation (formerly known as AT&amp;T Comcast Corporation), a Pennsylvania corporation. For purposes of the Plan, upon the consummation of the AT&amp;T Broadband Transaction, all references to the term "Common Stock" shall be treated as a reference to the Class A Special Common Stock, par value $0.01 per share, of Comcast Corporation (each, a "Share").</w:t>
      </w:r>
    </w:p>
    <w:p>
      <w:pPr>
        <w:spacing w:after="0" w:line="175" w:lineRule="exact"/>
        <w:rPr>
          <w:sz w:val="20"/>
          <w:szCs w:val="20"/>
          <w:color w:val="auto"/>
        </w:rPr>
      </w:pPr>
    </w:p>
    <w:p>
      <w:pPr>
        <w:ind w:left="1869" w:hanging="272"/>
        <w:spacing w:after="0"/>
        <w:tabs>
          <w:tab w:leader="none" w:pos="186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ind w:left="18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1686"/>
        <w:spacing w:after="0" w:line="239" w:lineRule="auto"/>
        <w:rPr>
          <w:sz w:val="20"/>
          <w:szCs w:val="20"/>
          <w:color w:val="auto"/>
        </w:rPr>
      </w:pPr>
      <w:r>
        <w:rPr>
          <w:rFonts w:ascii="Courier New" w:cs="Courier New" w:eastAsia="Courier New" w:hAnsi="Courier New"/>
          <w:sz w:val="15"/>
          <w:szCs w:val="15"/>
          <w:color w:val="auto"/>
        </w:rPr>
        <w:t>The Plan shall be administered by the Board of Directors of Comcast Corporation ("the Sponsor"), or by the Compensation Committee of such Board of Directors, or by any other committee or subcommittee designated by such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49" w:hanging="353"/>
        <w:spacing w:after="0"/>
        <w:tabs>
          <w:tab w:leader="none" w:pos="27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2130"/>
        <w:spacing w:after="0" w:line="261" w:lineRule="auto"/>
        <w:rPr>
          <w:sz w:val="20"/>
          <w:szCs w:val="20"/>
          <w:color w:val="auto"/>
        </w:rPr>
      </w:pPr>
      <w:r>
        <w:rPr>
          <w:rFonts w:ascii="Courier New" w:cs="Courier New" w:eastAsia="Courier New" w:hAnsi="Courier New"/>
          <w:sz w:val="14"/>
          <w:szCs w:val="14"/>
          <w:color w:val="auto"/>
        </w:rPr>
        <w:t>The Board or Committee administering Options outstanding under the Plan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59" w:lineRule="exact"/>
        <w:rPr>
          <w:sz w:val="20"/>
          <w:szCs w:val="20"/>
          <w:color w:val="auto"/>
        </w:rPr>
      </w:pPr>
    </w:p>
    <w:p>
      <w:pPr>
        <w:ind w:left="2389"/>
        <w:spacing w:after="0"/>
        <w:tabs>
          <w:tab w:leader="none" w:pos="3529" w:val="left"/>
          <w:tab w:leader="none" w:pos="3889" w:val="left"/>
          <w:tab w:leader="none" w:pos="4949" w:val="left"/>
        </w:tabs>
        <w:rPr>
          <w:sz w:val="20"/>
          <w:szCs w:val="20"/>
          <w:color w:val="auto"/>
        </w:rPr>
      </w:pPr>
      <w:r>
        <w:rPr>
          <w:rFonts w:ascii="Courier New" w:cs="Courier New" w:eastAsia="Courier New" w:hAnsi="Courier New"/>
          <w:sz w:val="15"/>
          <w:szCs w:val="15"/>
          <w:color w:val="auto"/>
        </w:rPr>
        <w:t>(b) Grants.</w:t>
        <w:tab/>
        <w:t>No</w:t>
        <w:tab/>
        <w:t>additional</w:t>
      </w:r>
      <w:r>
        <w:rPr>
          <w:sz w:val="20"/>
          <w:szCs w:val="20"/>
          <w:color w:val="auto"/>
        </w:rPr>
        <w:tab/>
      </w:r>
      <w:r>
        <w:rPr>
          <w:rFonts w:ascii="Courier New" w:cs="Courier New" w:eastAsia="Courier New" w:hAnsi="Courier New"/>
          <w:sz w:val="14"/>
          <w:szCs w:val="14"/>
          <w:color w:val="auto"/>
        </w:rPr>
        <w:t>Options shall be granted</w:t>
      </w:r>
    </w:p>
    <w:p>
      <w:pPr>
        <w:spacing w:after="0" w:line="1" w:lineRule="exact"/>
        <w:rPr>
          <w:sz w:val="20"/>
          <w:szCs w:val="20"/>
          <w:color w:val="auto"/>
        </w:rPr>
      </w:pPr>
    </w:p>
    <w:p>
      <w:pPr>
        <w:ind w:left="9"/>
        <w:spacing w:after="0"/>
        <w:tabs>
          <w:tab w:leader="none" w:pos="2729" w:val="left"/>
        </w:tabs>
        <w:rPr>
          <w:sz w:val="20"/>
          <w:szCs w:val="20"/>
          <w:color w:val="auto"/>
        </w:rPr>
      </w:pPr>
      <w:r>
        <w:rPr>
          <w:rFonts w:ascii="Courier New" w:cs="Courier New" w:eastAsia="Courier New" w:hAnsi="Courier New"/>
          <w:sz w:val="15"/>
          <w:szCs w:val="15"/>
          <w:color w:val="auto"/>
        </w:rPr>
        <w:t>under the Plan.</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2749" w:hanging="353"/>
        <w:spacing w:after="0"/>
        <w:tabs>
          <w:tab w:leader="none" w:pos="274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1686"/>
        <w:spacing w:after="0" w:line="258" w:lineRule="auto"/>
        <w:rPr>
          <w:sz w:val="20"/>
          <w:szCs w:val="20"/>
          <w:color w:val="auto"/>
        </w:rPr>
      </w:pPr>
      <w:r>
        <w:rPr>
          <w:rFonts w:ascii="Courier New" w:cs="Courier New" w:eastAsia="Courier New" w:hAnsi="Courier New"/>
          <w:sz w:val="14"/>
          <w:szCs w:val="14"/>
          <w:color w:val="auto"/>
        </w:rPr>
        <w:t>No member of the Board of Directors of the Sponsor or of the Committee shall be personally liable for monetary damages as such for any action taken or any failure to take any action in connection with the administration of the Plan or the granting of Options under it unless (i) the director or member of the Committee has breached or failed to perform the duties of his office and</w:t>
      </w:r>
    </w:p>
    <w:p>
      <w:pPr>
        <w:spacing w:after="0" w:line="1" w:lineRule="exact"/>
        <w:rPr>
          <w:sz w:val="20"/>
          <w:szCs w:val="20"/>
          <w:color w:val="auto"/>
        </w:rPr>
      </w:pPr>
    </w:p>
    <w:p>
      <w:pPr>
        <w:ind w:left="9" w:right="3119" w:hanging="9"/>
        <w:spacing w:after="0" w:line="239" w:lineRule="auto"/>
        <w:tabs>
          <w:tab w:leader="none" w:pos="45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failure to perform constitutes self-dealing, willful misconduct or recklessness; provided, however, that the provisions of this Section 2(c) shall not apply to the responsibility or liability of a director or a member of the Committee pursuant to any criminal statute.</w:t>
      </w:r>
    </w:p>
    <w:p>
      <w:pPr>
        <w:spacing w:after="0" w:line="174" w:lineRule="exact"/>
        <w:rPr>
          <w:sz w:val="20"/>
          <w:szCs w:val="20"/>
          <w:color w:val="auto"/>
        </w:rPr>
      </w:pPr>
    </w:p>
    <w:p>
      <w:pPr>
        <w:ind w:left="2849" w:hanging="453"/>
        <w:spacing w:after="0"/>
        <w:tabs>
          <w:tab w:leader="none" w:pos="284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1686"/>
        <w:spacing w:after="0"/>
        <w:rPr>
          <w:sz w:val="20"/>
          <w:szCs w:val="20"/>
          <w:color w:val="auto"/>
        </w:rPr>
      </w:pPr>
      <w:r>
        <w:rPr>
          <w:rFonts w:ascii="Courier New" w:cs="Courier New" w:eastAsia="Courier New" w:hAnsi="Courier New"/>
          <w:sz w:val="15"/>
          <w:szCs w:val="15"/>
          <w:color w:val="auto"/>
        </w:rPr>
        <w:t>Each member of the Board of Directors of the Sponsor or of the Committee shall be entitled without further act on his part to indemnity from the Company to the fullest extent provided by applicable law and the Company's by-laws in connection with or arising out of any action, suit or proceeding with respect to the administration of the Plan or the granting of Options under it in which he may be involved by reason of his being or having been a member of the Board of Directors or the Committee, whether or not he continues to be such member of the Board or the Committee at the time of the action, suit or proceeding.</w:t>
      </w:r>
    </w:p>
    <w:p>
      <w:pPr>
        <w:spacing w:after="0" w:line="175" w:lineRule="exact"/>
        <w:rPr>
          <w:sz w:val="20"/>
          <w:szCs w:val="20"/>
          <w:color w:val="auto"/>
        </w:rPr>
      </w:pPr>
    </w:p>
    <w:p>
      <w:pPr>
        <w:ind w:left="1949" w:hanging="352"/>
        <w:spacing w:after="0"/>
        <w:tabs>
          <w:tab w:leader="none" w:pos="194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1686"/>
        <w:spacing w:after="0" w:line="238" w:lineRule="auto"/>
        <w:rPr>
          <w:sz w:val="20"/>
          <w:szCs w:val="20"/>
          <w:color w:val="auto"/>
        </w:rPr>
      </w:pPr>
      <w:r>
        <w:rPr>
          <w:rFonts w:ascii="Courier New" w:cs="Courier New" w:eastAsia="Courier New" w:hAnsi="Courier New"/>
          <w:sz w:val="15"/>
          <w:szCs w:val="15"/>
          <w:color w:val="auto"/>
        </w:rPr>
        <w:t>No individuals are eligible to receive additional grants of Options under the Plan.</w:t>
      </w:r>
    </w:p>
    <w:p>
      <w:pPr>
        <w:sectPr>
          <w:pgSz w:w="11900" w:h="16869" w:orient="portrait"/>
          <w:cols w:equalWidth="0" w:num="1">
            <w:col w:w="10228"/>
          </w:cols>
          <w:pgMar w:left="231" w:top="139" w:right="1440" w:bottom="0" w:gutter="0" w:footer="0" w:header="0"/>
        </w:sectPr>
      </w:pPr>
    </w:p>
    <w:bookmarkStart w:id="196" w:name="page197"/>
    <w:bookmarkEnd w:id="196"/>
    <w:p>
      <w:pPr>
        <w:ind w:left="1940" w:hanging="352"/>
        <w:spacing w:after="0"/>
        <w:tabs>
          <w:tab w:leader="none" w:pos="19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1686"/>
        <w:spacing w:after="0" w:line="238" w:lineRule="auto"/>
        <w:rPr>
          <w:sz w:val="20"/>
          <w:szCs w:val="20"/>
          <w:color w:val="auto"/>
        </w:rPr>
      </w:pPr>
      <w:r>
        <w:rPr>
          <w:rFonts w:ascii="Courier New" w:cs="Courier New" w:eastAsia="Courier New" w:hAnsi="Courier New"/>
          <w:sz w:val="15"/>
          <w:szCs w:val="15"/>
          <w:color w:val="auto"/>
        </w:rPr>
        <w:t>The Plan was originally effective as of January 5, 1987. No additional Options may be granted under the Plan.</w:t>
      </w:r>
    </w:p>
    <w:p>
      <w:pPr>
        <w:spacing w:after="0" w:line="172" w:lineRule="exact"/>
        <w:rPr>
          <w:sz w:val="20"/>
          <w:szCs w:val="20"/>
          <w:color w:val="auto"/>
        </w:rPr>
      </w:pPr>
    </w:p>
    <w:p>
      <w:pPr>
        <w:ind w:left="1860" w:hanging="272"/>
        <w:spacing w:after="0"/>
        <w:tabs>
          <w:tab w:leader="none" w:pos="18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ind w:left="1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rPr>
          <w:sz w:val="20"/>
          <w:szCs w:val="20"/>
          <w:color w:val="auto"/>
        </w:rPr>
      </w:pPr>
      <w:r>
        <w:rPr>
          <w:rFonts w:ascii="Courier New" w:cs="Courier New" w:eastAsia="Courier New" w:hAnsi="Courier New"/>
          <w:sz w:val="15"/>
          <w:szCs w:val="15"/>
          <w:color w:val="auto"/>
        </w:rPr>
        <w:t>The rules governing the grant, terms and expiration of Options granted pursuant to the Plan are contained in the Comcast Corporation 1987 Stock Option Plan as in effect immediately before the consummation of the AT&amp;T Broadband Transaction, and as evidenced by written documents (the "Option Documents") previously issued pursuant to the Plan, and as may amended by mutual consent of the Sponsor, as successor to the Company, and the Optionee or the Optionee's successor-in-interest.</w:t>
      </w:r>
    </w:p>
    <w:p>
      <w:pPr>
        <w:spacing w:after="0" w:line="173" w:lineRule="exact"/>
        <w:rPr>
          <w:sz w:val="20"/>
          <w:szCs w:val="20"/>
          <w:color w:val="auto"/>
        </w:rPr>
      </w:pPr>
    </w:p>
    <w:p>
      <w:pPr>
        <w:ind w:left="1860" w:hanging="272"/>
        <w:spacing w:after="0"/>
        <w:tabs>
          <w:tab w:leader="none" w:pos="18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Medium of Payment For Option Shares.</w:t>
      </w:r>
    </w:p>
    <w:p>
      <w:pPr>
        <w:ind w:left="1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rPr>
          <w:sz w:val="20"/>
          <w:szCs w:val="20"/>
          <w:color w:val="auto"/>
        </w:rPr>
      </w:pPr>
      <w:r>
        <w:rPr>
          <w:rFonts w:ascii="Courier New" w:cs="Courier New" w:eastAsia="Courier New" w:hAnsi="Courier New"/>
          <w:sz w:val="15"/>
          <w:szCs w:val="15"/>
          <w:color w:val="auto"/>
        </w:rPr>
        <w:t>An Optionee shall pay for Shares deliverable on the exercise of an Option ("Option Shares") (i) in cash, (ii) by certified check payable to the order of the Sponsor, or (iii) by a combination of the foregoing. To the extent that an Option Document provides that payment may be made all or in part in Other Available Shares; provided, however, that Option Shares may not be paid for in shares of Comcast Corporation Class A or Class A Special Common Stock if such method of payment would result in liability</w:t>
      </w:r>
    </w:p>
    <w:p>
      <w:pPr>
        <w:sectPr>
          <w:pgSz w:w="11900" w:h="16838" w:orient="portrait"/>
          <w:cols w:equalWidth="0" w:num="1">
            <w:col w:w="10219"/>
          </w:cols>
          <w:pgMar w:left="240" w:top="309" w:right="1440" w:bottom="1440" w:gutter="0" w:footer="0" w:header="0"/>
        </w:sectPr>
      </w:pPr>
    </w:p>
    <w:bookmarkStart w:id="197" w:name="page198"/>
    <w:bookmarkEnd w:id="197"/>
    <w:p>
      <w:pPr>
        <w:ind w:right="3119"/>
        <w:spacing w:after="0"/>
        <w:rPr>
          <w:sz w:val="20"/>
          <w:szCs w:val="20"/>
          <w:color w:val="auto"/>
        </w:rPr>
      </w:pPr>
      <w:r>
        <w:rPr>
          <w:rFonts w:ascii="Courier New" w:cs="Courier New" w:eastAsia="Courier New" w:hAnsi="Courier New"/>
          <w:sz w:val="15"/>
          <w:szCs w:val="15"/>
          <w:color w:val="auto"/>
        </w:rPr>
        <w:t>under section 16(b) of the Securities Exchange Act of 1934 to an Optionee. Except as otherwise provided by the Committee, if payment is made in whole or in part in shares of Comcast Corporation Class A or Class A Special Common Stock, then the Optionee shall deliver to the Company certificates registered in the name of such Optionee representing shares of Comcast Corporation Class A or Class A Special Common Stock legally and beneficially owned by such Optionee, free of all liens, claims and encumbrances of every kind and having a fair market value on the date of delivery that is not greater than the Option Price of the Option Shares with respect to which such Option is to be exercised, accompanied by stock powers duly endorsed in blank by the record holder of the shares represented by such certificates. Notwithstanding the foregoing, the Committee, in its sole discretion, may refuse to accept shares of Comcast Corporation Class A or Class A Special Common Stock in payment of the Option Price. In that event, any certificates representing shares of Comcast Corporation Class A or Class A Special Common Stock which were delivered to the Sponsor shall be returned to the Optionee with notice of the refusal of the Committee to accept such shares in payment of the Option Price. The Committee may impose such limitations and prohibitions on the use of shares of Comcast Corporation Class A or Class A Special Common Stock to exercise an Option as it deems appropriate.</w:t>
      </w:r>
    </w:p>
    <w:p>
      <w:pPr>
        <w:spacing w:after="0" w:line="183" w:lineRule="exact"/>
        <w:rPr>
          <w:sz w:val="20"/>
          <w:szCs w:val="20"/>
          <w:color w:val="auto"/>
        </w:rPr>
      </w:pPr>
    </w:p>
    <w:p>
      <w:pPr>
        <w:ind w:left="1140" w:hanging="350"/>
        <w:spacing w:after="0"/>
        <w:tabs>
          <w:tab w:leader="none" w:pos="11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7 shall not apply to Options described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w:t>
      </w:r>
    </w:p>
    <w:p>
      <w:pPr>
        <w:spacing w:after="0" w:line="171" w:lineRule="exact"/>
        <w:rPr>
          <w:sz w:val="20"/>
          <w:szCs w:val="20"/>
          <w:color w:val="auto"/>
        </w:rPr>
      </w:pPr>
    </w:p>
    <w:p>
      <w:pPr>
        <w:ind w:left="1940" w:hanging="352"/>
        <w:spacing w:after="0"/>
        <w:tabs>
          <w:tab w:leader="none" w:pos="19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1686"/>
        <w:spacing w:after="0" w:line="239" w:lineRule="auto"/>
        <w:rPr>
          <w:sz w:val="20"/>
          <w:szCs w:val="20"/>
          <w:color w:val="auto"/>
        </w:rPr>
      </w:pPr>
      <w:r>
        <w:rPr>
          <w:rFonts w:ascii="Courier New" w:cs="Courier New" w:eastAsia="Courier New" w:hAnsi="Courier New"/>
          <w:sz w:val="15"/>
          <w:szCs w:val="15"/>
          <w:color w:val="auto"/>
        </w:rPr>
        <w:t>Except as provided in Section 7(b), no Option granted under the Plan may be transferred, except by will or by the laws of descent and distribution. During the lifetime of the person to whom an Option is granted, such Option may be exercised only by him.</w:t>
      </w:r>
    </w:p>
    <w:p>
      <w:pPr>
        <w:spacing w:after="0" w:line="174" w:lineRule="exact"/>
        <w:rPr>
          <w:sz w:val="20"/>
          <w:szCs w:val="20"/>
          <w:color w:val="auto"/>
        </w:rPr>
      </w:pPr>
    </w:p>
    <w:p>
      <w:pPr>
        <w:ind w:left="1580"/>
        <w:spacing w:after="0"/>
        <w:tabs>
          <w:tab w:leader="none" w:pos="2100" w:val="left"/>
          <w:tab w:leader="none" w:pos="3440" w:val="left"/>
        </w:tabs>
        <w:rPr>
          <w:sz w:val="20"/>
          <w:szCs w:val="20"/>
          <w:color w:val="auto"/>
        </w:rPr>
      </w:pPr>
      <w:r>
        <w:rPr>
          <w:rFonts w:ascii="Courier New" w:cs="Courier New" w:eastAsia="Courier New" w:hAnsi="Courier New"/>
          <w:sz w:val="15"/>
          <w:szCs w:val="15"/>
          <w:color w:val="auto"/>
        </w:rPr>
        <w:t>(b)</w:t>
        <w:tab/>
        <w:t>Transferable</w:t>
      </w:r>
      <w:r>
        <w:rPr>
          <w:sz w:val="20"/>
          <w:szCs w:val="20"/>
          <w:color w:val="auto"/>
        </w:rPr>
        <w:tab/>
      </w:r>
      <w:r>
        <w:rPr>
          <w:rFonts w:ascii="Courier New" w:cs="Courier New" w:eastAsia="Courier New" w:hAnsi="Courier New"/>
          <w:sz w:val="14"/>
          <w:szCs w:val="14"/>
          <w:color w:val="auto"/>
        </w:rPr>
        <w:t>Options.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line="259" w:lineRule="auto"/>
        <w:rPr>
          <w:sz w:val="20"/>
          <w:szCs w:val="20"/>
          <w:color w:val="auto"/>
        </w:rPr>
      </w:pPr>
      <w:r>
        <w:rPr>
          <w:rFonts w:ascii="Courier New" w:cs="Courier New" w:eastAsia="Courier New" w:hAnsi="Courier New"/>
          <w:sz w:val="14"/>
          <w:szCs w:val="14"/>
          <w:color w:val="auto"/>
        </w:rPr>
        <w:t>The Committee may, in its discretion, at the time of grant of an Option that is not an ISO (an "NQO") or by amendment of an Option Document for an ISO or an NQO, provide that Options granted to or held by an Optionee may be transferred, in whole or in part, to one or more transferees and exercised by any such transferee; provided further that (A) any such transfer is without consideration and (B) each transferee is a member of such Optionee's Immediate Family (as hereinafter defined); and provided further that any ISO granted pursuant to an Option Document which is amended to permit transfers during the lifetime of the Optionee shall, upon the effectiveness of such amendment, be treated thereafter as an NQO.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the Option Document and this Section 7. For purposes of this Section 7, the term "Immediate Family" shall mean an Optionee's spouse and lineal descendants, any trust all beneficiaries of which are any of such persons and any partnership all partners of which are any of such persons.</w:t>
      </w:r>
    </w:p>
    <w:p>
      <w:pPr>
        <w:spacing w:after="0" w:line="159" w:lineRule="exact"/>
        <w:rPr>
          <w:sz w:val="20"/>
          <w:szCs w:val="20"/>
          <w:color w:val="auto"/>
        </w:rPr>
      </w:pPr>
    </w:p>
    <w:p>
      <w:pPr>
        <w:ind w:left="2120" w:hanging="443"/>
        <w:spacing w:after="0"/>
        <w:tabs>
          <w:tab w:leader="none" w:pos="212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ind w:left="2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1686"/>
        <w:spacing w:after="0" w:line="239" w:lineRule="auto"/>
        <w:rPr>
          <w:sz w:val="20"/>
          <w:szCs w:val="20"/>
          <w:color w:val="auto"/>
        </w:rPr>
      </w:pPr>
      <w:r>
        <w:rPr>
          <w:rFonts w:ascii="Courier New" w:cs="Courier New" w:eastAsia="Courier New" w:hAnsi="Courier New"/>
          <w:sz w:val="15"/>
          <w:szCs w:val="15"/>
          <w:color w:val="auto"/>
        </w:rPr>
        <w:t>The Committee shall have the right to amend Option Documents issued to an Optionee subject to his consent, except that the consent of the Optionee shall not be required for any amendment made pursuant to the rules of the Plan governing "Terminating Events."</w:t>
      </w:r>
    </w:p>
    <w:p>
      <w:pPr>
        <w:sectPr>
          <w:pgSz w:w="11900" w:h="16838" w:orient="portrait"/>
          <w:cols w:equalWidth="0" w:num="1">
            <w:col w:w="10219"/>
          </w:cols>
          <w:pgMar w:left="240" w:top="802" w:right="1440" w:bottom="1440" w:gutter="0" w:footer="0" w:header="0"/>
        </w:sectPr>
      </w:pPr>
    </w:p>
    <w:bookmarkStart w:id="198" w:name="page199"/>
    <w:bookmarkEnd w:id="198"/>
    <w:p>
      <w:pPr>
        <w:ind w:left="1860" w:hanging="272"/>
        <w:spacing w:after="0"/>
        <w:tabs>
          <w:tab w:leader="none" w:pos="18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Options  Awarded to Brian L. Roberts.</w:t>
      </w:r>
    </w:p>
    <w:p>
      <w:pPr>
        <w:ind w:left="1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line="259" w:lineRule="auto"/>
        <w:rPr>
          <w:sz w:val="20"/>
          <w:szCs w:val="20"/>
          <w:color w:val="auto"/>
        </w:rPr>
      </w:pPr>
      <w:r>
        <w:rPr>
          <w:rFonts w:ascii="Courier New" w:cs="Courier New" w:eastAsia="Courier New" w:hAnsi="Courier New"/>
          <w:sz w:val="14"/>
          <w:szCs w:val="14"/>
          <w:color w:val="auto"/>
        </w:rPr>
        <w:t>With respect to those Options awarded to Brian L. Roberts on January 8, 1992 and January 6, 1993 and which remain unexercised, and notwithstanding Section 7(b) of this Plan, the Committee may, in its discretion, amend such Options to provide that such Options may be transferred by Mr. Roberts, in whole or in part, to one or more transferees and exercised by any such transferee, provided that (i) any such transfer is without consideration, and (ii) each transferee is a member of Mr. Roberts' Immediate Family. "Immediate Family" shall mean Mr. Roberts' spouse, children, grandchildren, any trust all beneficiaries of which are such persons, and any partnership all partners of which are such persons. In the event the Committee so amends such Options, the Committee shall include in such amended Options such further provisions as it determines are necessary or appropriate at the time of such amendment to permit the Company to deduct compensation expenses recognized upon exercise of such options for federal or state income tax purposes.</w:t>
      </w:r>
    </w:p>
    <w:p>
      <w:pPr>
        <w:spacing w:after="0" w:line="161" w:lineRule="exact"/>
        <w:rPr>
          <w:sz w:val="20"/>
          <w:szCs w:val="20"/>
          <w:color w:val="auto"/>
        </w:rPr>
      </w:pPr>
    </w:p>
    <w:p>
      <w:pPr>
        <w:ind w:left="1860" w:hanging="272"/>
        <w:spacing w:after="0"/>
        <w:tabs>
          <w:tab w:leader="none" w:pos="18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ind w:left="1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rPr>
          <w:sz w:val="20"/>
          <w:szCs w:val="20"/>
          <w:color w:val="auto"/>
        </w:rPr>
      </w:pPr>
      <w:r>
        <w:rPr>
          <w:rFonts w:ascii="Courier New" w:cs="Courier New" w:eastAsia="Courier New" w:hAnsi="Courier New"/>
          <w:sz w:val="15"/>
          <w:szCs w:val="15"/>
          <w:color w:val="auto"/>
        </w:rPr>
        <w:t>No Option shall be deemed to have been exercised prior to the receipt by the Company of written notice of such exercise and of payment in full of the Option Price for the Option Shares to be purchased. Each such notice shall specify the number of Option Shares to be purchased and shall (unless the Option Shares are covered by a then current registration statement or a Notification under Regulation A under the Securities Act of 1933 (the "Act")), contain the Optionee's acknowledgment in form and substance satisfactory to the Sponsor that (2) such Option Shares are being purchased for investment and not for distribution or resale (other than a distribution or resale which, in the opinion of counsel satisfactory to the Sponsor, may be made without violating the registration provisions of the Act), (b) the Optionee has been advised and understands that (i) the Option Shares have not be registered under the Act and are "restricted securities" within the meaning of Rule 144 under the Act and are subject to restrictions on transfer and (ii) the Sponsor is under no obligation to register the Option Shares under the Act or to take any action which would make available to the Optionee any exemption from such registration, and (c) such Option Shares may not be transferred without compliance with all applicable federal and state securities laws. Notwithstanding the above, should the Sponsor be advised by counsel that issuance of shares should be delayed pending (A) registration under federal or state securities laws or (B) the receipt of an opinion that an appropriate exemption therefrom is available, the Sponsor may defer exercise of any Option granted hereunder until either such event in (A) or (B) has occurred.</w:t>
      </w:r>
    </w:p>
    <w:p>
      <w:pPr>
        <w:spacing w:after="0" w:line="185" w:lineRule="exact"/>
        <w:rPr>
          <w:sz w:val="20"/>
          <w:szCs w:val="20"/>
          <w:color w:val="auto"/>
        </w:rPr>
      </w:pPr>
    </w:p>
    <w:p>
      <w:pPr>
        <w:ind w:left="2040" w:hanging="452"/>
        <w:spacing w:after="0"/>
        <w:tabs>
          <w:tab w:leader="none" w:pos="20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on Changes in Capitalization.</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rPr>
          <w:sz w:val="20"/>
          <w:szCs w:val="20"/>
          <w:color w:val="auto"/>
        </w:rPr>
      </w:pPr>
      <w:r>
        <w:rPr>
          <w:rFonts w:ascii="Courier New" w:cs="Courier New" w:eastAsia="Courier New" w:hAnsi="Courier New"/>
          <w:sz w:val="15"/>
          <w:szCs w:val="15"/>
          <w:color w:val="auto"/>
        </w:rPr>
        <w:t>The aggregate number of shares and class of shares as to which Options may be granted hereunder, the number of shares covered by each outstanding Option, and the Option Price thereof shall be appropriately adjusted in the event of a stock dividend, stock split, recapitalization or other change in the number or class of issued and outstanding equity securities of the Sponsor resulting from a subdivision or consolidation of the Common Stock and/or other outstanding equity security or a recapitalization or other capital adjustment (not including the issuance of Common Stock on the conversion of other securities of the Sponsor which are convertible into Common Stock) affecting the Common Stock which is effected without receipt of consideration by the Sponsor. The Committee shall have authority to determine the adjustments to be made under this Section 10 and any such</w:t>
      </w:r>
    </w:p>
    <w:p>
      <w:pPr>
        <w:sectPr>
          <w:pgSz w:w="11900" w:h="16838" w:orient="portrait"/>
          <w:cols w:equalWidth="0" w:num="1">
            <w:col w:w="10219"/>
          </w:cols>
          <w:pgMar w:left="240" w:top="799" w:right="1440" w:bottom="1440" w:gutter="0" w:footer="0" w:header="0"/>
        </w:sectPr>
      </w:pPr>
    </w:p>
    <w:bookmarkStart w:id="199" w:name="page200"/>
    <w:bookmarkEnd w:id="199"/>
    <w:p>
      <w:pPr>
        <w:ind w:right="3119"/>
        <w:spacing w:after="0" w:line="239" w:lineRule="auto"/>
        <w:rPr>
          <w:sz w:val="20"/>
          <w:szCs w:val="20"/>
          <w:color w:val="auto"/>
        </w:rPr>
      </w:pPr>
      <w:r>
        <w:rPr>
          <w:rFonts w:ascii="Courier New" w:cs="Courier New" w:eastAsia="Courier New" w:hAnsi="Courier New"/>
          <w:sz w:val="15"/>
          <w:szCs w:val="15"/>
          <w:color w:val="auto"/>
        </w:rPr>
        <w:t>determination by the Committee shall be final, binding and conclusive; provided, however, that no adjustment shall be made which will cause an ISO to lose its status as such without the consent of the Optionee.</w:t>
      </w:r>
    </w:p>
    <w:p>
      <w:pPr>
        <w:spacing w:after="0" w:line="172" w:lineRule="exact"/>
        <w:rPr>
          <w:sz w:val="20"/>
          <w:szCs w:val="20"/>
          <w:color w:val="auto"/>
        </w:rPr>
      </w:pPr>
    </w:p>
    <w:p>
      <w:pPr>
        <w:ind w:left="2040" w:hanging="452"/>
        <w:spacing w:after="0"/>
        <w:tabs>
          <w:tab w:leader="none" w:pos="20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1686"/>
        <w:spacing w:after="0" w:line="238" w:lineRule="auto"/>
        <w:rPr>
          <w:sz w:val="20"/>
          <w:szCs w:val="20"/>
          <w:color w:val="auto"/>
        </w:rPr>
      </w:pPr>
      <w:r>
        <w:rPr>
          <w:rFonts w:ascii="Courier New" w:cs="Courier New" w:eastAsia="Courier New" w:hAnsi="Courier New"/>
          <w:sz w:val="15"/>
          <w:szCs w:val="15"/>
          <w:color w:val="auto"/>
        </w:rPr>
        <w:t>The Board or the Committee may amend the Plan from time to time in such manner as it may deem advisable.</w:t>
      </w:r>
    </w:p>
    <w:p>
      <w:pPr>
        <w:spacing w:after="0" w:line="172" w:lineRule="exact"/>
        <w:rPr>
          <w:sz w:val="20"/>
          <w:szCs w:val="20"/>
          <w:color w:val="auto"/>
        </w:rPr>
      </w:pPr>
    </w:p>
    <w:p>
      <w:pPr>
        <w:ind w:left="2040" w:hanging="452"/>
        <w:spacing w:after="0"/>
        <w:tabs>
          <w:tab w:leader="none" w:pos="20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rPr>
          <w:sz w:val="20"/>
          <w:szCs w:val="20"/>
          <w:color w:val="auto"/>
        </w:rPr>
      </w:pPr>
      <w:r>
        <w:rPr>
          <w:rFonts w:ascii="Courier New" w:cs="Courier New" w:eastAsia="Courier New" w:hAnsi="Courier New"/>
          <w:sz w:val="15"/>
          <w:szCs w:val="15"/>
          <w:color w:val="auto"/>
        </w:rPr>
        <w:t>The previous grant of an Option pursuant to the Plan shall not be construed to imply or to constitute evidence of any agreement, express or implied, on the part of the Sponsor or any Affiliate to retain the Optionee in the employ of the Sponsor or an Affiliate or as a member of the Board of Directors or in any other capacity.</w:t>
      </w:r>
    </w:p>
    <w:p>
      <w:pPr>
        <w:spacing w:after="0" w:line="172" w:lineRule="exact"/>
        <w:rPr>
          <w:sz w:val="20"/>
          <w:szCs w:val="20"/>
          <w:color w:val="auto"/>
        </w:rPr>
      </w:pPr>
    </w:p>
    <w:p>
      <w:pPr>
        <w:ind w:left="1940" w:hanging="352"/>
        <w:spacing w:after="0"/>
        <w:tabs>
          <w:tab w:leader="none" w:pos="19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Sponsor proposes or is required to</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 or transfer Option Shares in connection with the exercise of an Option, the Sponsor shall have the right to (i) require the recipient to remit to the Sponsor an amount sufficient to satisfy any federal, state and/or local withholding tax requirements prior to the delivery or transfer of any certificate or certificates for such Option Shares or (ii) take any action whatever that it deems necessary to protect its interests with respect to tax liabilities. The Sponsor's obligation to make any delivery or transfer of Option Shares shall be conditioned on the recipient's compliance, to the Sponsor's satisfaction, with any withholding requirement.</w:t>
      </w:r>
    </w:p>
    <w:p>
      <w:pPr>
        <w:spacing w:after="0" w:line="174"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Section</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13(b), any tax liabilities incurred in connection with the exercise of an Option under the Plan other than an ISO shall be satisfied by the Sponsor's withholding a portion of the Option Shares underlying the Option exercised having a fair market value approximately equal to the minimum amount of taxes required to be withheld by the Sponsor under applicable law, unless otherwise determined by the Committee with respect to any participant.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that is at least equal to the number to be withheld by the Sponsor for the then-current exercise on account of withheld taxes in excess of such minimum amount, and (ii) to pay to the Sponsor in cash all or a portion of the taxes to be withheld upon the exercise of an Option. In all cases, the Option Shares so withheld by the Sponsor shall have a fair market value that does not exceed the amount of taxes to be withheld minus the cash payment, if any, made by the Optionee. The fair market value of such shares shall be determined based on the last reported sale price of a share of Common Stock on the principal exchange on which the Common Stock is listed or, if not so listed, on the Nasdaq Stock Market on the last trading day prior to the date on which the Option is exercised. Any election pursuant to this Section 13(b) must be in writing made prior to the date specified by the Committee, and in any event prior to the date the amount of tax to be withheld or paid is determined. An election pursuant to this Section 13(b) may be made only by an Optionee or, in the event of the Optionee's death, by the Optionee's legal</w:t>
      </w:r>
    </w:p>
    <w:p>
      <w:pPr>
        <w:sectPr>
          <w:pgSz w:w="11900" w:h="16838" w:orient="portrait"/>
          <w:cols w:equalWidth="0" w:num="1">
            <w:col w:w="10219"/>
          </w:cols>
          <w:pgMar w:left="240" w:top="802" w:right="1440" w:bottom="1440" w:gutter="0" w:footer="0" w:header="0"/>
        </w:sectPr>
      </w:pPr>
    </w:p>
    <w:bookmarkStart w:id="200" w:name="page201"/>
    <w:bookmarkEnd w:id="200"/>
    <w:p>
      <w:pPr>
        <w:ind w:left="9" w:right="3119"/>
        <w:spacing w:after="0" w:line="239" w:lineRule="auto"/>
        <w:rPr>
          <w:sz w:val="20"/>
          <w:szCs w:val="20"/>
          <w:color w:val="auto"/>
        </w:rPr>
      </w:pPr>
      <w:r>
        <w:rPr>
          <w:rFonts w:ascii="Courier New" w:cs="Courier New" w:eastAsia="Courier New" w:hAnsi="Courier New"/>
          <w:sz w:val="15"/>
          <w:szCs w:val="15"/>
          <w:color w:val="auto"/>
        </w:rPr>
        <w:t>representative. No shares withheld pursuant to this Section 13(b) shall be available for subsequent grants under the Plan. The Committee may add such other requirements and limitations regarding elections pursuant to this Section 13(b) as it deems appropriate.</w:t>
      </w:r>
    </w:p>
    <w:p>
      <w:pPr>
        <w:spacing w:after="0" w:line="174" w:lineRule="exact"/>
        <w:rPr>
          <w:sz w:val="20"/>
          <w:szCs w:val="20"/>
          <w:color w:val="auto"/>
        </w:rPr>
      </w:pPr>
    </w:p>
    <w:p>
      <w:pPr>
        <w:ind w:left="2389" w:hanging="792"/>
        <w:spacing w:after="0"/>
        <w:tabs>
          <w:tab w:leader="none" w:pos="2389"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ind w:left="23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749" w:hanging="353"/>
        <w:spacing w:after="0"/>
        <w:tabs>
          <w:tab w:leader="none" w:pos="2749"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shall give Optionees at least thirty</w:t>
      </w:r>
    </w:p>
    <w:p>
      <w:pPr>
        <w:spacing w:after="0" w:line="3" w:lineRule="exact"/>
        <w:rPr>
          <w:rFonts w:ascii="Courier New" w:cs="Courier New" w:eastAsia="Courier New" w:hAnsi="Courier New"/>
          <w:sz w:val="15"/>
          <w:szCs w:val="15"/>
          <w:color w:val="auto"/>
        </w:rPr>
      </w:pPr>
    </w:p>
    <w:p>
      <w:pPr>
        <w:ind w:left="9" w:right="3119" w:hanging="9"/>
        <w:spacing w:after="0" w:line="258" w:lineRule="auto"/>
        <w:tabs>
          <w:tab w:leader="none" w:pos="453"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w:t>
      </w:r>
    </w:p>
    <w:p>
      <w:pPr>
        <w:ind w:left="478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Section 14(a), the entire number of Shares covered by Options shall become immediately exercisable. Upon the close of the period described in this Section 14(a) during which an Option may be exercised in connection with a Terminating Event, such Option (including such portion thereof that is not exercisable) shall terminate to the extent that such Option have not theretofore been exercised.</w:t>
      </w:r>
    </w:p>
    <w:p>
      <w:pPr>
        <w:spacing w:after="0" w:line="164" w:lineRule="exact"/>
        <w:rPr>
          <w:sz w:val="20"/>
          <w:szCs w:val="20"/>
          <w:color w:val="auto"/>
        </w:rPr>
      </w:pPr>
    </w:p>
    <w:p>
      <w:pPr>
        <w:ind w:left="2749" w:hanging="353"/>
        <w:spacing w:after="0"/>
        <w:tabs>
          <w:tab w:leader="none" w:pos="2749"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14(a), in the event the</w:t>
      </w:r>
    </w:p>
    <w:p>
      <w:pPr>
        <w:spacing w:after="0" w:line="3" w:lineRule="exact"/>
        <w:rPr>
          <w:rFonts w:ascii="Courier New" w:cs="Courier New" w:eastAsia="Courier New" w:hAnsi="Courier New"/>
          <w:sz w:val="15"/>
          <w:szCs w:val="15"/>
          <w:color w:val="auto"/>
        </w:rPr>
      </w:pPr>
    </w:p>
    <w:p>
      <w:pPr>
        <w:ind w:left="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is not consummated, the Option shall be deemed not to have been exercised and shall be exercisable thereafter to the extent it would have been exercisable if no such notice had been given.</w:t>
      </w:r>
    </w:p>
    <w:p>
      <w:pPr>
        <w:spacing w:after="0" w:line="172" w:lineRule="exact"/>
        <w:rPr>
          <w:rFonts w:ascii="Courier New" w:cs="Courier New" w:eastAsia="Courier New" w:hAnsi="Courier New"/>
          <w:sz w:val="15"/>
          <w:szCs w:val="15"/>
          <w:color w:val="auto"/>
        </w:rPr>
      </w:pPr>
    </w:p>
    <w:p>
      <w:pPr>
        <w:ind w:left="1949" w:hanging="352"/>
        <w:spacing w:after="0"/>
        <w:tabs>
          <w:tab w:leader="none" w:pos="1949"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749" w:hanging="353"/>
        <w:spacing w:after="0"/>
        <w:tabs>
          <w:tab w:leader="none" w:pos="274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1686"/>
        <w:spacing w:after="0"/>
        <w:rPr>
          <w:sz w:val="20"/>
          <w:szCs w:val="20"/>
          <w:color w:val="auto"/>
        </w:rPr>
      </w:pPr>
      <w:r>
        <w:rPr>
          <w:rFonts w:ascii="Courier New" w:cs="Courier New" w:eastAsia="Courier New" w:hAnsi="Courier New"/>
          <w:sz w:val="15"/>
          <w:szCs w:val="15"/>
          <w:color w:val="auto"/>
        </w:rPr>
        <w:t>For purposes of this Section 15,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45" w:lineRule="exact"/>
        <w:rPr>
          <w:sz w:val="20"/>
          <w:szCs w:val="20"/>
          <w:color w:val="auto"/>
        </w:rPr>
      </w:pPr>
    </w:p>
    <w:p>
      <w:pPr>
        <w:ind w:left="2749" w:hanging="353"/>
        <w:spacing w:after="0"/>
        <w:tabs>
          <w:tab w:leader="none" w:pos="274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means the board of directors of Comcast Corporation.</w:t>
      </w:r>
    </w:p>
    <w:p>
      <w:pPr>
        <w:spacing w:after="0" w:line="342" w:lineRule="exact"/>
        <w:rPr>
          <w:sz w:val="20"/>
          <w:szCs w:val="20"/>
          <w:color w:val="auto"/>
        </w:rPr>
      </w:pPr>
    </w:p>
    <w:p>
      <w:pPr>
        <w:ind w:left="2849" w:hanging="453"/>
        <w:spacing w:after="0"/>
        <w:tabs>
          <w:tab w:leader="none" w:pos="284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1686"/>
        <w:spacing w:after="0"/>
        <w:rPr>
          <w:sz w:val="20"/>
          <w:szCs w:val="20"/>
          <w:color w:val="auto"/>
        </w:rPr>
      </w:pPr>
      <w:r>
        <w:rPr>
          <w:rFonts w:ascii="Courier New" w:cs="Courier New" w:eastAsia="Courier New" w:hAnsi="Courier New"/>
          <w:sz w:val="15"/>
          <w:szCs w:val="15"/>
          <w:color w:val="auto"/>
        </w:rPr>
        <w:t>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w:t>
      </w:r>
    </w:p>
    <w:p>
      <w:pPr>
        <w:sectPr>
          <w:pgSz w:w="11900" w:h="16838" w:orient="portrait"/>
          <w:cols w:equalWidth="0" w:num="1">
            <w:col w:w="10228"/>
          </w:cols>
          <w:pgMar w:left="231" w:top="801" w:right="1440" w:bottom="1440" w:gutter="0" w:footer="0" w:header="0"/>
        </w:sectPr>
      </w:pPr>
    </w:p>
    <w:bookmarkStart w:id="201" w:name="page202"/>
    <w:bookmarkEnd w:id="201"/>
    <w:p>
      <w:pPr>
        <w:ind w:right="3119"/>
        <w:spacing w:after="0" w:line="239" w:lineRule="auto"/>
        <w:rPr>
          <w:sz w:val="20"/>
          <w:szCs w:val="20"/>
          <w:color w:val="auto"/>
        </w:rPr>
      </w:pPr>
      <w:r>
        <w:rPr>
          <w:rFonts w:ascii="Courier New" w:cs="Courier New" w:eastAsia="Courier New" w:hAnsi="Courier New"/>
          <w:sz w:val="15"/>
          <w:szCs w:val="15"/>
          <w:color w:val="auto"/>
        </w:rPr>
        <w:t>The Board may also determine that a Change of Control shall occur upon the completion of one or more proposed transactions. The Board's determination shall be final and binding.</w:t>
      </w:r>
    </w:p>
    <w:p>
      <w:pPr>
        <w:spacing w:after="0" w:line="172" w:lineRule="exact"/>
        <w:rPr>
          <w:sz w:val="20"/>
          <w:szCs w:val="20"/>
          <w:color w:val="auto"/>
        </w:rPr>
      </w:pPr>
    </w:p>
    <w:p>
      <w:pPr>
        <w:ind w:left="2740" w:hanging="353"/>
        <w:spacing w:after="0"/>
        <w:tabs>
          <w:tab w:leader="none" w:pos="27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686"/>
        <w:spacing w:after="0" w:line="261" w:lineRule="auto"/>
        <w:rPr>
          <w:sz w:val="20"/>
          <w:szCs w:val="20"/>
          <w:color w:val="auto"/>
        </w:rPr>
      </w:pPr>
      <w:r>
        <w:rPr>
          <w:rFonts w:ascii="Courier New" w:cs="Courier New" w:eastAsia="Courier New" w:hAnsi="Courier New"/>
          <w:sz w:val="14"/>
          <w:szCs w:val="14"/>
          <w:color w:val="auto"/>
        </w:rPr>
        <w:t>means any restricted stock, stock bonus, stock option or other compensation plan, program or arrangement established or maintained by the Sponsor or an Affiliate of the Sponsor, including, but not limited to this Plan, the Comcast Corporation 2002 Restricted Stock Plan, the Comcast Corporation 2002 Stock Option Plan and the AT&amp;T Broadband Corp. Adjustment Plan.</w:t>
      </w:r>
    </w:p>
    <w:p>
      <w:pPr>
        <w:spacing w:after="0" w:line="330" w:lineRule="exact"/>
        <w:rPr>
          <w:sz w:val="20"/>
          <w:szCs w:val="20"/>
          <w:color w:val="auto"/>
        </w:rPr>
      </w:pPr>
    </w:p>
    <w:p>
      <w:pPr>
        <w:ind w:left="2740" w:hanging="353"/>
        <w:spacing w:after="0"/>
        <w:tabs>
          <w:tab w:leader="none" w:pos="27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means, as of any date, the excess, if any of:</w:t>
      </w:r>
    </w:p>
    <w:p>
      <w:pPr>
        <w:spacing w:after="0" w:line="174" w:lineRule="exact"/>
        <w:rPr>
          <w:sz w:val="20"/>
          <w:szCs w:val="20"/>
          <w:color w:val="auto"/>
        </w:rPr>
      </w:pPr>
    </w:p>
    <w:p>
      <w:pPr>
        <w:ind w:left="3540" w:right="3119" w:hanging="354"/>
        <w:spacing w:after="0" w:line="238" w:lineRule="auto"/>
        <w:tabs>
          <w:tab w:leader="none" w:pos="35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an Optionee; over</w:t>
      </w:r>
    </w:p>
    <w:p>
      <w:pPr>
        <w:spacing w:after="0" w:line="172"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1" w:lineRule="exact"/>
        <w:rPr>
          <w:rFonts w:ascii="Courier New" w:cs="Courier New" w:eastAsia="Courier New" w:hAnsi="Courier New"/>
          <w:sz w:val="15"/>
          <w:szCs w:val="15"/>
          <w:color w:val="auto"/>
        </w:rPr>
      </w:pPr>
    </w:p>
    <w:p>
      <w:pPr>
        <w:ind w:left="4260" w:hanging="364"/>
        <w:spacing w:after="0"/>
        <w:tabs>
          <w:tab w:leader="none" w:pos="42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Optionee for less than six months; plus</w:t>
      </w:r>
    </w:p>
    <w:p>
      <w:pPr>
        <w:spacing w:after="0" w:line="342" w:lineRule="exact"/>
        <w:rPr>
          <w:rFonts w:ascii="Courier New" w:cs="Courier New" w:eastAsia="Courier New" w:hAnsi="Courier New"/>
          <w:sz w:val="15"/>
          <w:szCs w:val="15"/>
          <w:color w:val="auto"/>
        </w:rPr>
      </w:pPr>
    </w:p>
    <w:p>
      <w:pPr>
        <w:ind w:left="4260" w:hanging="364"/>
        <w:spacing w:after="0"/>
        <w:tabs>
          <w:tab w:leader="none" w:pos="42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Optionee that has, within the preceding six months, been the subject of a withholding certification pursuant to Paragraph 13(b) or any similar withholding certification under any other Comcast Plan; plus</w:t>
      </w:r>
    </w:p>
    <w:p>
      <w:pPr>
        <w:spacing w:after="0" w:line="172" w:lineRule="exact"/>
        <w:rPr>
          <w:rFonts w:ascii="Courier New" w:cs="Courier New" w:eastAsia="Courier New" w:hAnsi="Courier New"/>
          <w:sz w:val="15"/>
          <w:szCs w:val="15"/>
          <w:color w:val="auto"/>
        </w:rPr>
      </w:pPr>
    </w:p>
    <w:p>
      <w:pPr>
        <w:ind w:left="4260" w:hanging="364"/>
        <w:spacing w:after="0"/>
        <w:tabs>
          <w:tab w:leader="none" w:pos="42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75" w:lineRule="exact"/>
        <w:rPr>
          <w:rFonts w:ascii="Courier New" w:cs="Courier New" w:eastAsia="Courier New" w:hAnsi="Courier New"/>
          <w:sz w:val="15"/>
          <w:szCs w:val="15"/>
          <w:color w:val="auto"/>
        </w:rPr>
      </w:pPr>
    </w:p>
    <w:p>
      <w:pPr>
        <w:ind w:right="3219" w:firstLine="3896"/>
        <w:spacing w:after="0"/>
        <w:tabs>
          <w:tab w:leader="none" w:pos="42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Optionee as to which evidence of ownership has, within the preceding six months, been provided to the Sponsor (or, for prior to the consummation of the AT&amp;T Broadband Transaction, the Company) in connection with the crediting of "Deferred Stock Units" to such Optionee's Account under the Comcast Corporation 2002 Deferred Stock Option Plan (as in effect from time to time).</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purposes of this Paragraph 14(e),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ectPr>
          <w:pgSz w:w="11900" w:h="16838" w:orient="portrait"/>
          <w:cols w:equalWidth="0" w:num="1">
            <w:col w:w="10219"/>
          </w:cols>
          <w:pgMar w:left="240" w:top="801" w:right="1440" w:bottom="1440" w:gutter="0" w:footer="0" w:header="0"/>
        </w:sectPr>
      </w:pPr>
    </w:p>
    <w:bookmarkStart w:id="202" w:name="page203"/>
    <w:bookmarkEnd w:id="202"/>
    <w:p>
      <w:pPr>
        <w:ind w:left="2740" w:hanging="353"/>
        <w:spacing w:after="0"/>
        <w:tabs>
          <w:tab w:leader="none" w:pos="27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8" w:lineRule="auto"/>
        <w:rPr>
          <w:sz w:val="20"/>
          <w:szCs w:val="20"/>
          <w:color w:val="auto"/>
        </w:rPr>
      </w:pPr>
      <w:r>
        <w:rPr>
          <w:rFonts w:ascii="Courier New" w:cs="Courier New" w:eastAsia="Courier New" w:hAnsi="Courier New"/>
          <w:sz w:val="15"/>
          <w:szCs w:val="15"/>
          <w:color w:val="auto"/>
        </w:rPr>
        <w:t>means an individual, a corporation, a partnership, an association, a trust or any other entity or organization.</w:t>
      </w:r>
    </w:p>
    <w:p>
      <w:pPr>
        <w:spacing w:after="0" w:line="172" w:lineRule="exact"/>
        <w:rPr>
          <w:sz w:val="20"/>
          <w:szCs w:val="20"/>
          <w:color w:val="auto"/>
        </w:rPr>
      </w:pPr>
    </w:p>
    <w:p>
      <w:pPr>
        <w:ind w:left="2920" w:hanging="533"/>
        <w:spacing w:after="0"/>
        <w:tabs>
          <w:tab w:leader="none" w:pos="29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w:t>
      </w: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62" w:lineRule="auto"/>
        <w:rPr>
          <w:sz w:val="20"/>
          <w:szCs w:val="20"/>
          <w:color w:val="auto"/>
        </w:rPr>
      </w:pPr>
      <w:r>
        <w:rPr>
          <w:rFonts w:ascii="Courier New" w:cs="Courier New" w:eastAsia="Courier New" w:hAnsi="Courier New"/>
          <w:sz w:val="14"/>
          <w:szCs w:val="14"/>
          <w:color w:val="auto"/>
        </w:rPr>
        <w:t>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58" w:lineRule="exact"/>
        <w:rPr>
          <w:sz w:val="20"/>
          <w:szCs w:val="20"/>
          <w:color w:val="auto"/>
        </w:rPr>
      </w:pPr>
    </w:p>
    <w:p>
      <w:pPr>
        <w:ind w:left="2840" w:hanging="453"/>
        <w:spacing w:after="0"/>
        <w:tabs>
          <w:tab w:leader="none" w:pos="28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any of the following events:</w:t>
      </w:r>
    </w:p>
    <w:p>
      <w:pPr>
        <w:spacing w:after="0" w:line="171" w:lineRule="exact"/>
        <w:rPr>
          <w:sz w:val="20"/>
          <w:szCs w:val="20"/>
          <w:color w:val="auto"/>
        </w:rPr>
      </w:pPr>
    </w:p>
    <w:p>
      <w:pPr>
        <w:ind w:left="3540" w:hanging="354"/>
        <w:spacing w:after="0"/>
        <w:tabs>
          <w:tab w:leader="none" w:pos="35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sz w:val="20"/>
          <w:szCs w:val="20"/>
          <w:color w:val="auto"/>
        </w:rPr>
      </w:pPr>
    </w:p>
    <w:p>
      <w:pPr>
        <w:ind w:left="2740" w:hanging="353"/>
        <w:spacing w:after="0"/>
        <w:tabs>
          <w:tab w:leader="none" w:pos="27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2396"/>
        <w:spacing w:after="0" w:line="239" w:lineRule="auto"/>
        <w:rPr>
          <w:sz w:val="20"/>
          <w:szCs w:val="20"/>
          <w:color w:val="auto"/>
        </w:rPr>
      </w:pPr>
      <w:r>
        <w:rPr>
          <w:rFonts w:ascii="Courier New" w:cs="Courier New" w:eastAsia="Courier New" w:hAnsi="Courier New"/>
          <w:sz w:val="15"/>
          <w:szCs w:val="15"/>
          <w:color w:val="auto"/>
        </w:rPr>
        <w:t>means any Person, together with such Person's Affiliates, provided that the term "Third Party" shall not include the Sponsor or an Affiliate of the Sponsor.</w:t>
      </w:r>
    </w:p>
    <w:p>
      <w:pPr>
        <w:spacing w:after="0" w:line="34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Executed as of the 18th day of November, 2002</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ATTEST:___________________________</w:t>
      </w:r>
    </w:p>
    <w:p>
      <w:pPr>
        <w:sectPr>
          <w:pgSz w:w="11900" w:h="16838" w:orient="portrait"/>
          <w:cols w:equalWidth="0" w:num="1">
            <w:col w:w="10219"/>
          </w:cols>
          <w:pgMar w:left="240" w:top="799" w:right="1440" w:bottom="1440" w:gutter="0" w:footer="0" w:header="0"/>
        </w:sectPr>
      </w:pPr>
    </w:p>
    <w:bookmarkStart w:id="203" w:name="page204"/>
    <w:bookmarkEnd w:id="203"/>
    <w:p>
      <w:pPr>
        <w:jc w:val="right"/>
        <w:ind w:right="3119"/>
        <w:spacing w:after="0"/>
        <w:rPr>
          <w:sz w:val="20"/>
          <w:szCs w:val="20"/>
          <w:color w:val="auto"/>
        </w:rPr>
      </w:pPr>
      <w:r>
        <w:rPr>
          <w:rFonts w:ascii="Courier New" w:cs="Courier New" w:eastAsia="Courier New" w:hAnsi="Courier New"/>
          <w:sz w:val="15"/>
          <w:szCs w:val="15"/>
          <w:color w:val="auto"/>
        </w:rPr>
        <w:t>Exhibit 10.2</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2002 STOCK OPTION PLAN</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(AS AMENDED AND RESTATED EFFECTIVE FEBRUARY 26, 2003)</w:t>
      </w:r>
    </w:p>
    <w:p>
      <w:pPr>
        <w:spacing w:after="0" w:line="171" w:lineRule="exact"/>
        <w:rPr>
          <w:sz w:val="20"/>
          <w:szCs w:val="20"/>
          <w:color w:val="auto"/>
        </w:rPr>
      </w:pPr>
    </w:p>
    <w:p>
      <w:pPr>
        <w:ind w:left="2389" w:hanging="792"/>
        <w:spacing w:after="0"/>
        <w:tabs>
          <w:tab w:leader="none" w:pos="238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Purpose of Plan</w:t>
      </w:r>
    </w:p>
    <w:p>
      <w:pPr>
        <w:spacing w:after="0" w:line="171" w:lineRule="exact"/>
        <w:rPr>
          <w:sz w:val="20"/>
          <w:szCs w:val="20"/>
          <w:color w:val="auto"/>
        </w:rPr>
      </w:pPr>
    </w:p>
    <w:p>
      <w:pPr>
        <w:ind w:left="2749" w:hanging="353"/>
        <w:spacing w:after="0"/>
        <w:tabs>
          <w:tab w:leader="none" w:pos="274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firstLine="2396"/>
        <w:spacing w:after="0" w:line="239" w:lineRule="auto"/>
        <w:rPr>
          <w:sz w:val="20"/>
          <w:szCs w:val="20"/>
          <w:color w:val="auto"/>
        </w:rPr>
      </w:pPr>
      <w:r>
        <w:rPr>
          <w:rFonts w:ascii="Courier New" w:cs="Courier New" w:eastAsia="Courier New" w:hAnsi="Courier New"/>
          <w:sz w:val="15"/>
          <w:szCs w:val="15"/>
          <w:color w:val="auto"/>
        </w:rPr>
        <w:t>COMCAST CORPORATION, a Pennsylvania corporation (formerly known as AT&amp;T Comcast Corporation), hereby amends and restates the Comcast Corporation 2002 Stock Option Plan (the "Plan"), As Amended and Restated, Effective November 18, 2002, effective February 26, 2003.</w:t>
      </w:r>
    </w:p>
    <w:p>
      <w:pPr>
        <w:spacing w:after="0" w:line="174" w:lineRule="exact"/>
        <w:rPr>
          <w:sz w:val="20"/>
          <w:szCs w:val="20"/>
          <w:color w:val="auto"/>
        </w:rPr>
      </w:pPr>
    </w:p>
    <w:p>
      <w:pPr>
        <w:ind w:left="2749" w:hanging="353"/>
        <w:spacing w:after="0"/>
        <w:tabs>
          <w:tab w:leader="none" w:pos="274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2396"/>
        <w:spacing w:after="0"/>
        <w:rPr>
          <w:sz w:val="20"/>
          <w:szCs w:val="20"/>
          <w:color w:val="auto"/>
        </w:rPr>
      </w:pPr>
      <w:r>
        <w:rPr>
          <w:rFonts w:ascii="Courier New" w:cs="Courier New" w:eastAsia="Courier New" w:hAnsi="Courier New"/>
          <w:sz w:val="15"/>
          <w:szCs w:val="15"/>
          <w:color w:val="auto"/>
        </w:rPr>
        <w:t>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2" w:lineRule="exact"/>
        <w:rPr>
          <w:sz w:val="20"/>
          <w:szCs w:val="20"/>
          <w:color w:val="auto"/>
        </w:rPr>
      </w:pPr>
    </w:p>
    <w:p>
      <w:pPr>
        <w:ind w:left="2389" w:hanging="792"/>
        <w:spacing w:after="0"/>
        <w:tabs>
          <w:tab w:leader="none" w:pos="238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1" w:lineRule="exact"/>
        <w:rPr>
          <w:rFonts w:ascii="Courier New" w:cs="Courier New" w:eastAsia="Courier New" w:hAnsi="Courier New"/>
          <w:sz w:val="15"/>
          <w:szCs w:val="15"/>
          <w:color w:val="auto"/>
        </w:rPr>
      </w:pPr>
    </w:p>
    <w:p>
      <w:pPr>
        <w:ind w:left="2849" w:hanging="453"/>
        <w:spacing w:after="0"/>
        <w:tabs>
          <w:tab w:leader="none" w:pos="2849"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rPr>
          <w:sz w:val="20"/>
          <w:szCs w:val="20"/>
          <w:color w:val="auto"/>
        </w:rPr>
      </w:pPr>
      <w:r>
        <w:rPr>
          <w:rFonts w:ascii="Courier New" w:cs="Courier New" w:eastAsia="Courier New" w:hAnsi="Courier New"/>
          <w:sz w:val="15"/>
          <w:szCs w:val="15"/>
          <w:color w:val="auto"/>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4" w:lineRule="exact"/>
        <w:rPr>
          <w:sz w:val="20"/>
          <w:szCs w:val="20"/>
          <w:color w:val="auto"/>
        </w:rPr>
      </w:pPr>
    </w:p>
    <w:p>
      <w:pPr>
        <w:ind w:left="2389"/>
        <w:spacing w:after="0"/>
        <w:tabs>
          <w:tab w:leader="none" w:pos="2909" w:val="left"/>
          <w:tab w:leader="none" w:pos="3609" w:val="left"/>
          <w:tab w:leader="none" w:pos="4769" w:val="left"/>
        </w:tabs>
        <w:rPr>
          <w:sz w:val="20"/>
          <w:szCs w:val="20"/>
          <w:color w:val="auto"/>
        </w:rPr>
      </w:pPr>
      <w:r>
        <w:rPr>
          <w:rFonts w:ascii="Courier New" w:cs="Courier New" w:eastAsia="Courier New" w:hAnsi="Courier New"/>
          <w:sz w:val="15"/>
          <w:szCs w:val="15"/>
          <w:color w:val="auto"/>
        </w:rPr>
        <w:t>(b)</w:t>
        <w:tab/>
        <w:t>"AT&amp;T</w:t>
        <w:tab/>
        <w:t>Broadband</w:t>
      </w:r>
      <w:r>
        <w:rPr>
          <w:sz w:val="20"/>
          <w:szCs w:val="20"/>
          <w:color w:val="auto"/>
        </w:rPr>
        <w:tab/>
      </w:r>
      <w:r>
        <w:rPr>
          <w:rFonts w:ascii="Courier New" w:cs="Courier New" w:eastAsia="Courier New" w:hAnsi="Courier New"/>
          <w:sz w:val="14"/>
          <w:szCs w:val="14"/>
          <w:color w:val="auto"/>
        </w:rPr>
        <w:t>Transaction"</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2396"/>
        <w:spacing w:after="0" w:line="238" w:lineRule="auto"/>
        <w:rPr>
          <w:sz w:val="20"/>
          <w:szCs w:val="20"/>
          <w:color w:val="auto"/>
        </w:rPr>
      </w:pPr>
      <w:r>
        <w:rPr>
          <w:rFonts w:ascii="Courier New" w:cs="Courier New" w:eastAsia="Courier New" w:hAnsi="Courier New"/>
          <w:sz w:val="15"/>
          <w:szCs w:val="15"/>
          <w:color w:val="auto"/>
        </w:rPr>
        <w:t>means the acquisition of AT&amp;T Broadband Corp. (now known as Comcast Cable Communications Holdings, Inc.) by the Sponsor.</w:t>
      </w:r>
    </w:p>
    <w:p>
      <w:pPr>
        <w:spacing w:after="0" w:line="172" w:lineRule="exact"/>
        <w:rPr>
          <w:sz w:val="20"/>
          <w:szCs w:val="20"/>
          <w:color w:val="auto"/>
        </w:rPr>
      </w:pPr>
    </w:p>
    <w:p>
      <w:pPr>
        <w:ind w:left="2849" w:hanging="453"/>
        <w:spacing w:after="0"/>
        <w:tabs>
          <w:tab w:leader="none" w:pos="284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means the board of directors of the Sponsor.</w:t>
      </w:r>
    </w:p>
    <w:p>
      <w:pPr>
        <w:spacing w:after="0" w:line="171" w:lineRule="exact"/>
        <w:rPr>
          <w:sz w:val="20"/>
          <w:szCs w:val="20"/>
          <w:color w:val="auto"/>
        </w:rPr>
      </w:pPr>
    </w:p>
    <w:p>
      <w:pPr>
        <w:ind w:left="2749" w:hanging="353"/>
        <w:spacing w:after="0"/>
        <w:tabs>
          <w:tab w:leader="none" w:pos="274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firstLine="2396"/>
        <w:spacing w:after="0" w:line="238" w:lineRule="auto"/>
        <w:rPr>
          <w:sz w:val="20"/>
          <w:szCs w:val="20"/>
          <w:color w:val="auto"/>
        </w:rPr>
      </w:pPr>
      <w:r>
        <w:rPr>
          <w:rFonts w:ascii="Courier New" w:cs="Courier New" w:eastAsia="Courier New" w:hAnsi="Courier New"/>
          <w:sz w:val="15"/>
          <w:szCs w:val="15"/>
          <w:color w:val="auto"/>
        </w:rPr>
        <w:t>means any right to receive cash in lieu of Shares granted under the Plan and described in Paragraph 3(a)(iii).</w:t>
      </w:r>
    </w:p>
    <w:p>
      <w:pPr>
        <w:spacing w:after="0" w:line="172" w:lineRule="exact"/>
        <w:rPr>
          <w:sz w:val="20"/>
          <w:szCs w:val="20"/>
          <w:color w:val="auto"/>
        </w:rPr>
      </w:pPr>
    </w:p>
    <w:p>
      <w:pPr>
        <w:ind w:left="2749" w:hanging="353"/>
        <w:spacing w:after="0"/>
        <w:tabs>
          <w:tab w:leader="none" w:pos="274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line="258" w:lineRule="auto"/>
        <w:rPr>
          <w:sz w:val="20"/>
          <w:szCs w:val="20"/>
          <w:color w:val="auto"/>
        </w:rPr>
      </w:pPr>
      <w:r>
        <w:rPr>
          <w:rFonts w:ascii="Courier New" w:cs="Courier New" w:eastAsia="Courier New" w:hAnsi="Courier New"/>
          <w:sz w:val="14"/>
          <w:szCs w:val="14"/>
          <w:color w:val="auto"/>
        </w:rPr>
        <w:t>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ind w:left="408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hanging="9"/>
        <w:spacing w:after="0" w:line="238" w:lineRule="auto"/>
        <w:tabs>
          <w:tab w:leader="none" w:pos="36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(xi), if capable of being cured, such event or condition remains uncured following 30 days written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49" w:hanging="453"/>
        <w:spacing w:after="0"/>
        <w:tabs>
          <w:tab w:leader="none" w:pos="28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means any transaction or series of transactions as a</w:t>
      </w:r>
    </w:p>
    <w:p>
      <w:pPr>
        <w:spacing w:after="0" w:line="3"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73" w:lineRule="exact"/>
        <w:rPr>
          <w:sz w:val="20"/>
          <w:szCs w:val="20"/>
          <w:color w:val="auto"/>
        </w:rPr>
      </w:pPr>
    </w:p>
    <w:p>
      <w:pPr>
        <w:ind w:left="2749" w:hanging="353"/>
        <w:spacing w:after="0"/>
        <w:tabs>
          <w:tab w:leader="none" w:pos="27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means the Internal Revenue Code of 1986, as amended.</w:t>
      </w:r>
    </w:p>
    <w:p>
      <w:pPr>
        <w:spacing w:after="0" w:line="171" w:lineRule="exact"/>
        <w:rPr>
          <w:sz w:val="20"/>
          <w:szCs w:val="20"/>
          <w:color w:val="auto"/>
        </w:rPr>
      </w:pPr>
    </w:p>
    <w:p>
      <w:pPr>
        <w:ind w:left="2749" w:hanging="353"/>
        <w:spacing w:after="0"/>
        <w:tabs>
          <w:tab w:leader="none" w:pos="274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2396"/>
        <w:spacing w:after="0" w:line="261" w:lineRule="auto"/>
        <w:rPr>
          <w:sz w:val="20"/>
          <w:szCs w:val="20"/>
          <w:color w:val="auto"/>
        </w:rPr>
      </w:pPr>
      <w:r>
        <w:rPr>
          <w:rFonts w:ascii="Courier New" w:cs="Courier New" w:eastAsia="Courier New" w:hAnsi="Courier New"/>
          <w:sz w:val="14"/>
          <w:szCs w:val="14"/>
          <w:color w:val="auto"/>
        </w:rPr>
        <w:t>means any restricted stock, stock bonus, stock option or other compensation plan, program or arrangement established or maintained by the Sponsor or an Affiliate of the Sponsor, including, but not limited to this Plan, the Comcast Corporation 2002 Restricted Stock Plan, the Comcast Corporation 1987 Stock Option Plan and the AT&amp;T Broadband Corp. Adjustment Plan.</w:t>
      </w:r>
    </w:p>
    <w:p>
      <w:pPr>
        <w:spacing w:after="0" w:line="159" w:lineRule="exact"/>
        <w:rPr>
          <w:sz w:val="20"/>
          <w:szCs w:val="20"/>
          <w:color w:val="auto"/>
        </w:rPr>
      </w:pPr>
    </w:p>
    <w:p>
      <w:pPr>
        <w:ind w:left="2849" w:hanging="453"/>
        <w:spacing w:after="0"/>
        <w:tabs>
          <w:tab w:leader="none" w:pos="284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839" w:firstLine="2396"/>
        <w:spacing w:after="0" w:line="238" w:lineRule="auto"/>
        <w:rPr>
          <w:sz w:val="20"/>
          <w:szCs w:val="20"/>
          <w:color w:val="auto"/>
        </w:rPr>
      </w:pPr>
      <w:r>
        <w:rPr>
          <w:rFonts w:ascii="Courier New" w:cs="Courier New" w:eastAsia="Courier New" w:hAnsi="Courier New"/>
          <w:sz w:val="15"/>
          <w:szCs w:val="15"/>
          <w:color w:val="auto"/>
        </w:rPr>
        <w:t>means the committee described in Paragraph 5, provided that for purposes of Paragraph 7:</w:t>
      </w:r>
    </w:p>
    <w:p>
      <w:pPr>
        <w:sectPr>
          <w:pgSz w:w="11900" w:h="16838" w:orient="portrait"/>
          <w:cols w:equalWidth="0" w:num="1">
            <w:col w:w="10228"/>
          </w:cols>
          <w:pgMar w:left="231" w:top="139" w:right="1440" w:bottom="0" w:gutter="0" w:footer="0" w:header="0"/>
        </w:sectPr>
      </w:pPr>
    </w:p>
    <w:bookmarkStart w:id="204" w:name="page205"/>
    <w:bookmarkEnd w:id="204"/>
    <w:p>
      <w:pPr>
        <w:jc w:val="both"/>
        <w:ind w:right="3119" w:firstLine="3186"/>
        <w:spacing w:after="0" w:line="239" w:lineRule="auto"/>
        <w:tabs>
          <w:tab w:leader="none" w:pos="35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Committee shall be treated as references to the Board with respect to any Option granted to or held by a Non-Employee Director; and</w:t>
      </w:r>
    </w:p>
    <w:p>
      <w:pPr>
        <w:spacing w:after="0" w:line="172"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Committee shall</w:t>
      </w:r>
    </w:p>
    <w:p>
      <w:pPr>
        <w:spacing w:after="0" w:line="3" w:lineRule="exact"/>
        <w:rPr>
          <w:rFonts w:ascii="Courier New" w:cs="Courier New" w:eastAsia="Courier New" w:hAnsi="Courier New"/>
          <w:sz w:val="15"/>
          <w:szCs w:val="15"/>
          <w:color w:val="auto"/>
        </w:rPr>
      </w:pPr>
    </w:p>
    <w:p>
      <w:pPr>
        <w:ind w:right="31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 treated as references to the Committee's delegate with respect to any Option granted within the scope of the delegate's authority pursuant to Paragraph 5(b).</w:t>
      </w:r>
    </w:p>
    <w:p>
      <w:pPr>
        <w:spacing w:after="0" w:line="151" w:lineRule="exact"/>
        <w:rPr>
          <w:sz w:val="20"/>
          <w:szCs w:val="20"/>
          <w:color w:val="auto"/>
        </w:rPr>
      </w:pPr>
    </w:p>
    <w:p>
      <w:pPr>
        <w:ind w:left="2740" w:hanging="353"/>
        <w:spacing w:after="0"/>
        <w:tabs>
          <w:tab w:leader="none" w:pos="27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the Sponsor's Class A Common Stock, par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w:t>
      </w:r>
    </w:p>
    <w:p>
      <w:pPr>
        <w:spacing w:after="0" w:line="171" w:lineRule="exact"/>
        <w:rPr>
          <w:sz w:val="20"/>
          <w:szCs w:val="20"/>
          <w:color w:val="auto"/>
        </w:rPr>
      </w:pPr>
    </w:p>
    <w:p>
      <w:pPr>
        <w:ind w:left="2840" w:hanging="453"/>
        <w:spacing w:after="0"/>
        <w:tabs>
          <w:tab w:leader="none" w:pos="28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the Sponsor and the Subsidiary Companies.</w:t>
      </w:r>
    </w:p>
    <w:p>
      <w:pPr>
        <w:spacing w:after="0" w:line="171" w:lineRule="exact"/>
        <w:rPr>
          <w:sz w:val="20"/>
          <w:szCs w:val="20"/>
          <w:color w:val="auto"/>
        </w:rPr>
      </w:pPr>
    </w:p>
    <w:p>
      <w:pPr>
        <w:ind w:left="2840" w:hanging="453"/>
        <w:spacing w:after="0"/>
        <w:tabs>
          <w:tab w:leader="none" w:pos="28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the date as of which an Option is granted.</w:t>
      </w:r>
    </w:p>
    <w:p>
      <w:pPr>
        <w:spacing w:after="0" w:line="171" w:lineRule="exact"/>
        <w:rPr>
          <w:sz w:val="20"/>
          <w:szCs w:val="20"/>
          <w:color w:val="auto"/>
        </w:rPr>
      </w:pPr>
    </w:p>
    <w:p>
      <w:pPr>
        <w:ind w:left="2840" w:hanging="453"/>
        <w:spacing w:after="0"/>
        <w:tabs>
          <w:tab w:leader="none" w:pos="28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a disability within the meaning of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22(e)(3) of the Code.</w:t>
      </w:r>
    </w:p>
    <w:p>
      <w:pPr>
        <w:spacing w:after="0" w:line="171" w:lineRule="exact"/>
        <w:rPr>
          <w:sz w:val="20"/>
          <w:szCs w:val="20"/>
          <w:color w:val="auto"/>
        </w:rPr>
      </w:pPr>
    </w:p>
    <w:p>
      <w:pPr>
        <w:ind w:left="2740" w:hanging="353"/>
        <w:spacing w:after="0"/>
        <w:tabs>
          <w:tab w:leader="none" w:pos="27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74" w:lineRule="exact"/>
        <w:rPr>
          <w:sz w:val="20"/>
          <w:szCs w:val="20"/>
          <w:color w:val="auto"/>
        </w:rPr>
      </w:pPr>
    </w:p>
    <w:p>
      <w:pPr>
        <w:ind w:left="2740" w:hanging="353"/>
        <w:spacing w:after="0"/>
        <w:tabs>
          <w:tab w:leader="none" w:pos="27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Family"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means an Optionee's spouse and lineal descendants, any trust all beneficiaries of which are any of such persons and any partnership all partners of which are any of such persons.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2" w:right="1440" w:bottom="1440" w:gutter="0" w:footer="0" w:header="0"/>
        </w:sectPr>
      </w:pPr>
    </w:p>
    <w:bookmarkStart w:id="205" w:name="page206"/>
    <w:bookmarkEnd w:id="205"/>
    <w:p>
      <w:pPr>
        <w:ind w:left="2740" w:hanging="353"/>
        <w:spacing w:after="0"/>
        <w:tabs>
          <w:tab w:leader="none" w:pos="27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4" w:lineRule="exact"/>
        <w:rPr>
          <w:sz w:val="20"/>
          <w:szCs w:val="20"/>
          <w:color w:val="auto"/>
        </w:rPr>
      </w:pPr>
    </w:p>
    <w:p>
      <w:pPr>
        <w:ind w:left="2840" w:hanging="453"/>
        <w:spacing w:after="0"/>
        <w:tabs>
          <w:tab w:leader="none" w:pos="28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means an individual who is a member of the Board, and who is not an employee of a Company, including an individual who is a member of the Board and who previously was, but at the time of reference is not, an employee of a Company.</w:t>
      </w:r>
    </w:p>
    <w:p>
      <w:pPr>
        <w:spacing w:after="0" w:line="174" w:lineRule="exact"/>
        <w:rPr>
          <w:sz w:val="20"/>
          <w:szCs w:val="20"/>
          <w:color w:val="auto"/>
        </w:rPr>
      </w:pPr>
    </w:p>
    <w:p>
      <w:pPr>
        <w:ind w:left="2740" w:hanging="353"/>
        <w:spacing w:after="0"/>
        <w:tabs>
          <w:tab w:leader="none" w:pos="27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 means: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w:t>
      </w:r>
    </w:p>
    <w:p>
      <w:pPr>
        <w:spacing w:after="0" w:line="3" w:lineRule="exact"/>
        <w:rPr>
          <w:rFonts w:ascii="Courier New" w:cs="Courier New" w:eastAsia="Courier New" w:hAnsi="Courier New"/>
          <w:sz w:val="15"/>
          <w:szCs w:val="15"/>
          <w:color w:val="auto"/>
        </w:rPr>
      </w:pPr>
    </w:p>
    <w:p>
      <w:pPr>
        <w:ind w:right="32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designated by the Committee at the time of such grant as a Non-Qualified Option and containing the terms specified herein for Non-Qualified Options; and</w:t>
      </w:r>
    </w:p>
    <w:p>
      <w:pPr>
        <w:spacing w:after="0" w:line="15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and</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by the Committee at the time of grant as an Incentive Stock Option, to the extent such Option fails to satisfy the requirements for an incentive stock option under section 422 of the Code for any reason.</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firstLine="2396"/>
        <w:spacing w:after="0" w:line="238" w:lineRule="auto"/>
        <w:rPr>
          <w:sz w:val="20"/>
          <w:szCs w:val="20"/>
          <w:color w:val="auto"/>
        </w:rPr>
      </w:pPr>
      <w:r>
        <w:rPr>
          <w:rFonts w:ascii="Courier New" w:cs="Courier New" w:eastAsia="Courier New" w:hAnsi="Courier New"/>
          <w:sz w:val="15"/>
          <w:szCs w:val="15"/>
          <w:color w:val="auto"/>
        </w:rPr>
        <w:t>means any stock option granted under the Plan and described in Paragraph 3(a)(i) or Paragraph 3(a)(ii).</w:t>
      </w:r>
    </w:p>
    <w:p>
      <w:pPr>
        <w:spacing w:after="0" w:line="172" w:lineRule="exact"/>
        <w:rPr>
          <w:sz w:val="20"/>
          <w:szCs w:val="20"/>
          <w:color w:val="auto"/>
        </w:rPr>
      </w:pPr>
    </w:p>
    <w:p>
      <w:pPr>
        <w:ind w:left="2840" w:hanging="453"/>
        <w:spacing w:after="0"/>
        <w:tabs>
          <w:tab w:leader="none" w:pos="28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39" w:lineRule="auto"/>
        <w:rPr>
          <w:sz w:val="20"/>
          <w:szCs w:val="20"/>
          <w:color w:val="auto"/>
        </w:rPr>
      </w:pPr>
      <w:r>
        <w:rPr>
          <w:rFonts w:ascii="Courier New" w:cs="Courier New" w:eastAsia="Courier New" w:hAnsi="Courier New"/>
          <w:sz w:val="15"/>
          <w:szCs w:val="15"/>
          <w:color w:val="auto"/>
        </w:rPr>
        <w:t>means a person to whom an Option has been granted under the Plan, which Option has not been exercised in full and has not expired or terminated.</w:t>
      </w:r>
    </w:p>
    <w:p>
      <w:pPr>
        <w:spacing w:after="0" w:line="172" w:lineRule="exact"/>
        <w:rPr>
          <w:sz w:val="20"/>
          <w:szCs w:val="20"/>
          <w:color w:val="auto"/>
        </w:rPr>
      </w:pPr>
    </w:p>
    <w:p>
      <w:pPr>
        <w:ind w:left="2740" w:hanging="353"/>
        <w:spacing w:after="0"/>
        <w:tabs>
          <w:tab w:leader="none" w:pos="27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as of any date, the sum of:</w:t>
      </w:r>
    </w:p>
    <w:p>
      <w:pPr>
        <w:spacing w:after="0" w:line="174" w:lineRule="exact"/>
        <w:rPr>
          <w:sz w:val="20"/>
          <w:szCs w:val="20"/>
          <w:color w:val="auto"/>
        </w:rPr>
      </w:pPr>
    </w:p>
    <w:p>
      <w:pPr>
        <w:jc w:val="both"/>
        <w:ind w:right="3299" w:firstLine="3186"/>
        <w:spacing w:after="0" w:line="239" w:lineRule="auto"/>
        <w:tabs>
          <w:tab w:leader="none" w:pos="35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an Optionee that were not acquired by such Optionee pursuant to a Comcast Plan or otherwise in connection with the performance of services to the Sponsor or an Affiliate; plus</w:t>
      </w:r>
    </w:p>
    <w:p>
      <w:pPr>
        <w:spacing w:after="0" w:line="173"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w:t>
      </w:r>
    </w:p>
    <w:p>
      <w:pPr>
        <w:spacing w:after="0" w:line="174" w:lineRule="exact"/>
        <w:rPr>
          <w:rFonts w:ascii="Courier New" w:cs="Courier New" w:eastAsia="Courier New" w:hAnsi="Courier New"/>
          <w:sz w:val="15"/>
          <w:szCs w:val="15"/>
          <w:color w:val="auto"/>
        </w:rPr>
      </w:pPr>
    </w:p>
    <w:p>
      <w:pPr>
        <w:ind w:left="4260" w:hanging="364"/>
        <w:spacing w:after="0"/>
        <w:tabs>
          <w:tab w:leader="none" w:pos="426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by an Optionee other than the Shares described in Paragraph 2(v)(i); over</w:t>
      </w:r>
    </w:p>
    <w:p>
      <w:pPr>
        <w:spacing w:after="0" w:line="171" w:lineRule="exact"/>
        <w:rPr>
          <w:rFonts w:ascii="Courier New" w:cs="Courier New" w:eastAsia="Courier New" w:hAnsi="Courier New"/>
          <w:sz w:val="14"/>
          <w:szCs w:val="14"/>
          <w:color w:val="auto"/>
        </w:rPr>
      </w:pPr>
    </w:p>
    <w:p>
      <w:pPr>
        <w:ind w:left="4260" w:hanging="364"/>
        <w:spacing w:after="0"/>
        <w:tabs>
          <w:tab w:leader="none" w:pos="426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4" w:lineRule="exact"/>
        <w:rPr>
          <w:rFonts w:ascii="Courier New" w:cs="Courier New" w:eastAsia="Courier New" w:hAnsi="Courier New"/>
          <w:sz w:val="15"/>
          <w:szCs w:val="15"/>
          <w:color w:val="auto"/>
        </w:rPr>
      </w:pPr>
    </w:p>
    <w:p>
      <w:pPr>
        <w:ind w:left="5140" w:hanging="445"/>
        <w:spacing w:after="0"/>
        <w:tabs>
          <w:tab w:leader="none" w:pos="5140" w:val="left"/>
        </w:tabs>
        <w:numPr>
          <w:ilvl w:val="2"/>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such</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Shares owned by such Optionee for less than six months; plus</w:t>
      </w:r>
    </w:p>
    <w:p>
      <w:pPr>
        <w:spacing w:after="0" w:line="171" w:lineRule="exact"/>
        <w:rPr>
          <w:rFonts w:ascii="Courier New" w:cs="Courier New" w:eastAsia="Courier New" w:hAnsi="Courier New"/>
          <w:sz w:val="14"/>
          <w:szCs w:val="14"/>
          <w:color w:val="auto"/>
        </w:rPr>
      </w:pPr>
    </w:p>
    <w:p>
      <w:pPr>
        <w:ind w:left="5040" w:hanging="345"/>
        <w:spacing w:after="0"/>
        <w:tabs>
          <w:tab w:leader="none" w:pos="5040"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owned by such Optionee that has, within the preceding six months, been the subject of a withholding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9" w:right="1440" w:bottom="1440" w:gutter="0" w:footer="0" w:header="0"/>
        </w:sectPr>
      </w:pPr>
    </w:p>
    <w:bookmarkStart w:id="206" w:name="page207"/>
    <w:bookmarkEnd w:id="206"/>
    <w:p>
      <w:pPr>
        <w:ind w:right="4199"/>
        <w:spacing w:after="0" w:line="238" w:lineRule="auto"/>
        <w:rPr>
          <w:sz w:val="20"/>
          <w:szCs w:val="20"/>
          <w:color w:val="auto"/>
        </w:rPr>
      </w:pPr>
      <w:r>
        <w:rPr>
          <w:rFonts w:ascii="Courier New" w:cs="Courier New" w:eastAsia="Courier New" w:hAnsi="Courier New"/>
          <w:sz w:val="15"/>
          <w:szCs w:val="15"/>
          <w:color w:val="auto"/>
        </w:rPr>
        <w:t>certification pursuant to Paragraph 15(b) or any similar withholding certification under any other Comcast Plan; plus</w:t>
      </w:r>
    </w:p>
    <w:p>
      <w:pPr>
        <w:spacing w:after="0" w:line="17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(3) the number of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owned by such Optionee that has, within the preceding six months,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in exchange for Shares surrendered as payment, in full or in part,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ownership was attested to as payment, in full or in part,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 for an option to purchase any securities of the Sponsor or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of the Sponsor, under any Comcast Plan, but only to the extent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surrendered or attested to; plus</w:t>
      </w:r>
    </w:p>
    <w:p>
      <w:pPr>
        <w:spacing w:after="0" w:line="17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(4) the number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owned by such Optionee as to which evidence of ownership has, within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preceding six months, been provided to the Sponsor in connection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crediting of "Deferred Stock Units" to such Optionee's Account under the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2002 Deferred Stock Option Plan (as in effect from time to time).</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purposes of this Paragraph 2(u),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75" w:lineRule="exact"/>
        <w:rPr>
          <w:sz w:val="20"/>
          <w:szCs w:val="20"/>
          <w:color w:val="auto"/>
        </w:rPr>
      </w:pPr>
    </w:p>
    <w:p>
      <w:pPr>
        <w:ind w:left="2840" w:hanging="453"/>
        <w:spacing w:after="0"/>
        <w:tabs>
          <w:tab w:leader="none" w:pos="28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39" w:lineRule="auto"/>
        <w:rPr>
          <w:sz w:val="20"/>
          <w:szCs w:val="20"/>
          <w:color w:val="auto"/>
        </w:rPr>
      </w:pPr>
      <w:r>
        <w:rPr>
          <w:rFonts w:ascii="Courier New" w:cs="Courier New" w:eastAsia="Courier New" w:hAnsi="Courier New"/>
          <w:sz w:val="15"/>
          <w:szCs w:val="15"/>
          <w:color w:val="auto"/>
        </w:rPr>
        <w:t>means a member of the Board who is an "outside director" within the meaning of section 162(m)(4)(C) of the Code and applicable Treasury Regulations issued thereunder.</w:t>
      </w:r>
    </w:p>
    <w:p>
      <w:pPr>
        <w:spacing w:after="0" w:line="172" w:lineRule="exact"/>
        <w:rPr>
          <w:sz w:val="20"/>
          <w:szCs w:val="20"/>
          <w:color w:val="auto"/>
        </w:rPr>
      </w:pPr>
    </w:p>
    <w:p>
      <w:pPr>
        <w:ind w:left="2740" w:hanging="353"/>
        <w:spacing w:after="0"/>
        <w:tabs>
          <w:tab w:leader="none" w:pos="27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8" w:lineRule="auto"/>
        <w:rPr>
          <w:sz w:val="20"/>
          <w:szCs w:val="20"/>
          <w:color w:val="auto"/>
        </w:rPr>
      </w:pPr>
      <w:r>
        <w:rPr>
          <w:rFonts w:ascii="Courier New" w:cs="Courier New" w:eastAsia="Courier New" w:hAnsi="Courier New"/>
          <w:sz w:val="15"/>
          <w:szCs w:val="15"/>
          <w:color w:val="auto"/>
        </w:rPr>
        <w:t>means an individual, a corporation, a partnership, an association, a trust or any other entity or organization.</w:t>
      </w:r>
    </w:p>
    <w:p>
      <w:pPr>
        <w:spacing w:after="0" w:line="172" w:lineRule="exact"/>
        <w:rPr>
          <w:sz w:val="20"/>
          <w:szCs w:val="20"/>
          <w:color w:val="auto"/>
        </w:rPr>
      </w:pPr>
    </w:p>
    <w:p>
      <w:pPr>
        <w:ind w:left="2740" w:hanging="353"/>
        <w:spacing w:after="0"/>
        <w:tabs>
          <w:tab w:leader="none" w:pos="27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means the Comcast Corporation 2002 Stock Option Plan.</w:t>
      </w:r>
    </w:p>
    <w:p>
      <w:pPr>
        <w:spacing w:after="0" w:line="171" w:lineRule="exact"/>
        <w:rPr>
          <w:sz w:val="20"/>
          <w:szCs w:val="20"/>
          <w:color w:val="auto"/>
        </w:rPr>
      </w:pPr>
    </w:p>
    <w:p>
      <w:pPr>
        <w:ind w:left="2740" w:hanging="353"/>
        <w:spacing w:after="0"/>
        <w:tabs>
          <w:tab w:leader="none" w:pos="27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w:t>
      </w:r>
    </w:p>
    <w:p>
      <w:pPr>
        <w:ind w:left="3800" w:hanging="969"/>
        <w:spacing w:after="0"/>
        <w:tabs>
          <w:tab w:leader="none" w:pos="380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2(y), the term "Share" or "Shares" means a share or shares of Common Stock.</w:t>
      </w:r>
    </w:p>
    <w:p>
      <w:pPr>
        <w:spacing w:after="0" w:line="174" w:lineRule="exact"/>
        <w:rPr>
          <w:rFonts w:ascii="Courier New" w:cs="Courier New" w:eastAsia="Courier New" w:hAnsi="Courier New"/>
          <w:sz w:val="15"/>
          <w:szCs w:val="15"/>
          <w:color w:val="auto"/>
        </w:rPr>
      </w:pPr>
    </w:p>
    <w:p>
      <w:pPr>
        <w:ind w:right="3119" w:firstLine="3186"/>
        <w:spacing w:after="0" w:line="239" w:lineRule="auto"/>
        <w:tabs>
          <w:tab w:leader="none" w:pos="3639"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Options granted before the consummation of the AT&amp;T Broadband Transaction, the term "Share" or "Shares" means a share or shares of Special Common Stock.</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Paragraphs 2(u), 7(d)</w:t>
      </w:r>
    </w:p>
    <w:p>
      <w:pPr>
        <w:spacing w:after="0" w:line="3" w:lineRule="exact"/>
        <w:rPr>
          <w:rFonts w:ascii="Courier New" w:cs="Courier New" w:eastAsia="Courier New" w:hAnsi="Courier New"/>
          <w:sz w:val="15"/>
          <w:szCs w:val="15"/>
          <w:color w:val="auto"/>
        </w:rPr>
      </w:pPr>
    </w:p>
    <w:p>
      <w:pPr>
        <w:ind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15, the term "Share" or "Shares" also means a share or shares of Special Common Stock.</w:t>
      </w:r>
    </w:p>
    <w:p>
      <w:pPr>
        <w:spacing w:after="0" w:line="174" w:lineRule="exact"/>
        <w:rPr>
          <w:rFonts w:ascii="Courier New" w:cs="Courier New" w:eastAsia="Courier New" w:hAnsi="Courier New"/>
          <w:sz w:val="15"/>
          <w:szCs w:val="15"/>
          <w:color w:val="auto"/>
        </w:rPr>
      </w:pPr>
    </w:p>
    <w:p>
      <w:pPr>
        <w:ind w:left="3620" w:hanging="434"/>
        <w:spacing w:after="0"/>
        <w:tabs>
          <w:tab w:leader="none" w:pos="3620" w:val="left"/>
        </w:tabs>
        <w:numPr>
          <w:ilvl w:val="2"/>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"Share" or "Shares" also means</w:t>
      </w:r>
    </w:p>
    <w:p>
      <w:pPr>
        <w:spacing w:after="0" w:line="12" w:lineRule="exact"/>
        <w:rPr>
          <w:rFonts w:ascii="Courier New" w:cs="Courier New" w:eastAsia="Courier New" w:hAnsi="Courier New"/>
          <w:sz w:val="14"/>
          <w:szCs w:val="14"/>
          <w:color w:val="auto"/>
        </w:rPr>
      </w:pPr>
    </w:p>
    <w:p>
      <w:pPr>
        <w:ind w:right="39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such other securities issued by the Sponsor as may be the subject of an adjustment under Paragraph 10,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07" w:name="page208"/>
    <w:bookmarkEnd w:id="207"/>
    <w:p>
      <w:pPr>
        <w:ind w:right="3119"/>
        <w:spacing w:after="0" w:line="239" w:lineRule="auto"/>
        <w:rPr>
          <w:sz w:val="20"/>
          <w:szCs w:val="20"/>
          <w:color w:val="auto"/>
        </w:rPr>
      </w:pPr>
      <w:r>
        <w:rPr>
          <w:rFonts w:ascii="Courier New" w:cs="Courier New" w:eastAsia="Courier New" w:hAnsi="Courier New"/>
          <w:sz w:val="15"/>
          <w:szCs w:val="15"/>
          <w:color w:val="auto"/>
        </w:rPr>
        <w:t>for purposes of Paragraph 2(u) and Paragraph 15, as may have been the subject of a similar adjustment under similar provisions of the Plan as in effect before the AT&amp;T Broadband Transaction.</w:t>
      </w:r>
    </w:p>
    <w:p>
      <w:pPr>
        <w:spacing w:after="0" w:line="172" w:lineRule="exact"/>
        <w:rPr>
          <w:sz w:val="20"/>
          <w:szCs w:val="20"/>
          <w:color w:val="auto"/>
        </w:rPr>
      </w:pPr>
    </w:p>
    <w:p>
      <w:pPr>
        <w:ind w:left="2740" w:hanging="353"/>
        <w:spacing w:after="0"/>
        <w:tabs>
          <w:tab w:leader="none" w:pos="27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Common Stock"</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the Sponsor's Class A Special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par value $0.01.</w:t>
      </w:r>
    </w:p>
    <w:p>
      <w:pPr>
        <w:spacing w:after="0" w:line="171" w:lineRule="exact"/>
        <w:rPr>
          <w:sz w:val="20"/>
          <w:szCs w:val="20"/>
          <w:color w:val="auto"/>
        </w:rPr>
      </w:pPr>
    </w:p>
    <w:p>
      <w:pPr>
        <w:ind w:left="3000" w:hanging="613"/>
        <w:spacing w:after="0"/>
        <w:tabs>
          <w:tab w:leader="none" w:pos="30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w:t>
      </w:r>
    </w:p>
    <w:p>
      <w:pPr>
        <w:ind w:left="3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Comcast Corporation, a Pennsylvania</w:t>
      </w:r>
    </w:p>
    <w:p>
      <w:pPr>
        <w:spacing w:after="0" w:line="3"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corporation, as successor to Comcast Holdings Corporation (formerly known as Comcast Corporation), including any successor thereto by merger, consolidation, acquisition of all or substantially all the assets thereof, or otherwise.</w:t>
      </w:r>
    </w:p>
    <w:p>
      <w:pPr>
        <w:spacing w:after="0" w:line="157" w:lineRule="exact"/>
        <w:rPr>
          <w:sz w:val="20"/>
          <w:szCs w:val="20"/>
          <w:color w:val="auto"/>
        </w:rPr>
      </w:pPr>
    </w:p>
    <w:p>
      <w:pPr>
        <w:ind w:left="3000" w:hanging="613"/>
        <w:spacing w:after="0"/>
        <w:tabs>
          <w:tab w:leader="none" w:pos="300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w:t>
      </w:r>
    </w:p>
    <w:p>
      <w:pPr>
        <w:ind w:left="3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all business entities that, at the</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time in question, are subsidiaries of the Sponsor within the meaning of section 424(f) of the Code.</w:t>
      </w:r>
    </w:p>
    <w:p>
      <w:pPr>
        <w:spacing w:after="0" w:line="172" w:lineRule="exact"/>
        <w:rPr>
          <w:sz w:val="20"/>
          <w:szCs w:val="20"/>
          <w:color w:val="auto"/>
        </w:rPr>
      </w:pPr>
    </w:p>
    <w:p>
      <w:pPr>
        <w:ind w:left="2840" w:hanging="453"/>
        <w:spacing w:after="0"/>
        <w:tabs>
          <w:tab w:leader="none" w:pos="28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a person who on the Date of Grant</w:t>
      </w:r>
    </w:p>
    <w:p>
      <w:pPr>
        <w:spacing w:after="0" w:line="3"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59" w:lineRule="exact"/>
        <w:rPr>
          <w:sz w:val="20"/>
          <w:szCs w:val="20"/>
          <w:color w:val="auto"/>
        </w:rPr>
      </w:pPr>
    </w:p>
    <w:p>
      <w:pPr>
        <w:ind w:left="2920" w:hanging="533"/>
        <w:spacing w:after="0"/>
        <w:tabs>
          <w:tab w:leader="none" w:pos="2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w:t>
      </w: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any of the following events:</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342" w:lineRule="exact"/>
        <w:rPr>
          <w:rFonts w:ascii="Courier New" w:cs="Courier New" w:eastAsia="Courier New" w:hAnsi="Courier New"/>
          <w:sz w:val="15"/>
          <w:szCs w:val="15"/>
          <w:color w:val="auto"/>
        </w:rPr>
      </w:pPr>
    </w:p>
    <w:p>
      <w:pPr>
        <w:ind w:left="2920" w:hanging="533"/>
        <w:spacing w:after="0"/>
        <w:tabs>
          <w:tab w:leader="none" w:pos="29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means any Person other than a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such Person's Affiliates, provided that the term "Third 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include the Sponsor or an Affiliate of the Sponsor.</w:t>
      </w:r>
    </w:p>
    <w:p>
      <w:pPr>
        <w:spacing w:after="0" w:line="171" w:lineRule="exact"/>
        <w:rPr>
          <w:sz w:val="20"/>
          <w:szCs w:val="20"/>
          <w:color w:val="auto"/>
        </w:rPr>
      </w:pPr>
    </w:p>
    <w:p>
      <w:pPr>
        <w:ind w:left="2840" w:hanging="453"/>
        <w:spacing w:after="0"/>
        <w:tabs>
          <w:tab w:leader="none" w:pos="28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the Securities Act of 1933,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1" w:lineRule="exact"/>
        <w:rPr>
          <w:sz w:val="20"/>
          <w:szCs w:val="20"/>
          <w:color w:val="auto"/>
        </w:rPr>
      </w:pPr>
    </w:p>
    <w:p>
      <w:pPr>
        <w:ind w:left="2840" w:hanging="453"/>
        <w:spacing w:after="0"/>
        <w:tabs>
          <w:tab w:leader="none" w:pos="28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means the Securities Exchange Act of 1934,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w:t>
      </w:r>
    </w:p>
    <w:p>
      <w:pPr>
        <w:spacing w:after="0" w:line="171" w:lineRule="exact"/>
        <w:rPr>
          <w:sz w:val="20"/>
          <w:szCs w:val="20"/>
          <w:color w:val="auto"/>
        </w:rPr>
      </w:pPr>
    </w:p>
    <w:p>
      <w:pPr>
        <w:ind w:left="2380" w:hanging="792"/>
        <w:spacing w:after="0"/>
        <w:tabs>
          <w:tab w:leader="none" w:pos="23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Options and Other Rights Available for</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Rights that may be granted under the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w:t>
      </w:r>
    </w:p>
    <w:p>
      <w:pPr>
        <w:spacing w:after="0" w:line="174" w:lineRule="exact"/>
        <w:rPr>
          <w:sz w:val="20"/>
          <w:szCs w:val="20"/>
          <w:color w:val="auto"/>
        </w:rPr>
      </w:pPr>
    </w:p>
    <w:p>
      <w:pPr>
        <w:jc w:val="both"/>
        <w:ind w:right="3299" w:firstLine="3186"/>
        <w:spacing w:after="0" w:line="239" w:lineRule="auto"/>
        <w:tabs>
          <w:tab w:leader="none" w:pos="355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208" w:name="page209"/>
    <w:bookmarkEnd w:id="208"/>
    <w:p>
      <w:pPr>
        <w:ind w:left="3620" w:hanging="434"/>
        <w:spacing w:after="0"/>
        <w:tabs>
          <w:tab w:leader="none" w:pos="36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which give the</w:t>
      </w:r>
    </w:p>
    <w:p>
      <w:pPr>
        <w:spacing w:after="0" w:line="3" w:lineRule="exact"/>
        <w:rPr>
          <w:rFonts w:ascii="Courier New" w:cs="Courier New" w:eastAsia="Courier New" w:hAnsi="Courier New"/>
          <w:sz w:val="15"/>
          <w:szCs w:val="15"/>
          <w:color w:val="auto"/>
        </w:rPr>
      </w:pPr>
    </w:p>
    <w:p>
      <w:pPr>
        <w:ind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the right for a specified time period to purchase a specified number of Shares for a price determined by the Committee; and</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which give an Optionee</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72" w:lineRule="exact"/>
        <w:rPr>
          <w:sz w:val="20"/>
          <w:szCs w:val="20"/>
          <w:color w:val="auto"/>
        </w:rPr>
      </w:pPr>
    </w:p>
    <w:p>
      <w:pPr>
        <w:ind w:left="2740" w:hanging="353"/>
        <w:spacing w:after="0"/>
        <w:tabs>
          <w:tab w:leader="none" w:pos="27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Grant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maximum number of Shares for which Options may be granted to any single individual in any calendar year, adjusted as provided in Paragraph 10, shall be 10,000,000 Shares.</w:t>
      </w:r>
    </w:p>
    <w:p>
      <w:pPr>
        <w:spacing w:after="0" w:line="172" w:lineRule="exact"/>
        <w:rPr>
          <w:sz w:val="20"/>
          <w:szCs w:val="20"/>
          <w:color w:val="auto"/>
        </w:rPr>
      </w:pPr>
    </w:p>
    <w:p>
      <w:pPr>
        <w:ind w:left="2380" w:hanging="792"/>
        <w:spacing w:after="0"/>
        <w:tabs>
          <w:tab w:leader="none" w:pos="238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Subject to adjustment as provided in Paragraph 10, not more than 75,000,000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75" w:lineRule="exact"/>
        <w:rPr>
          <w:sz w:val="20"/>
          <w:szCs w:val="20"/>
          <w:color w:val="auto"/>
        </w:rPr>
      </w:pPr>
    </w:p>
    <w:p>
      <w:pPr>
        <w:ind w:left="2380" w:hanging="792"/>
        <w:spacing w:after="0"/>
        <w:tabs>
          <w:tab w:leader="none" w:pos="23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Plan</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62" w:lineRule="auto"/>
        <w:rPr>
          <w:sz w:val="20"/>
          <w:szCs w:val="20"/>
          <w:color w:val="auto"/>
        </w:rPr>
      </w:pPr>
      <w:r>
        <w:rPr>
          <w:rFonts w:ascii="Courier New" w:cs="Courier New" w:eastAsia="Courier New" w:hAnsi="Courier New"/>
          <w:sz w:val="14"/>
          <w:szCs w:val="14"/>
          <w:color w:val="auto"/>
        </w:rPr>
        <w:t>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58" w:lineRule="exact"/>
        <w:rPr>
          <w:sz w:val="20"/>
          <w:szCs w:val="20"/>
          <w:color w:val="auto"/>
        </w:rPr>
      </w:pPr>
    </w:p>
    <w:p>
      <w:pPr>
        <w:ind w:left="2840" w:hanging="453"/>
        <w:spacing w:after="0"/>
        <w:tabs>
          <w:tab w:leader="none" w:pos="28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The Committee may delegate to an officer of the Sponsor, or a committee of two or more officers of the Sponsor, discretion under the Plan to grant Options to any employee or officer of a Company who, at the time of the grant, has a base salary of less than $250,000; provided, however, that the maximum number of Shares subject to any Option granted to any individual pursuant to such delegation shall not exceed 50,000 Shares. Such delegation of authority shall continue in effect until the earliest of:</w:t>
      </w:r>
    </w:p>
    <w:p>
      <w:pPr>
        <w:spacing w:after="0" w:line="176" w:lineRule="exact"/>
        <w:rPr>
          <w:sz w:val="20"/>
          <w:szCs w:val="20"/>
          <w:color w:val="auto"/>
        </w:rPr>
      </w:pPr>
    </w:p>
    <w:p>
      <w:pPr>
        <w:ind w:left="3540" w:hanging="354"/>
        <w:spacing w:after="0"/>
        <w:tabs>
          <w:tab w:leader="none" w:pos="354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the Committee shall, in its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discretion, revoke such delegation of authority;</w:t>
      </w:r>
    </w:p>
    <w:p>
      <w:pPr>
        <w:spacing w:after="0" w:line="171" w:lineRule="exact"/>
        <w:rPr>
          <w:rFonts w:ascii="Courier New" w:cs="Courier New" w:eastAsia="Courier New" w:hAnsi="Courier New"/>
          <w:sz w:val="14"/>
          <w:szCs w:val="14"/>
          <w:color w:val="auto"/>
        </w:rPr>
      </w:pPr>
    </w:p>
    <w:p>
      <w:pPr>
        <w:ind w:left="3620" w:hanging="434"/>
        <w:spacing w:after="0"/>
        <w:tabs>
          <w:tab w:leader="none" w:pos="36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cease to be an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of the Company for any reason; or</w:t>
      </w:r>
    </w:p>
    <w:p>
      <w:pPr>
        <w:spacing w:after="0" w:line="171"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notify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that he declines to continue exercise such authority.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209" w:name="page210"/>
    <w:bookmarkEnd w:id="209"/>
    <w:p>
      <w:pPr>
        <w:ind w:left="2740" w:hanging="353"/>
        <w:spacing w:after="0"/>
        <w:tabs>
          <w:tab w:leader="none" w:pos="27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4" w:lineRule="exact"/>
        <w:rPr>
          <w:sz w:val="20"/>
          <w:szCs w:val="20"/>
          <w:color w:val="auto"/>
        </w:rPr>
      </w:pPr>
    </w:p>
    <w:p>
      <w:pPr>
        <w:ind w:left="2740" w:hanging="353"/>
        <w:spacing w:after="0"/>
        <w:tabs>
          <w:tab w:leader="none" w:pos="27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60" w:lineRule="auto"/>
        <w:rPr>
          <w:sz w:val="20"/>
          <w:szCs w:val="20"/>
          <w:color w:val="auto"/>
        </w:rPr>
      </w:pPr>
      <w:r>
        <w:rPr>
          <w:rFonts w:ascii="Courier New" w:cs="Courier New" w:eastAsia="Courier New" w:hAnsi="Courier New"/>
          <w:sz w:val="14"/>
          <w:szCs w:val="14"/>
          <w:color w:val="auto"/>
        </w:rPr>
        <w:t>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59" w:lineRule="exact"/>
        <w:rPr>
          <w:sz w:val="20"/>
          <w:szCs w:val="20"/>
          <w:color w:val="auto"/>
        </w:rPr>
      </w:pPr>
    </w:p>
    <w:p>
      <w:pPr>
        <w:ind w:left="2840" w:hanging="453"/>
        <w:spacing w:after="0"/>
        <w:tabs>
          <w:tab w:leader="none" w:pos="28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5" w:lineRule="exact"/>
        <w:rPr>
          <w:sz w:val="20"/>
          <w:szCs w:val="20"/>
          <w:color w:val="auto"/>
        </w:rPr>
      </w:pPr>
    </w:p>
    <w:p>
      <w:pPr>
        <w:ind w:left="2380" w:hanging="792"/>
        <w:spacing w:after="0"/>
        <w:tabs>
          <w:tab w:leader="none" w:pos="238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individuals to whom Options may be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77"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w:t>
      </w:r>
    </w:p>
    <w:p>
      <w:pPr>
        <w:spacing w:after="0" w:line="12"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3" w:lineRule="exact"/>
        <w:rPr>
          <w:rFonts w:ascii="Courier New" w:cs="Courier New" w:eastAsia="Courier New" w:hAnsi="Courier New"/>
          <w:sz w:val="14"/>
          <w:szCs w:val="14"/>
          <w:color w:val="auto"/>
        </w:rPr>
      </w:pPr>
    </w:p>
    <w:p>
      <w:pPr>
        <w:ind w:left="2380" w:hanging="792"/>
        <w:spacing w:after="0"/>
        <w:tabs>
          <w:tab w:leader="none" w:pos="238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In General</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9" w:right="1440" w:bottom="1440" w:gutter="0" w:footer="0" w:header="0"/>
        </w:sectPr>
      </w:pPr>
    </w:p>
    <w:bookmarkStart w:id="210" w:name="page211"/>
    <w:bookmarkEnd w:id="210"/>
    <w:p>
      <w:pPr>
        <w:ind w:left="2740" w:hanging="353"/>
        <w:spacing w:after="0"/>
        <w:tabs>
          <w:tab w:leader="none" w:pos="27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All Options shall be granted on or before March 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w:t>
      </w:r>
    </w:p>
    <w:p>
      <w:pPr>
        <w:spacing w:after="0" w:line="171" w:lineRule="exact"/>
        <w:rPr>
          <w:sz w:val="20"/>
          <w:szCs w:val="20"/>
          <w:color w:val="auto"/>
        </w:rPr>
      </w:pPr>
    </w:p>
    <w:p>
      <w:pPr>
        <w:ind w:left="2740" w:hanging="353"/>
        <w:spacing w:after="0"/>
        <w:tabs>
          <w:tab w:leader="none" w:pos="27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rPr>
          <w:sz w:val="20"/>
          <w:szCs w:val="20"/>
          <w:color w:val="auto"/>
        </w:rPr>
      </w:pPr>
      <w:r>
        <w:rPr>
          <w:rFonts w:ascii="Courier New" w:cs="Courier New" w:eastAsia="Courier New" w:hAnsi="Courier New"/>
          <w:sz w:val="15"/>
          <w:szCs w:val="15"/>
          <w:color w:val="auto"/>
        </w:rPr>
        <w:t>Except as otherwise provided in Section 13(b),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74" w:lineRule="exact"/>
        <w:rPr>
          <w:sz w:val="20"/>
          <w:szCs w:val="20"/>
          <w:color w:val="auto"/>
        </w:rPr>
      </w:pPr>
    </w:p>
    <w:p>
      <w:pPr>
        <w:ind w:left="2840" w:hanging="453"/>
        <w:spacing w:after="0"/>
        <w:tabs>
          <w:tab w:leader="none" w:pos="28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Transferability.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59" w:lineRule="auto"/>
        <w:rPr>
          <w:sz w:val="20"/>
          <w:szCs w:val="20"/>
          <w:color w:val="auto"/>
        </w:rPr>
      </w:pPr>
      <w:r>
        <w:rPr>
          <w:rFonts w:ascii="Courier New" w:cs="Courier New" w:eastAsia="Courier New" w:hAnsi="Courier New"/>
          <w:sz w:val="14"/>
          <w:szCs w:val="14"/>
          <w:color w:val="auto"/>
        </w:rPr>
        <w:t>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30" w:lineRule="exact"/>
        <w:rPr>
          <w:sz w:val="20"/>
          <w:szCs w:val="20"/>
          <w:color w:val="auto"/>
        </w:rPr>
      </w:pPr>
    </w:p>
    <w:p>
      <w:pPr>
        <w:ind w:left="2740" w:hanging="353"/>
        <w:spacing w:after="0"/>
        <w:tabs>
          <w:tab w:leader="none" w:pos="27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58" w:lineRule="auto"/>
        <w:rPr>
          <w:sz w:val="20"/>
          <w:szCs w:val="20"/>
          <w:color w:val="auto"/>
        </w:rPr>
      </w:pPr>
      <w:r>
        <w:rPr>
          <w:rFonts w:ascii="Courier New" w:cs="Courier New" w:eastAsia="Courier New" w:hAnsi="Courier New"/>
          <w:sz w:val="14"/>
          <w:szCs w:val="14"/>
          <w:color w:val="auto"/>
        </w:rPr>
        <w:t>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provided, however,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211" w:name="page212"/>
    <w:bookmarkEnd w:id="211"/>
    <w:p>
      <w:pPr>
        <w:ind w:right="3119"/>
        <w:spacing w:after="0" w:line="259" w:lineRule="auto"/>
        <w:rPr>
          <w:sz w:val="20"/>
          <w:szCs w:val="20"/>
          <w:color w:val="auto"/>
        </w:rPr>
      </w:pPr>
      <w:r>
        <w:rPr>
          <w:rFonts w:ascii="Courier New" w:cs="Courier New" w:eastAsia="Courier New" w:hAnsi="Courier New"/>
          <w:sz w:val="14"/>
          <w:szCs w:val="14"/>
          <w:color w:val="auto"/>
        </w:rPr>
        <w:t>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335" w:lineRule="exact"/>
        <w:rPr>
          <w:sz w:val="20"/>
          <w:szCs w:val="20"/>
          <w:color w:val="auto"/>
        </w:rPr>
      </w:pPr>
    </w:p>
    <w:p>
      <w:pPr>
        <w:ind w:left="2740" w:hanging="353"/>
        <w:spacing w:after="0"/>
        <w:tabs>
          <w:tab w:leader="none" w:pos="274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w:t>
      </w:r>
    </w:p>
    <w:p>
      <w:pPr>
        <w:spacing w:after="0" w:line="9"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219" w:firstLine="2396"/>
        <w:spacing w:after="0"/>
        <w:rPr>
          <w:sz w:val="20"/>
          <w:szCs w:val="20"/>
          <w:color w:val="auto"/>
        </w:rPr>
      </w:pPr>
      <w:r>
        <w:rPr>
          <w:rFonts w:ascii="Courier New" w:cs="Courier New" w:eastAsia="Courier New" w:hAnsi="Courier New"/>
          <w:sz w:val="15"/>
          <w:szCs w:val="15"/>
          <w:color w:val="auto"/>
        </w:rPr>
        <w:t>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2" w:lineRule="exact"/>
        <w:rPr>
          <w:sz w:val="20"/>
          <w:szCs w:val="20"/>
          <w:color w:val="auto"/>
        </w:rPr>
      </w:pPr>
    </w:p>
    <w:p>
      <w:pPr>
        <w:ind w:left="2840" w:hanging="453"/>
        <w:spacing w:after="0"/>
        <w:tabs>
          <w:tab w:leader="none" w:pos="28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 purposes of the Plan, a transfer of an employee</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 For an Optionee who is a Non-Employee Director, all references to any termination of employment shall be treated as a termination of service to the Sponsor as a Non-Employee Director.</w:t>
      </w:r>
    </w:p>
    <w:p>
      <w:pPr>
        <w:spacing w:after="0" w:line="161" w:lineRule="exact"/>
        <w:rPr>
          <w:sz w:val="20"/>
          <w:szCs w:val="20"/>
          <w:color w:val="auto"/>
        </w:rPr>
      </w:pPr>
    </w:p>
    <w:p>
      <w:pPr>
        <w:ind w:left="2740" w:hanging="353"/>
        <w:spacing w:after="0"/>
        <w:tabs>
          <w:tab w:leader="none" w:pos="274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75" w:lineRule="exact"/>
        <w:rPr>
          <w:sz w:val="20"/>
          <w:szCs w:val="20"/>
          <w:color w:val="auto"/>
        </w:rPr>
      </w:pPr>
    </w:p>
    <w:p>
      <w:pPr>
        <w:ind w:left="2740" w:hanging="353"/>
        <w:spacing w:after="0"/>
        <w:tabs>
          <w:tab w:leader="none" w:pos="27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w:t>
      </w:r>
    </w:p>
    <w:p>
      <w:pPr>
        <w:spacing w:after="0" w:line="3" w:lineRule="exact"/>
        <w:rPr>
          <w:rFonts w:ascii="Courier New" w:cs="Courier New" w:eastAsia="Courier New" w:hAnsi="Courier New"/>
          <w:sz w:val="15"/>
          <w:szCs w:val="15"/>
          <w:color w:val="auto"/>
        </w:rPr>
      </w:pPr>
    </w:p>
    <w:p>
      <w:pPr>
        <w:ind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with the Company for any reason other than death or Cause, any Option held by such Optionee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2" w:right="1440" w:bottom="1440" w:gutter="0" w:footer="0" w:header="0"/>
        </w:sectPr>
      </w:pPr>
    </w:p>
    <w:bookmarkStart w:id="212" w:name="page213"/>
    <w:bookmarkEnd w:id="212"/>
    <w:p>
      <w:pPr>
        <w:ind w:right="3119"/>
        <w:spacing w:after="0"/>
        <w:rPr>
          <w:sz w:val="20"/>
          <w:szCs w:val="20"/>
          <w:color w:val="auto"/>
        </w:rPr>
      </w:pPr>
      <w:r>
        <w:rPr>
          <w:rFonts w:ascii="Courier New" w:cs="Courier New" w:eastAsia="Courier New" w:hAnsi="Courier New"/>
          <w:sz w:val="15"/>
          <w:szCs w:val="15"/>
          <w:color w:val="auto"/>
        </w:rPr>
        <w:t>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6" w:lineRule="exact"/>
        <w:rPr>
          <w:sz w:val="20"/>
          <w:szCs w:val="20"/>
          <w:color w:val="auto"/>
        </w:rPr>
      </w:pPr>
    </w:p>
    <w:p>
      <w:pPr>
        <w:ind w:left="3620" w:hanging="434"/>
        <w:spacing w:after="0"/>
        <w:tabs>
          <w:tab w:leader="none" w:pos="36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w:t>
      </w:r>
    </w:p>
    <w:p>
      <w:pPr>
        <w:spacing w:after="0" w:line="3" w:lineRule="exact"/>
        <w:rPr>
          <w:rFonts w:ascii="Courier New" w:cs="Courier New" w:eastAsia="Courier New" w:hAnsi="Courier New"/>
          <w:sz w:val="15"/>
          <w:szCs w:val="15"/>
          <w:color w:val="auto"/>
        </w:rPr>
      </w:pPr>
    </w:p>
    <w:p>
      <w:pPr>
        <w:ind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58"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3" w:lineRule="exact"/>
        <w:rPr>
          <w:sz w:val="20"/>
          <w:szCs w:val="20"/>
          <w:color w:val="auto"/>
        </w:rPr>
      </w:pPr>
    </w:p>
    <w:p>
      <w:pPr>
        <w:ind w:left="2840" w:hanging="453"/>
        <w:spacing w:after="0"/>
        <w:tabs>
          <w:tab w:leader="none" w:pos="28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59" w:lineRule="auto"/>
        <w:rPr>
          <w:sz w:val="20"/>
          <w:szCs w:val="20"/>
          <w:color w:val="auto"/>
        </w:rPr>
      </w:pPr>
      <w:r>
        <w:rPr>
          <w:rFonts w:ascii="Courier New" w:cs="Courier New" w:eastAsia="Courier New" w:hAnsi="Courier New"/>
          <w:sz w:val="14"/>
          <w:szCs w:val="14"/>
          <w:color w:val="auto"/>
        </w:rPr>
        <w:t>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2" w:lineRule="exact"/>
        <w:rPr>
          <w:sz w:val="20"/>
          <w:szCs w:val="20"/>
          <w:color w:val="auto"/>
        </w:rPr>
      </w:pPr>
    </w:p>
    <w:p>
      <w:pPr>
        <w:ind w:left="2840" w:hanging="453"/>
        <w:spacing w:after="0"/>
        <w:tabs>
          <w:tab w:leader="none" w:pos="28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76" w:lineRule="exact"/>
        <w:rPr>
          <w:sz w:val="20"/>
          <w:szCs w:val="20"/>
          <w:color w:val="auto"/>
        </w:rPr>
      </w:pPr>
    </w:p>
    <w:p>
      <w:pPr>
        <w:ind w:left="3540" w:hanging="354"/>
        <w:spacing w:after="0"/>
        <w:tabs>
          <w:tab w:leader="none" w:pos="354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no later</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than the Non-Qualified Option to which it is attached.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13" w:name="page214"/>
    <w:bookmarkEnd w:id="213"/>
    <w:p>
      <w:pPr>
        <w:ind w:left="3620" w:hanging="434"/>
        <w:spacing w:after="0"/>
        <w:tabs>
          <w:tab w:leader="none" w:pos="362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provide for the</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of such amount per Share as shall be determined by the Committee and stated in the option document.</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be subject to</w:t>
      </w:r>
    </w:p>
    <w:p>
      <w:pPr>
        <w:spacing w:after="0" w:line="3" w:lineRule="exact"/>
        <w:rPr>
          <w:rFonts w:ascii="Courier New" w:cs="Courier New" w:eastAsia="Courier New" w:hAnsi="Courier New"/>
          <w:sz w:val="15"/>
          <w:szCs w:val="15"/>
          <w:color w:val="auto"/>
        </w:rPr>
      </w:pPr>
    </w:p>
    <w:p>
      <w:pPr>
        <w:ind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restrictions on transferability as the Non-Qualified Option to which it is attached.</w:t>
      </w:r>
    </w:p>
    <w:p>
      <w:pPr>
        <w:spacing w:after="0" w:line="174" w:lineRule="exact"/>
        <w:rPr>
          <w:rFonts w:ascii="Courier New" w:cs="Courier New" w:eastAsia="Courier New" w:hAnsi="Courier New"/>
          <w:sz w:val="15"/>
          <w:szCs w:val="15"/>
          <w:color w:val="auto"/>
        </w:rPr>
      </w:pPr>
    </w:p>
    <w:p>
      <w:pPr>
        <w:jc w:val="both"/>
        <w:ind w:right="3399" w:firstLine="3186"/>
        <w:spacing w:after="0" w:line="264" w:lineRule="auto"/>
        <w:tabs>
          <w:tab w:leader="none" w:pos="3639"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exercisable only when such conditions to exercise as shall be determined by the Committee and stated in the option document, if any, have been satisfied.</w:t>
      </w:r>
    </w:p>
    <w:p>
      <w:pPr>
        <w:spacing w:after="0" w:line="156" w:lineRule="exact"/>
        <w:rPr>
          <w:rFonts w:ascii="Courier New" w:cs="Courier New" w:eastAsia="Courier New" w:hAnsi="Courier New"/>
          <w:sz w:val="14"/>
          <w:szCs w:val="14"/>
          <w:color w:val="auto"/>
        </w:rPr>
      </w:pPr>
    </w:p>
    <w:p>
      <w:pPr>
        <w:ind w:left="3540" w:hanging="354"/>
        <w:spacing w:after="0"/>
        <w:tabs>
          <w:tab w:leader="none" w:pos="354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expire upon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Non-Qualified Option to which it is attached.</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a Cash Right that is</w:t>
      </w:r>
    </w:p>
    <w:p>
      <w:pPr>
        <w:spacing w:after="0" w:line="3" w:lineRule="exact"/>
        <w:rPr>
          <w:rFonts w:ascii="Courier New" w:cs="Courier New" w:eastAsia="Courier New" w:hAnsi="Courier New"/>
          <w:sz w:val="15"/>
          <w:szCs w:val="15"/>
          <w:color w:val="auto"/>
        </w:rPr>
      </w:pPr>
    </w:p>
    <w:p>
      <w:pPr>
        <w:ind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to a Non-Qualified Option, the Option to which the Cash Right is attached shall expire.</w:t>
      </w:r>
    </w:p>
    <w:p>
      <w:pPr>
        <w:spacing w:after="0" w:line="172" w:lineRule="exact"/>
        <w:rPr>
          <w:rFonts w:ascii="Courier New" w:cs="Courier New" w:eastAsia="Courier New" w:hAnsi="Courier New"/>
          <w:sz w:val="15"/>
          <w:szCs w:val="15"/>
          <w:color w:val="auto"/>
        </w:rPr>
      </w:pPr>
    </w:p>
    <w:p>
      <w:pPr>
        <w:ind w:left="2380" w:hanging="792"/>
        <w:spacing w:after="0"/>
        <w:tabs>
          <w:tab w:leader="none" w:pos="23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Exercise of Incentive Stock Options</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9" w:lineRule="exact"/>
        <w:rPr>
          <w:sz w:val="20"/>
          <w:szCs w:val="20"/>
          <w:color w:val="auto"/>
        </w:rPr>
      </w:pPr>
    </w:p>
    <w:p>
      <w:pPr>
        <w:ind w:left="2380" w:hanging="792"/>
        <w:spacing w:after="0"/>
        <w:tabs>
          <w:tab w:leader="none" w:pos="23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Shareholders</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73" w:lineRule="exact"/>
        <w:rPr>
          <w:sz w:val="20"/>
          <w:szCs w:val="20"/>
          <w:color w:val="auto"/>
        </w:rPr>
      </w:pPr>
    </w:p>
    <w:p>
      <w:pPr>
        <w:ind w:left="2380" w:hanging="792"/>
        <w:spacing w:after="0"/>
        <w:tabs>
          <w:tab w:leader="none" w:pos="238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14" w:name="page215"/>
    <w:bookmarkEnd w:id="214"/>
    <w:p>
      <w:pPr>
        <w:ind w:left="9" w:right="3119"/>
        <w:spacing w:after="0"/>
        <w:rPr>
          <w:sz w:val="20"/>
          <w:szCs w:val="20"/>
          <w:color w:val="auto"/>
        </w:rPr>
      </w:pPr>
      <w:r>
        <w:rPr>
          <w:rFonts w:ascii="Courier New" w:cs="Courier New" w:eastAsia="Courier New" w:hAnsi="Courier New"/>
          <w:sz w:val="15"/>
          <w:szCs w:val="15"/>
          <w:color w:val="auto"/>
        </w:rPr>
        <w:t>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72" w:lineRule="exact"/>
        <w:rPr>
          <w:sz w:val="20"/>
          <w:szCs w:val="20"/>
          <w:color w:val="auto"/>
        </w:rPr>
      </w:pPr>
    </w:p>
    <w:p>
      <w:pPr>
        <w:ind w:left="2389" w:hanging="792"/>
        <w:spacing w:after="0"/>
        <w:tabs>
          <w:tab w:leader="none" w:pos="2389"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shall give Optionees at least thirty</w:t>
      </w:r>
    </w:p>
    <w:p>
      <w:pPr>
        <w:spacing w:after="0" w:line="3" w:lineRule="exact"/>
        <w:rPr>
          <w:rFonts w:ascii="Courier New" w:cs="Courier New" w:eastAsia="Courier New" w:hAnsi="Courier New"/>
          <w:sz w:val="15"/>
          <w:szCs w:val="15"/>
          <w:color w:val="auto"/>
        </w:rPr>
      </w:pPr>
    </w:p>
    <w:p>
      <w:pPr>
        <w:ind w:left="9" w:right="3119" w:hanging="9"/>
        <w:spacing w:after="0"/>
        <w:tabs>
          <w:tab w:leader="none" w:pos="45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79"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11(a), in the event the</w:t>
      </w:r>
    </w:p>
    <w:p>
      <w:pPr>
        <w:spacing w:after="0" w:line="12" w:lineRule="exact"/>
        <w:rPr>
          <w:rFonts w:ascii="Courier New" w:cs="Courier New" w:eastAsia="Courier New" w:hAnsi="Courier New"/>
          <w:sz w:val="14"/>
          <w:szCs w:val="14"/>
          <w:color w:val="auto"/>
        </w:rPr>
      </w:pPr>
    </w:p>
    <w:p>
      <w:pPr>
        <w:ind w:left="9"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Terminating Event is not consummated, the Option shall be deemed not to have been exercised and shall be exercisable thereafter to the extent it would have been exercisable if no such notice had been given.</w:t>
      </w:r>
    </w:p>
    <w:p>
      <w:pPr>
        <w:spacing w:after="0" w:line="172" w:lineRule="exact"/>
        <w:rPr>
          <w:rFonts w:ascii="Courier New" w:cs="Courier New" w:eastAsia="Courier New" w:hAnsi="Courier New"/>
          <w:sz w:val="14"/>
          <w:szCs w:val="14"/>
          <w:color w:val="auto"/>
        </w:rPr>
      </w:pPr>
    </w:p>
    <w:p>
      <w:pPr>
        <w:ind w:left="2389" w:hanging="792"/>
        <w:spacing w:after="0"/>
        <w:tabs>
          <w:tab w:leader="none" w:pos="2389"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4" w:lineRule="exact"/>
        <w:rPr>
          <w:sz w:val="20"/>
          <w:szCs w:val="20"/>
          <w:color w:val="auto"/>
        </w:rPr>
      </w:pPr>
    </w:p>
    <w:p>
      <w:pPr>
        <w:jc w:val="both"/>
        <w:ind w:left="9" w:right="3119" w:firstLine="1597"/>
        <w:spacing w:after="0"/>
        <w:rPr>
          <w:sz w:val="20"/>
          <w:szCs w:val="20"/>
          <w:color w:val="auto"/>
        </w:rPr>
      </w:pPr>
      <w:r>
        <w:rPr>
          <w:rFonts w:ascii="Courier New" w:cs="Courier New" w:eastAsia="Courier New" w:hAnsi="Courier New"/>
          <w:sz w:val="15"/>
          <w:szCs w:val="15"/>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4" w:lineRule="exact"/>
        <w:rPr>
          <w:sz w:val="20"/>
          <w:szCs w:val="20"/>
          <w:color w:val="auto"/>
        </w:rPr>
      </w:pPr>
    </w:p>
    <w:p>
      <w:pPr>
        <w:ind w:left="2389" w:hanging="792"/>
        <w:spacing w:after="0"/>
        <w:tabs>
          <w:tab w:leader="none" w:pos="238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2396"/>
        <w:spacing w:after="0" w:line="259"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802" w:right="1440" w:bottom="1440" w:gutter="0" w:footer="0" w:header="0"/>
        </w:sectPr>
      </w:pPr>
    </w:p>
    <w:bookmarkStart w:id="215" w:name="page216"/>
    <w:bookmarkEnd w:id="215"/>
    <w:p>
      <w:pPr>
        <w:ind w:right="3479"/>
        <w:spacing w:after="0" w:line="271" w:lineRule="auto"/>
        <w:rPr>
          <w:sz w:val="20"/>
          <w:szCs w:val="20"/>
          <w:color w:val="auto"/>
        </w:rPr>
      </w:pPr>
      <w:r>
        <w:rPr>
          <w:rFonts w:ascii="Courier New" w:cs="Courier New" w:eastAsia="Courier New" w:hAnsi="Courier New"/>
          <w:sz w:val="14"/>
          <w:szCs w:val="14"/>
          <w:color w:val="auto"/>
        </w:rPr>
        <w:t>Option granted under the Plan or increase the maximum number of shares as to which Options may be granted, except as provided in Paragraph 10 hereof.</w:t>
      </w:r>
    </w:p>
    <w:p>
      <w:pPr>
        <w:spacing w:after="0" w:line="151" w:lineRule="exact"/>
        <w:rPr>
          <w:sz w:val="20"/>
          <w:szCs w:val="20"/>
          <w:color w:val="auto"/>
        </w:rPr>
      </w:pPr>
    </w:p>
    <w:p>
      <w:pPr>
        <w:ind w:left="2920" w:hanging="533"/>
        <w:spacing w:after="0"/>
        <w:tabs>
          <w:tab w:leader="none" w:pos="29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Repricing  of  Options.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2396"/>
        <w:spacing w:after="0" w:line="260" w:lineRule="auto"/>
        <w:rPr>
          <w:sz w:val="20"/>
          <w:szCs w:val="20"/>
          <w:color w:val="auto"/>
        </w:rPr>
      </w:pPr>
      <w:r>
        <w:rPr>
          <w:rFonts w:ascii="Courier New" w:cs="Courier New" w:eastAsia="Courier New" w:hAnsi="Courier New"/>
          <w:sz w:val="14"/>
          <w:szCs w:val="14"/>
          <w:color w:val="auto"/>
        </w:rPr>
        <w:t>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60" w:lineRule="exact"/>
        <w:rPr>
          <w:sz w:val="20"/>
          <w:szCs w:val="20"/>
          <w:color w:val="auto"/>
        </w:rPr>
      </w:pPr>
    </w:p>
    <w:p>
      <w:pPr>
        <w:ind w:left="2380" w:hanging="792"/>
        <w:spacing w:after="0"/>
        <w:tabs>
          <w:tab w:leader="none" w:pos="238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74" w:lineRule="exact"/>
        <w:rPr>
          <w:sz w:val="20"/>
          <w:szCs w:val="20"/>
          <w:color w:val="auto"/>
        </w:rPr>
      </w:pPr>
    </w:p>
    <w:p>
      <w:pPr>
        <w:ind w:left="2840" w:hanging="453"/>
        <w:spacing w:after="0"/>
        <w:tabs>
          <w:tab w:leader="none" w:pos="28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w:t>
      </w:r>
    </w:p>
    <w:p>
      <w:pPr>
        <w:spacing w:after="0" w:line="12" w:lineRule="exact"/>
        <w:rPr>
          <w:rFonts w:ascii="Courier New" w:cs="Courier New" w:eastAsia="Courier New" w:hAnsi="Courier New"/>
          <w:sz w:val="14"/>
          <w:szCs w:val="14"/>
          <w:color w:val="auto"/>
        </w:rPr>
      </w:pPr>
    </w:p>
    <w:p>
      <w:pPr>
        <w:ind w:left="2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72" w:lineRule="exact"/>
        <w:rPr>
          <w:sz w:val="20"/>
          <w:szCs w:val="20"/>
          <w:color w:val="auto"/>
        </w:rPr>
      </w:pPr>
    </w:p>
    <w:p>
      <w:pPr>
        <w:ind w:left="3540" w:hanging="354"/>
        <w:spacing w:after="0"/>
        <w:tabs>
          <w:tab w:leader="none" w:pos="35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are</w:t>
      </w:r>
    </w:p>
    <w:p>
      <w:pPr>
        <w:spacing w:after="0" w:line="3" w:lineRule="exact"/>
        <w:rPr>
          <w:rFonts w:ascii="Courier New" w:cs="Courier New" w:eastAsia="Courier New" w:hAnsi="Courier New"/>
          <w:sz w:val="15"/>
          <w:szCs w:val="15"/>
          <w:color w:val="auto"/>
        </w:rPr>
      </w:pPr>
    </w:p>
    <w:p>
      <w:pPr>
        <w:ind w:right="32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being purchased for investment and not for distribution or resale (other than a distribution or resale which, in the opinion of counsel satisfactory to the Sponsor, may be made without violating the registration provisions of the Act);</w:t>
      </w:r>
    </w:p>
    <w:p>
      <w:pPr>
        <w:spacing w:after="0" w:line="156"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has been advised and</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evidencing the Shares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 bear a restrictive legend; and</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may</w:t>
      </w:r>
    </w:p>
    <w:p>
      <w:pPr>
        <w:spacing w:after="0" w:line="3" w:lineRule="exact"/>
        <w:rPr>
          <w:rFonts w:ascii="Courier New" w:cs="Courier New" w:eastAsia="Courier New" w:hAnsi="Courier New"/>
          <w:sz w:val="15"/>
          <w:szCs w:val="15"/>
          <w:color w:val="auto"/>
        </w:rPr>
      </w:pPr>
    </w:p>
    <w:p>
      <w:pPr>
        <w:ind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be transferred without compliance with all applicable federal and state securities laws.</w:t>
      </w:r>
    </w:p>
    <w:p>
      <w:pPr>
        <w:spacing w:after="0" w:line="172" w:lineRule="exact"/>
        <w:rPr>
          <w:sz w:val="20"/>
          <w:szCs w:val="20"/>
          <w:color w:val="auto"/>
        </w:rPr>
      </w:pPr>
    </w:p>
    <w:p>
      <w:pPr>
        <w:ind w:left="2740" w:hanging="353"/>
        <w:spacing w:after="0"/>
        <w:tabs>
          <w:tab w:leader="none" w:pos="274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of Exercise Pending Registration of</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16" w:name="page217"/>
    <w:bookmarkEnd w:id="216"/>
    <w:p>
      <w:pPr>
        <w:ind w:right="3399"/>
        <w:spacing w:after="0" w:line="238" w:lineRule="auto"/>
        <w:rPr>
          <w:sz w:val="20"/>
          <w:szCs w:val="20"/>
          <w:color w:val="auto"/>
        </w:rPr>
      </w:pPr>
      <w:r>
        <w:rPr>
          <w:rFonts w:ascii="Courier New" w:cs="Courier New" w:eastAsia="Courier New" w:hAnsi="Courier New"/>
          <w:sz w:val="15"/>
          <w:szCs w:val="15"/>
          <w:color w:val="auto"/>
        </w:rPr>
        <w:t>such Shares are appropriately registered or qualified or an appropriate legal opinion has been received, as applicable.</w:t>
      </w:r>
    </w:p>
    <w:p>
      <w:pPr>
        <w:spacing w:after="0" w:line="172" w:lineRule="exact"/>
        <w:rPr>
          <w:sz w:val="20"/>
          <w:szCs w:val="20"/>
          <w:color w:val="auto"/>
        </w:rPr>
      </w:pPr>
    </w:p>
    <w:p>
      <w:pPr>
        <w:ind w:left="2380" w:hanging="792"/>
        <w:spacing w:after="0"/>
        <w:tabs>
          <w:tab w:leader="none" w:pos="238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 on Exercise of Option</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3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34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217" w:name="page218"/>
    <w:bookmarkEnd w:id="217"/>
    <w:p>
      <w:pPr>
        <w:ind w:right="3119"/>
        <w:spacing w:after="0"/>
        <w:rPr>
          <w:sz w:val="20"/>
          <w:szCs w:val="20"/>
          <w:color w:val="auto"/>
        </w:rPr>
      </w:pPr>
      <w:r>
        <w:rPr>
          <w:rFonts w:ascii="Courier New" w:cs="Courier New" w:eastAsia="Courier New" w:hAnsi="Courier New"/>
          <w:sz w:val="15"/>
          <w:szCs w:val="15"/>
          <w:color w:val="auto"/>
        </w:rPr>
        <w:t>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 16. Effective Date and Term of Plan</w:t>
      </w:r>
    </w:p>
    <w:p>
      <w:pPr>
        <w:spacing w:after="0" w:line="178"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This amendment and restatement of the Plan as the Comcast Corporation 2002 Stock Option Plan shall be effective February 26, 2003. The Plan shall expire no later than March 13, 2006, the tenth anniversary of the date the Plan was initially adopted by the board of directors of the Sponsor, unless sooner terminated by the Board.</w:t>
      </w:r>
    </w:p>
    <w:p>
      <w:pPr>
        <w:spacing w:after="0" w:line="172" w:lineRule="exact"/>
        <w:rPr>
          <w:sz w:val="20"/>
          <w:szCs w:val="20"/>
          <w:color w:val="auto"/>
        </w:rPr>
      </w:pPr>
    </w:p>
    <w:p>
      <w:pPr>
        <w:ind w:left="2380" w:hanging="792"/>
        <w:spacing w:after="0"/>
        <w:tabs>
          <w:tab w:leader="none" w:pos="23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Executed as of the 26th day of February, 2003.</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tabs>
          <w:tab w:leader="none" w:pos="4240" w:val="left"/>
        </w:tabs>
        <w:rPr>
          <w:sz w:val="20"/>
          <w:szCs w:val="20"/>
          <w:color w:val="auto"/>
        </w:rPr>
      </w:pPr>
      <w:r>
        <w:rPr>
          <w:rFonts w:ascii="Courier New" w:cs="Courier New" w:eastAsia="Courier New" w:hAnsi="Courier New"/>
          <w:sz w:val="15"/>
          <w:szCs w:val="15"/>
          <w:color w:val="auto"/>
        </w:rPr>
        <w:t>Attest:</w:t>
      </w:r>
      <w:r>
        <w:rPr>
          <w:sz w:val="20"/>
          <w:szCs w:val="20"/>
          <w:color w:val="auto"/>
        </w:rPr>
        <w:tab/>
      </w:r>
      <w:r>
        <w:rPr>
          <w:rFonts w:ascii="Courier New" w:cs="Courier New" w:eastAsia="Courier New" w:hAnsi="Courier New"/>
          <w:sz w:val="14"/>
          <w:szCs w:val="14"/>
          <w:color w:val="auto"/>
        </w:rPr>
        <w:t>_____________________________</w:t>
      </w:r>
    </w:p>
    <w:p>
      <w:pPr>
        <w:sectPr>
          <w:pgSz w:w="11900" w:h="16838" w:orient="portrait"/>
          <w:cols w:equalWidth="0" w:num="1">
            <w:col w:w="10219"/>
          </w:cols>
          <w:pgMar w:left="240" w:top="631" w:right="1440" w:bottom="1440" w:gutter="0" w:footer="0" w:header="0"/>
        </w:sectPr>
      </w:pPr>
    </w:p>
    <w:bookmarkStart w:id="218" w:name="page219"/>
    <w:bookmarkEnd w:id="218"/>
    <w:p>
      <w:pPr>
        <w:spacing w:after="0" w:line="3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10.3</w:t>
      </w:r>
    </w:p>
    <w:p>
      <w:pPr>
        <w:spacing w:after="0" w:line="34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2003 STOCK OPTION PLAN</w:t>
      </w:r>
    </w:p>
    <w:p>
      <w:pPr>
        <w:spacing w:after="0" w:line="200" w:lineRule="exact"/>
        <w:rPr>
          <w:sz w:val="20"/>
          <w:szCs w:val="20"/>
          <w:color w:val="auto"/>
        </w:rPr>
      </w:pPr>
    </w:p>
    <w:p>
      <w:pPr>
        <w:spacing w:after="0" w:line="313" w:lineRule="exact"/>
        <w:rPr>
          <w:sz w:val="20"/>
          <w:szCs w:val="20"/>
          <w:color w:val="auto"/>
        </w:rPr>
      </w:pPr>
    </w:p>
    <w:p>
      <w:pPr>
        <w:ind w:left="2389" w:hanging="792"/>
        <w:spacing w:after="0"/>
        <w:tabs>
          <w:tab w:leader="none" w:pos="238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Purpose of Plan</w:t>
      </w:r>
    </w:p>
    <w:p>
      <w:pPr>
        <w:spacing w:after="0" w:line="171" w:lineRule="exact"/>
        <w:rPr>
          <w:sz w:val="20"/>
          <w:szCs w:val="20"/>
          <w:color w:val="auto"/>
        </w:rPr>
      </w:pPr>
    </w:p>
    <w:p>
      <w:pPr>
        <w:ind w:left="2749" w:hanging="353"/>
        <w:spacing w:after="0"/>
        <w:tabs>
          <w:tab w:leader="none" w:pos="274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579" w:firstLine="2396"/>
        <w:spacing w:after="0" w:line="239" w:lineRule="auto"/>
        <w:rPr>
          <w:sz w:val="20"/>
          <w:szCs w:val="20"/>
          <w:color w:val="auto"/>
        </w:rPr>
      </w:pPr>
      <w:r>
        <w:rPr>
          <w:rFonts w:ascii="Courier New" w:cs="Courier New" w:eastAsia="Courier New" w:hAnsi="Courier New"/>
          <w:sz w:val="15"/>
          <w:szCs w:val="15"/>
          <w:color w:val="auto"/>
        </w:rPr>
        <w:t>COMCAST CORPORATION, a Pennsylvania corporation hereby adopts the Comcast Corporation 2003 Stock Option Plan, (the "Plan"), effective February 26, 2003.</w:t>
      </w:r>
    </w:p>
    <w:p>
      <w:pPr>
        <w:spacing w:after="0" w:line="172" w:lineRule="exact"/>
        <w:rPr>
          <w:sz w:val="20"/>
          <w:szCs w:val="20"/>
          <w:color w:val="auto"/>
        </w:rPr>
      </w:pPr>
    </w:p>
    <w:p>
      <w:pPr>
        <w:ind w:left="2749" w:hanging="353"/>
        <w:spacing w:after="0"/>
        <w:tabs>
          <w:tab w:leader="none" w:pos="274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2396"/>
        <w:spacing w:after="0"/>
        <w:rPr>
          <w:sz w:val="20"/>
          <w:szCs w:val="20"/>
          <w:color w:val="auto"/>
        </w:rPr>
      </w:pPr>
      <w:r>
        <w:rPr>
          <w:rFonts w:ascii="Courier New" w:cs="Courier New" w:eastAsia="Courier New" w:hAnsi="Courier New"/>
          <w:sz w:val="15"/>
          <w:szCs w:val="15"/>
          <w:color w:val="auto"/>
        </w:rPr>
        <w:t>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2" w:lineRule="exact"/>
        <w:rPr>
          <w:sz w:val="20"/>
          <w:szCs w:val="20"/>
          <w:color w:val="auto"/>
        </w:rPr>
      </w:pPr>
    </w:p>
    <w:p>
      <w:pPr>
        <w:ind w:left="2389" w:hanging="792"/>
        <w:spacing w:after="0"/>
        <w:tabs>
          <w:tab w:leader="none" w:pos="238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1" w:lineRule="exact"/>
        <w:rPr>
          <w:rFonts w:ascii="Courier New" w:cs="Courier New" w:eastAsia="Courier New" w:hAnsi="Courier New"/>
          <w:sz w:val="15"/>
          <w:szCs w:val="15"/>
          <w:color w:val="auto"/>
        </w:rPr>
      </w:pPr>
    </w:p>
    <w:p>
      <w:pPr>
        <w:ind w:left="2849" w:hanging="453"/>
        <w:spacing w:after="0"/>
        <w:tabs>
          <w:tab w:leader="none" w:pos="2849"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rPr>
          <w:sz w:val="20"/>
          <w:szCs w:val="20"/>
          <w:color w:val="auto"/>
        </w:rPr>
      </w:pPr>
      <w:r>
        <w:rPr>
          <w:rFonts w:ascii="Courier New" w:cs="Courier New" w:eastAsia="Courier New" w:hAnsi="Courier New"/>
          <w:sz w:val="15"/>
          <w:szCs w:val="15"/>
          <w:color w:val="auto"/>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4" w:lineRule="exact"/>
        <w:rPr>
          <w:sz w:val="20"/>
          <w:szCs w:val="20"/>
          <w:color w:val="auto"/>
        </w:rPr>
      </w:pPr>
    </w:p>
    <w:p>
      <w:pPr>
        <w:ind w:left="2929" w:hanging="533"/>
        <w:spacing w:after="0"/>
        <w:tabs>
          <w:tab w:leader="none" w:pos="292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Transaction"</w:t>
      </w:r>
    </w:p>
    <w:p>
      <w:pPr>
        <w:ind w:left="30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2396"/>
        <w:spacing w:after="0" w:line="238" w:lineRule="auto"/>
        <w:rPr>
          <w:sz w:val="20"/>
          <w:szCs w:val="20"/>
          <w:color w:val="auto"/>
        </w:rPr>
      </w:pPr>
      <w:r>
        <w:rPr>
          <w:rFonts w:ascii="Courier New" w:cs="Courier New" w:eastAsia="Courier New" w:hAnsi="Courier New"/>
          <w:sz w:val="15"/>
          <w:szCs w:val="15"/>
          <w:color w:val="auto"/>
        </w:rPr>
        <w:t>means the acquisition of AT&amp;T Broadband Corp. (now known as Comcast Cable Communications Holdings, Inc.) by the Sponsor.</w:t>
      </w:r>
    </w:p>
    <w:p>
      <w:pPr>
        <w:spacing w:after="0" w:line="172" w:lineRule="exact"/>
        <w:rPr>
          <w:sz w:val="20"/>
          <w:szCs w:val="20"/>
          <w:color w:val="auto"/>
        </w:rPr>
      </w:pPr>
    </w:p>
    <w:p>
      <w:pPr>
        <w:ind w:left="2929" w:hanging="444"/>
        <w:spacing w:after="0"/>
        <w:tabs>
          <w:tab w:leader="none" w:pos="2929"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means the board of directors of the Sponsor.</w:t>
      </w:r>
    </w:p>
    <w:p>
      <w:pPr>
        <w:spacing w:after="0" w:line="171" w:lineRule="exact"/>
        <w:rPr>
          <w:sz w:val="20"/>
          <w:szCs w:val="20"/>
          <w:color w:val="auto"/>
        </w:rPr>
      </w:pPr>
    </w:p>
    <w:p>
      <w:pPr>
        <w:ind w:left="2749" w:hanging="353"/>
        <w:spacing w:after="0"/>
        <w:tabs>
          <w:tab w:leader="none" w:pos="274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firstLine="2396"/>
        <w:spacing w:after="0" w:line="238" w:lineRule="auto"/>
        <w:rPr>
          <w:sz w:val="20"/>
          <w:szCs w:val="20"/>
          <w:color w:val="auto"/>
        </w:rPr>
      </w:pPr>
      <w:r>
        <w:rPr>
          <w:rFonts w:ascii="Courier New" w:cs="Courier New" w:eastAsia="Courier New" w:hAnsi="Courier New"/>
          <w:sz w:val="15"/>
          <w:szCs w:val="15"/>
          <w:color w:val="auto"/>
        </w:rPr>
        <w:t>means any right to receive cash in lieu of Shares granted under the Plan and described in Paragraph 3(a)(iii).</w:t>
      </w:r>
    </w:p>
    <w:p>
      <w:pPr>
        <w:spacing w:after="0" w:line="172" w:lineRule="exact"/>
        <w:rPr>
          <w:sz w:val="20"/>
          <w:szCs w:val="20"/>
          <w:color w:val="auto"/>
        </w:rPr>
      </w:pPr>
    </w:p>
    <w:p>
      <w:pPr>
        <w:ind w:left="2749" w:hanging="353"/>
        <w:spacing w:after="0"/>
        <w:tabs>
          <w:tab w:leader="none" w:pos="27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line="258" w:lineRule="auto"/>
        <w:rPr>
          <w:sz w:val="20"/>
          <w:szCs w:val="20"/>
          <w:color w:val="auto"/>
        </w:rPr>
      </w:pPr>
      <w:r>
        <w:rPr>
          <w:rFonts w:ascii="Courier New" w:cs="Courier New" w:eastAsia="Courier New" w:hAnsi="Courier New"/>
          <w:sz w:val="14"/>
          <w:szCs w:val="14"/>
          <w:color w:val="auto"/>
        </w:rPr>
        <w:t>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sz w:val="20"/>
          <w:szCs w:val="20"/>
          <w:color w:val="auto"/>
        </w:rPr>
      </w:pPr>
    </w:p>
    <w:p>
      <w:pPr>
        <w:ind w:left="9" w:right="3119" w:hanging="9"/>
        <w:spacing w:after="0" w:line="238" w:lineRule="auto"/>
        <w:tabs>
          <w:tab w:leader="none" w:pos="36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(xi), if capable of being cured, such event or condition remains uncured following 30 days written notice thereof.</w:t>
      </w:r>
    </w:p>
    <w:p>
      <w:pPr>
        <w:spacing w:after="0" w:line="172" w:lineRule="exact"/>
        <w:rPr>
          <w:sz w:val="20"/>
          <w:szCs w:val="20"/>
          <w:color w:val="auto"/>
        </w:rPr>
      </w:pPr>
    </w:p>
    <w:p>
      <w:pPr>
        <w:ind w:left="2849" w:hanging="453"/>
        <w:spacing w:after="0"/>
        <w:tabs>
          <w:tab w:leader="none" w:pos="284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line="238" w:lineRule="auto"/>
        <w:rPr>
          <w:sz w:val="20"/>
          <w:szCs w:val="20"/>
          <w:color w:val="auto"/>
        </w:rPr>
      </w:pPr>
      <w:r>
        <w:rPr>
          <w:rFonts w:ascii="Courier New" w:cs="Courier New" w:eastAsia="Courier New" w:hAnsi="Courier New"/>
          <w:sz w:val="15"/>
          <w:szCs w:val="15"/>
          <w:color w:val="auto"/>
        </w:rPr>
        <w:t>means any transaction or series of transactions as a result of which any Person who was a Third Party immediately before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72" w:lineRule="exact"/>
        <w:rPr>
          <w:sz w:val="20"/>
          <w:szCs w:val="20"/>
          <w:color w:val="auto"/>
        </w:rPr>
      </w:pPr>
    </w:p>
    <w:p>
      <w:pPr>
        <w:ind w:left="2749" w:hanging="353"/>
        <w:spacing w:after="0"/>
        <w:tabs>
          <w:tab w:leader="none" w:pos="274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means the Internal Revenue Code of 1986, as amended.</w:t>
      </w:r>
    </w:p>
    <w:p>
      <w:pPr>
        <w:spacing w:after="0" w:line="171" w:lineRule="exact"/>
        <w:rPr>
          <w:sz w:val="20"/>
          <w:szCs w:val="20"/>
          <w:color w:val="auto"/>
        </w:rPr>
      </w:pPr>
    </w:p>
    <w:p>
      <w:pPr>
        <w:ind w:left="2749" w:hanging="353"/>
        <w:spacing w:after="0"/>
        <w:tabs>
          <w:tab w:leader="none" w:pos="2749"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w:t>
      </w:r>
    </w:p>
    <w:p>
      <w:pPr>
        <w:ind w:left="28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2396"/>
        <w:spacing w:after="0"/>
        <w:rPr>
          <w:sz w:val="20"/>
          <w:szCs w:val="20"/>
          <w:color w:val="auto"/>
        </w:rPr>
      </w:pPr>
      <w:r>
        <w:rPr>
          <w:rFonts w:ascii="Courier New" w:cs="Courier New" w:eastAsia="Courier New" w:hAnsi="Courier New"/>
          <w:sz w:val="15"/>
          <w:szCs w:val="15"/>
          <w:color w:val="auto"/>
        </w:rPr>
        <w:t>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72" w:lineRule="exact"/>
        <w:rPr>
          <w:sz w:val="20"/>
          <w:szCs w:val="20"/>
          <w:color w:val="auto"/>
        </w:rPr>
      </w:pPr>
    </w:p>
    <w:p>
      <w:pPr>
        <w:ind w:left="2849" w:hanging="453"/>
        <w:spacing w:after="0"/>
        <w:tabs>
          <w:tab w:leader="none" w:pos="284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ind w:left="29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839" w:firstLine="2396"/>
        <w:spacing w:after="0" w:line="238" w:lineRule="auto"/>
        <w:rPr>
          <w:sz w:val="20"/>
          <w:szCs w:val="20"/>
          <w:color w:val="auto"/>
        </w:rPr>
      </w:pPr>
      <w:r>
        <w:rPr>
          <w:rFonts w:ascii="Courier New" w:cs="Courier New" w:eastAsia="Courier New" w:hAnsi="Courier New"/>
          <w:sz w:val="15"/>
          <w:szCs w:val="15"/>
          <w:color w:val="auto"/>
        </w:rPr>
        <w:t>means the committee described in Paragraph 5, provided that for purposes of Paragraph 7:</w:t>
      </w:r>
    </w:p>
    <w:p>
      <w:pPr>
        <w:sectPr>
          <w:pgSz w:w="11900" w:h="16870" w:orient="portrait"/>
          <w:cols w:equalWidth="0" w:num="1">
            <w:col w:w="10228"/>
          </w:cols>
          <w:pgMar w:left="231" w:top="139" w:right="1440" w:bottom="0" w:gutter="0" w:footer="0" w:header="0"/>
        </w:sectPr>
      </w:pPr>
    </w:p>
    <w:bookmarkStart w:id="219" w:name="page220"/>
    <w:bookmarkEnd w:id="219"/>
    <w:p>
      <w:pPr>
        <w:jc w:val="both"/>
        <w:ind w:right="3119" w:firstLine="3186"/>
        <w:spacing w:after="0" w:line="239" w:lineRule="auto"/>
        <w:tabs>
          <w:tab w:leader="none" w:pos="355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Committee shall be treated as references to the Board with respect to any Option granted to or held by a Non-Employee Director; and</w:t>
      </w:r>
    </w:p>
    <w:p>
      <w:pPr>
        <w:spacing w:after="0" w:line="172"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Committee shall</w:t>
      </w:r>
    </w:p>
    <w:p>
      <w:pPr>
        <w:spacing w:after="0" w:line="3" w:lineRule="exact"/>
        <w:rPr>
          <w:rFonts w:ascii="Courier New" w:cs="Courier New" w:eastAsia="Courier New" w:hAnsi="Courier New"/>
          <w:sz w:val="15"/>
          <w:szCs w:val="15"/>
          <w:color w:val="auto"/>
        </w:rPr>
      </w:pPr>
    </w:p>
    <w:p>
      <w:pPr>
        <w:ind w:right="31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 treated as references to the Committee's delegate with respect to any Option granted within the scope of the delegate's authority pursuant to Paragraph 5(b).</w:t>
      </w:r>
    </w:p>
    <w:p>
      <w:pPr>
        <w:spacing w:after="0" w:line="15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(j) "Common Stock" means the Sponsor's Class A Common</w:t>
      </w:r>
    </w:p>
    <w:p>
      <w:pPr>
        <w:spacing w:after="0" w:line="9"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5"/>
          <w:szCs w:val="15"/>
          <w:color w:val="auto"/>
        </w:rPr>
        <w:t>Stock, par value, $.01.</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2840" w:hanging="453"/>
        <w:spacing w:after="0"/>
        <w:tabs>
          <w:tab w:leader="none" w:pos="28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the  Subsidiary</w:t>
      </w:r>
    </w:p>
    <w:p>
      <w:pPr>
        <w:spacing w:after="0" w:line="9"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Companies.</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2840" w:hanging="453"/>
        <w:spacing w:after="0"/>
        <w:tabs>
          <w:tab w:leader="none" w:pos="28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w:t>
      </w:r>
    </w:p>
    <w:p>
      <w:pPr>
        <w:spacing w:after="0" w:line="9"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Option is granted.</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2840" w:hanging="453"/>
        <w:spacing w:after="0"/>
        <w:tabs>
          <w:tab w:leader="none" w:pos="28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w:t>
      </w:r>
    </w:p>
    <w:p>
      <w:pPr>
        <w:spacing w:after="0" w:line="9" w:lineRule="exact"/>
        <w:rPr>
          <w:rFonts w:ascii="Courier New" w:cs="Courier New" w:eastAsia="Courier New" w:hAnsi="Courier New"/>
          <w:sz w:val="14"/>
          <w:szCs w:val="14"/>
          <w:color w:val="auto"/>
        </w:rPr>
      </w:pPr>
    </w:p>
    <w:p>
      <w:pPr>
        <w:ind w:left="29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 of section 22(e)(3)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171" w:lineRule="exact"/>
        <w:rPr>
          <w:sz w:val="20"/>
          <w:szCs w:val="20"/>
          <w:color w:val="auto"/>
        </w:rPr>
      </w:pPr>
    </w:p>
    <w:p>
      <w:pPr>
        <w:ind w:left="2740" w:hanging="353"/>
        <w:spacing w:after="0"/>
        <w:tabs>
          <w:tab w:leader="none" w:pos="274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74" w:lineRule="exact"/>
        <w:rPr>
          <w:sz w:val="20"/>
          <w:szCs w:val="20"/>
          <w:color w:val="auto"/>
        </w:rPr>
      </w:pPr>
    </w:p>
    <w:p>
      <w:pPr>
        <w:ind w:left="2740" w:hanging="353"/>
        <w:spacing w:after="0"/>
        <w:tabs>
          <w:tab w:leader="none" w:pos="27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Family"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means an Optionee's spouse and lineal descendants, any trust all beneficiaries of which are any of such persons and any partnership all partners of which are any of such persons.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2" w:right="1440" w:bottom="1440" w:gutter="0" w:footer="0" w:header="0"/>
        </w:sectPr>
      </w:pPr>
    </w:p>
    <w:bookmarkStart w:id="220" w:name="page221"/>
    <w:bookmarkEnd w:id="220"/>
    <w:p>
      <w:pPr>
        <w:ind w:left="2740" w:hanging="353"/>
        <w:spacing w:after="0"/>
        <w:tabs>
          <w:tab w:leader="none" w:pos="27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4" w:lineRule="exact"/>
        <w:rPr>
          <w:sz w:val="20"/>
          <w:szCs w:val="20"/>
          <w:color w:val="auto"/>
        </w:rPr>
      </w:pPr>
    </w:p>
    <w:p>
      <w:pPr>
        <w:ind w:left="2840" w:hanging="453"/>
        <w:spacing w:after="0"/>
        <w:tabs>
          <w:tab w:leader="none" w:pos="284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means an individual who is a member of the Board, and who is not an employee of a Company, including an individual who is a member of the Board and who previously was, but at the time of reference is not, an employee of a Company.</w:t>
      </w:r>
    </w:p>
    <w:p>
      <w:pPr>
        <w:spacing w:after="0" w:line="174" w:lineRule="exact"/>
        <w:rPr>
          <w:sz w:val="20"/>
          <w:szCs w:val="20"/>
          <w:color w:val="auto"/>
        </w:rPr>
      </w:pPr>
    </w:p>
    <w:p>
      <w:pPr>
        <w:ind w:left="2740" w:hanging="353"/>
        <w:spacing w:after="0"/>
        <w:tabs>
          <w:tab w:leader="none" w:pos="274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 means: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w:t>
      </w:r>
    </w:p>
    <w:p>
      <w:pPr>
        <w:spacing w:after="0" w:line="3" w:lineRule="exact"/>
        <w:rPr>
          <w:rFonts w:ascii="Courier New" w:cs="Courier New" w:eastAsia="Courier New" w:hAnsi="Courier New"/>
          <w:sz w:val="15"/>
          <w:szCs w:val="15"/>
          <w:color w:val="auto"/>
        </w:rPr>
      </w:pPr>
    </w:p>
    <w:p>
      <w:pPr>
        <w:ind w:right="32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designated by the Committee at the time of such grant as a Non-Qualified Option and containing the terms specified herein for Non-Qualified Options; and</w:t>
      </w:r>
    </w:p>
    <w:p>
      <w:pPr>
        <w:spacing w:after="0" w:line="15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and</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by the Committee at the time of grant as an Incentive Stock Option, to the extent such Option fails to satisfy the requirements for an incentive stock option under section 422 of the Code for any reason.</w:t>
      </w:r>
    </w:p>
    <w:p>
      <w:pPr>
        <w:spacing w:after="0" w:line="172"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firstLine="2396"/>
        <w:spacing w:after="0" w:line="238" w:lineRule="auto"/>
        <w:rPr>
          <w:sz w:val="20"/>
          <w:szCs w:val="20"/>
          <w:color w:val="auto"/>
        </w:rPr>
      </w:pPr>
      <w:r>
        <w:rPr>
          <w:rFonts w:ascii="Courier New" w:cs="Courier New" w:eastAsia="Courier New" w:hAnsi="Courier New"/>
          <w:sz w:val="15"/>
          <w:szCs w:val="15"/>
          <w:color w:val="auto"/>
        </w:rPr>
        <w:t>means an officer of the Sponsor (as defined in section 16 of the 1934 Act).</w:t>
      </w:r>
    </w:p>
    <w:p>
      <w:pPr>
        <w:spacing w:after="0" w:line="172" w:lineRule="exact"/>
        <w:rPr>
          <w:sz w:val="20"/>
          <w:szCs w:val="20"/>
          <w:color w:val="auto"/>
        </w:rPr>
      </w:pPr>
    </w:p>
    <w:p>
      <w:pPr>
        <w:ind w:left="2740" w:hanging="353"/>
        <w:spacing w:after="0"/>
        <w:tabs>
          <w:tab w:leader="none" w:pos="27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662"/>
        <w:spacing w:after="0" w:line="238" w:lineRule="auto"/>
        <w:rPr>
          <w:sz w:val="20"/>
          <w:szCs w:val="20"/>
          <w:color w:val="auto"/>
        </w:rPr>
      </w:pPr>
      <w:r>
        <w:rPr>
          <w:rFonts w:ascii="Courier New" w:cs="Courier New" w:eastAsia="Courier New" w:hAnsi="Courier New"/>
          <w:sz w:val="15"/>
          <w:szCs w:val="15"/>
          <w:color w:val="auto"/>
        </w:rPr>
        <w:t>means any stock option granted under the Plan and described in Paragraph 3(a)(i) or Paragraph 3(a)(ii).</w:t>
      </w:r>
    </w:p>
    <w:p>
      <w:pPr>
        <w:spacing w:after="0" w:line="172" w:lineRule="exact"/>
        <w:rPr>
          <w:sz w:val="20"/>
          <w:szCs w:val="20"/>
          <w:color w:val="auto"/>
        </w:rPr>
      </w:pPr>
    </w:p>
    <w:p>
      <w:pPr>
        <w:ind w:left="2840" w:hanging="453"/>
        <w:spacing w:after="0"/>
        <w:tabs>
          <w:tab w:leader="none" w:pos="284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39" w:lineRule="auto"/>
        <w:rPr>
          <w:sz w:val="20"/>
          <w:szCs w:val="20"/>
          <w:color w:val="auto"/>
        </w:rPr>
      </w:pPr>
      <w:r>
        <w:rPr>
          <w:rFonts w:ascii="Courier New" w:cs="Courier New" w:eastAsia="Courier New" w:hAnsi="Courier New"/>
          <w:sz w:val="15"/>
          <w:szCs w:val="15"/>
          <w:color w:val="auto"/>
        </w:rPr>
        <w:t>means a person to whom an Option has been granted under the Plan, which Option has not been exercised in full and has not expired or terminated.</w:t>
      </w:r>
    </w:p>
    <w:p>
      <w:pPr>
        <w:spacing w:after="0" w:line="172" w:lineRule="exact"/>
        <w:rPr>
          <w:sz w:val="20"/>
          <w:szCs w:val="20"/>
          <w:color w:val="auto"/>
        </w:rPr>
      </w:pPr>
    </w:p>
    <w:p>
      <w:pPr>
        <w:ind w:left="2740" w:hanging="353"/>
        <w:spacing w:after="0"/>
        <w:tabs>
          <w:tab w:leader="none" w:pos="274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as of any date, the sum of:</w:t>
      </w:r>
    </w:p>
    <w:p>
      <w:pPr>
        <w:spacing w:after="0" w:line="174" w:lineRule="exact"/>
        <w:rPr>
          <w:sz w:val="20"/>
          <w:szCs w:val="20"/>
          <w:color w:val="auto"/>
        </w:rPr>
      </w:pPr>
    </w:p>
    <w:p>
      <w:pPr>
        <w:jc w:val="both"/>
        <w:ind w:right="3299" w:firstLine="3186"/>
        <w:spacing w:after="0" w:line="239" w:lineRule="auto"/>
        <w:tabs>
          <w:tab w:leader="none" w:pos="355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an Optionee that were not acquired by such Optionee pursuant to a Comcast Plan or otherwise in connection with the performance of services to the Sponsor or an Affiliate; plus</w:t>
      </w:r>
    </w:p>
    <w:p>
      <w:pPr>
        <w:spacing w:after="0" w:line="173"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w:t>
      </w:r>
    </w:p>
    <w:p>
      <w:pPr>
        <w:spacing w:after="0" w:line="174" w:lineRule="exact"/>
        <w:rPr>
          <w:rFonts w:ascii="Courier New" w:cs="Courier New" w:eastAsia="Courier New" w:hAnsi="Courier New"/>
          <w:sz w:val="15"/>
          <w:szCs w:val="15"/>
          <w:color w:val="auto"/>
        </w:rPr>
      </w:pPr>
    </w:p>
    <w:p>
      <w:pPr>
        <w:ind w:left="4260" w:hanging="364"/>
        <w:spacing w:after="0"/>
        <w:tabs>
          <w:tab w:leader="none" w:pos="4260"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by an Optionee other than the Shares described in Paragraph 2(v)(i); over</w:t>
      </w:r>
    </w:p>
    <w:p>
      <w:pPr>
        <w:spacing w:after="0" w:line="171" w:lineRule="exact"/>
        <w:rPr>
          <w:rFonts w:ascii="Courier New" w:cs="Courier New" w:eastAsia="Courier New" w:hAnsi="Courier New"/>
          <w:sz w:val="14"/>
          <w:szCs w:val="14"/>
          <w:color w:val="auto"/>
        </w:rPr>
      </w:pPr>
    </w:p>
    <w:p>
      <w:pPr>
        <w:ind w:left="4260" w:hanging="364"/>
        <w:spacing w:after="0"/>
        <w:tabs>
          <w:tab w:leader="none" w:pos="426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1" w:lineRule="exact"/>
        <w:rPr>
          <w:sz w:val="20"/>
          <w:szCs w:val="20"/>
          <w:color w:val="auto"/>
        </w:rPr>
      </w:pPr>
    </w:p>
    <w:p>
      <w:pPr>
        <w:ind w:left="4700"/>
        <w:spacing w:after="0"/>
        <w:tabs>
          <w:tab w:leader="none" w:pos="5120" w:val="left"/>
          <w:tab w:leader="none" w:pos="5660" w:val="left"/>
          <w:tab w:leader="none" w:pos="6360" w:val="left"/>
          <w:tab w:leader="none" w:pos="6720" w:val="left"/>
        </w:tabs>
        <w:rPr>
          <w:sz w:val="20"/>
          <w:szCs w:val="20"/>
          <w:color w:val="auto"/>
        </w:rPr>
      </w:pPr>
      <w:r>
        <w:rPr>
          <w:rFonts w:ascii="Courier New" w:cs="Courier New" w:eastAsia="Courier New" w:hAnsi="Courier New"/>
          <w:sz w:val="15"/>
          <w:szCs w:val="15"/>
          <w:color w:val="auto"/>
        </w:rPr>
        <w:t>(1)</w:t>
        <w:tab/>
        <w:t>the</w:t>
      </w:r>
      <w:r>
        <w:rPr>
          <w:sz w:val="20"/>
          <w:szCs w:val="20"/>
          <w:color w:val="auto"/>
        </w:rPr>
        <w:tab/>
      </w:r>
      <w:r>
        <w:rPr>
          <w:rFonts w:ascii="Courier New" w:cs="Courier New" w:eastAsia="Courier New" w:hAnsi="Courier New"/>
          <w:sz w:val="15"/>
          <w:szCs w:val="15"/>
          <w:color w:val="auto"/>
        </w:rPr>
        <w:t>number</w:t>
        <w:tab/>
        <w:t>of</w:t>
        <w:tab/>
        <w:t>such</w:t>
      </w:r>
    </w:p>
    <w:p>
      <w:pPr>
        <w:spacing w:after="0" w:line="3" w:lineRule="exact"/>
        <w:rPr>
          <w:sz w:val="20"/>
          <w:szCs w:val="20"/>
          <w:color w:val="auto"/>
        </w:rPr>
      </w:pPr>
    </w:p>
    <w:p>
      <w:pPr>
        <w:ind w:left="3360" w:right="4899" w:hanging="3371"/>
        <w:spacing w:after="0" w:line="478" w:lineRule="auto"/>
        <w:rPr>
          <w:sz w:val="20"/>
          <w:szCs w:val="20"/>
          <w:color w:val="auto"/>
        </w:rPr>
      </w:pPr>
      <w:r>
        <w:rPr>
          <w:rFonts w:ascii="Courier New" w:cs="Courier New" w:eastAsia="Courier New" w:hAnsi="Courier New"/>
          <w:sz w:val="15"/>
          <w:szCs w:val="15"/>
          <w:color w:val="auto"/>
        </w:rPr>
        <w:t>Shares owned by such Optionee for less than six months; plus -3-</w:t>
      </w:r>
    </w:p>
    <w:p>
      <w:pPr>
        <w:sectPr>
          <w:pgSz w:w="11900" w:h="16838" w:orient="portrait"/>
          <w:cols w:equalWidth="0" w:num="1">
            <w:col w:w="10219"/>
          </w:cols>
          <w:pgMar w:left="240" w:top="628" w:right="1440" w:bottom="1440" w:gutter="0" w:footer="0" w:header="0"/>
        </w:sectPr>
      </w:pPr>
    </w:p>
    <w:bookmarkStart w:id="221" w:name="page222"/>
    <w:bookmarkEnd w:id="221"/>
    <w:p>
      <w:pPr>
        <w:ind w:left="4700"/>
        <w:spacing w:after="0"/>
        <w:tabs>
          <w:tab w:leader="none" w:pos="5120" w:val="left"/>
          <w:tab w:leader="none" w:pos="5660" w:val="left"/>
          <w:tab w:leader="none" w:pos="6360" w:val="left"/>
          <w:tab w:leader="none" w:pos="6720" w:val="left"/>
        </w:tabs>
        <w:rPr>
          <w:sz w:val="20"/>
          <w:szCs w:val="20"/>
          <w:color w:val="auto"/>
        </w:rPr>
      </w:pPr>
      <w:r>
        <w:rPr>
          <w:rFonts w:ascii="Courier New" w:cs="Courier New" w:eastAsia="Courier New" w:hAnsi="Courier New"/>
          <w:sz w:val="15"/>
          <w:szCs w:val="15"/>
          <w:color w:val="auto"/>
        </w:rPr>
        <w:t>(2)</w:t>
        <w:tab/>
        <w:t>the</w:t>
      </w:r>
      <w:r>
        <w:rPr>
          <w:sz w:val="20"/>
          <w:szCs w:val="20"/>
          <w:color w:val="auto"/>
        </w:rPr>
        <w:tab/>
      </w:r>
      <w:r>
        <w:rPr>
          <w:rFonts w:ascii="Courier New" w:cs="Courier New" w:eastAsia="Courier New" w:hAnsi="Courier New"/>
          <w:sz w:val="15"/>
          <w:szCs w:val="15"/>
          <w:color w:val="auto"/>
        </w:rPr>
        <w:t>number</w:t>
        <w:tab/>
        <w:t>of</w:t>
        <w:tab/>
        <w:t>such</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Shares owned by such Optionee that has, within the preceding six months, been the subject of a withholding certification pursuant to Paragraph 15(b) or any similar withholding certification under any other Comcast Plan; plus</w:t>
      </w:r>
    </w:p>
    <w:p>
      <w:pPr>
        <w:spacing w:after="0" w:line="172" w:lineRule="exact"/>
        <w:rPr>
          <w:sz w:val="20"/>
          <w:szCs w:val="20"/>
          <w:color w:val="auto"/>
        </w:rPr>
      </w:pPr>
    </w:p>
    <w:p>
      <w:pPr>
        <w:ind w:left="4700"/>
        <w:spacing w:after="0"/>
        <w:tabs>
          <w:tab w:leader="none" w:pos="5120" w:val="left"/>
          <w:tab w:leader="none" w:pos="5660" w:val="left"/>
          <w:tab w:leader="none" w:pos="6360" w:val="left"/>
          <w:tab w:leader="none" w:pos="6720" w:val="left"/>
        </w:tabs>
        <w:rPr>
          <w:sz w:val="20"/>
          <w:szCs w:val="20"/>
          <w:color w:val="auto"/>
        </w:rPr>
      </w:pPr>
      <w:r>
        <w:rPr>
          <w:rFonts w:ascii="Courier New" w:cs="Courier New" w:eastAsia="Courier New" w:hAnsi="Courier New"/>
          <w:sz w:val="15"/>
          <w:szCs w:val="15"/>
          <w:color w:val="auto"/>
        </w:rPr>
        <w:t>(3)</w:t>
        <w:tab/>
        <w:t>the</w:t>
      </w:r>
      <w:r>
        <w:rPr>
          <w:sz w:val="20"/>
          <w:szCs w:val="20"/>
          <w:color w:val="auto"/>
        </w:rPr>
        <w:tab/>
      </w:r>
      <w:r>
        <w:rPr>
          <w:rFonts w:ascii="Courier New" w:cs="Courier New" w:eastAsia="Courier New" w:hAnsi="Courier New"/>
          <w:sz w:val="15"/>
          <w:szCs w:val="15"/>
          <w:color w:val="auto"/>
        </w:rPr>
        <w:t>number</w:t>
        <w:tab/>
        <w:t>of</w:t>
        <w:tab/>
        <w:t>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owned by such Optionee that has, within the preceding six months,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in exchange for Shares surrendered as payment, in full or in part,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ownership was attested to as payment, in full or in part,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 for an option to purchase any securities of the Sponsor or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of the Sponsor, under any Comcast Plan, but only to the extent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surrendered or attested to; plus</w:t>
      </w:r>
    </w:p>
    <w:p>
      <w:pPr>
        <w:spacing w:after="0" w:line="17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(4) the number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owned by such Optionee as to which evidence of ownership has, within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preceding six months, been provided to the Sponsor in connection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crediting of "Deferred Stock Units" to such Optionee's Account under the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2002 Deferred Stock Option Plan (as in effect from time to time).</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75" w:lineRule="exact"/>
        <w:rPr>
          <w:sz w:val="20"/>
          <w:szCs w:val="20"/>
          <w:color w:val="auto"/>
        </w:rPr>
      </w:pPr>
    </w:p>
    <w:p>
      <w:pPr>
        <w:ind w:left="2840" w:hanging="453"/>
        <w:spacing w:after="0"/>
        <w:tabs>
          <w:tab w:leader="none" w:pos="28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39" w:lineRule="auto"/>
        <w:rPr>
          <w:sz w:val="20"/>
          <w:szCs w:val="20"/>
          <w:color w:val="auto"/>
        </w:rPr>
      </w:pPr>
      <w:r>
        <w:rPr>
          <w:rFonts w:ascii="Courier New" w:cs="Courier New" w:eastAsia="Courier New" w:hAnsi="Courier New"/>
          <w:sz w:val="15"/>
          <w:szCs w:val="15"/>
          <w:color w:val="auto"/>
        </w:rPr>
        <w:t>means a member of the Board who is an "outside director" within the meaning of section 162(m)(4)(C) of the Code and applicable Treasury Regulations issued thereunder.</w:t>
      </w:r>
    </w:p>
    <w:p>
      <w:pPr>
        <w:spacing w:after="0" w:line="172" w:lineRule="exact"/>
        <w:rPr>
          <w:sz w:val="20"/>
          <w:szCs w:val="20"/>
          <w:color w:val="auto"/>
        </w:rPr>
      </w:pPr>
    </w:p>
    <w:p>
      <w:pPr>
        <w:ind w:left="2740" w:hanging="353"/>
        <w:spacing w:after="0"/>
        <w:tabs>
          <w:tab w:leader="none" w:pos="27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8" w:lineRule="auto"/>
        <w:rPr>
          <w:sz w:val="20"/>
          <w:szCs w:val="20"/>
          <w:color w:val="auto"/>
        </w:rPr>
      </w:pPr>
      <w:r>
        <w:rPr>
          <w:rFonts w:ascii="Courier New" w:cs="Courier New" w:eastAsia="Courier New" w:hAnsi="Courier New"/>
          <w:sz w:val="15"/>
          <w:szCs w:val="15"/>
          <w:color w:val="auto"/>
        </w:rPr>
        <w:t>means an individual, a corporation, a partnership, an association, a trust or any other entity or organization.</w:t>
      </w:r>
    </w:p>
    <w:p>
      <w:pPr>
        <w:spacing w:after="0" w:line="172" w:lineRule="exact"/>
        <w:rPr>
          <w:sz w:val="20"/>
          <w:szCs w:val="20"/>
          <w:color w:val="auto"/>
        </w:rPr>
      </w:pPr>
    </w:p>
    <w:p>
      <w:pPr>
        <w:ind w:left="2740" w:hanging="353"/>
        <w:spacing w:after="0"/>
        <w:tabs>
          <w:tab w:leader="none" w:pos="27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means the Comcast Corporation 2002 Stock Option Plan.</w:t>
      </w:r>
    </w:p>
    <w:p>
      <w:pPr>
        <w:spacing w:after="0" w:line="171" w:lineRule="exact"/>
        <w:rPr>
          <w:sz w:val="20"/>
          <w:szCs w:val="20"/>
          <w:color w:val="auto"/>
        </w:rPr>
      </w:pPr>
    </w:p>
    <w:p>
      <w:pPr>
        <w:ind w:left="2740" w:hanging="353"/>
        <w:spacing w:after="0"/>
        <w:tabs>
          <w:tab w:leader="none" w:pos="274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w:t>
      </w:r>
    </w:p>
    <w:p>
      <w:pPr>
        <w:ind w:left="3800" w:hanging="969"/>
        <w:spacing w:after="0"/>
        <w:tabs>
          <w:tab w:leader="none" w:pos="380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40" w:hanging="354"/>
        <w:spacing w:after="0"/>
        <w:tabs>
          <w:tab w:leader="none" w:pos="3540"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Paragraph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2(z), a share or shares Common Stock;</w:t>
      </w:r>
    </w:p>
    <w:p>
      <w:pPr>
        <w:spacing w:after="0" w:line="174" w:lineRule="exact"/>
        <w:rPr>
          <w:rFonts w:ascii="Courier New" w:cs="Courier New" w:eastAsia="Courier New" w:hAnsi="Courier New"/>
          <w:sz w:val="15"/>
          <w:szCs w:val="15"/>
          <w:color w:val="auto"/>
        </w:rPr>
      </w:pPr>
    </w:p>
    <w:p>
      <w:pPr>
        <w:jc w:val="both"/>
        <w:ind w:right="3299" w:firstLine="3186"/>
        <w:spacing w:after="0" w:line="239" w:lineRule="auto"/>
        <w:tabs>
          <w:tab w:leader="none" w:pos="3639"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Paragraphs 2(v), 7(d) and Paragraph 15, the term "Share" or "Shares" also means a share or shares of Special Common Stock.</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"Share" or "Shares" also</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means such other securities issued by the Sponsor as may be the subject of an adjustment under Paragraph 10, or for purposes of Paragraph 2(v) and Paragraph 15, as may have been the subject of a similar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222" w:name="page223"/>
    <w:bookmarkEnd w:id="222"/>
    <w:p>
      <w:pPr>
        <w:ind w:right="3119"/>
        <w:spacing w:after="0" w:line="238" w:lineRule="auto"/>
        <w:rPr>
          <w:sz w:val="20"/>
          <w:szCs w:val="20"/>
          <w:color w:val="auto"/>
        </w:rPr>
      </w:pPr>
      <w:r>
        <w:rPr>
          <w:rFonts w:ascii="Courier New" w:cs="Courier New" w:eastAsia="Courier New" w:hAnsi="Courier New"/>
          <w:sz w:val="15"/>
          <w:szCs w:val="15"/>
          <w:color w:val="auto"/>
        </w:rPr>
        <w:t>adjustment under similar provisions of a Comcast Plan as now in effect or as may have been in effect before the AT&amp;T Broadband Transaction.</w:t>
      </w:r>
    </w:p>
    <w:p>
      <w:pPr>
        <w:spacing w:after="0" w:line="172" w:lineRule="exact"/>
        <w:rPr>
          <w:sz w:val="20"/>
          <w:szCs w:val="20"/>
          <w:color w:val="auto"/>
        </w:rPr>
      </w:pPr>
    </w:p>
    <w:p>
      <w:pPr>
        <w:ind w:left="2840" w:hanging="453"/>
        <w:spacing w:after="0"/>
        <w:tabs>
          <w:tab w:leader="none" w:pos="28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Common Stock"</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means the Sponsor's Class A Special Common Stock, par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$0.01.</w:t>
      </w:r>
    </w:p>
    <w:p>
      <w:pPr>
        <w:spacing w:after="0" w:line="171" w:lineRule="exact"/>
        <w:rPr>
          <w:sz w:val="20"/>
          <w:szCs w:val="20"/>
          <w:color w:val="auto"/>
        </w:rPr>
      </w:pPr>
    </w:p>
    <w:p>
      <w:pPr>
        <w:ind w:left="3000" w:hanging="613"/>
        <w:spacing w:after="0"/>
        <w:tabs>
          <w:tab w:leader="none" w:pos="30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w:t>
      </w:r>
    </w:p>
    <w:p>
      <w:pPr>
        <w:ind w:left="3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62" w:lineRule="auto"/>
        <w:rPr>
          <w:sz w:val="20"/>
          <w:szCs w:val="20"/>
          <w:color w:val="auto"/>
        </w:rPr>
      </w:pPr>
      <w:r>
        <w:rPr>
          <w:rFonts w:ascii="Courier New" w:cs="Courier New" w:eastAsia="Courier New" w:hAnsi="Courier New"/>
          <w:sz w:val="14"/>
          <w:szCs w:val="14"/>
          <w:color w:val="auto"/>
        </w:rPr>
        <w:t>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58" w:lineRule="exact"/>
        <w:rPr>
          <w:sz w:val="20"/>
          <w:szCs w:val="20"/>
          <w:color w:val="auto"/>
        </w:rPr>
      </w:pPr>
    </w:p>
    <w:p>
      <w:pPr>
        <w:ind w:left="3000" w:hanging="613"/>
        <w:spacing w:after="0"/>
        <w:tabs>
          <w:tab w:leader="none" w:pos="30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w:t>
      </w:r>
    </w:p>
    <w:p>
      <w:pPr>
        <w:ind w:left="3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2396"/>
        <w:spacing w:after="0" w:line="239" w:lineRule="auto"/>
        <w:rPr>
          <w:sz w:val="20"/>
          <w:szCs w:val="20"/>
          <w:color w:val="auto"/>
        </w:rPr>
      </w:pPr>
      <w:r>
        <w:rPr>
          <w:rFonts w:ascii="Courier New" w:cs="Courier New" w:eastAsia="Courier New" w:hAnsi="Courier New"/>
          <w:sz w:val="15"/>
          <w:szCs w:val="15"/>
          <w:color w:val="auto"/>
        </w:rPr>
        <w:t>means all business entities that, at the time in question, are subsidiaries of the Sponsor within the meaning of section 424(f) of the Code.</w:t>
      </w:r>
    </w:p>
    <w:p>
      <w:pPr>
        <w:spacing w:after="0" w:line="172" w:lineRule="exact"/>
        <w:rPr>
          <w:sz w:val="20"/>
          <w:szCs w:val="20"/>
          <w:color w:val="auto"/>
        </w:rPr>
      </w:pPr>
    </w:p>
    <w:p>
      <w:pPr>
        <w:ind w:left="2840" w:hanging="453"/>
        <w:spacing w:after="0"/>
        <w:tabs>
          <w:tab w:leader="none" w:pos="284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60" w:lineRule="auto"/>
        <w:rPr>
          <w:sz w:val="20"/>
          <w:szCs w:val="20"/>
          <w:color w:val="auto"/>
        </w:rPr>
      </w:pPr>
      <w:r>
        <w:rPr>
          <w:rFonts w:ascii="Courier New" w:cs="Courier New" w:eastAsia="Courier New" w:hAnsi="Courier New"/>
          <w:sz w:val="14"/>
          <w:szCs w:val="14"/>
          <w:color w:val="auto"/>
        </w:rPr>
        <w:t>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1" w:lineRule="exact"/>
        <w:rPr>
          <w:sz w:val="20"/>
          <w:szCs w:val="20"/>
          <w:color w:val="auto"/>
        </w:rPr>
      </w:pPr>
    </w:p>
    <w:p>
      <w:pPr>
        <w:ind w:left="2920" w:hanging="533"/>
        <w:spacing w:after="0"/>
        <w:tabs>
          <w:tab w:leader="none" w:pos="292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w:t>
      </w: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any of the following events:</w:t>
      </w:r>
    </w:p>
    <w:p>
      <w:pPr>
        <w:spacing w:after="0" w:line="171" w:lineRule="exact"/>
        <w:rPr>
          <w:sz w:val="20"/>
          <w:szCs w:val="20"/>
          <w:color w:val="auto"/>
        </w:rPr>
      </w:pPr>
    </w:p>
    <w:p>
      <w:pPr>
        <w:ind w:left="3540" w:hanging="354"/>
        <w:spacing w:after="0"/>
        <w:tabs>
          <w:tab w:leader="none" w:pos="354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sz w:val="20"/>
          <w:szCs w:val="20"/>
          <w:color w:val="auto"/>
        </w:rPr>
      </w:pPr>
    </w:p>
    <w:p>
      <w:pPr>
        <w:ind w:left="2920" w:hanging="533"/>
        <w:spacing w:after="0"/>
        <w:tabs>
          <w:tab w:leader="none" w:pos="292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w:t>
      </w: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2396"/>
        <w:spacing w:after="0" w:line="239" w:lineRule="auto"/>
        <w:rPr>
          <w:sz w:val="20"/>
          <w:szCs w:val="20"/>
          <w:color w:val="auto"/>
        </w:rPr>
      </w:pPr>
      <w:r>
        <w:rPr>
          <w:rFonts w:ascii="Courier New" w:cs="Courier New" w:eastAsia="Courier New" w:hAnsi="Courier New"/>
          <w:sz w:val="15"/>
          <w:szCs w:val="15"/>
          <w:color w:val="auto"/>
        </w:rPr>
        <w:t>means any Person other than a Company, together with such Person's Affiliates, provided that the term "Third Party" shall not include the Sponsor or an Affiliate of the Sponsor.</w:t>
      </w:r>
    </w:p>
    <w:p>
      <w:pPr>
        <w:spacing w:after="0" w:line="172" w:lineRule="exact"/>
        <w:rPr>
          <w:sz w:val="20"/>
          <w:szCs w:val="20"/>
          <w:color w:val="auto"/>
        </w:rPr>
      </w:pPr>
    </w:p>
    <w:p>
      <w:pPr>
        <w:ind w:left="2840" w:hanging="453"/>
        <w:spacing w:after="0"/>
        <w:tabs>
          <w:tab w:leader="none" w:pos="284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the Securities Act of 1933, as amended.</w:t>
      </w:r>
    </w:p>
    <w:p>
      <w:pPr>
        <w:spacing w:after="0" w:line="171" w:lineRule="exact"/>
        <w:rPr>
          <w:sz w:val="20"/>
          <w:szCs w:val="20"/>
          <w:color w:val="auto"/>
        </w:rPr>
      </w:pPr>
    </w:p>
    <w:p>
      <w:pPr>
        <w:ind w:left="2840" w:hanging="453"/>
        <w:spacing w:after="0"/>
        <w:tabs>
          <w:tab w:leader="none" w:pos="284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means the Securities Exchange Act of 1934,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1" w:lineRule="exact"/>
        <w:rPr>
          <w:sz w:val="20"/>
          <w:szCs w:val="20"/>
          <w:color w:val="auto"/>
        </w:rPr>
      </w:pPr>
    </w:p>
    <w:p>
      <w:pPr>
        <w:ind w:left="2380" w:hanging="792"/>
        <w:spacing w:after="0"/>
        <w:tabs>
          <w:tab w:leader="none" w:pos="238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Options and Other Rights Available for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 Rights that may be granted under the Plan are:</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shareholder approval at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 of Shareholders of the Sponsor to be held on May 7, 2003 (or such other date as the 2003 Annual Meeting of Shareholders of the Sponsor may be held), Incentive Stock Options, which give an Optionee who is an employee of a Company the right for a specified time period to purchase a specified number of Shares for a price not less than the Fair Market Value on the Date of Grant, provided that if the shareholders decline to so approve the grant of Incentive Stock Options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23" w:name="page224"/>
    <w:bookmarkEnd w:id="223"/>
    <w:p>
      <w:pPr>
        <w:ind w:right="3579"/>
        <w:spacing w:after="0" w:line="239" w:lineRule="auto"/>
        <w:rPr>
          <w:sz w:val="20"/>
          <w:szCs w:val="20"/>
          <w:color w:val="auto"/>
        </w:rPr>
      </w:pPr>
      <w:r>
        <w:rPr>
          <w:rFonts w:ascii="Courier New" w:cs="Courier New" w:eastAsia="Courier New" w:hAnsi="Courier New"/>
          <w:sz w:val="15"/>
          <w:szCs w:val="15"/>
          <w:color w:val="auto"/>
        </w:rPr>
        <w:t>under the Plan, any Option granted before the 2003 Annual Meeting of Shareholders of the Sponsor that is designated as an Incentive Stock Option shall be treated thereafter as Non-Qualified Option.</w:t>
      </w:r>
    </w:p>
    <w:p>
      <w:pPr>
        <w:spacing w:after="0" w:line="172" w:lineRule="exact"/>
        <w:rPr>
          <w:sz w:val="20"/>
          <w:szCs w:val="20"/>
          <w:color w:val="auto"/>
        </w:rPr>
      </w:pPr>
    </w:p>
    <w:p>
      <w:pPr>
        <w:ind w:left="3620" w:hanging="434"/>
        <w:spacing w:after="0"/>
        <w:tabs>
          <w:tab w:leader="none" w:pos="362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which give the</w:t>
      </w:r>
    </w:p>
    <w:p>
      <w:pPr>
        <w:spacing w:after="0" w:line="3" w:lineRule="exact"/>
        <w:rPr>
          <w:rFonts w:ascii="Courier New" w:cs="Courier New" w:eastAsia="Courier New" w:hAnsi="Courier New"/>
          <w:sz w:val="15"/>
          <w:szCs w:val="15"/>
          <w:color w:val="auto"/>
        </w:rPr>
      </w:pPr>
    </w:p>
    <w:p>
      <w:pPr>
        <w:ind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the right for a specified time period to purchase a specified number of Shares for a price determined by the Committee; and</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which give an Optionee</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72" w:lineRule="exact"/>
        <w:rPr>
          <w:sz w:val="20"/>
          <w:szCs w:val="20"/>
          <w:color w:val="auto"/>
        </w:rPr>
      </w:pPr>
    </w:p>
    <w:p>
      <w:pPr>
        <w:ind w:left="2740" w:hanging="353"/>
        <w:spacing w:after="0"/>
        <w:tabs>
          <w:tab w:leader="none" w:pos="27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Grant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maximum number of Shares for which Options may be granted to any single individual in any calendar year, adjusted as provided in Paragraph 10, shall be 10,000,000 Shares.</w:t>
      </w:r>
    </w:p>
    <w:p>
      <w:pPr>
        <w:spacing w:after="0" w:line="172" w:lineRule="exact"/>
        <w:rPr>
          <w:sz w:val="20"/>
          <w:szCs w:val="20"/>
          <w:color w:val="auto"/>
        </w:rPr>
      </w:pPr>
    </w:p>
    <w:p>
      <w:pPr>
        <w:ind w:left="2380" w:hanging="792"/>
        <w:spacing w:after="0"/>
        <w:tabs>
          <w:tab w:leader="none" w:pos="238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Subject to adjustment as provided in Paragraph 10, not more than 70 million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75" w:lineRule="exact"/>
        <w:rPr>
          <w:sz w:val="20"/>
          <w:szCs w:val="20"/>
          <w:color w:val="auto"/>
        </w:rPr>
      </w:pPr>
    </w:p>
    <w:p>
      <w:pPr>
        <w:ind w:left="2380" w:hanging="792"/>
        <w:spacing w:after="0"/>
        <w:tabs>
          <w:tab w:leader="none" w:pos="238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Plan</w:t>
      </w:r>
    </w:p>
    <w:p>
      <w:pPr>
        <w:spacing w:after="0" w:line="171" w:lineRule="exact"/>
        <w:rPr>
          <w:sz w:val="20"/>
          <w:szCs w:val="20"/>
          <w:color w:val="auto"/>
        </w:rPr>
      </w:pPr>
    </w:p>
    <w:p>
      <w:pPr>
        <w:ind w:left="2740" w:hanging="353"/>
        <w:spacing w:after="0"/>
        <w:tabs>
          <w:tab w:leader="none" w:pos="274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62" w:lineRule="auto"/>
        <w:rPr>
          <w:sz w:val="20"/>
          <w:szCs w:val="20"/>
          <w:color w:val="auto"/>
        </w:rPr>
      </w:pPr>
      <w:r>
        <w:rPr>
          <w:rFonts w:ascii="Courier New" w:cs="Courier New" w:eastAsia="Courier New" w:hAnsi="Courier New"/>
          <w:sz w:val="14"/>
          <w:szCs w:val="14"/>
          <w:color w:val="auto"/>
        </w:rPr>
        <w:t>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58" w:lineRule="exact"/>
        <w:rPr>
          <w:sz w:val="20"/>
          <w:szCs w:val="20"/>
          <w:color w:val="auto"/>
        </w:rPr>
      </w:pPr>
    </w:p>
    <w:p>
      <w:pPr>
        <w:ind w:left="2840" w:hanging="453"/>
        <w:spacing w:after="0"/>
        <w:tabs>
          <w:tab w:leader="none" w:pos="28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The Committee may delegate to an officer of the Sponsor, or a committee of two or more officers of the Sponsor, discretion under the Plan to grant Options to any employee or officer of a Company who, at the time of the grant, has a base salary of less than $250,000; provided, however, that the maximum number of Shares subject to any Option granted to any individual pursuant to such delegation shall not exceed 50,000 Shares. Such delegation of authority shall continue in effect until the earliest of:</w:t>
      </w:r>
    </w:p>
    <w:p>
      <w:pPr>
        <w:spacing w:after="0" w:line="176" w:lineRule="exact"/>
        <w:rPr>
          <w:sz w:val="20"/>
          <w:szCs w:val="20"/>
          <w:color w:val="auto"/>
        </w:rPr>
      </w:pPr>
    </w:p>
    <w:p>
      <w:pPr>
        <w:ind w:left="3540" w:hanging="354"/>
        <w:spacing w:after="0"/>
        <w:tabs>
          <w:tab w:leader="none" w:pos="354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the Committee shall, in its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discretion, revoke such delegation of authority;</w:t>
      </w:r>
    </w:p>
    <w:p>
      <w:pPr>
        <w:spacing w:after="0" w:line="171" w:lineRule="exact"/>
        <w:rPr>
          <w:rFonts w:ascii="Courier New" w:cs="Courier New" w:eastAsia="Courier New" w:hAnsi="Courier New"/>
          <w:sz w:val="14"/>
          <w:szCs w:val="14"/>
          <w:color w:val="auto"/>
        </w:rPr>
      </w:pPr>
    </w:p>
    <w:p>
      <w:pPr>
        <w:ind w:left="3620" w:hanging="434"/>
        <w:spacing w:after="0"/>
        <w:tabs>
          <w:tab w:leader="none" w:pos="362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cease to be an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of the Company for any reason; or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24" w:name="page225"/>
    <w:bookmarkEnd w:id="224"/>
    <w:p>
      <w:pPr>
        <w:ind w:left="3720" w:hanging="534"/>
        <w:spacing w:after="0"/>
        <w:tabs>
          <w:tab w:leader="none" w:pos="3720"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notify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that he declines to continue exercise such authority.</w:t>
      </w:r>
    </w:p>
    <w:p>
      <w:pPr>
        <w:spacing w:after="0" w:line="171" w:lineRule="exact"/>
        <w:rPr>
          <w:rFonts w:ascii="Courier New" w:cs="Courier New" w:eastAsia="Courier New" w:hAnsi="Courier New"/>
          <w:sz w:val="15"/>
          <w:szCs w:val="15"/>
          <w:color w:val="auto"/>
        </w:rPr>
      </w:pPr>
    </w:p>
    <w:p>
      <w:pPr>
        <w:ind w:left="2840" w:hanging="364"/>
        <w:spacing w:after="0"/>
        <w:tabs>
          <w:tab w:leader="none" w:pos="284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4" w:lineRule="exact"/>
        <w:rPr>
          <w:sz w:val="20"/>
          <w:szCs w:val="20"/>
          <w:color w:val="auto"/>
        </w:rPr>
      </w:pPr>
    </w:p>
    <w:p>
      <w:pPr>
        <w:ind w:left="2740" w:hanging="353"/>
        <w:spacing w:after="0"/>
        <w:tabs>
          <w:tab w:leader="none" w:pos="27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60" w:lineRule="auto"/>
        <w:rPr>
          <w:sz w:val="20"/>
          <w:szCs w:val="20"/>
          <w:color w:val="auto"/>
        </w:rPr>
      </w:pPr>
      <w:r>
        <w:rPr>
          <w:rFonts w:ascii="Courier New" w:cs="Courier New" w:eastAsia="Courier New" w:hAnsi="Courier New"/>
          <w:sz w:val="14"/>
          <w:szCs w:val="14"/>
          <w:color w:val="auto"/>
        </w:rPr>
        <w:t>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59" w:lineRule="exact"/>
        <w:rPr>
          <w:sz w:val="20"/>
          <w:szCs w:val="20"/>
          <w:color w:val="auto"/>
        </w:rPr>
      </w:pPr>
    </w:p>
    <w:p>
      <w:pPr>
        <w:ind w:left="2840" w:hanging="453"/>
        <w:spacing w:after="0"/>
        <w:tabs>
          <w:tab w:leader="none" w:pos="28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5" w:lineRule="exact"/>
        <w:rPr>
          <w:sz w:val="20"/>
          <w:szCs w:val="20"/>
          <w:color w:val="auto"/>
        </w:rPr>
      </w:pPr>
    </w:p>
    <w:p>
      <w:pPr>
        <w:ind w:left="2380" w:hanging="792"/>
        <w:spacing w:after="0"/>
        <w:tabs>
          <w:tab w:leader="none" w:pos="238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individuals to whom Options may be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shall be employees other than employees who are Officers or individuals who are members of the Board. In addition, subject to shareholder approval at the Annual Meeting of Shareholders of the Sponsor to be held on May 7, 2003 (or such other date as the 2003 Annual Meeting of Shareholders of the Sponsor may be held), eligible individuals to whom Options may be granted shall include Officers who are selected by the Committee for the grant of Options and individuals who are members of the Board.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8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w:t>
      </w:r>
    </w:p>
    <w:p>
      <w:pPr>
        <w:spacing w:after="0" w:line="12"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225" w:name="page226"/>
    <w:bookmarkEnd w:id="225"/>
    <w:p>
      <w:pPr>
        <w:ind w:left="2380" w:hanging="792"/>
        <w:spacing w:after="0"/>
        <w:tabs>
          <w:tab w:leader="none" w:pos="238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In General</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72" w:lineRule="exact"/>
        <w:rPr>
          <w:sz w:val="20"/>
          <w:szCs w:val="20"/>
          <w:color w:val="auto"/>
        </w:rPr>
      </w:pPr>
    </w:p>
    <w:p>
      <w:pPr>
        <w:ind w:left="2740" w:hanging="353"/>
        <w:spacing w:after="0"/>
        <w:tabs>
          <w:tab w:leader="none" w:pos="274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All Options shall be granted on or before February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25, 2013.</w:t>
      </w:r>
    </w:p>
    <w:p>
      <w:pPr>
        <w:spacing w:after="0" w:line="171" w:lineRule="exact"/>
        <w:rPr>
          <w:sz w:val="20"/>
          <w:szCs w:val="20"/>
          <w:color w:val="auto"/>
        </w:rPr>
      </w:pPr>
    </w:p>
    <w:p>
      <w:pPr>
        <w:ind w:left="2740" w:hanging="353"/>
        <w:spacing w:after="0"/>
        <w:tabs>
          <w:tab w:leader="none" w:pos="27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rPr>
          <w:sz w:val="20"/>
          <w:szCs w:val="20"/>
          <w:color w:val="auto"/>
        </w:rPr>
      </w:pPr>
      <w:r>
        <w:rPr>
          <w:rFonts w:ascii="Courier New" w:cs="Courier New" w:eastAsia="Courier New" w:hAnsi="Courier New"/>
          <w:sz w:val="15"/>
          <w:szCs w:val="15"/>
          <w:color w:val="auto"/>
        </w:rPr>
        <w:t>Except as otherwise provided in Section 13(b),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74" w:lineRule="exact"/>
        <w:rPr>
          <w:sz w:val="20"/>
          <w:szCs w:val="20"/>
          <w:color w:val="auto"/>
        </w:rPr>
      </w:pPr>
    </w:p>
    <w:p>
      <w:pPr>
        <w:ind w:left="2840" w:hanging="453"/>
        <w:spacing w:after="0"/>
        <w:tabs>
          <w:tab w:leader="none" w:pos="284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Transferability.</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59" w:lineRule="auto"/>
        <w:rPr>
          <w:sz w:val="20"/>
          <w:szCs w:val="20"/>
          <w:color w:val="auto"/>
        </w:rPr>
      </w:pPr>
      <w:r>
        <w:rPr>
          <w:rFonts w:ascii="Courier New" w:cs="Courier New" w:eastAsia="Courier New" w:hAnsi="Courier New"/>
          <w:sz w:val="14"/>
          <w:szCs w:val="14"/>
          <w:color w:val="auto"/>
        </w:rPr>
        <w:t>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30" w:lineRule="exact"/>
        <w:rPr>
          <w:sz w:val="20"/>
          <w:szCs w:val="20"/>
          <w:color w:val="auto"/>
        </w:rPr>
      </w:pPr>
    </w:p>
    <w:p>
      <w:pPr>
        <w:ind w:left="2740" w:hanging="353"/>
        <w:spacing w:after="0"/>
        <w:tabs>
          <w:tab w:leader="none" w:pos="274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2396"/>
        <w:spacing w:after="0" w:line="259" w:lineRule="auto"/>
        <w:rPr>
          <w:sz w:val="20"/>
          <w:szCs w:val="20"/>
          <w:color w:val="auto"/>
        </w:rPr>
      </w:pPr>
      <w:r>
        <w:rPr>
          <w:rFonts w:ascii="Courier New" w:cs="Courier New" w:eastAsia="Courier New" w:hAnsi="Courier New"/>
          <w:sz w:val="14"/>
          <w:szCs w:val="14"/>
          <w:color w:val="auto"/>
        </w:rPr>
        <w:t>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provided, however,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9" w:right="1440" w:bottom="1440" w:gutter="0" w:footer="0" w:header="0"/>
        </w:sectPr>
      </w:pPr>
    </w:p>
    <w:bookmarkStart w:id="226" w:name="page227"/>
    <w:bookmarkEnd w:id="226"/>
    <w:p>
      <w:pPr>
        <w:ind w:right="3119"/>
        <w:spacing w:after="0" w:line="258" w:lineRule="auto"/>
        <w:rPr>
          <w:sz w:val="20"/>
          <w:szCs w:val="20"/>
          <w:color w:val="auto"/>
        </w:rPr>
      </w:pPr>
      <w:r>
        <w:rPr>
          <w:rFonts w:ascii="Courier New" w:cs="Courier New" w:eastAsia="Courier New" w:hAnsi="Courier New"/>
          <w:sz w:val="14"/>
          <w:szCs w:val="14"/>
          <w:color w:val="auto"/>
        </w:rPr>
        <w:t>Shares as to which ownership has been attested, or the number of Shares to be surrendered in satisfaction of the Option Price, as applicable;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345" w:lineRule="exact"/>
        <w:rPr>
          <w:sz w:val="20"/>
          <w:szCs w:val="20"/>
          <w:color w:val="auto"/>
        </w:rPr>
      </w:pPr>
    </w:p>
    <w:p>
      <w:pPr>
        <w:ind w:left="2740" w:hanging="353"/>
        <w:spacing w:after="0"/>
        <w:tabs>
          <w:tab w:leader="none" w:pos="274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w:t>
      </w:r>
    </w:p>
    <w:p>
      <w:pPr>
        <w:spacing w:after="0" w:line="9"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219" w:firstLine="2396"/>
        <w:spacing w:after="0"/>
        <w:rPr>
          <w:sz w:val="20"/>
          <w:szCs w:val="20"/>
          <w:color w:val="auto"/>
        </w:rPr>
      </w:pPr>
      <w:r>
        <w:rPr>
          <w:rFonts w:ascii="Courier New" w:cs="Courier New" w:eastAsia="Courier New" w:hAnsi="Courier New"/>
          <w:sz w:val="15"/>
          <w:szCs w:val="15"/>
          <w:color w:val="auto"/>
        </w:rPr>
        <w:t>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2" w:lineRule="exact"/>
        <w:rPr>
          <w:sz w:val="20"/>
          <w:szCs w:val="20"/>
          <w:color w:val="auto"/>
        </w:rPr>
      </w:pPr>
    </w:p>
    <w:p>
      <w:pPr>
        <w:ind w:left="2840" w:hanging="453"/>
        <w:spacing w:after="0"/>
        <w:tabs>
          <w:tab w:leader="none" w:pos="284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 purposes of the Plan, a transfer of an employee</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61" w:lineRule="exact"/>
        <w:rPr>
          <w:sz w:val="20"/>
          <w:szCs w:val="20"/>
          <w:color w:val="auto"/>
        </w:rPr>
      </w:pPr>
    </w:p>
    <w:p>
      <w:pPr>
        <w:ind w:left="2740" w:hanging="353"/>
        <w:spacing w:after="0"/>
        <w:tabs>
          <w:tab w:leader="none" w:pos="274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27" w:name="page228"/>
    <w:bookmarkEnd w:id="227"/>
    <w:p>
      <w:pPr>
        <w:ind w:right="3399"/>
        <w:spacing w:after="0"/>
        <w:rPr>
          <w:sz w:val="20"/>
          <w:szCs w:val="20"/>
          <w:color w:val="auto"/>
        </w:rPr>
      </w:pPr>
      <w:r>
        <w:rPr>
          <w:rFonts w:ascii="Courier New" w:cs="Courier New" w:eastAsia="Courier New" w:hAnsi="Courier New"/>
          <w:sz w:val="15"/>
          <w:szCs w:val="15"/>
          <w:color w:val="auto"/>
        </w:rPr>
        <w:t>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75" w:lineRule="exact"/>
        <w:rPr>
          <w:sz w:val="20"/>
          <w:szCs w:val="20"/>
          <w:color w:val="auto"/>
        </w:rPr>
      </w:pPr>
    </w:p>
    <w:p>
      <w:pPr>
        <w:ind w:right="3119" w:firstLine="3186"/>
        <w:spacing w:after="0"/>
        <w:tabs>
          <w:tab w:leader="none" w:pos="355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7"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w:t>
      </w:r>
    </w:p>
    <w:p>
      <w:pPr>
        <w:spacing w:after="0" w:line="3" w:lineRule="exact"/>
        <w:rPr>
          <w:rFonts w:ascii="Courier New" w:cs="Courier New" w:eastAsia="Courier New" w:hAnsi="Courier New"/>
          <w:sz w:val="15"/>
          <w:szCs w:val="15"/>
          <w:color w:val="auto"/>
        </w:rPr>
      </w:pPr>
    </w:p>
    <w:p>
      <w:pPr>
        <w:ind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58"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3" w:lineRule="exact"/>
        <w:rPr>
          <w:sz w:val="20"/>
          <w:szCs w:val="20"/>
          <w:color w:val="auto"/>
        </w:rPr>
      </w:pPr>
    </w:p>
    <w:p>
      <w:pPr>
        <w:ind w:left="2840" w:hanging="453"/>
        <w:spacing w:after="0"/>
        <w:tabs>
          <w:tab w:leader="none" w:pos="284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59" w:lineRule="auto"/>
        <w:rPr>
          <w:sz w:val="20"/>
          <w:szCs w:val="20"/>
          <w:color w:val="auto"/>
        </w:rPr>
      </w:pPr>
      <w:r>
        <w:rPr>
          <w:rFonts w:ascii="Courier New" w:cs="Courier New" w:eastAsia="Courier New" w:hAnsi="Courier New"/>
          <w:sz w:val="14"/>
          <w:szCs w:val="14"/>
          <w:color w:val="auto"/>
        </w:rPr>
        <w:t>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28" w:name="page229"/>
    <w:bookmarkEnd w:id="228"/>
    <w:p>
      <w:pPr>
        <w:ind w:left="2840" w:hanging="453"/>
        <w:spacing w:after="0"/>
        <w:tabs>
          <w:tab w:leader="none" w:pos="284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w:t>
      </w: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line="239" w:lineRule="auto"/>
        <w:rPr>
          <w:sz w:val="20"/>
          <w:szCs w:val="20"/>
          <w:color w:val="auto"/>
        </w:rPr>
      </w:pPr>
      <w:r>
        <w:rPr>
          <w:rFonts w:ascii="Courier New" w:cs="Courier New" w:eastAsia="Courier New" w:hAnsi="Courier New"/>
          <w:sz w:val="15"/>
          <w:szCs w:val="15"/>
          <w:color w:val="auto"/>
        </w:rPr>
        <w:t>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74" w:lineRule="exact"/>
        <w:rPr>
          <w:sz w:val="20"/>
          <w:szCs w:val="20"/>
          <w:color w:val="auto"/>
        </w:rPr>
      </w:pPr>
    </w:p>
    <w:p>
      <w:pPr>
        <w:ind w:left="3540" w:hanging="354"/>
        <w:spacing w:after="0"/>
        <w:tabs>
          <w:tab w:leader="none" w:pos="354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expire no later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than the Non-Qualified Option to which it is attached.</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provide for the</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of such amount per Share as shall be determined by the Committee and stated in the option document.</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be subject to</w:t>
      </w:r>
    </w:p>
    <w:p>
      <w:pPr>
        <w:spacing w:after="0" w:line="3" w:lineRule="exact"/>
        <w:rPr>
          <w:rFonts w:ascii="Courier New" w:cs="Courier New" w:eastAsia="Courier New" w:hAnsi="Courier New"/>
          <w:sz w:val="15"/>
          <w:szCs w:val="15"/>
          <w:color w:val="auto"/>
        </w:rPr>
      </w:pPr>
    </w:p>
    <w:p>
      <w:pPr>
        <w:ind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restrictions on transferability as the Non-Qualified Option to which it is attached.</w:t>
      </w:r>
    </w:p>
    <w:p>
      <w:pPr>
        <w:spacing w:after="0" w:line="174" w:lineRule="exact"/>
        <w:rPr>
          <w:rFonts w:ascii="Courier New" w:cs="Courier New" w:eastAsia="Courier New" w:hAnsi="Courier New"/>
          <w:sz w:val="15"/>
          <w:szCs w:val="15"/>
          <w:color w:val="auto"/>
        </w:rPr>
      </w:pPr>
    </w:p>
    <w:p>
      <w:pPr>
        <w:jc w:val="both"/>
        <w:ind w:right="3399" w:firstLine="3186"/>
        <w:spacing w:after="0" w:line="264" w:lineRule="auto"/>
        <w:tabs>
          <w:tab w:leader="none" w:pos="3639"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exercisable only when such conditions to exercise as shall be determined by the Committee and stated in the option document, if any, have been satisfied.</w:t>
      </w:r>
    </w:p>
    <w:p>
      <w:pPr>
        <w:spacing w:after="0" w:line="156" w:lineRule="exact"/>
        <w:rPr>
          <w:rFonts w:ascii="Courier New" w:cs="Courier New" w:eastAsia="Courier New" w:hAnsi="Courier New"/>
          <w:sz w:val="14"/>
          <w:szCs w:val="14"/>
          <w:color w:val="auto"/>
        </w:rPr>
      </w:pPr>
    </w:p>
    <w:p>
      <w:pPr>
        <w:ind w:left="3540" w:hanging="354"/>
        <w:spacing w:after="0"/>
        <w:tabs>
          <w:tab w:leader="none" w:pos="354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Cash Right shall expire upon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Non-Qualified Option to which it is attached.</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a Cash Right that is</w:t>
      </w:r>
    </w:p>
    <w:p>
      <w:pPr>
        <w:spacing w:after="0" w:line="3" w:lineRule="exact"/>
        <w:rPr>
          <w:rFonts w:ascii="Courier New" w:cs="Courier New" w:eastAsia="Courier New" w:hAnsi="Courier New"/>
          <w:sz w:val="15"/>
          <w:szCs w:val="15"/>
          <w:color w:val="auto"/>
        </w:rPr>
      </w:pPr>
    </w:p>
    <w:p>
      <w:pPr>
        <w:ind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to a Non-Qualified Option, the Option to which the Cash Right is attached shall expire.</w:t>
      </w:r>
    </w:p>
    <w:p>
      <w:pPr>
        <w:spacing w:after="0" w:line="172" w:lineRule="exact"/>
        <w:rPr>
          <w:rFonts w:ascii="Courier New" w:cs="Courier New" w:eastAsia="Courier New" w:hAnsi="Courier New"/>
          <w:sz w:val="15"/>
          <w:szCs w:val="15"/>
          <w:color w:val="auto"/>
        </w:rPr>
      </w:pPr>
    </w:p>
    <w:p>
      <w:pPr>
        <w:ind w:left="2380" w:hanging="792"/>
        <w:spacing w:after="0"/>
        <w:tabs>
          <w:tab w:leader="none" w:pos="238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Exercise of Incentive Stock Options</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9" w:lineRule="exact"/>
        <w:rPr>
          <w:sz w:val="20"/>
          <w:szCs w:val="20"/>
          <w:color w:val="auto"/>
        </w:rPr>
      </w:pPr>
    </w:p>
    <w:p>
      <w:pPr>
        <w:ind w:left="2380" w:hanging="792"/>
        <w:spacing w:after="0"/>
        <w:tabs>
          <w:tab w:leader="none" w:pos="238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Shareholders</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29" w:name="page230"/>
    <w:bookmarkEnd w:id="229"/>
    <w:p>
      <w:pPr>
        <w:ind w:left="2389" w:hanging="792"/>
        <w:spacing w:after="0"/>
        <w:tabs>
          <w:tab w:leader="none" w:pos="238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74" w:lineRule="exact"/>
        <w:rPr>
          <w:sz w:val="20"/>
          <w:szCs w:val="20"/>
          <w:color w:val="auto"/>
        </w:rPr>
      </w:pPr>
    </w:p>
    <w:p>
      <w:pPr>
        <w:ind w:left="9" w:right="3119" w:firstLine="2396"/>
        <w:spacing w:after="0"/>
        <w:rPr>
          <w:sz w:val="20"/>
          <w:szCs w:val="20"/>
          <w:color w:val="auto"/>
        </w:rPr>
      </w:pPr>
      <w:r>
        <w:rPr>
          <w:rFonts w:ascii="Courier New" w:cs="Courier New" w:eastAsia="Courier New" w:hAnsi="Courier New"/>
          <w:sz w:val="15"/>
          <w:szCs w:val="15"/>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78" w:lineRule="exact"/>
        <w:rPr>
          <w:sz w:val="20"/>
          <w:szCs w:val="20"/>
          <w:color w:val="auto"/>
        </w:rPr>
      </w:pPr>
    </w:p>
    <w:p>
      <w:pPr>
        <w:ind w:left="2389" w:hanging="792"/>
        <w:spacing w:after="0"/>
        <w:tabs>
          <w:tab w:leader="none" w:pos="2389"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shall give Optionees at least thirty</w:t>
      </w:r>
    </w:p>
    <w:p>
      <w:pPr>
        <w:spacing w:after="0" w:line="3" w:lineRule="exact"/>
        <w:rPr>
          <w:rFonts w:ascii="Courier New" w:cs="Courier New" w:eastAsia="Courier New" w:hAnsi="Courier New"/>
          <w:sz w:val="15"/>
          <w:szCs w:val="15"/>
          <w:color w:val="auto"/>
        </w:rPr>
      </w:pPr>
    </w:p>
    <w:p>
      <w:pPr>
        <w:ind w:left="9" w:right="3119" w:hanging="9"/>
        <w:spacing w:after="0"/>
        <w:tabs>
          <w:tab w:leader="none" w:pos="453"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79"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11(a), in the event the</w:t>
      </w:r>
    </w:p>
    <w:p>
      <w:pPr>
        <w:spacing w:after="0" w:line="12" w:lineRule="exact"/>
        <w:rPr>
          <w:rFonts w:ascii="Courier New" w:cs="Courier New" w:eastAsia="Courier New" w:hAnsi="Courier New"/>
          <w:sz w:val="14"/>
          <w:szCs w:val="14"/>
          <w:color w:val="auto"/>
        </w:rPr>
      </w:pPr>
    </w:p>
    <w:p>
      <w:pPr>
        <w:ind w:left="9"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Terminating Event is not consummated, the Option shall be deemed not to have been exercised and shall be exercisable thereafter to the extent it would have been exercisable if no such notice had been given.</w:t>
      </w:r>
    </w:p>
    <w:p>
      <w:pPr>
        <w:spacing w:after="0" w:line="172" w:lineRule="exact"/>
        <w:rPr>
          <w:rFonts w:ascii="Courier New" w:cs="Courier New" w:eastAsia="Courier New" w:hAnsi="Courier New"/>
          <w:sz w:val="14"/>
          <w:szCs w:val="14"/>
          <w:color w:val="auto"/>
        </w:rPr>
      </w:pPr>
    </w:p>
    <w:p>
      <w:pPr>
        <w:ind w:left="2389" w:hanging="792"/>
        <w:spacing w:after="0"/>
        <w:tabs>
          <w:tab w:leader="none" w:pos="2389"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4" w:lineRule="exact"/>
        <w:rPr>
          <w:sz w:val="20"/>
          <w:szCs w:val="20"/>
          <w:color w:val="auto"/>
        </w:rPr>
      </w:pPr>
    </w:p>
    <w:p>
      <w:pPr>
        <w:jc w:val="both"/>
        <w:ind w:left="9" w:right="3119" w:firstLine="1597"/>
        <w:spacing w:after="0"/>
        <w:rPr>
          <w:sz w:val="20"/>
          <w:szCs w:val="20"/>
          <w:color w:val="auto"/>
        </w:rPr>
      </w:pPr>
      <w:r>
        <w:rPr>
          <w:rFonts w:ascii="Courier New" w:cs="Courier New" w:eastAsia="Courier New" w:hAnsi="Courier New"/>
          <w:sz w:val="15"/>
          <w:szCs w:val="15"/>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4" w:lineRule="exact"/>
        <w:rPr>
          <w:sz w:val="20"/>
          <w:szCs w:val="20"/>
          <w:color w:val="auto"/>
        </w:rPr>
      </w:pPr>
    </w:p>
    <w:p>
      <w:pPr>
        <w:ind w:left="2389" w:hanging="792"/>
        <w:spacing w:after="0"/>
        <w:tabs>
          <w:tab w:leader="none" w:pos="2389"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171" w:lineRule="exact"/>
        <w:rPr>
          <w:rFonts w:ascii="Courier New" w:cs="Courier New" w:eastAsia="Courier New" w:hAnsi="Courier New"/>
          <w:sz w:val="15"/>
          <w:szCs w:val="15"/>
          <w:color w:val="auto"/>
        </w:rPr>
      </w:pPr>
    </w:p>
    <w:p>
      <w:pPr>
        <w:ind w:left="2749" w:hanging="353"/>
        <w:spacing w:after="0"/>
        <w:tabs>
          <w:tab w:leader="none" w:pos="2749"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27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2396"/>
        <w:spacing w:after="0" w:line="239" w:lineRule="auto"/>
        <w:rPr>
          <w:sz w:val="20"/>
          <w:szCs w:val="20"/>
          <w:color w:val="auto"/>
        </w:rPr>
      </w:pPr>
      <w:r>
        <w:rPr>
          <w:rFonts w:ascii="Courier New" w:cs="Courier New" w:eastAsia="Courier New" w:hAnsi="Courier New"/>
          <w:sz w:val="15"/>
          <w:szCs w:val="15"/>
          <w:color w:val="auto"/>
        </w:rPr>
        <w:t>The Board or the Committee may amend the Plan from time to time in such manner as it may deem advisable. Nevertheless, neither the Board nor the Committee may, without obtaining approval within twelve months before or after such action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230" w:name="page231"/>
    <w:bookmarkEnd w:id="230"/>
    <w:p>
      <w:pPr>
        <w:ind w:right="3119"/>
        <w:spacing w:after="0"/>
        <w:rPr>
          <w:sz w:val="20"/>
          <w:szCs w:val="20"/>
          <w:color w:val="auto"/>
        </w:rPr>
      </w:pPr>
      <w:r>
        <w:rPr>
          <w:rFonts w:ascii="Courier New" w:cs="Courier New" w:eastAsia="Courier New" w:hAnsi="Courier New"/>
          <w:sz w:val="15"/>
          <w:szCs w:val="15"/>
          <w:color w:val="auto"/>
        </w:rPr>
        <w:t>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75" w:lineRule="exact"/>
        <w:rPr>
          <w:sz w:val="20"/>
          <w:szCs w:val="20"/>
          <w:color w:val="auto"/>
        </w:rPr>
      </w:pPr>
    </w:p>
    <w:p>
      <w:pPr>
        <w:ind w:left="2920" w:hanging="533"/>
        <w:spacing w:after="0"/>
        <w:tabs>
          <w:tab w:leader="none" w:pos="292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Repricing  of  Options.</w:t>
      </w:r>
    </w:p>
    <w:p>
      <w:pPr>
        <w:ind w:left="2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2396"/>
        <w:spacing w:after="0" w:line="260" w:lineRule="auto"/>
        <w:rPr>
          <w:sz w:val="20"/>
          <w:szCs w:val="20"/>
          <w:color w:val="auto"/>
        </w:rPr>
      </w:pPr>
      <w:r>
        <w:rPr>
          <w:rFonts w:ascii="Courier New" w:cs="Courier New" w:eastAsia="Courier New" w:hAnsi="Courier New"/>
          <w:sz w:val="14"/>
          <w:szCs w:val="14"/>
          <w:color w:val="auto"/>
        </w:rPr>
        <w:t>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60" w:lineRule="exact"/>
        <w:rPr>
          <w:sz w:val="20"/>
          <w:szCs w:val="20"/>
          <w:color w:val="auto"/>
        </w:rPr>
      </w:pPr>
    </w:p>
    <w:p>
      <w:pPr>
        <w:ind w:left="2380" w:hanging="792"/>
        <w:spacing w:after="0"/>
        <w:tabs>
          <w:tab w:leader="none" w:pos="238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74" w:lineRule="exact"/>
        <w:rPr>
          <w:sz w:val="20"/>
          <w:szCs w:val="20"/>
          <w:color w:val="auto"/>
        </w:rPr>
      </w:pPr>
    </w:p>
    <w:p>
      <w:pPr>
        <w:ind w:left="2840" w:hanging="453"/>
        <w:spacing w:after="0"/>
        <w:tabs>
          <w:tab w:leader="none" w:pos="28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w:t>
      </w:r>
    </w:p>
    <w:p>
      <w:pPr>
        <w:spacing w:after="0" w:line="12" w:lineRule="exact"/>
        <w:rPr>
          <w:rFonts w:ascii="Courier New" w:cs="Courier New" w:eastAsia="Courier New" w:hAnsi="Courier New"/>
          <w:sz w:val="14"/>
          <w:szCs w:val="14"/>
          <w:color w:val="auto"/>
        </w:rPr>
      </w:pPr>
    </w:p>
    <w:p>
      <w:pPr>
        <w:ind w:left="2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2396"/>
        <w:spacing w:after="0"/>
        <w:rPr>
          <w:sz w:val="20"/>
          <w:szCs w:val="20"/>
          <w:color w:val="auto"/>
        </w:rPr>
      </w:pPr>
      <w:r>
        <w:rPr>
          <w:rFonts w:ascii="Courier New" w:cs="Courier New" w:eastAsia="Courier New" w:hAnsi="Courier New"/>
          <w:sz w:val="15"/>
          <w:szCs w:val="15"/>
          <w:color w:val="auto"/>
        </w:rPr>
        <w:t>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72" w:lineRule="exact"/>
        <w:rPr>
          <w:sz w:val="20"/>
          <w:szCs w:val="20"/>
          <w:color w:val="auto"/>
        </w:rPr>
      </w:pPr>
    </w:p>
    <w:p>
      <w:pPr>
        <w:ind w:left="3540" w:hanging="354"/>
        <w:spacing w:after="0"/>
        <w:tabs>
          <w:tab w:leader="none" w:pos="35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are</w:t>
      </w:r>
    </w:p>
    <w:p>
      <w:pPr>
        <w:spacing w:after="0" w:line="3" w:lineRule="exact"/>
        <w:rPr>
          <w:rFonts w:ascii="Courier New" w:cs="Courier New" w:eastAsia="Courier New" w:hAnsi="Courier New"/>
          <w:sz w:val="15"/>
          <w:szCs w:val="15"/>
          <w:color w:val="auto"/>
        </w:rPr>
      </w:pPr>
    </w:p>
    <w:p>
      <w:pPr>
        <w:ind w:right="32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being purchased for investment and not for distribution or resale (other than a distribution or resale which, in the opinion of counsel satisfactory to the Sponsor, may be made without violating the registration provisions of the Act);</w:t>
      </w:r>
    </w:p>
    <w:p>
      <w:pPr>
        <w:spacing w:after="0" w:line="156"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has been advised and</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72" w:lineRule="exact"/>
        <w:rPr>
          <w:rFonts w:ascii="Courier New" w:cs="Courier New" w:eastAsia="Courier New" w:hAnsi="Courier New"/>
          <w:sz w:val="15"/>
          <w:szCs w:val="15"/>
          <w:color w:val="auto"/>
        </w:rPr>
      </w:pPr>
    </w:p>
    <w:p>
      <w:pPr>
        <w:ind w:left="3720" w:hanging="534"/>
        <w:spacing w:after="0"/>
        <w:tabs>
          <w:tab w:leader="none" w:pos="37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evidencing the Shares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 bear a restrictive legend; and</w:t>
      </w:r>
    </w:p>
    <w:p>
      <w:pPr>
        <w:spacing w:after="0" w:line="171"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may</w:t>
      </w:r>
    </w:p>
    <w:p>
      <w:pPr>
        <w:spacing w:after="0" w:line="3" w:lineRule="exact"/>
        <w:rPr>
          <w:rFonts w:ascii="Courier New" w:cs="Courier New" w:eastAsia="Courier New" w:hAnsi="Courier New"/>
          <w:sz w:val="15"/>
          <w:szCs w:val="15"/>
          <w:color w:val="auto"/>
        </w:rPr>
      </w:pPr>
    </w:p>
    <w:p>
      <w:pPr>
        <w:ind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be transferred without compliance with all applicable federal and state securities laws.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31" w:name="page232"/>
    <w:bookmarkEnd w:id="231"/>
    <w:p>
      <w:pPr>
        <w:ind w:left="2840" w:hanging="453"/>
        <w:spacing w:after="0"/>
        <w:tabs>
          <w:tab w:leader="none" w:pos="28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w:t>
      </w:r>
    </w:p>
    <w:p>
      <w:pPr>
        <w:spacing w:after="0" w:line="12" w:lineRule="exact"/>
        <w:rPr>
          <w:rFonts w:ascii="Courier New" w:cs="Courier New" w:eastAsia="Courier New" w:hAnsi="Courier New"/>
          <w:sz w:val="14"/>
          <w:szCs w:val="14"/>
          <w:color w:val="auto"/>
        </w:rPr>
      </w:pPr>
    </w:p>
    <w:p>
      <w:pPr>
        <w:ind w:left="2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3195"/>
        <w:spacing w:after="0"/>
        <w:rPr>
          <w:sz w:val="20"/>
          <w:szCs w:val="20"/>
          <w:color w:val="auto"/>
        </w:rPr>
      </w:pPr>
      <w:r>
        <w:rPr>
          <w:rFonts w:ascii="Courier New" w:cs="Courier New" w:eastAsia="Courier New" w:hAnsi="Courier New"/>
          <w:sz w:val="15"/>
          <w:szCs w:val="15"/>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5" w:lineRule="exact"/>
        <w:rPr>
          <w:sz w:val="20"/>
          <w:szCs w:val="20"/>
          <w:color w:val="auto"/>
        </w:rPr>
      </w:pPr>
    </w:p>
    <w:p>
      <w:pPr>
        <w:ind w:left="2380" w:hanging="792"/>
        <w:spacing w:after="0"/>
        <w:tabs>
          <w:tab w:leader="none" w:pos="238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 on Exercise of Option</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3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232" w:name="page233"/>
    <w:bookmarkEnd w:id="232"/>
    <w:p>
      <w:pPr>
        <w:ind w:left="9" w:right="3119" w:hanging="9"/>
        <w:spacing w:after="0"/>
        <w:tabs>
          <w:tab w:leader="none" w:pos="36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 16. Effective Date and Term of Plan</w:t>
      </w:r>
    </w:p>
    <w:p>
      <w:pPr>
        <w:spacing w:after="0" w:line="183"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This amendment and restatement of the Plan as the Comcast Corporation 2002 Stock Option Plan shall be effective February 26, 2003. The Plan shall expire on February 25, 2013, unless sooner terminated by the Board.</w:t>
      </w:r>
    </w:p>
    <w:p>
      <w:pPr>
        <w:spacing w:after="0" w:line="172" w:lineRule="exact"/>
        <w:rPr>
          <w:sz w:val="20"/>
          <w:szCs w:val="20"/>
          <w:color w:val="auto"/>
        </w:rPr>
      </w:pPr>
    </w:p>
    <w:p>
      <w:pPr>
        <w:ind w:left="2389" w:hanging="792"/>
        <w:spacing w:after="0"/>
        <w:tabs>
          <w:tab w:leader="none" w:pos="2389"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jc w:val="both"/>
        <w:ind w:left="9" w:right="3119" w:firstLine="1597"/>
        <w:spacing w:after="0"/>
        <w:rPr>
          <w:sz w:val="20"/>
          <w:szCs w:val="20"/>
          <w:color w:val="auto"/>
        </w:rPr>
      </w:pPr>
      <w:r>
        <w:rPr>
          <w:rFonts w:ascii="Courier New" w:cs="Courier New" w:eastAsia="Courier New" w:hAnsi="Courier New"/>
          <w:sz w:val="15"/>
          <w:szCs w:val="15"/>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77"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4"/>
          <w:szCs w:val="14"/>
          <w:color w:val="auto"/>
        </w:rPr>
        <w:t>Executed as of the 26th day of February, 2003.</w:t>
      </w:r>
    </w:p>
    <w:p>
      <w:pPr>
        <w:spacing w:after="0" w:line="180"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9"/>
        <w:spacing w:after="0"/>
        <w:tabs>
          <w:tab w:leader="none" w:pos="3889" w:val="left"/>
        </w:tabs>
        <w:rPr>
          <w:sz w:val="20"/>
          <w:szCs w:val="20"/>
          <w:color w:val="auto"/>
        </w:rPr>
      </w:pPr>
      <w:r>
        <w:rPr>
          <w:rFonts w:ascii="Courier New" w:cs="Courier New" w:eastAsia="Courier New" w:hAnsi="Courier New"/>
          <w:sz w:val="15"/>
          <w:szCs w:val="15"/>
          <w:color w:val="auto"/>
        </w:rPr>
        <w:t>Attest:</w:t>
      </w:r>
      <w:r>
        <w:rPr>
          <w:sz w:val="20"/>
          <w:szCs w:val="20"/>
          <w:color w:val="auto"/>
        </w:rPr>
        <w:tab/>
      </w:r>
      <w:r>
        <w:rPr>
          <w:rFonts w:ascii="Courier New" w:cs="Courier New" w:eastAsia="Courier New" w:hAnsi="Courier New"/>
          <w:sz w:val="14"/>
          <w:szCs w:val="14"/>
          <w:color w:val="auto"/>
        </w:rPr>
        <w:t>_____________________________</w:t>
      </w:r>
    </w:p>
    <w:p>
      <w:pPr>
        <w:sectPr>
          <w:pgSz w:w="11900" w:h="16838" w:orient="portrait"/>
          <w:cols w:equalWidth="0" w:num="1">
            <w:col w:w="10228"/>
          </w:cols>
          <w:pgMar w:left="231" w:top="631" w:right="1440" w:bottom="1440" w:gutter="0" w:footer="0" w:header="0"/>
        </w:sectPr>
      </w:pPr>
    </w:p>
    <w:bookmarkStart w:id="233" w:name="page234"/>
    <w:bookmarkEnd w:id="233"/>
    <w:p>
      <w:pPr>
        <w:spacing w:after="0" w:line="3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10.4</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2002 DEFERRED COMPENSATION PLAN</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 1 - COVERAGE OF PLAN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Continuation of Plan.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Comcast Corporation, a Pennsylvania corporation, hereby amends and restates the Comcast Corporation 2002 Deferred Compensation Plan (the "Plan"), effective February 26, 2003. The Plan was initially adopted effective February 12, 1974 and was amended and restated effective August 15, 1996, June 21, 1999, December 19, 2000, October 26, 2001, April 29, 2002, July 9, 2002 and November 18, 2002.</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 Plan Unfunded and Limited to Outside Directors and Select Group of</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or Highly Compensated Employees.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ARTICLE 2 - DEFINITIONS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 "Account"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"Active Participant" means: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Each Participant who is in active service as an Outside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w:t>
      </w:r>
    </w:p>
    <w:p>
      <w:pPr>
        <w:spacing w:after="0" w:line="174" w:lineRule="exact"/>
        <w:rPr>
          <w:sz w:val="20"/>
          <w:szCs w:val="20"/>
          <w:color w:val="auto"/>
        </w:rPr>
      </w:pPr>
    </w:p>
    <w:p>
      <w:pPr>
        <w:ind w:right="3219" w:firstLine="1322"/>
        <w:spacing w:after="0" w:line="238" w:lineRule="auto"/>
        <w:tabs>
          <w:tab w:leader="none" w:pos="168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 is actively employed by a Participating Company as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"Administrator" means the Committee.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 "Affiliate"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 "Annual Rate of Pay"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means, as of any date, an employee's annualized base pay rate. An employee's Annual Rate of Pay shall not include sales commissions or other similar payments or awards.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2.6. "Applicable Interest Rate" means: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119" w:firstLine="1322"/>
        <w:spacing w:after="0" w:line="239" w:lineRule="auto"/>
        <w:tabs>
          <w:tab w:leader="none" w:pos="1686"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Sections 2.6(b) or (c), the Applicable Interest Rate means 12% per annum, compounded annually as of the last day of the calendar year.</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otherwise required by Section 10.2,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78" w:lineRule="exact"/>
        <w:rPr>
          <w:rFonts w:ascii="Courier New" w:cs="Courier New" w:eastAsia="Courier New" w:hAnsi="Courier New"/>
          <w:sz w:val="15"/>
          <w:szCs w:val="15"/>
          <w:color w:val="auto"/>
        </w:rPr>
      </w:pPr>
    </w:p>
    <w:p>
      <w:pPr>
        <w:ind w:right="3219" w:firstLine="1322"/>
        <w:spacing w:after="0" w:line="260" w:lineRule="auto"/>
        <w:tabs>
          <w:tab w:leader="none" w:pos="1686"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compounded annually as of the last day of the calendar year, nor more than the rate specified in Section 2.6(a). Notwithstanding the foregoing, the Administrator may delegate its authority to determine the Applicable Interest Rate under this Section 2.6(c) to an officer of the Company.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2.7. "Beneficiary"</w:t>
      </w:r>
    </w:p>
    <w:p>
      <w:pPr>
        <w:sectPr>
          <w:pgSz w:w="11900" w:h="16870" w:orient="portrait"/>
          <w:cols w:equalWidth="0" w:num="1">
            <w:col w:w="10219"/>
          </w:cols>
          <w:pgMar w:left="240" w:top="139" w:right="1440" w:bottom="0" w:gutter="0" w:footer="0" w:header="0"/>
        </w:sectPr>
      </w:pPr>
    </w:p>
    <w:bookmarkStart w:id="234" w:name="page235"/>
    <w:bookmarkEnd w:id="234"/>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 "Board" means the Board of Directors of the Company.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2.9. "CCCHI" means Comcast Cable Communications Holdings, Inc., formerly known as AT&amp;T Broadband Corp.</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 "Change of Control"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2.11. "CHC"</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4019" w:firstLine="799"/>
        <w:spacing w:after="0" w:line="238" w:lineRule="auto"/>
        <w:rPr>
          <w:sz w:val="20"/>
          <w:szCs w:val="20"/>
          <w:color w:val="auto"/>
        </w:rPr>
      </w:pPr>
      <w:r>
        <w:rPr>
          <w:rFonts w:ascii="Courier New" w:cs="Courier New" w:eastAsia="Courier New" w:hAnsi="Courier New"/>
          <w:sz w:val="15"/>
          <w:szCs w:val="15"/>
          <w:color w:val="auto"/>
        </w:rPr>
        <w:t>means Comcast Holdings Corporation, formerly known as Comcast Corporation.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2.12. "Code" means the Internal Revenue Code of 1986, as amended.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sectPr>
      </w:pPr>
    </w:p>
    <w:bookmarkStart w:id="235" w:name="page236"/>
    <w:bookmarkEnd w:id="235"/>
    <w:p>
      <w:pPr>
        <w:ind w:left="440"/>
        <w:spacing w:after="0"/>
        <w:rPr>
          <w:sz w:val="20"/>
          <w:szCs w:val="20"/>
          <w:color w:val="auto"/>
        </w:rPr>
      </w:pPr>
      <w:r>
        <w:rPr>
          <w:rFonts w:ascii="Courier New" w:cs="Courier New" w:eastAsia="Courier New" w:hAnsi="Courier New"/>
          <w:sz w:val="15"/>
          <w:szCs w:val="15"/>
          <w:color w:val="auto"/>
        </w:rPr>
        <w:t>2.13. "Committee"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means the Compensation Committee of the Board of Directors of the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2.14.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means Comcast Corporation (formerly known as AT&amp;T Comcast Corporation), a Pennsylvania corporation, as successor to CHC, including any successor thereto by merger, consolidation, acquisition of all or substantially all the assets thereof, or otherwise.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 "Company Stock"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399" w:firstLine="1322"/>
        <w:spacing w:after="0" w:line="239" w:lineRule="auto"/>
        <w:tabs>
          <w:tab w:leader="none" w:pos="1686"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2.15(b), Comcast Corporation Class A Special Common Stock, par value, $0.01, including a fractional share; and</w:t>
      </w:r>
    </w:p>
    <w:p>
      <w:pPr>
        <w:spacing w:after="0" w:line="175"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amounts credited to the Company Stock Fund pursuant to deferral elections by Outside Directors made pursuant to Section 3.1(a), Comcast Corporation Class A Common Stock, par value $0.01, including a fractional share;</w:t>
      </w:r>
    </w:p>
    <w:p>
      <w:pPr>
        <w:spacing w:after="0" w:line="176" w:lineRule="exact"/>
        <w:rPr>
          <w:sz w:val="20"/>
          <w:szCs w:val="20"/>
          <w:color w:val="auto"/>
        </w:rPr>
      </w:pPr>
    </w:p>
    <w:p>
      <w:pPr>
        <w:jc w:val="both"/>
        <w:ind w:right="3119"/>
        <w:spacing w:after="0" w:line="258" w:lineRule="auto"/>
        <w:rPr>
          <w:sz w:val="20"/>
          <w:szCs w:val="20"/>
          <w:color w:val="auto"/>
        </w:rPr>
      </w:pPr>
      <w:r>
        <w:rPr>
          <w:rFonts w:ascii="Courier New" w:cs="Courier New" w:eastAsia="Courier New" w:hAnsi="Courier New"/>
          <w:sz w:val="14"/>
          <w:szCs w:val="14"/>
          <w:color w:val="auto"/>
        </w:rPr>
        <w:t>and such other securities issued by Comcast Corporation as may be subject to adjustment in the event that shares of either class of Company Stock are changed into, or exchanged for, a different number or kind of shares of stock or other</w:t>
      </w:r>
    </w:p>
    <w:p>
      <w:pPr>
        <w:spacing w:after="0" w:line="1"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2.16. "Company Stock Fund"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1331"/>
        <w:spacing w:after="0"/>
        <w:rPr>
          <w:sz w:val="20"/>
          <w:szCs w:val="20"/>
          <w:color w:val="auto"/>
        </w:rPr>
      </w:pPr>
      <w:r>
        <w:rPr>
          <w:rFonts w:ascii="Courier New" w:cs="Courier New" w:eastAsia="Courier New" w:hAnsi="Courier New"/>
          <w:sz w:val="15"/>
          <w:szCs w:val="15"/>
          <w:color w:val="auto"/>
        </w:rPr>
        <w:t>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"Compensation"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22"/>
        <w:spacing w:after="0"/>
        <w:tabs>
          <w:tab w:leader="none" w:pos="1686"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74" w:lineRule="exact"/>
        <w:rPr>
          <w:rFonts w:ascii="Courier New" w:cs="Courier New" w:eastAsia="Courier New" w:hAnsi="Courier New"/>
          <w:sz w:val="15"/>
          <w:szCs w:val="15"/>
          <w:color w:val="auto"/>
        </w:rPr>
      </w:pPr>
    </w:p>
    <w:p>
      <w:pPr>
        <w:ind w:right="3399" w:firstLine="1322"/>
        <w:spacing w:after="0" w:line="239" w:lineRule="auto"/>
        <w:tabs>
          <w:tab w:leader="none" w:pos="1686"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Eligible Employee, the total cash remuneration for services payable by a Participating Company, excluding sales commissions or other similar payments or awards.</w:t>
      </w:r>
    </w:p>
    <w:p>
      <w:pPr>
        <w:sectPr>
          <w:pgSz w:w="11900" w:h="16838" w:orient="portrait"/>
          <w:cols w:equalWidth="0" w:num="1">
            <w:col w:w="10219"/>
          </w:cols>
          <w:pgMar w:left="240" w:top="628" w:right="1440" w:bottom="1440" w:gutter="0" w:footer="0" w:header="0"/>
        </w:sectPr>
      </w:pPr>
    </w:p>
    <w:bookmarkStart w:id="236" w:name="page237"/>
    <w:bookmarkEnd w:id="236"/>
    <w:p>
      <w:pPr>
        <w:ind w:left="440"/>
        <w:spacing w:after="0"/>
        <w:rPr>
          <w:sz w:val="20"/>
          <w:szCs w:val="20"/>
          <w:color w:val="auto"/>
        </w:rPr>
      </w:pPr>
      <w:r>
        <w:rPr>
          <w:rFonts w:ascii="Courier New" w:cs="Courier New" w:eastAsia="Courier New" w:hAnsi="Courier New"/>
          <w:sz w:val="15"/>
          <w:szCs w:val="15"/>
          <w:color w:val="auto"/>
        </w:rPr>
        <w:t>2.18. "Death Tax Clearance Date"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2.19. "Death Taxes"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1331"/>
        <w:spacing w:after="0" w:line="239" w:lineRule="auto"/>
        <w:rPr>
          <w:sz w:val="20"/>
          <w:szCs w:val="20"/>
          <w:color w:val="auto"/>
        </w:rPr>
      </w:pPr>
      <w:r>
        <w:rPr>
          <w:rFonts w:ascii="Courier New" w:cs="Courier New" w:eastAsia="Courier New" w:hAnsi="Courier New"/>
          <w:sz w:val="15"/>
          <w:szCs w:val="15"/>
          <w:color w:val="auto"/>
        </w:rPr>
        <w:t>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2.20. "Deceased Participant"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firstLine="1331"/>
        <w:spacing w:after="0" w:line="239" w:lineRule="auto"/>
        <w:rPr>
          <w:sz w:val="20"/>
          <w:szCs w:val="20"/>
          <w:color w:val="auto"/>
        </w:rPr>
      </w:pPr>
      <w:r>
        <w:rPr>
          <w:rFonts w:ascii="Courier New" w:cs="Courier New" w:eastAsia="Courier New" w:hAnsi="Courier New"/>
          <w:sz w:val="15"/>
          <w:szCs w:val="15"/>
          <w:color w:val="auto"/>
        </w:rPr>
        <w:t>means a Participant whose employment, or, in the case of a Participant who was an Outside Director, a Participant whose service as an Outside Director, is terminated by death.</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2.21. "Disabled Participant"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759" w:firstLine="1322"/>
        <w:spacing w:after="0" w:line="239" w:lineRule="auto"/>
        <w:tabs>
          <w:tab w:leader="none" w:pos="168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is an Outside Director, a Participant whose service as an Outside Director, is terminated by reason of disability;</w:t>
      </w:r>
    </w:p>
    <w:p>
      <w:pPr>
        <w:spacing w:after="0" w:line="175" w:lineRule="exact"/>
        <w:rPr>
          <w:rFonts w:ascii="Courier New" w:cs="Courier New" w:eastAsia="Courier New" w:hAnsi="Courier New"/>
          <w:sz w:val="15"/>
          <w:szCs w:val="15"/>
          <w:color w:val="auto"/>
        </w:rPr>
      </w:pPr>
    </w:p>
    <w:p>
      <w:pPr>
        <w:ind w:right="3219" w:firstLine="1322"/>
        <w:spacing w:after="0" w:line="238" w:lineRule="auto"/>
        <w:tabs>
          <w:tab w:leader="none" w:pos="168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duly-appointed legal guardian of an individual described in Section 2.21(a) acting on behalf of such individual.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2.22. "Eligible Employee"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1322"/>
        <w:spacing w:after="0" w:line="238" w:lineRule="auto"/>
        <w:tabs>
          <w:tab w:leader="none" w:pos="168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as of December 31, 1989, was eligible to participate in the Prior Plan.</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74"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73"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Key Employee.</w:t>
      </w:r>
    </w:p>
    <w:p>
      <w:pPr>
        <w:sectPr>
          <w:pgSz w:w="11900" w:h="16838" w:orient="portrait"/>
          <w:cols w:equalWidth="0" w:num="1">
            <w:col w:w="10219"/>
          </w:cols>
          <w:pgMar w:left="240" w:top="799" w:right="1440" w:bottom="1440" w:gutter="0" w:footer="0" w:header="0"/>
        </w:sectPr>
      </w:pPr>
    </w:p>
    <w:bookmarkStart w:id="237" w:name="page238"/>
    <w:bookmarkEnd w:id="237"/>
    <w:p>
      <w:pPr>
        <w:jc w:val="both"/>
        <w:ind w:left="9" w:right="3839" w:firstLine="1322"/>
        <w:spacing w:after="0" w:line="271" w:lineRule="auto"/>
        <w:tabs>
          <w:tab w:leader="none" w:pos="169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other employee of a Participating Company who is designated by the Committee, in its discretion, as an Eligible Employee.</w:t>
      </w:r>
    </w:p>
    <w:p>
      <w:pPr>
        <w:spacing w:after="0" w:line="15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Notwithstanding anything in the foregoing to the contrary, for the period beginning November 18, 2002 and ending December 31, 2002, each individual who</w:t>
      </w:r>
    </w:p>
    <w:p>
      <w:pPr>
        <w:spacing w:after="0" w:line="4" w:lineRule="exact"/>
        <w:rPr>
          <w:sz w:val="20"/>
          <w:szCs w:val="20"/>
          <w:color w:val="auto"/>
        </w:rPr>
      </w:pPr>
    </w:p>
    <w:p>
      <w:pPr>
        <w:jc w:val="both"/>
        <w:ind w:left="9" w:right="3119" w:hanging="9"/>
        <w:spacing w:after="0" w:line="239" w:lineRule="auto"/>
        <w:tabs>
          <w:tab w:leader="none" w:pos="364"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preceding his date of hire by a Participating Company, was an employee of AT&amp;T Corp. and (y) is designated by the Committee, in its discretion, as an eligible New Key Employees pursuant to Section 2.31(a)(iii), shall be an Eligible Employee.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2.23. "Fair Market Value"</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322"/>
        <w:spacing w:after="0" w:line="239" w:lineRule="auto"/>
        <w:tabs>
          <w:tab w:leader="none" w:pos="1695"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76" w:lineRule="exact"/>
        <w:rPr>
          <w:rFonts w:ascii="Courier New" w:cs="Courier New" w:eastAsia="Courier New" w:hAnsi="Courier New"/>
          <w:sz w:val="15"/>
          <w:szCs w:val="15"/>
          <w:color w:val="auto"/>
        </w:rPr>
      </w:pPr>
    </w:p>
    <w:p>
      <w:pPr>
        <w:ind w:left="9" w:right="3219" w:firstLine="1322"/>
        <w:spacing w:after="0" w:line="239" w:lineRule="auto"/>
        <w:tabs>
          <w:tab w:leader="none" w:pos="1695"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76" w:lineRule="exact"/>
        <w:rPr>
          <w:rFonts w:ascii="Courier New" w:cs="Courier New" w:eastAsia="Courier New" w:hAnsi="Courier New"/>
          <w:sz w:val="15"/>
          <w:szCs w:val="15"/>
          <w:color w:val="auto"/>
        </w:rPr>
      </w:pPr>
    </w:p>
    <w:p>
      <w:pPr>
        <w:jc w:val="both"/>
        <w:ind w:left="9" w:right="3399" w:firstLine="1322"/>
        <w:spacing w:after="0" w:line="239" w:lineRule="auto"/>
        <w:tabs>
          <w:tab w:leader="none" w:pos="1695"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not so listed nor trades of shares so reported, Fair Market Value shall be determined by the Committee in good faith.</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2.24. "Former Eligible Employee"</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1331"/>
        <w:spacing w:after="0" w:line="239" w:lineRule="auto"/>
        <w:rPr>
          <w:sz w:val="20"/>
          <w:szCs w:val="20"/>
          <w:color w:val="auto"/>
        </w:rPr>
      </w:pPr>
      <w:r>
        <w:rPr>
          <w:rFonts w:ascii="Courier New" w:cs="Courier New" w:eastAsia="Courier New" w:hAnsi="Courier New"/>
          <w:sz w:val="15"/>
          <w:szCs w:val="15"/>
          <w:color w:val="auto"/>
        </w:rPr>
        <w:t>means an employee of a Participating Company who, as of any relevant date, does not satisfy the requirements of an "Eligible Employee" but who previously met such requirements under the Plan or the Prior Plan.</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2.25. "Grandfathered Participant"</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1331"/>
        <w:spacing w:after="0" w:line="239" w:lineRule="auto"/>
        <w:rPr>
          <w:sz w:val="20"/>
          <w:szCs w:val="20"/>
          <w:color w:val="auto"/>
        </w:rPr>
      </w:pPr>
      <w:r>
        <w:rPr>
          <w:rFonts w:ascii="Courier New" w:cs="Courier New" w:eastAsia="Courier New" w:hAnsi="Courier New"/>
          <w:sz w:val="15"/>
          <w:szCs w:val="15"/>
          <w:color w:val="auto"/>
        </w:rPr>
        <w:t>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2.26. "Hardship"</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1331"/>
        <w:spacing w:after="0" w:line="258" w:lineRule="auto"/>
        <w:rPr>
          <w:sz w:val="20"/>
          <w:szCs w:val="20"/>
          <w:color w:val="auto"/>
        </w:rPr>
      </w:pPr>
      <w:r>
        <w:rPr>
          <w:rFonts w:ascii="Courier New" w:cs="Courier New" w:eastAsia="Courier New" w:hAnsi="Courier New"/>
          <w:sz w:val="14"/>
          <w:szCs w:val="14"/>
          <w:color w:val="auto"/>
        </w:rPr>
        <w:t>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Uniform Gifts to Minors Act custodianship or Uniform Transfers to</w:t>
      </w:r>
    </w:p>
    <w:p>
      <w:pPr>
        <w:sectPr>
          <w:pgSz w:w="11900" w:h="16838" w:orient="portrait"/>
          <w:cols w:equalWidth="0" w:num="1">
            <w:col w:w="10228"/>
          </w:cols>
          <w:pgMar w:left="231" w:top="801" w:right="1440" w:bottom="1440" w:gutter="0" w:footer="0" w:header="0"/>
        </w:sectPr>
      </w:pPr>
    </w:p>
    <w:bookmarkStart w:id="238" w:name="page239"/>
    <w:bookmarkEnd w:id="238"/>
    <w:p>
      <w:pPr>
        <w:ind w:right="3119"/>
        <w:spacing w:after="0" w:line="259" w:lineRule="auto"/>
        <w:rPr>
          <w:sz w:val="20"/>
          <w:szCs w:val="20"/>
          <w:color w:val="auto"/>
        </w:rPr>
      </w:pPr>
      <w:r>
        <w:rPr>
          <w:rFonts w:ascii="Courier New" w:cs="Courier New" w:eastAsia="Courier New" w:hAnsi="Courier New"/>
          <w:sz w:val="14"/>
          <w:szCs w:val="14"/>
          <w:color w:val="auto"/>
        </w:rPr>
        <w:t>Minors Act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2.27. "Inactive Participant"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means each Participant (other than a Retired Participant, Deceased Participant or Disabled Participant) who is not in active service as an Outside Director and is not actively employed by a Participating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2.28. "Income Fund"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1331"/>
        <w:spacing w:after="0" w:line="239" w:lineRule="auto"/>
        <w:rPr>
          <w:sz w:val="20"/>
          <w:szCs w:val="20"/>
          <w:color w:val="auto"/>
        </w:rPr>
      </w:pPr>
      <w:r>
        <w:rPr>
          <w:rFonts w:ascii="Courier New" w:cs="Courier New" w:eastAsia="Courier New" w:hAnsi="Courier New"/>
          <w:sz w:val="15"/>
          <w:szCs w:val="15"/>
          <w:color w:val="auto"/>
        </w:rPr>
        <w:t>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2.29. "Initial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1331"/>
        <w:spacing w:after="0" w:line="239" w:lineRule="auto"/>
        <w:rPr>
          <w:sz w:val="20"/>
          <w:szCs w:val="20"/>
          <w:color w:val="auto"/>
        </w:rPr>
      </w:pPr>
      <w:r>
        <w:rPr>
          <w:rFonts w:ascii="Courier New" w:cs="Courier New" w:eastAsia="Courier New" w:hAnsi="Courier New"/>
          <w:sz w:val="15"/>
          <w:szCs w:val="15"/>
          <w:color w:val="auto"/>
        </w:rPr>
        <w:t>means a written election on a form provided by the Administrator, filed with the Administrator in accordance with Article 3, pursuant to which an Outside Director or an Eligible Employee may:</w:t>
      </w:r>
    </w:p>
    <w:p>
      <w:pPr>
        <w:spacing w:after="0" w:line="175" w:lineRule="exact"/>
        <w:rPr>
          <w:sz w:val="20"/>
          <w:szCs w:val="20"/>
          <w:color w:val="auto"/>
        </w:rPr>
      </w:pPr>
    </w:p>
    <w:p>
      <w:pPr>
        <w:ind w:right="3119" w:firstLine="1322"/>
        <w:spacing w:after="0"/>
        <w:tabs>
          <w:tab w:leader="none" w:pos="1686"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174" w:lineRule="exact"/>
        <w:rPr>
          <w:rFonts w:ascii="Courier New" w:cs="Courier New" w:eastAsia="Courier New" w:hAnsi="Courier New"/>
          <w:sz w:val="15"/>
          <w:szCs w:val="15"/>
          <w:color w:val="auto"/>
        </w:rPr>
      </w:pPr>
    </w:p>
    <w:p>
      <w:pPr>
        <w:ind w:right="3659" w:firstLine="1322"/>
        <w:spacing w:after="0" w:line="238" w:lineRule="auto"/>
        <w:tabs>
          <w:tab w:leader="none" w:pos="1686"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time of payment of the amount of deferred Compensation to which the Initial Election relates.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2.30. "Insider"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means an Eligible Employee or Outside Director who is subject to the short-swing profit recapture rules of section 16(b) of the Securities Exchange Act of 1934, as amended.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2.31. "LIBOR"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61" w:lineRule="auto"/>
        <w:rPr>
          <w:sz w:val="20"/>
          <w:szCs w:val="20"/>
          <w:color w:val="auto"/>
        </w:rPr>
      </w:pPr>
      <w:r>
        <w:rPr>
          <w:rFonts w:ascii="Courier New" w:cs="Courier New" w:eastAsia="Courier New" w:hAnsi="Courier New"/>
          <w:sz w:val="14"/>
          <w:szCs w:val="14"/>
          <w:color w:val="auto"/>
        </w:rPr>
        <w:t>means the annual London Inter Bank Offered Rate, as published in the Eastern Edition of The Wall Street Journal, as of a Participant's employment termination date (or the next preceding business day, if such termination date is not a business day) and as adjusted as of the last business day preceding the first day of each calendar year beginning thereafter.</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2.32. "New Key Employee"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beginning November 18, 2002 and ending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2002:</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other than</w:t>
      </w:r>
    </w:p>
    <w:p>
      <w:pPr>
        <w:spacing w:after="0" w:line="3" w:lineRule="exact"/>
        <w:rPr>
          <w:rFonts w:ascii="Courier New" w:cs="Courier New" w:eastAsia="Courier New" w:hAnsi="Courier New"/>
          <w:sz w:val="15"/>
          <w:szCs w:val="15"/>
          <w:color w:val="auto"/>
        </w:rPr>
      </w:pPr>
    </w:p>
    <w:p>
      <w:pPr>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CCCHI or its subsidiaries, who becomes an employee of a Participating Company and has an Annual Rate of Pay of $200,000 or more as of his employment commencement date;</w:t>
      </w:r>
    </w:p>
    <w:p>
      <w:pPr>
        <w:sectPr>
          <w:pgSz w:w="11900" w:h="16838" w:orient="portrait"/>
          <w:cols w:equalWidth="0" w:num="1">
            <w:col w:w="10219"/>
          </w:cols>
          <w:pgMar w:left="240" w:top="631" w:right="1440" w:bottom="1440" w:gutter="0" w:footer="0" w:header="0"/>
        </w:sectPr>
      </w:pPr>
    </w:p>
    <w:bookmarkStart w:id="239" w:name="page240"/>
    <w:bookmarkEnd w:id="239"/>
    <w:p>
      <w:pPr>
        <w:ind w:left="2480" w:hanging="448"/>
        <w:spacing w:after="0"/>
        <w:tabs>
          <w:tab w:leader="none" w:pos="2480"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of a Participating Company, other than</w:t>
      </w:r>
    </w:p>
    <w:p>
      <w:pPr>
        <w:spacing w:after="0" w:line="12" w:lineRule="exact"/>
        <w:rPr>
          <w:rFonts w:ascii="Courier New" w:cs="Courier New" w:eastAsia="Courier New" w:hAnsi="Courier New"/>
          <w:sz w:val="14"/>
          <w:szCs w:val="14"/>
          <w:color w:val="auto"/>
        </w:rPr>
      </w:pPr>
    </w:p>
    <w:p>
      <w:pPr>
        <w:ind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CCCHI or its subsidiaries, who has an Annual Rate of Pay that is increased to $200,000 or more and who, immediately preceding such increase, was not an Eligible Employee; and</w:t>
      </w:r>
    </w:p>
    <w:p>
      <w:pPr>
        <w:spacing w:after="0" w:line="175" w:lineRule="exact"/>
        <w:rPr>
          <w:rFonts w:ascii="Courier New" w:cs="Courier New" w:eastAsia="Courier New" w:hAnsi="Courier New"/>
          <w:sz w:val="14"/>
          <w:szCs w:val="14"/>
          <w:color w:val="auto"/>
        </w:rPr>
      </w:pPr>
    </w:p>
    <w:p>
      <w:pPr>
        <w:ind w:left="2560" w:hanging="528"/>
        <w:spacing w:after="0"/>
        <w:tabs>
          <w:tab w:leader="none" w:pos="2560"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individual who, immediately preceding his date</w:t>
      </w:r>
    </w:p>
    <w:p>
      <w:pPr>
        <w:spacing w:after="0" w:line="12" w:lineRule="exact"/>
        <w:rPr>
          <w:rFonts w:ascii="Courier New" w:cs="Courier New" w:eastAsia="Courier New" w:hAnsi="Courier New"/>
          <w:sz w:val="14"/>
          <w:szCs w:val="14"/>
          <w:color w:val="auto"/>
        </w:rPr>
      </w:pPr>
    </w:p>
    <w:p>
      <w:pPr>
        <w:ind w:right="35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hire by a Participating Company was an employee of AT&amp;T Corp. and who is specifically designated as a New Key Employee by the Committee, in its discretion.</w:t>
      </w:r>
    </w:p>
    <w:p>
      <w:pPr>
        <w:spacing w:after="0" w:line="175" w:lineRule="exact"/>
        <w:rPr>
          <w:rFonts w:ascii="Courier New" w:cs="Courier New" w:eastAsia="Courier New" w:hAnsi="Courier New"/>
          <w:sz w:val="14"/>
          <w:szCs w:val="14"/>
          <w:color w:val="auto"/>
        </w:rPr>
      </w:pPr>
    </w:p>
    <w:p>
      <w:pPr>
        <w:ind w:right="3759" w:firstLine="1322"/>
        <w:spacing w:after="0" w:line="238" w:lineRule="auto"/>
        <w:tabs>
          <w:tab w:leader="none" w:pos="1686"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Plan Years beginning after December 31, 2002, each employee of a Participating Company:</w:t>
      </w:r>
    </w:p>
    <w:p>
      <w:pPr>
        <w:spacing w:after="0" w:line="172"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becomes an employee of a Participating Company</w:t>
      </w:r>
    </w:p>
    <w:p>
      <w:pPr>
        <w:spacing w:after="0" w:line="3" w:lineRule="exact"/>
        <w:rPr>
          <w:rFonts w:ascii="Courier New" w:cs="Courier New" w:eastAsia="Courier New" w:hAnsi="Courier New"/>
          <w:sz w:val="15"/>
          <w:szCs w:val="15"/>
          <w:color w:val="auto"/>
        </w:rPr>
      </w:pPr>
    </w:p>
    <w:p>
      <w:pPr>
        <w:ind w:right="40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has an Annual Rate of Pay of $200,000 or more as of his employment commencement date;</w:t>
      </w:r>
    </w:p>
    <w:p>
      <w:pPr>
        <w:spacing w:after="0" w:line="172"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has an Annual Rate of Pay that is increased to</w:t>
      </w:r>
    </w:p>
    <w:p>
      <w:pPr>
        <w:spacing w:after="0" w:line="3" w:lineRule="exact"/>
        <w:rPr>
          <w:rFonts w:ascii="Courier New" w:cs="Courier New" w:eastAsia="Courier New" w:hAnsi="Courier New"/>
          <w:sz w:val="15"/>
          <w:szCs w:val="15"/>
          <w:color w:val="auto"/>
        </w:rPr>
      </w:pPr>
    </w:p>
    <w:p>
      <w:pPr>
        <w:ind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$200,000 or more and who, immediately preceding such increase, was not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2.33. "Normal Retirement"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1322"/>
        <w:spacing w:after="0" w:line="262" w:lineRule="auto"/>
        <w:tabs>
          <w:tab w:leader="none" w:pos="1686"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60" w:lineRule="exact"/>
        <w:rPr>
          <w:rFonts w:ascii="Courier New" w:cs="Courier New" w:eastAsia="Courier New" w:hAnsi="Courier New"/>
          <w:sz w:val="14"/>
          <w:szCs w:val="14"/>
          <w:color w:val="auto"/>
        </w:rPr>
      </w:pPr>
    </w:p>
    <w:p>
      <w:pPr>
        <w:jc w:val="both"/>
        <w:ind w:right="3579" w:firstLine="1322"/>
        <w:spacing w:after="0" w:line="271" w:lineRule="auto"/>
        <w:tabs>
          <w:tab w:leader="none" w:pos="1686"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Outside Director immediately preceding his termination of service, his normal retirement from the Board.</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2.34. "Outside Director"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919" w:firstLine="1331"/>
        <w:spacing w:after="0" w:line="238" w:lineRule="auto"/>
        <w:rPr>
          <w:sz w:val="20"/>
          <w:szCs w:val="20"/>
          <w:color w:val="auto"/>
        </w:rPr>
      </w:pPr>
      <w:r>
        <w:rPr>
          <w:rFonts w:ascii="Courier New" w:cs="Courier New" w:eastAsia="Courier New" w:hAnsi="Courier New"/>
          <w:sz w:val="15"/>
          <w:szCs w:val="15"/>
          <w:color w:val="auto"/>
        </w:rPr>
        <w:t>means a member of the Board, who is not an employee of a Participating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2.35. "Participant"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2.36. "Participating Company"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CHC;</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and its subsidiaries;</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International Holdings, Inc.;</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Online Communications, Inc.;</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Business Communications, Inc.;</w:t>
      </w:r>
    </w:p>
    <w:p>
      <w:pPr>
        <w:sectPr>
          <w:pgSz w:w="11900" w:h="16838" w:orient="portrait"/>
          <w:cols w:equalWidth="0" w:num="1">
            <w:col w:w="10219"/>
          </w:cols>
          <w:pgMar w:left="240" w:top="801" w:right="1440" w:bottom="1440" w:gutter="0" w:footer="0" w:header="0"/>
        </w:sectPr>
      </w:pPr>
    </w:p>
    <w:bookmarkStart w:id="240" w:name="page241"/>
    <w:bookmarkEnd w:id="240"/>
    <w:p>
      <w:pPr>
        <w:ind w:left="1680" w:hanging="358"/>
        <w:spacing w:after="0"/>
        <w:tabs>
          <w:tab w:leader="none" w:pos="168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CCCHI and its subsidiaries; and</w:t>
      </w:r>
    </w:p>
    <w:p>
      <w:pPr>
        <w:spacing w:after="0" w:line="174" w:lineRule="exact"/>
        <w:rPr>
          <w:rFonts w:ascii="Courier New" w:cs="Courier New" w:eastAsia="Courier New" w:hAnsi="Courier New"/>
          <w:sz w:val="15"/>
          <w:szCs w:val="15"/>
          <w:color w:val="auto"/>
        </w:rPr>
      </w:pPr>
    </w:p>
    <w:p>
      <w:pPr>
        <w:ind w:right="3399" w:firstLine="1322"/>
        <w:spacing w:after="0" w:line="238" w:lineRule="auto"/>
        <w:tabs>
          <w:tab w:leader="none" w:pos="1686"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entities that are subsidiaries of the Company as designated by the Committee in its sole discretion.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2.37.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4199" w:firstLine="1331"/>
        <w:spacing w:after="0" w:line="238" w:lineRule="auto"/>
        <w:rPr>
          <w:sz w:val="20"/>
          <w:szCs w:val="20"/>
          <w:color w:val="auto"/>
        </w:rPr>
      </w:pPr>
      <w:r>
        <w:rPr>
          <w:rFonts w:ascii="Courier New" w:cs="Courier New" w:eastAsia="Courier New" w:hAnsi="Courier New"/>
          <w:sz w:val="15"/>
          <w:szCs w:val="15"/>
          <w:color w:val="auto"/>
        </w:rPr>
        <w:t>means an individual, a corporation, a partnership, an association, a trust or any other entity or organization.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2.38. "Plan"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means the Comcast Corporation 2002 Deferred Compensation Plan, as set forth herein, and as amended from time to time.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2.39. "Prime Rate"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means the annual rate of interest identified by PNC Bank as its prime rate as of a Participant's employment termination date and as of the first day of each calendar year beginning thereafter.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2.40. "Prior Plan"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means the Comcast Corporation 1996 Deferred Compensation Plan, as in effect immediately preceding the amendment, restatement and renaming of the Plan as the Comcast Corporation 2002 Deferred Compensation Plan.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2.41. "Retired Participant"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firstLine="1331"/>
        <w:spacing w:after="0" w:line="238" w:lineRule="auto"/>
        <w:rPr>
          <w:sz w:val="20"/>
          <w:szCs w:val="20"/>
          <w:color w:val="auto"/>
        </w:rPr>
      </w:pPr>
      <w:r>
        <w:rPr>
          <w:rFonts w:ascii="Courier New" w:cs="Courier New" w:eastAsia="Courier New" w:hAnsi="Courier New"/>
          <w:sz w:val="15"/>
          <w:szCs w:val="15"/>
          <w:color w:val="auto"/>
        </w:rPr>
        <w:t>means a Participant who has terminated service pursuant to a Normal Retirement.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2.42. "Severance Pay"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2.43. "Subsequent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2.44. "Surviving Spouse"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firstLine="1331"/>
        <w:spacing w:after="0" w:line="238" w:lineRule="auto"/>
        <w:rPr>
          <w:sz w:val="20"/>
          <w:szCs w:val="20"/>
          <w:color w:val="auto"/>
        </w:rPr>
      </w:pPr>
      <w:r>
        <w:rPr>
          <w:rFonts w:ascii="Courier New" w:cs="Courier New" w:eastAsia="Courier New" w:hAnsi="Courier New"/>
          <w:sz w:val="15"/>
          <w:szCs w:val="15"/>
          <w:color w:val="auto"/>
        </w:rPr>
        <w:t>means the widow or widower, as the case may be, of a Deceased Participant or a Deceased Beneficiary (as applicable).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2.45. "Terminating Event" means either of the following events: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2.46. "Third Party"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839" w:firstLine="1331"/>
        <w:spacing w:after="0" w:line="239" w:lineRule="auto"/>
        <w:rPr>
          <w:sz w:val="20"/>
          <w:szCs w:val="20"/>
          <w:color w:val="auto"/>
        </w:rPr>
      </w:pPr>
      <w:r>
        <w:rPr>
          <w:rFonts w:ascii="Courier New" w:cs="Courier New" w:eastAsia="Courier New" w:hAnsi="Courier New"/>
          <w:sz w:val="15"/>
          <w:szCs w:val="15"/>
          <w:color w:val="auto"/>
        </w:rPr>
        <w:t>means any Person, together with such Person's Affiliates, provided that the term "Third Party" shall not include the Company or an Affiliate of the Company.</w:t>
      </w:r>
    </w:p>
    <w:p>
      <w:pPr>
        <w:sectPr>
          <w:pgSz w:w="11900" w:h="16838" w:orient="portrait"/>
          <w:cols w:equalWidth="0" w:num="1">
            <w:col w:w="10219"/>
          </w:cols>
          <w:pgMar w:left="240" w:top="799" w:right="1440" w:bottom="1440" w:gutter="0" w:footer="0" w:header="0"/>
        </w:sectPr>
      </w:pPr>
    </w:p>
    <w:bookmarkStart w:id="241" w:name="page242"/>
    <w:bookmarkEnd w:id="241"/>
    <w:p>
      <w:pPr>
        <w:ind w:left="1580"/>
        <w:spacing w:after="0"/>
        <w:rPr>
          <w:sz w:val="20"/>
          <w:szCs w:val="20"/>
          <w:color w:val="auto"/>
        </w:rPr>
      </w:pPr>
      <w:r>
        <w:rPr>
          <w:rFonts w:ascii="Courier New" w:cs="Courier New" w:eastAsia="Courier New" w:hAnsi="Courier New"/>
          <w:sz w:val="15"/>
          <w:szCs w:val="15"/>
          <w:color w:val="auto"/>
        </w:rPr>
        <w:t>ARTICLE 3 - INITIAL AND SUBSEQUENT ELECTIONS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Elections.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420"/>
        <w:spacing w:after="0"/>
        <w:rPr>
          <w:sz w:val="20"/>
          <w:szCs w:val="20"/>
          <w:color w:val="auto"/>
        </w:rPr>
      </w:pPr>
      <w:r>
        <w:rPr>
          <w:rFonts w:ascii="Courier New" w:cs="Courier New" w:eastAsia="Courier New" w:hAnsi="Courier New"/>
          <w:sz w:val="15"/>
          <w:szCs w:val="15"/>
          <w:color w:val="auto"/>
        </w:rPr>
        <w:t>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84" w:lineRule="exact"/>
        <w:rPr>
          <w:sz w:val="20"/>
          <w:szCs w:val="20"/>
          <w:color w:val="auto"/>
        </w:rPr>
      </w:pPr>
    </w:p>
    <w:p>
      <w:pPr>
        <w:ind w:left="1680" w:hanging="358"/>
        <w:spacing w:after="0"/>
        <w:tabs>
          <w:tab w:leader="none" w:pos="168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 Filing of Initial Election: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General.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 Filing of Initial Election by New Key Employees and New Outside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1680" w:hanging="358"/>
        <w:spacing w:after="0"/>
        <w:tabs>
          <w:tab w:leader="none" w:pos="168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Key Employees.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1331"/>
        <w:spacing w:after="0"/>
        <w:rPr>
          <w:sz w:val="20"/>
          <w:szCs w:val="20"/>
          <w:color w:val="auto"/>
        </w:rPr>
      </w:pPr>
      <w:r>
        <w:rPr>
          <w:rFonts w:ascii="Courier New" w:cs="Courier New" w:eastAsia="Courier New" w:hAnsi="Courier New"/>
          <w:sz w:val="15"/>
          <w:szCs w:val="15"/>
          <w:color w:val="auto"/>
        </w:rPr>
        <w:t>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w:t>
      </w:r>
    </w:p>
    <w:p>
      <w:pPr>
        <w:sectPr>
          <w:pgSz w:w="11900" w:h="16838" w:orient="portrait"/>
          <w:cols w:equalWidth="0" w:num="1">
            <w:col w:w="10219"/>
          </w:cols>
          <w:pgMar w:left="240" w:top="799" w:right="1440" w:bottom="1440" w:gutter="0" w:footer="0" w:header="0"/>
        </w:sectPr>
      </w:pPr>
    </w:p>
    <w:bookmarkStart w:id="242" w:name="page243"/>
    <w:bookmarkEnd w:id="242"/>
    <w:p>
      <w:pPr>
        <w:jc w:val="both"/>
        <w:ind w:right="3659"/>
        <w:spacing w:after="0" w:line="239" w:lineRule="auto"/>
        <w:rPr>
          <w:sz w:val="20"/>
          <w:szCs w:val="20"/>
          <w:color w:val="auto"/>
        </w:rPr>
      </w:pPr>
      <w:r>
        <w:rPr>
          <w:rFonts w:ascii="Courier New" w:cs="Courier New" w:eastAsia="Courier New" w:hAnsi="Courier New"/>
          <w:sz w:val="15"/>
          <w:szCs w:val="15"/>
          <w:color w:val="auto"/>
        </w:rPr>
        <w:t>within 30 days of the date such New Key Employee first becomes eligible to participate in the Plan. Any Initial Election by such New Key Employee for succeeding calendar years shall be made in accordance with Section 3.1 and Section 3.2.</w:t>
      </w:r>
    </w:p>
    <w:p>
      <w:pPr>
        <w:spacing w:after="0" w:line="174" w:lineRule="exact"/>
        <w:rPr>
          <w:sz w:val="20"/>
          <w:szCs w:val="20"/>
          <w:color w:val="auto"/>
        </w:rPr>
      </w:pPr>
    </w:p>
    <w:p>
      <w:pPr>
        <w:ind w:left="1680" w:hanging="358"/>
        <w:spacing w:after="0"/>
        <w:tabs>
          <w:tab w:leader="none" w:pos="168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Outside Directors.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3.4. Calendar Years to which Initial Election May Apply.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60" w:lineRule="auto"/>
        <w:rPr>
          <w:sz w:val="20"/>
          <w:szCs w:val="20"/>
          <w:color w:val="auto"/>
        </w:rPr>
      </w:pPr>
      <w:r>
        <w:rPr>
          <w:rFonts w:ascii="Courier New" w:cs="Courier New" w:eastAsia="Courier New" w:hAnsi="Courier New"/>
          <w:sz w:val="14"/>
          <w:szCs w:val="14"/>
          <w:color w:val="auto"/>
        </w:rPr>
        <w:t>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61" w:lineRule="exact"/>
        <w:rPr>
          <w:sz w:val="20"/>
          <w:szCs w:val="20"/>
          <w:color w:val="auto"/>
        </w:rPr>
      </w:pPr>
    </w:p>
    <w:p>
      <w:pPr>
        <w:ind w:left="1680" w:hanging="358"/>
        <w:spacing w:after="0"/>
        <w:tabs>
          <w:tab w:leader="none" w:pos="168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Election of Distribution Date.</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3.5. Subsequent Elections.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Participants.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75" w:lineRule="exact"/>
        <w:rPr>
          <w:sz w:val="20"/>
          <w:szCs w:val="20"/>
          <w:color w:val="auto"/>
        </w:rPr>
      </w:pPr>
    </w:p>
    <w:p>
      <w:pPr>
        <w:ind w:left="1680" w:hanging="358"/>
        <w:spacing w:after="0"/>
        <w:tabs>
          <w:tab w:leader="none" w:pos="168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Inactive Participants.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w:t>
      </w:r>
    </w:p>
    <w:p>
      <w:pPr>
        <w:sectPr>
          <w:pgSz w:w="11900" w:h="16838" w:orient="portrait"/>
          <w:cols w:equalWidth="0" w:num="1">
            <w:col w:w="10219"/>
          </w:cols>
          <w:pgMar w:left="240" w:top="631" w:right="1440" w:bottom="1440" w:gutter="0" w:footer="0" w:header="0"/>
        </w:sectPr>
      </w:pPr>
    </w:p>
    <w:bookmarkStart w:id="243" w:name="page244"/>
    <w:bookmarkEnd w:id="243"/>
    <w:p>
      <w:pPr>
        <w:ind w:right="3119"/>
        <w:spacing w:after="0"/>
        <w:rPr>
          <w:sz w:val="20"/>
          <w:szCs w:val="20"/>
          <w:color w:val="auto"/>
        </w:rPr>
      </w:pPr>
      <w:r>
        <w:rPr>
          <w:rFonts w:ascii="Courier New" w:cs="Courier New" w:eastAsia="Courier New" w:hAnsi="Courier New"/>
          <w:sz w:val="15"/>
          <w:szCs w:val="15"/>
          <w:color w:val="auto"/>
        </w:rPr>
        <w:t>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72" w:lineRule="exact"/>
        <w:rPr>
          <w:sz w:val="20"/>
          <w:szCs w:val="20"/>
          <w:color w:val="auto"/>
        </w:rPr>
      </w:pPr>
    </w:p>
    <w:p>
      <w:pPr>
        <w:ind w:left="1680" w:hanging="358"/>
        <w:spacing w:after="0"/>
        <w:tabs>
          <w:tab w:leader="none" w:pos="168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Surviving Spouses.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041"/>
        <w:spacing w:after="0"/>
        <w:rPr>
          <w:sz w:val="20"/>
          <w:szCs w:val="20"/>
          <w:color w:val="auto"/>
        </w:rPr>
      </w:pPr>
      <w:r>
        <w:rPr>
          <w:rFonts w:ascii="Courier New" w:cs="Courier New" w:eastAsia="Courier New" w:hAnsi="Courier New"/>
          <w:sz w:val="15"/>
          <w:szCs w:val="15"/>
          <w:color w:val="auto"/>
        </w:rPr>
        <w:t>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178" w:lineRule="exact"/>
        <w:rPr>
          <w:sz w:val="20"/>
          <w:szCs w:val="20"/>
          <w:color w:val="auto"/>
        </w:rPr>
      </w:pPr>
    </w:p>
    <w:p>
      <w:pPr>
        <w:ind w:left="2480" w:hanging="448"/>
        <w:spacing w:after="0"/>
        <w:tabs>
          <w:tab w:leader="none" w:pos="248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w:t>
      </w: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041"/>
        <w:spacing w:after="0"/>
        <w:rPr>
          <w:sz w:val="20"/>
          <w:szCs w:val="20"/>
          <w:color w:val="auto"/>
        </w:rPr>
      </w:pPr>
      <w:r>
        <w:rPr>
          <w:rFonts w:ascii="Courier New" w:cs="Courier New" w:eastAsia="Courier New" w:hAnsi="Courier New"/>
          <w:sz w:val="15"/>
          <w:szCs w:val="15"/>
          <w:color w:val="auto"/>
        </w:rPr>
        <w:t>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18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 Beneficiary of a Deceased Participant Other Than a Surviving</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Spouse.</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380" w:hanging="348"/>
        <w:spacing w:after="0"/>
        <w:tabs>
          <w:tab w:leader="none" w:pos="238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2041"/>
        <w:spacing w:after="0"/>
        <w:rPr>
          <w:sz w:val="20"/>
          <w:szCs w:val="20"/>
          <w:color w:val="auto"/>
        </w:rPr>
      </w:pPr>
      <w:r>
        <w:rPr>
          <w:rFonts w:ascii="Courier New" w:cs="Courier New" w:eastAsia="Courier New" w:hAnsi="Courier New"/>
          <w:sz w:val="15"/>
          <w:szCs w:val="15"/>
          <w:color w:val="auto"/>
        </w:rPr>
        <w:t>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w:t>
      </w:r>
    </w:p>
    <w:p>
      <w:pPr>
        <w:sectPr>
          <w:pgSz w:w="11900" w:h="16838" w:orient="portrait"/>
          <w:cols w:equalWidth="0" w:num="1">
            <w:col w:w="10219"/>
          </w:cols>
          <w:pgMar w:left="240" w:top="631" w:right="1440" w:bottom="1440" w:gutter="0" w:footer="0" w:header="0"/>
        </w:sectPr>
      </w:pPr>
    </w:p>
    <w:bookmarkStart w:id="244" w:name="page245"/>
    <w:bookmarkEnd w:id="244"/>
    <w:p>
      <w:pPr>
        <w:ind w:left="9" w:right="3399"/>
        <w:spacing w:after="0" w:line="239" w:lineRule="auto"/>
        <w:rPr>
          <w:sz w:val="20"/>
          <w:szCs w:val="20"/>
          <w:color w:val="auto"/>
        </w:rPr>
      </w:pPr>
      <w:r>
        <w:rPr>
          <w:rFonts w:ascii="Courier New" w:cs="Courier New" w:eastAsia="Courier New" w:hAnsi="Courier New"/>
          <w:sz w:val="15"/>
          <w:szCs w:val="15"/>
          <w:color w:val="auto"/>
        </w:rPr>
        <w:t>Election under this Section 3.5(d)(i), with respect to all or any part of the Deceased Participant's Account. Subsequent Elections pursuant to this Section 3.5(d)(i) may specify different changes for different parts of the Deceased Participant's Account.</w:t>
      </w:r>
    </w:p>
    <w:p>
      <w:pPr>
        <w:spacing w:after="0" w:line="174" w:lineRule="exact"/>
        <w:rPr>
          <w:sz w:val="20"/>
          <w:szCs w:val="20"/>
          <w:color w:val="auto"/>
        </w:rPr>
      </w:pPr>
    </w:p>
    <w:p>
      <w:pPr>
        <w:ind w:left="2489" w:hanging="448"/>
        <w:spacing w:after="0"/>
        <w:tabs>
          <w:tab w:leader="none" w:pos="2489"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w:t>
      </w:r>
    </w:p>
    <w:p>
      <w:pPr>
        <w:ind w:left="24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2041"/>
        <w:spacing w:after="0" w:line="259" w:lineRule="auto"/>
        <w:rPr>
          <w:sz w:val="20"/>
          <w:szCs w:val="20"/>
          <w:color w:val="auto"/>
        </w:rPr>
      </w:pPr>
      <w:r>
        <w:rPr>
          <w:rFonts w:ascii="Courier New" w:cs="Courier New" w:eastAsia="Courier New" w:hAnsi="Courier New"/>
          <w:sz w:val="14"/>
          <w:szCs w:val="14"/>
          <w:color w:val="auto"/>
        </w:rPr>
        <w:t>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61" w:lineRule="exact"/>
        <w:rPr>
          <w:sz w:val="20"/>
          <w:szCs w:val="20"/>
          <w:color w:val="auto"/>
        </w:rPr>
      </w:pPr>
    </w:p>
    <w:p>
      <w:pPr>
        <w:ind w:left="1689" w:hanging="358"/>
        <w:spacing w:after="0"/>
        <w:tabs>
          <w:tab w:leader="none" w:pos="1689"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Deferral and Acceleration by a Beneficiary.</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firstLine="1331"/>
        <w:spacing w:after="0"/>
        <w:rPr>
          <w:sz w:val="20"/>
          <w:szCs w:val="20"/>
          <w:color w:val="auto"/>
        </w:rPr>
      </w:pPr>
      <w:r>
        <w:rPr>
          <w:rFonts w:ascii="Courier New" w:cs="Courier New" w:eastAsia="Courier New" w:hAnsi="Courier New"/>
          <w:sz w:val="15"/>
          <w:szCs w:val="15"/>
          <w:color w:val="auto"/>
        </w:rPr>
        <w:t>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72" w:lineRule="exact"/>
        <w:rPr>
          <w:sz w:val="20"/>
          <w:szCs w:val="20"/>
          <w:color w:val="auto"/>
        </w:rPr>
      </w:pPr>
    </w:p>
    <w:p>
      <w:pPr>
        <w:ind w:left="2389" w:hanging="348"/>
        <w:spacing w:after="0"/>
        <w:tabs>
          <w:tab w:leader="none" w:pos="2389"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w:t>
      </w:r>
    </w:p>
    <w:p>
      <w:pPr>
        <w:spacing w:after="0" w:line="3" w:lineRule="exact"/>
        <w:rPr>
          <w:rFonts w:ascii="Courier New" w:cs="Courier New" w:eastAsia="Courier New" w:hAnsi="Courier New"/>
          <w:sz w:val="15"/>
          <w:szCs w:val="15"/>
          <w:color w:val="auto"/>
        </w:rPr>
      </w:pPr>
    </w:p>
    <w:p>
      <w:pPr>
        <w:jc w:val="both"/>
        <w:ind w:left="9" w:right="38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Deceased Participant's Account or deceased Beneficiary's Account for one additional year from the date a payment would otherwise be made or begin (provided that if a Subsequent Election is made pursuant to this Section</w:t>
      </w:r>
    </w:p>
    <w:p>
      <w:pPr>
        <w:ind w:left="9"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3.5(e)(i), the Deceased Participant's Account or deceased Beneficiary's Account shall be in all events distributed in full on or before the fifth anniversary of the Deceased Participant's or a deceased Beneficiary's death); or</w:t>
      </w:r>
    </w:p>
    <w:p>
      <w:pPr>
        <w:spacing w:after="0" w:line="156" w:lineRule="exact"/>
        <w:rPr>
          <w:rFonts w:ascii="Courier New" w:cs="Courier New" w:eastAsia="Courier New" w:hAnsi="Courier New"/>
          <w:sz w:val="15"/>
          <w:szCs w:val="15"/>
          <w:color w:val="auto"/>
        </w:rPr>
      </w:pPr>
    </w:p>
    <w:p>
      <w:pPr>
        <w:ind w:left="2489" w:hanging="448"/>
        <w:spacing w:after="0"/>
        <w:tabs>
          <w:tab w:leader="none" w:pos="2489"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time of payment of a Deceased</w:t>
      </w:r>
    </w:p>
    <w:p>
      <w:pPr>
        <w:spacing w:after="0" w:line="3" w:lineRule="exact"/>
        <w:rPr>
          <w:rFonts w:ascii="Courier New" w:cs="Courier New" w:eastAsia="Courier New" w:hAnsi="Courier New"/>
          <w:sz w:val="15"/>
          <w:szCs w:val="15"/>
          <w:color w:val="auto"/>
        </w:rPr>
      </w:pPr>
    </w:p>
    <w:p>
      <w:pPr>
        <w:jc w:val="both"/>
        <w:ind w:left="9"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Account or deceased Beneficiary's Account from the date or dates that payment would otherwise be made or begin to the date that is the later of</w:t>
      </w:r>
    </w:p>
    <w:p>
      <w:pPr>
        <w:ind w:left="9" w:right="3119" w:hanging="9"/>
        <w:spacing w:after="0"/>
        <w:tabs>
          <w:tab w:leader="none" w:pos="364"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75"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173" w:lineRule="exact"/>
        <w:rPr>
          <w:sz w:val="20"/>
          <w:szCs w:val="20"/>
          <w:color w:val="auto"/>
        </w:rPr>
      </w:pPr>
    </w:p>
    <w:p>
      <w:pPr>
        <w:ind w:left="1689" w:hanging="358"/>
        <w:spacing w:after="0"/>
        <w:tabs>
          <w:tab w:leader="none" w:pos="1689"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Disabled Participant.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579" w:firstLine="1331"/>
        <w:spacing w:after="0" w:line="271" w:lineRule="auto"/>
        <w:rPr>
          <w:sz w:val="20"/>
          <w:szCs w:val="20"/>
          <w:color w:val="auto"/>
        </w:rPr>
      </w:pPr>
      <w:r>
        <w:rPr>
          <w:rFonts w:ascii="Courier New" w:cs="Courier New" w:eastAsia="Courier New" w:hAnsi="Courier New"/>
          <w:sz w:val="14"/>
          <w:szCs w:val="14"/>
          <w:color w:val="auto"/>
        </w:rPr>
        <w:t>A Disabled Participant (who has not been permitted to make a Subsequent Election under Section 3.5(h)) may elect to change the form of</w:t>
      </w:r>
    </w:p>
    <w:p>
      <w:pPr>
        <w:sectPr>
          <w:pgSz w:w="11900" w:h="16838" w:orient="portrait"/>
          <w:cols w:equalWidth="0" w:num="1">
            <w:col w:w="10228"/>
          </w:cols>
          <w:pgMar w:left="231" w:top="802" w:right="1440" w:bottom="1440" w:gutter="0" w:footer="0" w:header="0"/>
        </w:sectPr>
      </w:pPr>
    </w:p>
    <w:bookmarkStart w:id="245" w:name="page246"/>
    <w:bookmarkEnd w:id="245"/>
    <w:p>
      <w:pPr>
        <w:ind w:right="3219"/>
        <w:spacing w:after="0" w:line="258" w:lineRule="auto"/>
        <w:rPr>
          <w:sz w:val="20"/>
          <w:szCs w:val="20"/>
          <w:color w:val="auto"/>
        </w:rPr>
      </w:pPr>
      <w:r>
        <w:rPr>
          <w:rFonts w:ascii="Courier New" w:cs="Courier New" w:eastAsia="Courier New" w:hAnsi="Courier New"/>
          <w:sz w:val="14"/>
          <w:szCs w:val="14"/>
          <w:color w:val="auto"/>
        </w:rPr>
        <w:t>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5" w:lineRule="exact"/>
        <w:rPr>
          <w:sz w:val="20"/>
          <w:szCs w:val="20"/>
          <w:color w:val="auto"/>
        </w:rPr>
      </w:pPr>
    </w:p>
    <w:p>
      <w:pPr>
        <w:ind w:left="1680" w:hanging="358"/>
        <w:spacing w:after="0"/>
        <w:tabs>
          <w:tab w:leader="none" w:pos="168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79" w:lineRule="exact"/>
        <w:rPr>
          <w:sz w:val="20"/>
          <w:szCs w:val="20"/>
          <w:color w:val="auto"/>
        </w:rPr>
      </w:pPr>
    </w:p>
    <w:p>
      <w:pPr>
        <w:ind w:left="1680" w:hanging="358"/>
        <w:spacing w:after="0"/>
        <w:tabs>
          <w:tab w:leader="none" w:pos="168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Participants and Disabled Participants.</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59" w:lineRule="auto"/>
        <w:rPr>
          <w:sz w:val="20"/>
          <w:szCs w:val="20"/>
          <w:color w:val="auto"/>
        </w:rPr>
      </w:pPr>
      <w:r>
        <w:rPr>
          <w:rFonts w:ascii="Courier New" w:cs="Courier New" w:eastAsia="Courier New" w:hAnsi="Courier New"/>
          <w:sz w:val="14"/>
          <w:szCs w:val="14"/>
          <w:color w:val="auto"/>
        </w:rPr>
        <w:t>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163" w:lineRule="exact"/>
        <w:rPr>
          <w:sz w:val="20"/>
          <w:szCs w:val="20"/>
          <w:color w:val="auto"/>
        </w:rPr>
      </w:pPr>
    </w:p>
    <w:p>
      <w:pPr>
        <w:ind w:left="1680" w:hanging="358"/>
        <w:spacing w:after="0"/>
        <w:tabs>
          <w:tab w:leader="none" w:pos="168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Most Recently Filed Initial Election or Subsequent Election</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acceleration pursuant to Section 3.5(e) or 3.5(f),</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74" w:lineRule="exact"/>
        <w:rPr>
          <w:sz w:val="20"/>
          <w:szCs w:val="20"/>
          <w:color w:val="auto"/>
        </w:rPr>
      </w:pPr>
    </w:p>
    <w:p>
      <w:pPr>
        <w:ind w:left="440"/>
        <w:spacing w:after="0"/>
        <w:tabs>
          <w:tab w:leader="none" w:pos="940" w:val="left"/>
          <w:tab w:leader="none" w:pos="2180" w:val="left"/>
          <w:tab w:leader="none" w:pos="3440" w:val="left"/>
          <w:tab w:leader="none" w:pos="4580" w:val="left"/>
        </w:tabs>
        <w:rPr>
          <w:sz w:val="20"/>
          <w:szCs w:val="20"/>
          <w:color w:val="auto"/>
        </w:rPr>
      </w:pPr>
      <w:r>
        <w:rPr>
          <w:rFonts w:ascii="Courier New" w:cs="Courier New" w:eastAsia="Courier New" w:hAnsi="Courier New"/>
          <w:sz w:val="15"/>
          <w:szCs w:val="15"/>
          <w:color w:val="auto"/>
        </w:rPr>
        <w:t>3.6.</w:t>
        <w:tab/>
        <w:t>Distribution</w:t>
        <w:tab/>
        <w:t>in Full Upon</w:t>
        <w:tab/>
        <w:t>Terminating</w:t>
        <w:tab/>
        <w:t>Event.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1331"/>
        <w:spacing w:after="0"/>
        <w:rPr>
          <w:sz w:val="20"/>
          <w:szCs w:val="20"/>
          <w:color w:val="auto"/>
        </w:rPr>
      </w:pPr>
      <w:r>
        <w:rPr>
          <w:rFonts w:ascii="Courier New" w:cs="Courier New" w:eastAsia="Courier New" w:hAnsi="Courier New"/>
          <w:sz w:val="15"/>
          <w:szCs w:val="15"/>
          <w:color w:val="auto"/>
        </w:rPr>
        <w:t>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w:t>
      </w:r>
    </w:p>
    <w:p>
      <w:pPr>
        <w:sectPr>
          <w:pgSz w:w="11900" w:h="16838" w:orient="portrait"/>
          <w:cols w:equalWidth="0" w:num="1">
            <w:col w:w="10219"/>
          </w:cols>
          <w:pgMar w:left="240" w:top="801" w:right="1440" w:bottom="1440" w:gutter="0" w:footer="0" w:header="0"/>
        </w:sectPr>
      </w:pPr>
    </w:p>
    <w:bookmarkStart w:id="246" w:name="page247"/>
    <w:bookmarkEnd w:id="246"/>
    <w:p>
      <w:pPr>
        <w:ind w:right="3299"/>
        <w:spacing w:after="0" w:line="239" w:lineRule="auto"/>
        <w:rPr>
          <w:sz w:val="20"/>
          <w:szCs w:val="20"/>
          <w:color w:val="auto"/>
        </w:rPr>
      </w:pPr>
      <w:r>
        <w:rPr>
          <w:rFonts w:ascii="Courier New" w:cs="Courier New" w:eastAsia="Courier New" w:hAnsi="Courier New"/>
          <w:sz w:val="15"/>
          <w:szCs w:val="15"/>
          <w:color w:val="auto"/>
        </w:rPr>
        <w:t>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3.7. Withholding and Payment of Death Taxes.</w:t>
      </w:r>
    </w:p>
    <w:p>
      <w:pPr>
        <w:spacing w:after="0" w:line="174" w:lineRule="exact"/>
        <w:rPr>
          <w:sz w:val="20"/>
          <w:szCs w:val="20"/>
          <w:color w:val="auto"/>
        </w:rPr>
      </w:pPr>
    </w:p>
    <w:p>
      <w:pPr>
        <w:ind w:right="3299" w:firstLine="1322"/>
        <w:spacing w:after="0" w:line="260" w:lineRule="auto"/>
        <w:tabs>
          <w:tab w:leader="none" w:pos="1686"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62" w:lineRule="exact"/>
        <w:rPr>
          <w:rFonts w:ascii="Courier New" w:cs="Courier New" w:eastAsia="Courier New" w:hAnsi="Courier New"/>
          <w:sz w:val="14"/>
          <w:szCs w:val="14"/>
          <w:color w:val="auto"/>
        </w:rPr>
      </w:pPr>
    </w:p>
    <w:p>
      <w:pPr>
        <w:ind w:right="3399" w:firstLine="1322"/>
        <w:spacing w:after="0" w:line="238" w:lineRule="auto"/>
        <w:tabs>
          <w:tab w:leader="none" w:pos="1686"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Decedent affirmatively has elected, pursuant to Section 3.7(a), that the terms of this Section 3.7(b) not apply:</w:t>
      </w:r>
    </w:p>
    <w:p>
      <w:pPr>
        <w:spacing w:after="0" w:line="174" w:lineRule="exact"/>
        <w:rPr>
          <w:rFonts w:ascii="Courier New" w:cs="Courier New" w:eastAsia="Courier New" w:hAnsi="Courier New"/>
          <w:sz w:val="15"/>
          <w:szCs w:val="15"/>
          <w:color w:val="auto"/>
        </w:rPr>
      </w:pPr>
    </w:p>
    <w:p>
      <w:pPr>
        <w:ind w:right="3219" w:firstLine="2032"/>
        <w:spacing w:after="0" w:line="239" w:lineRule="auto"/>
        <w:tabs>
          <w:tab w:leader="none" w:pos="2396"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3"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defer payment of the</w:t>
      </w:r>
    </w:p>
    <w:p>
      <w:pPr>
        <w:spacing w:after="0" w:line="3" w:lineRule="exact"/>
        <w:rPr>
          <w:rFonts w:ascii="Courier New" w:cs="Courier New" w:eastAsia="Courier New" w:hAnsi="Courier New"/>
          <w:sz w:val="15"/>
          <w:szCs w:val="15"/>
          <w:color w:val="auto"/>
        </w:rPr>
      </w:pPr>
    </w:p>
    <w:p>
      <w:pPr>
        <w:ind w:right="36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until the later of the Death Tax Clearance Date and the payment date designated in the Decedent's Initial Election or Subsequent Election;</w:t>
      </w:r>
    </w:p>
    <w:p>
      <w:pPr>
        <w:spacing w:after="0" w:line="172" w:lineRule="exact"/>
        <w:rPr>
          <w:rFonts w:ascii="Courier New" w:cs="Courier New" w:eastAsia="Courier New" w:hAnsi="Courier New"/>
          <w:sz w:val="15"/>
          <w:szCs w:val="15"/>
          <w:color w:val="auto"/>
        </w:rPr>
      </w:pPr>
    </w:p>
    <w:p>
      <w:pPr>
        <w:ind w:left="2560" w:hanging="528"/>
        <w:spacing w:after="0"/>
        <w:tabs>
          <w:tab w:leader="none" w:pos="2560"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73"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Administrator makes a withdrawal from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8" w:lineRule="exact"/>
        <w:rPr>
          <w:rFonts w:ascii="Courier New" w:cs="Courier New" w:eastAsia="Courier New" w:hAnsi="Courier New"/>
          <w:sz w:val="15"/>
          <w:szCs w:val="15"/>
          <w:color w:val="auto"/>
        </w:rPr>
      </w:pPr>
    </w:p>
    <w:p>
      <w:pPr>
        <w:ind w:right="3119" w:firstLine="2032"/>
        <w:spacing w:after="0" w:line="262" w:lineRule="auto"/>
        <w:tabs>
          <w:tab w:leader="none" w:pos="2396"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ectPr>
          <w:pgSz w:w="11900" w:h="16838" w:orient="portrait"/>
          <w:cols w:equalWidth="0" w:num="1">
            <w:col w:w="10219"/>
          </w:cols>
          <w:pgMar w:left="240" w:top="801" w:right="1440" w:bottom="1440" w:gutter="0" w:footer="0" w:header="0"/>
        </w:sectPr>
      </w:pPr>
    </w:p>
    <w:bookmarkStart w:id="247" w:name="page248"/>
    <w:bookmarkEnd w:id="247"/>
    <w:p>
      <w:pPr>
        <w:ind w:left="2480" w:hanging="448"/>
        <w:spacing w:after="0"/>
        <w:tabs>
          <w:tab w:leader="none" w:pos="24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a reasonable time after the later to occur of</w:t>
      </w:r>
    </w:p>
    <w:p>
      <w:pPr>
        <w:spacing w:after="0" w:line="12" w:lineRule="exact"/>
        <w:rPr>
          <w:rFonts w:ascii="Courier New" w:cs="Courier New" w:eastAsia="Courier New" w:hAnsi="Courier New"/>
          <w:sz w:val="14"/>
          <w:szCs w:val="14"/>
          <w:color w:val="auto"/>
        </w:rPr>
      </w:pPr>
    </w:p>
    <w:p>
      <w:pPr>
        <w:ind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Death Tax Clearance Date and the payment date designated in the Decedent's Initial Election or Subsequent Election, the Administrator shall pay the Decedent's Account to the Beneficiary.</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ARTICLE 4 - MANNER OF DISTRIBUTION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4.1. Manner of Distribution.</w:t>
      </w:r>
    </w:p>
    <w:p>
      <w:pPr>
        <w:spacing w:after="0" w:line="174" w:lineRule="exact"/>
        <w:rPr>
          <w:sz w:val="20"/>
          <w:szCs w:val="20"/>
          <w:color w:val="auto"/>
        </w:rPr>
      </w:pPr>
    </w:p>
    <w:p>
      <w:pPr>
        <w:ind w:right="3119" w:firstLine="1322"/>
        <w:spacing w:after="0" w:line="260" w:lineRule="auto"/>
        <w:tabs>
          <w:tab w:leader="none" w:pos="1686"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credited to an Account shall be distributed, pursuant to an Initial Election or Subsequent Election in either (i) a lump sum payment or (ii) 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163" w:lineRule="exact"/>
        <w:rPr>
          <w:rFonts w:ascii="Courier New" w:cs="Courier New" w:eastAsia="Courier New" w:hAnsi="Courier New"/>
          <w:sz w:val="14"/>
          <w:szCs w:val="14"/>
          <w:color w:val="auto"/>
        </w:rPr>
      </w:pPr>
    </w:p>
    <w:p>
      <w:pPr>
        <w:ind w:right="3299" w:firstLine="1322"/>
        <w:spacing w:after="0" w:line="260" w:lineRule="auto"/>
        <w:tabs>
          <w:tab w:leader="none" w:pos="1686"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Initial Election or Subsequent Election or any other provision of the Plan to the contrary: (i) 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63" w:lineRule="exact"/>
        <w:rPr>
          <w:rFonts w:ascii="Courier New" w:cs="Courier New" w:eastAsia="Courier New" w:hAnsi="Courier New"/>
          <w:sz w:val="14"/>
          <w:szCs w:val="14"/>
          <w:color w:val="auto"/>
        </w:rPr>
      </w:pPr>
    </w:p>
    <w:p>
      <w:pPr>
        <w:ind w:right="3119" w:firstLine="2032"/>
        <w:spacing w:after="0"/>
        <w:tabs>
          <w:tab w:leader="none" w:pos="2485" w:val="left"/>
        </w:tabs>
        <w:numPr>
          <w:ilvl w:val="1"/>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4.2. Determination of Account Balances for Purposes of Distribution.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5 - BOOK ACCOUNTS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 Deferred Compensation Account.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Crediting of Income, Gains and Losses on Accounts.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72" w:right="1440" w:bottom="1440" w:gutter="0" w:footer="0" w:header="0"/>
        </w:sectPr>
      </w:pPr>
    </w:p>
    <w:bookmarkStart w:id="248" w:name="page249"/>
    <w:bookmarkEnd w:id="248"/>
    <w:p>
      <w:pPr>
        <w:ind w:left="1680" w:hanging="358"/>
        <w:spacing w:after="0"/>
        <w:tabs>
          <w:tab w:leader="none" w:pos="168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839" w:firstLine="1331"/>
        <w:spacing w:after="0" w:line="239" w:lineRule="auto"/>
        <w:rPr>
          <w:sz w:val="20"/>
          <w:szCs w:val="20"/>
          <w:color w:val="auto"/>
        </w:rPr>
      </w:pPr>
      <w:r>
        <w:rPr>
          <w:rFonts w:ascii="Courier New" w:cs="Courier New" w:eastAsia="Courier New" w:hAnsi="Courier New"/>
          <w:sz w:val="15"/>
          <w:szCs w:val="15"/>
          <w:color w:val="auto"/>
        </w:rPr>
        <w:t>Except as otherwise provided in this Section 5.2, the Administrator shall credit income, gains and losses with respect to each Participant's Account as if it were invested in the Income Fund.</w:t>
      </w:r>
    </w:p>
    <w:p>
      <w:pPr>
        <w:spacing w:after="0" w:line="172" w:lineRule="exact"/>
        <w:rPr>
          <w:sz w:val="20"/>
          <w:szCs w:val="20"/>
          <w:color w:val="auto"/>
        </w:rPr>
      </w:pPr>
    </w:p>
    <w:p>
      <w:pPr>
        <w:ind w:left="1680" w:hanging="358"/>
        <w:spacing w:after="0"/>
        <w:tabs>
          <w:tab w:leader="none" w:pos="168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Fund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right="3119" w:firstLine="2032"/>
        <w:spacing w:after="0" w:line="259" w:lineRule="auto"/>
        <w:tabs>
          <w:tab w:leader="none" w:pos="2396" w:val="left"/>
        </w:tabs>
        <w:numPr>
          <w:ilvl w:val="1"/>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amounts credited to the Accounts of Participants who are Outside Directors who have elected to defer the receipt of Compensation payable in the form of Company Stock, 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December 31, 2002 or the last day of any Plan Year thereafter, to have all or any portion of the amount credited to the Company Stock Fund deemed transferred to the Income Fund. No portion of the Participant's Account credited to the Income Fund may be deemed transferred to the Company Stock Fund.</w:t>
      </w:r>
    </w:p>
    <w:p>
      <w:pPr>
        <w:spacing w:after="0" w:line="162" w:lineRule="exact"/>
        <w:rPr>
          <w:rFonts w:ascii="Courier New" w:cs="Courier New" w:eastAsia="Courier New" w:hAnsi="Courier New"/>
          <w:sz w:val="14"/>
          <w:szCs w:val="14"/>
          <w:color w:val="auto"/>
        </w:rPr>
      </w:pPr>
    </w:p>
    <w:p>
      <w:pPr>
        <w:ind w:left="2480" w:hanging="448"/>
        <w:spacing w:after="0"/>
        <w:tabs>
          <w:tab w:leader="none" w:pos="2480"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amounts credited to Participants'</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80" w:lineRule="exact"/>
        <w:rPr>
          <w:rFonts w:ascii="Courier New" w:cs="Courier New" w:eastAsia="Courier New" w:hAnsi="Courier New"/>
          <w:sz w:val="15"/>
          <w:szCs w:val="15"/>
          <w:color w:val="auto"/>
        </w:rPr>
      </w:pPr>
    </w:p>
    <w:p>
      <w:pPr>
        <w:ind w:right="3119" w:firstLine="2032"/>
        <w:spacing w:after="0"/>
        <w:tabs>
          <w:tab w:leader="none" w:pos="2574"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fund elections under this Section 5.2(b) shall be effective as of the first day of each calendar year, provided that the election is filed with the Committee on or before the close of business on December 31 of the calendar year preceding such calendar year. An Active Participant may only make an investment fund election with respect to the Participant's accumulated Account as of December 31, and not with respect to Compensation to be deferred for a calendar year.</w:t>
      </w:r>
    </w:p>
    <w:p>
      <w:pPr>
        <w:spacing w:after="0" w:line="175"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amounts described in Section 5.2(c), if a</w:t>
      </w:r>
    </w:p>
    <w:p>
      <w:pPr>
        <w:spacing w:after="0" w:line="12"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71"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Stock Fund Credits.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62" w:lineRule="auto"/>
        <w:rPr>
          <w:sz w:val="20"/>
          <w:szCs w:val="20"/>
          <w:color w:val="auto"/>
        </w:rPr>
      </w:pPr>
      <w:r>
        <w:rPr>
          <w:rFonts w:ascii="Courier New" w:cs="Courier New" w:eastAsia="Courier New" w:hAnsi="Courier New"/>
          <w:sz w:val="14"/>
          <w:szCs w:val="14"/>
          <w:color w:val="auto"/>
        </w:rPr>
        <w:t>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w:t>
      </w:r>
    </w:p>
    <w:p>
      <w:pPr>
        <w:sectPr>
          <w:pgSz w:w="11900" w:h="16838" w:orient="portrait"/>
          <w:cols w:equalWidth="0" w:num="1">
            <w:col w:w="10219"/>
          </w:cols>
          <w:pgMar w:left="240" w:top="799" w:right="1440" w:bottom="1440" w:gutter="0" w:footer="0" w:header="0"/>
        </w:sectPr>
      </w:pPr>
    </w:p>
    <w:bookmarkStart w:id="249" w:name="page250"/>
    <w:bookmarkEnd w:id="249"/>
    <w:p>
      <w:pPr>
        <w:ind w:right="3299"/>
        <w:spacing w:after="0" w:line="239" w:lineRule="auto"/>
        <w:rPr>
          <w:sz w:val="20"/>
          <w:szCs w:val="20"/>
          <w:color w:val="auto"/>
        </w:rPr>
      </w:pPr>
      <w:r>
        <w:rPr>
          <w:rFonts w:ascii="Courier New" w:cs="Courier New" w:eastAsia="Courier New" w:hAnsi="Courier New"/>
          <w:sz w:val="15"/>
          <w:szCs w:val="15"/>
          <w:color w:val="auto"/>
        </w:rPr>
        <w:t>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174" w:lineRule="exact"/>
        <w:rPr>
          <w:sz w:val="20"/>
          <w:szCs w:val="20"/>
          <w:color w:val="auto"/>
        </w:rPr>
      </w:pPr>
    </w:p>
    <w:p>
      <w:pPr>
        <w:ind w:left="1680" w:hanging="358"/>
        <w:spacing w:after="0"/>
        <w:tabs>
          <w:tab w:leader="none" w:pos="168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Credits.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 Status of Deferred Amounts.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Regardless of whether or not the Company is a Participant's employer, all Compensation deferred under this Plan shall continue for all purposes to be a part of the general funds of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5.4. Participants' Status as General Creditors.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ARTICLE 6 - NO ALIENATION OF BENEFITS; PAYEE DESIGNATION</w:t>
      </w:r>
    </w:p>
    <w:p>
      <w:pPr>
        <w:spacing w:after="0" w:line="174"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7 - DEATH OF PARTICIPANT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Death of Participant.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A Deceased Participant's Account shall be distributed in accordance with the last Initial Election or Subsequent Election made by the Deceased</w:t>
      </w:r>
    </w:p>
    <w:p>
      <w:pPr>
        <w:sectPr>
          <w:pgSz w:w="11900" w:h="16838" w:orient="portrait"/>
          <w:cols w:equalWidth="0" w:num="1">
            <w:col w:w="10219"/>
          </w:cols>
          <w:pgMar w:left="240" w:top="801" w:right="1440" w:bottom="1440" w:gutter="0" w:footer="0" w:header="0"/>
        </w:sectPr>
      </w:pPr>
    </w:p>
    <w:bookmarkStart w:id="250" w:name="page251"/>
    <w:bookmarkEnd w:id="250"/>
    <w:p>
      <w:pPr>
        <w:ind w:right="3219"/>
        <w:spacing w:after="0" w:line="264" w:lineRule="auto"/>
        <w:rPr>
          <w:sz w:val="20"/>
          <w:szCs w:val="20"/>
          <w:color w:val="auto"/>
        </w:rPr>
      </w:pPr>
      <w:r>
        <w:rPr>
          <w:rFonts w:ascii="Courier New" w:cs="Courier New" w:eastAsia="Courier New" w:hAnsi="Courier New"/>
          <w:sz w:val="14"/>
          <w:szCs w:val="14"/>
          <w:color w:val="auto"/>
        </w:rPr>
        <w:t>Participant before the Deceased Participant's death, unless the Deceased Participant's Surviving Spouse or other Beneficiary timely elects to accelerate or defer the time or change the manner of payment pursuant to Section 3.5.</w:t>
      </w:r>
    </w:p>
    <w:p>
      <w:pPr>
        <w:spacing w:after="0" w:line="15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Designation of Beneficiaries.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7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ARTICLE 8 - HARDSHIP DISTRIBUTIONS</w:t>
      </w:r>
    </w:p>
    <w:p>
      <w:pPr>
        <w:spacing w:after="0" w:line="174" w:lineRule="exact"/>
        <w:rPr>
          <w:sz w:val="20"/>
          <w:szCs w:val="20"/>
          <w:color w:val="auto"/>
        </w:rPr>
      </w:pPr>
    </w:p>
    <w:p>
      <w:pPr>
        <w:jc w:val="both"/>
        <w:ind w:right="3119" w:firstLine="1597"/>
        <w:spacing w:after="0" w:line="262" w:lineRule="auto"/>
        <w:rPr>
          <w:sz w:val="20"/>
          <w:szCs w:val="20"/>
          <w:color w:val="auto"/>
        </w:rPr>
      </w:pPr>
      <w:r>
        <w:rPr>
          <w:rFonts w:ascii="Courier New" w:cs="Courier New" w:eastAsia="Courier New" w:hAnsi="Courier New"/>
          <w:sz w:val="14"/>
          <w:szCs w:val="14"/>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5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9 - INTERPRETATION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9.1. Authority of Committee.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Committee shall have full and exclusive authority to construe, interpret and administer this Plan and the Committee's construction and interpretation thereof shall be binding and conclusive on all persons for all purposes.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9.2. Claims Procedure.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4" w:lineRule="exact"/>
        <w:rPr>
          <w:sz w:val="20"/>
          <w:szCs w:val="20"/>
          <w:color w:val="auto"/>
        </w:rPr>
      </w:pPr>
    </w:p>
    <w:p>
      <w:pPr>
        <w:ind w:left="1680" w:hanging="358"/>
        <w:spacing w:after="0"/>
        <w:tabs>
          <w:tab w:leader="none" w:pos="168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Plan provisions on which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denial is based;</w:t>
      </w:r>
    </w:p>
    <w:p>
      <w:pPr>
        <w:spacing w:after="0" w:line="174" w:lineRule="exact"/>
        <w:rPr>
          <w:rFonts w:ascii="Courier New" w:cs="Courier New" w:eastAsia="Courier New" w:hAnsi="Courier New"/>
          <w:sz w:val="15"/>
          <w:szCs w:val="15"/>
          <w:color w:val="auto"/>
        </w:rPr>
      </w:pPr>
    </w:p>
    <w:p>
      <w:pPr>
        <w:ind w:right="3219" w:firstLine="1322"/>
        <w:spacing w:after="0" w:line="239" w:lineRule="auto"/>
        <w:tabs>
          <w:tab w:leader="none" w:pos="168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Applicant to perfect the claim and an explanation of why such material or information is necessary; and</w:t>
      </w:r>
    </w:p>
    <w:p>
      <w:pPr>
        <w:spacing w:after="0" w:line="175" w:lineRule="exact"/>
        <w:rPr>
          <w:rFonts w:ascii="Courier New" w:cs="Courier New" w:eastAsia="Courier New" w:hAnsi="Courier New"/>
          <w:sz w:val="15"/>
          <w:szCs w:val="15"/>
          <w:color w:val="auto"/>
        </w:rPr>
      </w:pPr>
    </w:p>
    <w:p>
      <w:pPr>
        <w:ind w:right="3219" w:firstLine="1322"/>
        <w:spacing w:after="0" w:line="238" w:lineRule="auto"/>
        <w:tabs>
          <w:tab w:leader="none" w:pos="168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in order to submit a claim for review.</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Written notice of a denial of a claim shall be provided within 90 days of the receipt of the claim, provided that if special circumstances require an extension of time for processing the claim, the</w:t>
      </w:r>
    </w:p>
    <w:p>
      <w:pPr>
        <w:sectPr>
          <w:pgSz w:w="11900" w:h="16838" w:orient="portrait"/>
          <w:cols w:equalWidth="0" w:num="1">
            <w:col w:w="10219"/>
          </w:cols>
          <w:pgMar w:left="240" w:top="631" w:right="1440" w:bottom="1440" w:gutter="0" w:footer="0" w:header="0"/>
        </w:sectPr>
      </w:pPr>
    </w:p>
    <w:bookmarkStart w:id="251" w:name="page252"/>
    <w:bookmarkEnd w:id="251"/>
    <w:p>
      <w:pPr>
        <w:ind w:right="3299"/>
        <w:spacing w:after="0" w:line="238" w:lineRule="auto"/>
        <w:rPr>
          <w:sz w:val="20"/>
          <w:szCs w:val="20"/>
          <w:color w:val="auto"/>
        </w:rPr>
      </w:pPr>
      <w:r>
        <w:rPr>
          <w:rFonts w:ascii="Courier New" w:cs="Courier New" w:eastAsia="Courier New" w:hAnsi="Courier New"/>
          <w:sz w:val="15"/>
          <w:szCs w:val="15"/>
          <w:color w:val="auto"/>
        </w:rPr>
        <w:t>Administrator may notify the Applicant in writing that an additional period of up to 90 days will be required to process the claim.</w:t>
      </w:r>
    </w:p>
    <w:p>
      <w:pPr>
        <w:spacing w:after="0" w:line="175"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79"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It is intended that the claims procedures of this Plan be administered in accordance with the claims procedure regulations of the Department of Labor set forth in 29 CFR ss. 2560.503-1.</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Claims for benefits under the Plan must be filed with the Administrator at the following address:</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580"/>
        <w:spacing w:after="0"/>
        <w:tabs>
          <w:tab w:leader="none" w:pos="26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10 - AMENDMENT OR TERMINATION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10.1. Amendment or Termination.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line="239" w:lineRule="auto"/>
        <w:rPr>
          <w:sz w:val="20"/>
          <w:szCs w:val="20"/>
          <w:color w:val="auto"/>
        </w:rPr>
      </w:pPr>
      <w:r>
        <w:rPr>
          <w:rFonts w:ascii="Courier New" w:cs="Courier New" w:eastAsia="Courier New" w:hAnsi="Courier New"/>
          <w:sz w:val="15"/>
          <w:szCs w:val="15"/>
          <w:color w:val="auto"/>
        </w:rPr>
        <w:t>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7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10.2. Amendment of Rate of Credited Earnings.</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1331"/>
        <w:spacing w:after="0"/>
        <w:rPr>
          <w:sz w:val="20"/>
          <w:szCs w:val="20"/>
          <w:color w:val="auto"/>
        </w:rPr>
      </w:pPr>
      <w:r>
        <w:rPr>
          <w:rFonts w:ascii="Courier New" w:cs="Courier New" w:eastAsia="Courier New" w:hAnsi="Courier New"/>
          <w:sz w:val="15"/>
          <w:szCs w:val="15"/>
          <w:color w:val="auto"/>
        </w:rPr>
        <w:t>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7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ARTICLE 11 - WITHHOLDING OF TAXES</w:t>
      </w:r>
    </w:p>
    <w:p>
      <w:pPr>
        <w:spacing w:after="0" w:line="174" w:lineRule="exact"/>
        <w:rPr>
          <w:sz w:val="20"/>
          <w:szCs w:val="20"/>
          <w:color w:val="auto"/>
        </w:rPr>
      </w:pPr>
    </w:p>
    <w:p>
      <w:pPr>
        <w:jc w:val="both"/>
        <w:ind w:right="3119" w:firstLine="1597"/>
        <w:spacing w:after="0" w:line="260" w:lineRule="auto"/>
        <w:rPr>
          <w:sz w:val="20"/>
          <w:szCs w:val="20"/>
          <w:color w:val="auto"/>
        </w:rPr>
      </w:pPr>
      <w:r>
        <w:rPr>
          <w:rFonts w:ascii="Courier New" w:cs="Courier New" w:eastAsia="Courier New" w:hAnsi="Courier New"/>
          <w:sz w:val="14"/>
          <w:szCs w:val="14"/>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w:t>
      </w:r>
    </w:p>
    <w:p>
      <w:pPr>
        <w:sectPr>
          <w:pgSz w:w="11900" w:h="16838" w:orient="portrait"/>
          <w:cols w:equalWidth="0" w:num="1">
            <w:col w:w="10219"/>
          </w:cols>
          <w:pgMar w:left="240" w:top="801" w:right="1440" w:bottom="1440" w:gutter="0" w:footer="0" w:header="0"/>
        </w:sectPr>
      </w:pPr>
    </w:p>
    <w:bookmarkStart w:id="252" w:name="page253"/>
    <w:bookmarkEnd w:id="252"/>
    <w:p>
      <w:pPr>
        <w:ind w:right="3119"/>
        <w:spacing w:after="0"/>
        <w:rPr>
          <w:sz w:val="20"/>
          <w:szCs w:val="20"/>
          <w:color w:val="auto"/>
        </w:rPr>
      </w:pPr>
      <w:r>
        <w:rPr>
          <w:rFonts w:ascii="Courier New" w:cs="Courier New" w:eastAsia="Courier New" w:hAnsi="Courier New"/>
          <w:sz w:val="15"/>
          <w:szCs w:val="15"/>
          <w:color w:val="auto"/>
        </w:rPr>
        <w:t>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7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12 - MISCELLANEOUS PROVISIONS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12.1. No Right to Continued Employment.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Nothing contained herein shall be construed as conferring upon any Participant the right to remain in service as an Outside Director or in the employment of a Participating Company as an executive or in any other capacity.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12.2. Expenses of Plan.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expenses of the Plan shall be paid by the Participating Companies.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12.3. Gender and Number.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12.4. Law Governing Construction.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12.5. Headings Not a Part Hereof.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12.6. Severability of Provisions.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 13 - EFFECTIVE DATE</w:t>
      </w:r>
    </w:p>
    <w:p>
      <w:pPr>
        <w:spacing w:after="0" w:line="174"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The effective date of this amendment and restatement of the Plan shall be February 26, 2003.</w:t>
      </w:r>
    </w:p>
    <w:p>
      <w:pPr>
        <w:sectPr>
          <w:pgSz w:w="11900" w:h="16838" w:orient="portrait"/>
          <w:cols w:equalWidth="0" w:num="1">
            <w:col w:w="10219"/>
          </w:cols>
          <w:pgMar w:left="240" w:top="801" w:right="1440" w:bottom="1440" w:gutter="0" w:footer="0" w:header="0"/>
        </w:sectPr>
      </w:pPr>
    </w:p>
    <w:bookmarkStart w:id="253" w:name="page254"/>
    <w:bookmarkEnd w:id="253"/>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26th day of February, 2003.</w:t>
      </w:r>
    </w:p>
    <w:p>
      <w:pPr>
        <w:spacing w:after="0" w:line="200" w:lineRule="exact"/>
        <w:rPr>
          <w:sz w:val="20"/>
          <w:szCs w:val="20"/>
          <w:color w:val="auto"/>
        </w:rPr>
      </w:pPr>
    </w:p>
    <w:p>
      <w:pPr>
        <w:spacing w:after="0" w:line="31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01" w:right="1440" w:bottom="1440" w:gutter="0" w:footer="0" w:header="0"/>
        </w:sectPr>
      </w:pPr>
    </w:p>
    <w:bookmarkStart w:id="254" w:name="page255"/>
    <w:bookmarkEnd w:id="254"/>
    <w:p>
      <w:pPr>
        <w:spacing w:after="0" w:line="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10.5</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2002 DEFERRED STOCK OPTION PLAN</w:t>
      </w:r>
    </w:p>
    <w:p>
      <w:pPr>
        <w:spacing w:after="0" w:line="17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ARTICLE 1 - CONTINUATION AND COVERAGE OF PLAN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1.1. Continuation of Plan.</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COMCAST CORPORATION, a Pennsylvania corporation, hereby amends and restates the Comcast Corporation 2002 Deferred Stock Option Plan (the "Plan"), effective February 26, 2003. The Plan was initially adopted effective September 16, 1997 and was amended and restated effective June 21, 1999, December 19, 2000, November 29, 2001, April 29, 2002 and November 18, 2002.</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1.2. Plan Unfunded and Limited to Outside Directors and Select Group of</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 or Highly Compensated Employees.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175"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ARTICLE 2 - DEFINITIONS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2.1. "Account"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means unfunded bookkeeping accounts established pursuant to 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2.2. "Active Participant" means: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 Each Participant who is in active service as an Outside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ind w:left="9" w:right="3219" w:firstLine="1322"/>
        <w:spacing w:after="0" w:line="238" w:lineRule="auto"/>
        <w:tabs>
          <w:tab w:leader="none" w:pos="1695"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 is actively employed by a Participating Company as an Eligible Employee; and</w:t>
      </w:r>
    </w:p>
    <w:p>
      <w:pPr>
        <w:spacing w:after="0" w:line="174" w:lineRule="exact"/>
        <w:rPr>
          <w:rFonts w:ascii="Courier New" w:cs="Courier New" w:eastAsia="Courier New" w:hAnsi="Courier New"/>
          <w:sz w:val="15"/>
          <w:szCs w:val="15"/>
          <w:color w:val="auto"/>
        </w:rPr>
      </w:pPr>
    </w:p>
    <w:p>
      <w:pPr>
        <w:ind w:left="9" w:right="3219" w:firstLine="1322"/>
        <w:spacing w:after="0" w:line="238" w:lineRule="auto"/>
        <w:tabs>
          <w:tab w:leader="none" w:pos="1695"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 2.2(a) or Section 2.2(b), if applicable.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2.3. "Administrator" means the Committee.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2.4. "Affiliate"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9" w:right="3219"/>
        <w:spacing w:after="0" w:line="239" w:lineRule="auto"/>
        <w:rPr>
          <w:sz w:val="20"/>
          <w:szCs w:val="20"/>
          <w:color w:val="auto"/>
        </w:rPr>
      </w:pPr>
      <w:r>
        <w:rPr>
          <w:rFonts w:ascii="Courier New" w:cs="Courier New" w:eastAsia="Courier New" w:hAnsi="Courier New"/>
          <w:sz w:val="15"/>
          <w:szCs w:val="15"/>
          <w:color w:val="auto"/>
        </w:rPr>
        <w:t>indirectly, of the power to direct or cause the direction of the management and policies of such Person, whether through the ownership of voting securities, by contract or otherwise.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2.5. "Annual Rate of Pay"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means, as of any date, an employee's annualized base pay rate. An employee's Annual Rate of Pay shall not include sales commissions or other similar payments or awards.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2.6. "Applicable Interest Rate" means: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1322"/>
        <w:spacing w:after="0" w:line="258" w:lineRule="auto"/>
        <w:tabs>
          <w:tab w:leader="none" w:pos="1695"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w:t>
      </w:r>
    </w:p>
    <w:p>
      <w:pPr>
        <w:ind w:left="9" w:right="3119" w:hanging="9"/>
        <w:spacing w:after="0" w:line="264" w:lineRule="auto"/>
        <w:tabs>
          <w:tab w:leader="none" w:pos="453"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30th day following the date of the Administrator's action to establish a reduced rate or (ii) the lapse of 24 full calendar months from the date of the most recent adjustment of the Applicable Interest Rate by the Administrator.</w:t>
      </w:r>
    </w:p>
    <w:p>
      <w:pPr>
        <w:spacing w:after="0" w:line="159" w:lineRule="exact"/>
        <w:rPr>
          <w:rFonts w:ascii="Courier New" w:cs="Courier New" w:eastAsia="Courier New" w:hAnsi="Courier New"/>
          <w:sz w:val="14"/>
          <w:szCs w:val="14"/>
          <w:color w:val="auto"/>
        </w:rPr>
      </w:pPr>
    </w:p>
    <w:p>
      <w:pPr>
        <w:ind w:left="9" w:right="3119" w:firstLine="1322"/>
        <w:spacing w:after="0" w:line="262" w:lineRule="auto"/>
        <w:tabs>
          <w:tab w:leader="none" w:pos="1695" w:val="left"/>
        </w:tabs>
        <w:numPr>
          <w:ilvl w:val="1"/>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w:t>
      </w:r>
    </w:p>
    <w:p>
      <w:pPr>
        <w:sectPr>
          <w:pgSz w:w="11900" w:h="16884" w:orient="portrait"/>
          <w:cols w:equalWidth="0" w:num="1">
            <w:col w:w="10228"/>
          </w:cols>
          <w:pgMar w:left="231" w:top="139" w:right="1440" w:bottom="0" w:gutter="0" w:footer="0" w:header="0"/>
        </w:sectPr>
      </w:pPr>
    </w:p>
    <w:bookmarkStart w:id="255" w:name="page256"/>
    <w:bookmarkEnd w:id="255"/>
    <w:p>
      <w:pPr>
        <w:ind w:right="3299"/>
        <w:spacing w:after="0" w:line="261" w:lineRule="auto"/>
        <w:rPr>
          <w:sz w:val="20"/>
          <w:szCs w:val="20"/>
          <w:color w:val="auto"/>
        </w:rPr>
      </w:pPr>
      <w:r>
        <w:rPr>
          <w:rFonts w:ascii="Courier New" w:cs="Courier New" w:eastAsia="Courier New" w:hAnsi="Courier New"/>
          <w:sz w:val="14"/>
          <w:szCs w:val="14"/>
          <w:color w:val="auto"/>
        </w:rPr>
        <w:t>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2.7. "AT&amp;T Broadband Transaction"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means the acquisition of AT&amp;T Broadband Corp. (now known as Comcast Cable Communications Holdings, Inc.) by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 "Beneficiary"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2.9. "Board" means the Board of Directors of the Company.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 "Change of Control"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256" w:name="page257"/>
    <w:bookmarkEnd w:id="256"/>
    <w:p>
      <w:pPr>
        <w:ind w:left="440"/>
        <w:spacing w:after="0"/>
        <w:rPr>
          <w:sz w:val="20"/>
          <w:szCs w:val="20"/>
          <w:color w:val="auto"/>
        </w:rPr>
      </w:pPr>
      <w:r>
        <w:rPr>
          <w:rFonts w:ascii="Courier New" w:cs="Courier New" w:eastAsia="Courier New" w:hAnsi="Courier New"/>
          <w:sz w:val="15"/>
          <w:szCs w:val="15"/>
          <w:color w:val="auto"/>
        </w:rPr>
        <w:t>2.11. "Code" means the Internal Revenue Code of 1986, as amended.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2.12. "Comcast Option Plan or Plans"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means the Comcast Corporation 1987 Stock Option Plan, or the Comcast Corporation 2002 Stock Option Plan, the AT&amp;T Broadband Corp. Adjustment Plan, or any other incentive or non-qualified stock option plan subsequently adopted by the Company or a Related Corporation.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2.13. "Comcast Plan"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means any restricted stock, stock bonus, stock option or other compensation plan, program or arrangement established or maintained by the Company or an Affiliate, including, but not limited to this Plan, the Comcast Corporation 2002 Restricted Stock Plan and the Comcast Option Plans.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2.14. "Committee"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means the Compensation Committee of the Board of Directors of the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 "Common Stock"</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means Company's Class A Common Stock, par value $.01 per share, including a fractional share.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2.16.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means Comcast Corporation, a Pennsylvania corporation, as successor to Comcast Corporation, including any successor thereto by merger, consolidation, acquisition of all or substantially all the assets thereof, or otherwise.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"Company Stock"</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means Common Stock or such other securities as may be issued by the Company pursuant to adjustments as provided in Article 11.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2.18. "Company Stock Fund"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2.19. "Date of Grant" means the date as of which an Option is granted.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2.20. "Death Tax Clearance Date"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57" w:name="page258"/>
    <w:bookmarkEnd w:id="257"/>
    <w:p>
      <w:pPr>
        <w:ind w:left="440"/>
        <w:spacing w:after="0"/>
        <w:rPr>
          <w:sz w:val="20"/>
          <w:szCs w:val="20"/>
          <w:color w:val="auto"/>
        </w:rPr>
      </w:pPr>
      <w:r>
        <w:rPr>
          <w:rFonts w:ascii="Courier New" w:cs="Courier New" w:eastAsia="Courier New" w:hAnsi="Courier New"/>
          <w:sz w:val="15"/>
          <w:szCs w:val="15"/>
          <w:color w:val="auto"/>
        </w:rPr>
        <w:t>2.21. "Death Taxes"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2.22. "Deceased Participant"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1322"/>
        <w:spacing w:after="0" w:line="239" w:lineRule="auto"/>
        <w:tabs>
          <w:tab w:leader="none" w:pos="1686"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was an Outside Director, a Participant whose service as an Outside Director, is terminated by death;</w:t>
      </w:r>
    </w:p>
    <w:p>
      <w:pPr>
        <w:spacing w:after="0" w:line="175" w:lineRule="exact"/>
        <w:rPr>
          <w:rFonts w:ascii="Courier New" w:cs="Courier New" w:eastAsia="Courier New" w:hAnsi="Courier New"/>
          <w:sz w:val="15"/>
          <w:szCs w:val="15"/>
          <w:color w:val="auto"/>
        </w:rPr>
      </w:pPr>
    </w:p>
    <w:p>
      <w:pPr>
        <w:ind w:right="3759" w:firstLine="1322"/>
        <w:spacing w:after="0" w:line="238" w:lineRule="auto"/>
        <w:tabs>
          <w:tab w:leader="none" w:pos="1686"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dies following termination of active employment or active service; or</w:t>
      </w:r>
    </w:p>
    <w:p>
      <w:pPr>
        <w:spacing w:after="0" w:line="174" w:lineRule="exact"/>
        <w:rPr>
          <w:rFonts w:ascii="Courier New" w:cs="Courier New" w:eastAsia="Courier New" w:hAnsi="Courier New"/>
          <w:sz w:val="15"/>
          <w:szCs w:val="15"/>
          <w:color w:val="auto"/>
        </w:rPr>
      </w:pPr>
    </w:p>
    <w:p>
      <w:pPr>
        <w:ind w:right="3219" w:firstLine="1322"/>
        <w:spacing w:after="0" w:line="238" w:lineRule="auto"/>
        <w:tabs>
          <w:tab w:leader="none" w:pos="1686"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 2.22(a) or 2.22(b), if applicable.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2.23. "Deferred Stock Units"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2.23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18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5"/>
          <w:szCs w:val="15"/>
          <w:color w:val="auto"/>
        </w:rPr>
        <w:t>2.24. "Disabled Participant"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firstLine="1322"/>
        <w:spacing w:after="0" w:line="239" w:lineRule="auto"/>
        <w:tabs>
          <w:tab w:leader="none" w:pos="168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is an Outside Director, a Participant whose service as an Outside Director, is terminated by reason of disability;</w:t>
      </w:r>
    </w:p>
    <w:p>
      <w:pPr>
        <w:spacing w:after="0" w:line="175" w:lineRule="exact"/>
        <w:rPr>
          <w:rFonts w:ascii="Courier New" w:cs="Courier New" w:eastAsia="Courier New" w:hAnsi="Courier New"/>
          <w:sz w:val="15"/>
          <w:szCs w:val="15"/>
          <w:color w:val="auto"/>
        </w:rPr>
      </w:pPr>
    </w:p>
    <w:p>
      <w:pPr>
        <w:ind w:right="3579" w:firstLine="1322"/>
        <w:spacing w:after="0" w:line="238" w:lineRule="auto"/>
        <w:tabs>
          <w:tab w:leader="none" w:pos="168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becomes disabled (as determined by the Committee) following termination of active service;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9" w:right="1440" w:bottom="1440" w:gutter="0" w:footer="0" w:header="0"/>
        </w:sectPr>
      </w:pPr>
    </w:p>
    <w:bookmarkStart w:id="258" w:name="page259"/>
    <w:bookmarkEnd w:id="258"/>
    <w:p>
      <w:pPr>
        <w:ind w:right="3219" w:firstLine="1322"/>
        <w:spacing w:after="0" w:line="271" w:lineRule="auto"/>
        <w:tabs>
          <w:tab w:leader="none" w:pos="1686"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duly-appointed legal guardian of an individual described in Section 2.24(a) or 2.24(b) acting on behalf of such individual; or</w:t>
      </w:r>
    </w:p>
    <w:p>
      <w:pPr>
        <w:spacing w:after="0" w:line="153" w:lineRule="exact"/>
        <w:rPr>
          <w:rFonts w:ascii="Courier New" w:cs="Courier New" w:eastAsia="Courier New" w:hAnsi="Courier New"/>
          <w:sz w:val="14"/>
          <w:szCs w:val="14"/>
          <w:color w:val="auto"/>
        </w:rPr>
      </w:pPr>
    </w:p>
    <w:p>
      <w:pPr>
        <w:ind w:right="3219" w:firstLine="1322"/>
        <w:spacing w:after="0" w:line="238" w:lineRule="auto"/>
        <w:tabs>
          <w:tab w:leader="none" w:pos="1686"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 2.24(a) or 2.24(b), if applicable.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2.25. "Diversification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means a Participant's election to have a portion of the Participant's Account credited in the form of Deferred Stock Units under the Company Stock Fund deemed liquidated and credited thereafter under the Income Fund, as provided in Section 5.2(b), if (and to the extent that) it is approved by the Administrator as described in Section 2.32 or Section 5.2(b).</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2.26. "Eligible Employee"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1322"/>
        <w:spacing w:after="0" w:line="239" w:lineRule="auto"/>
        <w:tabs>
          <w:tab w:leader="none" w:pos="1686"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76" w:lineRule="exact"/>
        <w:rPr>
          <w:rFonts w:ascii="Courier New" w:cs="Courier New" w:eastAsia="Courier New" w:hAnsi="Courier New"/>
          <w:sz w:val="15"/>
          <w:szCs w:val="15"/>
          <w:color w:val="auto"/>
        </w:rPr>
      </w:pPr>
    </w:p>
    <w:p>
      <w:pPr>
        <w:ind w:right="3219" w:firstLine="1322"/>
        <w:spacing w:after="0" w:line="239" w:lineRule="auto"/>
        <w:tabs>
          <w:tab w:leader="none" w:pos="1686"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73"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Key Employee.</w:t>
      </w:r>
    </w:p>
    <w:p>
      <w:pPr>
        <w:spacing w:after="0" w:line="174"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employee of a Participating Company who is designated by the Committee, in its sole and absolute discretion, as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2.27. "Fair Market Value" shall mean: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1322"/>
        <w:spacing w:after="0" w:line="239" w:lineRule="auto"/>
        <w:tabs>
          <w:tab w:leader="none" w:pos="1686"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76"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76" w:lineRule="exact"/>
        <w:rPr>
          <w:rFonts w:ascii="Courier New" w:cs="Courier New" w:eastAsia="Courier New" w:hAnsi="Courier New"/>
          <w:sz w:val="15"/>
          <w:szCs w:val="15"/>
          <w:color w:val="auto"/>
        </w:rPr>
      </w:pPr>
    </w:p>
    <w:p>
      <w:pPr>
        <w:ind w:right="3119" w:firstLine="1322"/>
        <w:spacing w:after="0" w:line="271" w:lineRule="auto"/>
        <w:tabs>
          <w:tab w:leader="none" w:pos="1686"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Shares are not so listed nor trades of Shares so reported, Fair Market Value shall be determined by the Committee in good faith.</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2.28. "Former Eligible Employee"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919" w:firstLine="444"/>
        <w:spacing w:after="0" w:line="239" w:lineRule="auto"/>
        <w:rPr>
          <w:sz w:val="20"/>
          <w:szCs w:val="20"/>
          <w:color w:val="auto"/>
        </w:rPr>
      </w:pPr>
      <w:r>
        <w:rPr>
          <w:rFonts w:ascii="Courier New" w:cs="Courier New" w:eastAsia="Courier New" w:hAnsi="Courier New"/>
          <w:sz w:val="15"/>
          <w:szCs w:val="15"/>
          <w:color w:val="auto"/>
        </w:rPr>
        <w:t>means an individual who has ceased to be actively employed by a Participating Company for any reason but who, immediately preceding his termination of employment, was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2.29. "Former Outside Director"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means an individual who has ceased to be a member of the Board, but who, immediately preceding his cessation of service as a member of the Board was an Outside Director.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259" w:name="page260"/>
    <w:bookmarkEnd w:id="259"/>
    <w:p>
      <w:pPr>
        <w:ind w:left="440"/>
        <w:spacing w:after="0"/>
        <w:rPr>
          <w:sz w:val="20"/>
          <w:szCs w:val="20"/>
          <w:color w:val="auto"/>
        </w:rPr>
      </w:pPr>
      <w:r>
        <w:rPr>
          <w:rFonts w:ascii="Courier New" w:cs="Courier New" w:eastAsia="Courier New" w:hAnsi="Courier New"/>
          <w:sz w:val="15"/>
          <w:szCs w:val="15"/>
          <w:color w:val="auto"/>
        </w:rPr>
        <w:t>2.30. "Immediate Family"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means an Outside Director's, Former Outside Director's, Eligible Employee's or Former Eligible Employee's spouse and lineal descendants, any trust all beneficiaries of which are any of such persons and any other entity all members or owners of which are any of such persons.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2.31. "Income Fund"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2.32. "Initial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61" w:lineRule="exact"/>
        <w:rPr>
          <w:sz w:val="20"/>
          <w:szCs w:val="20"/>
          <w:color w:val="auto"/>
        </w:rPr>
      </w:pPr>
    </w:p>
    <w:p>
      <w:pPr>
        <w:ind w:right="3299" w:firstLine="1322"/>
        <w:spacing w:after="0" w:line="239" w:lineRule="auto"/>
        <w:tabs>
          <w:tab w:leader="none" w:pos="1686"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within the time or times specified in Article 3, to defer the receipt of Shares pursuant to the exercise of all or part of an Option; and</w:t>
      </w:r>
    </w:p>
    <w:p>
      <w:pPr>
        <w:spacing w:after="0" w:line="175" w:lineRule="exact"/>
        <w:rPr>
          <w:rFonts w:ascii="Courier New" w:cs="Courier New" w:eastAsia="Courier New" w:hAnsi="Courier New"/>
          <w:sz w:val="15"/>
          <w:szCs w:val="15"/>
          <w:color w:val="auto"/>
        </w:rPr>
      </w:pPr>
    </w:p>
    <w:p>
      <w:pPr>
        <w:ind w:right="3839" w:firstLine="1322"/>
        <w:spacing w:after="0" w:line="238" w:lineRule="auto"/>
        <w:tabs>
          <w:tab w:leader="none" w:pos="1686"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Designates the time that such Shares and any dividend equivalents shall be distributed.</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 Former Outside Director, Eligible Employee, Former Eligible Employee, Successor-in-Interest or Permitted Transferee may also make the effectiveness of an Initial Election contingent on the Administrator's approval of a proposed Diversification Election as to a specified percentage of Deferred Stock Units creditable to an Account with respect to an Option potentially subject to the Initial Election. If the Administrator does not approve the proposed Diversification Election within 30 days of the date such contingent Initial Election is filed with the Administrator, such Initial Election shall be null and void. Such a proposed Diversification Election shall be effective only if (and to the extent) approved (or, pursuant to Section 5.2(b)(iii), deemed approved).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2.33. "New Key Employee"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0" w:hanging="358"/>
        <w:spacing w:after="0"/>
        <w:tabs>
          <w:tab w:leader="none" w:pos="168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means each employee of a Participating Company:</w:t>
      </w:r>
    </w:p>
    <w:p>
      <w:pPr>
        <w:spacing w:after="0" w:line="174"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becomes an employee of a Participating Company and has an Annual Rate of Pay of $200,000 or more as of his employment commencement date; and</w:t>
      </w:r>
    </w:p>
    <w:p>
      <w:pPr>
        <w:spacing w:after="0" w:line="175"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has an Annual Rate of Pay that is increased to $200,000 or more and who, immediately preceding such increase, was not an Eligible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2.34. "Normal Retirement" means: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99" w:firstLine="1322"/>
        <w:spacing w:after="0" w:line="262" w:lineRule="auto"/>
        <w:tabs>
          <w:tab w:leader="none" w:pos="1686"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260" w:name="page261"/>
    <w:bookmarkEnd w:id="260"/>
    <w:p>
      <w:pPr>
        <w:jc w:val="both"/>
        <w:ind w:right="3579" w:firstLine="1322"/>
        <w:spacing w:after="0" w:line="271" w:lineRule="auto"/>
        <w:tabs>
          <w:tab w:leader="none" w:pos="1686"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Outside Director immediately preceding his termination of service, his normal retirement from the Board.</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2.35. "Option"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means a non-qualified stock option to purchase Shares granted pursuant to an Comcast Option Plan; provided that each Option with a different Date of Grant shall be considered a separate Option.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2.36. "Option Shares"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mean the Shares that are subject to the portion of an Option as to which an Initial Election or Subsequent Election is in effect as adjusted to reflect a Share Withholding Election.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2.37. "Other Available Shares" means, as of any date, the sum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1322"/>
        <w:spacing w:after="0" w:line="264" w:lineRule="auto"/>
        <w:tabs>
          <w:tab w:leader="none" w:pos="1686"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 Participant that were not acquired by such Participant pursuant to a Comcast Plan or otherwise in connection with the performance of services to the Company or an Affiliate; plus</w:t>
      </w:r>
    </w:p>
    <w:p>
      <w:pPr>
        <w:spacing w:after="0" w:line="156"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Participant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Shares described in Section 2.37(a); over</w:t>
      </w:r>
    </w:p>
    <w:p>
      <w:pPr>
        <w:spacing w:after="0" w:line="171"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w:t>
      </w:r>
    </w:p>
    <w:p>
      <w:pPr>
        <w:spacing w:after="0" w:line="171" w:lineRule="exact"/>
        <w:rPr>
          <w:rFonts w:ascii="Courier New" w:cs="Courier New" w:eastAsia="Courier New" w:hAnsi="Courier New"/>
          <w:sz w:val="15"/>
          <w:szCs w:val="15"/>
          <w:color w:val="auto"/>
        </w:rPr>
      </w:pPr>
    </w:p>
    <w:p>
      <w:pPr>
        <w:ind w:left="2920" w:hanging="355"/>
        <w:spacing w:after="0"/>
        <w:tabs>
          <w:tab w:leader="none" w:pos="2920"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1" w:lineRule="exact"/>
        <w:rPr>
          <w:rFonts w:ascii="Courier New" w:cs="Courier New" w:eastAsia="Courier New" w:hAnsi="Courier New"/>
          <w:sz w:val="15"/>
          <w:szCs w:val="15"/>
          <w:color w:val="auto"/>
        </w:rPr>
      </w:pPr>
    </w:p>
    <w:p>
      <w:pPr>
        <w:ind w:left="3460" w:hanging="363"/>
        <w:spacing w:after="0"/>
        <w:tabs>
          <w:tab w:leader="none" w:pos="3460" w:val="left"/>
        </w:tabs>
        <w:numPr>
          <w:ilvl w:val="3"/>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for less than six months; plus</w:t>
      </w:r>
    </w:p>
    <w:p>
      <w:pPr>
        <w:spacing w:after="0" w:line="171" w:lineRule="exact"/>
        <w:rPr>
          <w:rFonts w:ascii="Courier New" w:cs="Courier New" w:eastAsia="Courier New" w:hAnsi="Courier New"/>
          <w:sz w:val="15"/>
          <w:szCs w:val="15"/>
          <w:color w:val="auto"/>
        </w:rPr>
      </w:pPr>
    </w:p>
    <w:p>
      <w:pPr>
        <w:ind w:left="3460" w:hanging="363"/>
        <w:spacing w:after="0"/>
        <w:tabs>
          <w:tab w:leader="none" w:pos="3460" w:val="left"/>
        </w:tabs>
        <w:numPr>
          <w:ilvl w:val="3"/>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w:t>
      </w:r>
    </w:p>
    <w:p>
      <w:pPr>
        <w:spacing w:after="0" w:line="3" w:lineRule="exact"/>
        <w:rPr>
          <w:rFonts w:ascii="Courier New" w:cs="Courier New" w:eastAsia="Courier New" w:hAnsi="Courier New"/>
          <w:sz w:val="15"/>
          <w:szCs w:val="15"/>
          <w:color w:val="auto"/>
        </w:rPr>
      </w:pPr>
    </w:p>
    <w:p>
      <w:pPr>
        <w:ind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that has, within the preceding six months, been the subject of a withholding certification under any Comcast Plan; plus</w:t>
      </w:r>
    </w:p>
    <w:p>
      <w:pPr>
        <w:spacing w:after="0" w:line="172" w:lineRule="exact"/>
        <w:rPr>
          <w:rFonts w:ascii="Courier New" w:cs="Courier New" w:eastAsia="Courier New" w:hAnsi="Courier New"/>
          <w:sz w:val="15"/>
          <w:szCs w:val="15"/>
          <w:color w:val="auto"/>
        </w:rPr>
      </w:pPr>
    </w:p>
    <w:p>
      <w:pPr>
        <w:ind w:left="3460" w:hanging="363"/>
        <w:spacing w:after="0"/>
        <w:tabs>
          <w:tab w:leader="none" w:pos="3460" w:val="left"/>
        </w:tabs>
        <w:numPr>
          <w:ilvl w:val="3"/>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72" w:lineRule="exact"/>
        <w:rPr>
          <w:rFonts w:ascii="Courier New" w:cs="Courier New" w:eastAsia="Courier New" w:hAnsi="Courier New"/>
          <w:sz w:val="15"/>
          <w:szCs w:val="15"/>
          <w:color w:val="auto"/>
        </w:rPr>
      </w:pPr>
    </w:p>
    <w:p>
      <w:pPr>
        <w:ind w:left="3460" w:hanging="363"/>
        <w:spacing w:after="0"/>
        <w:tabs>
          <w:tab w:leader="none" w:pos="3460" w:val="left"/>
        </w:tabs>
        <w:numPr>
          <w:ilvl w:val="3"/>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w:t>
      </w:r>
    </w:p>
    <w:p>
      <w:pPr>
        <w:spacing w:after="0" w:line="3" w:lineRule="exact"/>
        <w:rPr>
          <w:rFonts w:ascii="Courier New" w:cs="Courier New" w:eastAsia="Courier New" w:hAnsi="Courier New"/>
          <w:sz w:val="15"/>
          <w:szCs w:val="15"/>
          <w:color w:val="auto"/>
        </w:rPr>
      </w:pPr>
    </w:p>
    <w:p>
      <w:pPr>
        <w:ind w:right="35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as to which evidence of ownership has, within the preceding six months, been provided to the Company in connection with the crediting of Deferred Stock Units to such Participant's Account.</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purposes of this Section 2.37,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 For purposes of determining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261" w:name="page262"/>
    <w:bookmarkEnd w:id="261"/>
    <w:p>
      <w:pPr>
        <w:ind w:right="3119"/>
        <w:spacing w:after="0" w:line="239" w:lineRule="auto"/>
        <w:rPr>
          <w:sz w:val="20"/>
          <w:szCs w:val="20"/>
          <w:color w:val="auto"/>
        </w:rPr>
      </w:pPr>
      <w:r>
        <w:rPr>
          <w:rFonts w:ascii="Courier New" w:cs="Courier New" w:eastAsia="Courier New" w:hAnsi="Courier New"/>
          <w:sz w:val="15"/>
          <w:szCs w:val="15"/>
          <w:color w:val="auto"/>
        </w:rPr>
        <w:t>number of Other Available Shares, the term "Shares" shall also include the securities held by a Participant immediately before the consummation of the AT&amp;T Broadband Transaction that became Common Stock and Special Common Stock as a result of the AT&amp;T Broadband Transaction.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2.38. "Outside Director"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means a member of the Board, who is not an employee of a Participating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2.39. "Participant"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2.40. "Participating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means Comcast Corporation and each Related Corporation with respect to Comcast Corporation. Effective January 1, 2003, "Participating Company" means the Company and each Related Corporation.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2.41. "Permitted Transferee"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means a member of the Immediate Family of an Outside Director, Former Outside Director, Eligible Employee or Former Eligible Employee to whom the right to exercise an Option has been transferred pursuant to an Comcast Option Plan.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"Person"</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w w:val="99"/>
              </w:rPr>
              <w:t>an individual, a corporation, a partnership, an association, a trust</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or any other entity or organization.</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"Personal Representative"</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w w:val="99"/>
              </w:rPr>
              <w:t>the executor, the administrator, or the personal representative of a</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deceased individual's estate.</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"Plan"</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w w:val="98"/>
              </w:rPr>
              <w:t>the Comcast Corporation 2002 Deferred Stock Option Plan, as set forth</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herein, and as amended from time to time.</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"Prime Rate"</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w w:val="99"/>
              </w:rPr>
              <w:t>the annual rate of interest identified by PNC Bank as its prime rate</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as of the first day of each calendar year.</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"Related Corporation"</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w w:val="99"/>
              </w:rPr>
              <w:t>a subsidiary of Comcast Corporation or, effective January 1, 2003, a</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subsidiary</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of the Company, as defined in section 424(f) of the Code.</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"Retired Participant"</w:t>
            </w:r>
          </w:p>
        </w:tc>
      </w:tr>
      <w:tr>
        <w:trPr>
          <w:trHeight w:val="171"/>
        </w:trPr>
        <w:tc>
          <w:tcPr>
            <w:tcW w:w="960" w:type="dxa"/>
            <w:vAlign w:val="bottom"/>
          </w:tcPr>
          <w:p>
            <w:pPr>
              <w:spacing w:after="0"/>
              <w:rPr>
                <w:sz w:val="14"/>
                <w:szCs w:val="14"/>
                <w:color w:val="auto"/>
              </w:rPr>
            </w:pPr>
          </w:p>
        </w:tc>
        <w:tc>
          <w:tcPr>
            <w:tcW w:w="6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means</w:t>
            </w:r>
          </w:p>
        </w:tc>
        <w:tc>
          <w:tcPr>
            <w:tcW w:w="6140" w:type="dxa"/>
            <w:vAlign w:val="bottom"/>
          </w:tcPr>
          <w:p>
            <w:pPr>
              <w:spacing w:after="0"/>
              <w:rPr>
                <w:sz w:val="20"/>
                <w:szCs w:val="20"/>
                <w:color w:val="auto"/>
              </w:rPr>
            </w:pPr>
            <w:r>
              <w:rPr>
                <w:rFonts w:ascii="Courier New" w:cs="Courier New" w:eastAsia="Courier New" w:hAnsi="Courier New"/>
                <w:sz w:val="15"/>
                <w:szCs w:val="15"/>
                <w:color w:val="auto"/>
              </w:rPr>
              <w:t>a Participant who has terminated employment pursuant to a Normal</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Retirement.</w:t>
            </w:r>
          </w:p>
        </w:tc>
        <w:tc>
          <w:tcPr>
            <w:tcW w:w="6140" w:type="dxa"/>
            <w:vAlign w:val="bottom"/>
          </w:tcPr>
          <w:p>
            <w:pPr>
              <w:spacing w:after="0"/>
              <w:rPr>
                <w:sz w:val="14"/>
                <w:szCs w:val="14"/>
                <w:color w:val="auto"/>
              </w:rPr>
            </w:pP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2.48. "Share" or "Shares."</w:t>
      </w:r>
    </w:p>
    <w:p>
      <w:pPr>
        <w:spacing w:after="0" w:line="1" w:lineRule="exact"/>
        <w:rPr>
          <w:sz w:val="20"/>
          <w:szCs w:val="20"/>
          <w:color w:val="auto"/>
        </w:rPr>
      </w:pPr>
    </w:p>
    <w:p>
      <w:pPr>
        <w:ind w:left="2040" w:hanging="984"/>
        <w:spacing w:after="0"/>
        <w:tabs>
          <w:tab w:leader="none" w:pos="2040"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right="3399" w:firstLine="1322"/>
        <w:spacing w:after="0" w:line="238" w:lineRule="auto"/>
        <w:tabs>
          <w:tab w:leader="none" w:pos="1686" w:val="left"/>
        </w:tabs>
        <w:numPr>
          <w:ilvl w:val="1"/>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2.48, a share or shares Common Stock or Special Common Stock.</w:t>
      </w:r>
    </w:p>
    <w:p>
      <w:pPr>
        <w:spacing w:after="0" w:line="174"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1"/>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"Share" or "Shares" also means such other securities issued by the Sponsor as may be the subject of an adjustment under Section 11, or for purposes of Section 2.37 and Section 10, as may have been the subject of a similar adjustment under similar provisions 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262" w:name="page263"/>
    <w:bookmarkEnd w:id="262"/>
    <w:p>
      <w:pPr>
        <w:ind w:right="3399"/>
        <w:spacing w:after="0" w:line="238" w:lineRule="auto"/>
        <w:rPr>
          <w:sz w:val="20"/>
          <w:szCs w:val="20"/>
          <w:color w:val="auto"/>
        </w:rPr>
      </w:pPr>
      <w:r>
        <w:rPr>
          <w:rFonts w:ascii="Courier New" w:cs="Courier New" w:eastAsia="Courier New" w:hAnsi="Courier New"/>
          <w:sz w:val="15"/>
          <w:szCs w:val="15"/>
          <w:color w:val="auto"/>
        </w:rPr>
        <w:t>a Comcast Plan as now in effect or as may have been in effect before the AT&amp;T Broadband Transaction.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2.49. "Share Withholding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2.50. "Special Common Stock"</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means the Company's Class A Special Common Stock, par value $.01 per share, including a fractional share.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2.51. "Subsequent Election"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2.52. "Successor-in-Interest"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means the Beneficiary of a deceased Former Outside Director, a deceased Former Eligible Employee or another deceased Participant, to whom the right to exercise an Option or the right to payment under the Plan shall have passed, as applicable.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2.53. "Surviving Spouse"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means the widow or widower, as the case may be, of a Deceased Participant or a Deceased Beneficiary (as applicable).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2.54. "Terminating Event" means either of the following events: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0" w:hanging="358"/>
        <w:spacing w:after="0"/>
        <w:tabs>
          <w:tab w:leader="none" w:pos="168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2.55. "Third Party"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means any Person, together with such Person's Affiliates, provided that the term "Third Party" shall not include the Company or an Affiliate of the Company.</w:t>
      </w:r>
    </w:p>
    <w:p>
      <w:pPr>
        <w:spacing w:after="0" w:line="15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3 - INITIAL AND SUBSEQUENT ELECTIONS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Elections.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0" w:hanging="358"/>
        <w:spacing w:after="0"/>
        <w:tabs>
          <w:tab w:leader="none" w:pos="168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63" w:name="page264"/>
    <w:bookmarkEnd w:id="263"/>
    <w:p>
      <w:pPr>
        <w:ind w:right="3219"/>
        <w:spacing w:after="0" w:line="238" w:lineRule="auto"/>
        <w:rPr>
          <w:sz w:val="20"/>
          <w:szCs w:val="20"/>
          <w:color w:val="auto"/>
        </w:rPr>
      </w:pPr>
      <w:r>
        <w:rPr>
          <w:rFonts w:ascii="Courier New" w:cs="Courier New" w:eastAsia="Courier New" w:hAnsi="Courier New"/>
          <w:sz w:val="15"/>
          <w:szCs w:val="15"/>
          <w:color w:val="auto"/>
        </w:rPr>
        <w:t>of a Participant's Account credited to the Income Fund on the same basis as the portion of such Participant's Account credited to the Company Stock Fund.</w:t>
      </w:r>
    </w:p>
    <w:p>
      <w:pPr>
        <w:spacing w:after="0" w:line="172" w:lineRule="exact"/>
        <w:rPr>
          <w:sz w:val="20"/>
          <w:szCs w:val="20"/>
          <w:color w:val="auto"/>
        </w:rPr>
      </w:pPr>
    </w:p>
    <w:p>
      <w:pPr>
        <w:ind w:left="1680" w:hanging="358"/>
        <w:spacing w:after="0"/>
        <w:tabs>
          <w:tab w:leader="none" w:pos="168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Each Participant and Beneficiary shall 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 Filing of Initial Election: General.</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 Options to which Initial Elections May Apply.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3.4. Initial Election of Distribution Date.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 3.5(e), Section 3.6, Section 3.7, Section</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3.5. Subsequent Elections.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Participants.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Active Participant who has made an 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64" w:name="page265"/>
    <w:bookmarkEnd w:id="264"/>
    <w:p>
      <w:pPr>
        <w:ind w:left="1680" w:hanging="358"/>
        <w:spacing w:after="0"/>
        <w:tabs>
          <w:tab w:leader="none" w:pos="168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Surviving Spouses.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 Surviving Spouse who is a Deceased 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w:t>
      </w:r>
    </w:p>
    <w:p>
      <w:pPr>
        <w:spacing w:after="0" w:line="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3.5(b)(i) may specify different changes with respect to different parts of the Deceased Participant's Account.</w:t>
      </w:r>
    </w:p>
    <w:p>
      <w:pPr>
        <w:spacing w:after="0" w:line="172" w:lineRule="exact"/>
        <w:rPr>
          <w:sz w:val="20"/>
          <w:szCs w:val="20"/>
          <w:color w:val="auto"/>
        </w:rPr>
      </w:pPr>
    </w:p>
    <w:p>
      <w:pPr>
        <w:ind w:left="2480" w:hanging="448"/>
        <w:spacing w:after="0"/>
        <w:tabs>
          <w:tab w:leader="none" w:pos="248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w:t>
      </w: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Notwithstanding the above Section 3.5(b)(i),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 3.5(b)(ii) may specify different changes for different parts of the Deceased Participant's Account.</w:t>
      </w:r>
    </w:p>
    <w:p>
      <w:pPr>
        <w:spacing w:after="0" w:line="18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 Beneficiary of a Deceased Participant Other Than a Surviving</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Spouse.</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380" w:hanging="348"/>
        <w:spacing w:after="0"/>
        <w:tabs>
          <w:tab w:leader="none" w:pos="238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Beneficiary of a Deceased Participant (other than a Surviving Spouse)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77" w:lineRule="exact"/>
        <w:rPr>
          <w:sz w:val="20"/>
          <w:szCs w:val="20"/>
          <w:color w:val="auto"/>
        </w:rPr>
      </w:pPr>
    </w:p>
    <w:p>
      <w:pPr>
        <w:ind w:left="2480" w:hanging="448"/>
        <w:spacing w:after="0"/>
        <w:tabs>
          <w:tab w:leader="none" w:pos="248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w:t>
      </w: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Notwithstanding the above Section 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65" w:name="page266"/>
    <w:bookmarkEnd w:id="265"/>
    <w:p>
      <w:pPr>
        <w:ind w:left="9" w:right="3219"/>
        <w:spacing w:after="0"/>
        <w:rPr>
          <w:sz w:val="20"/>
          <w:szCs w:val="20"/>
          <w:color w:val="auto"/>
        </w:rPr>
      </w:pPr>
      <w:r>
        <w:rPr>
          <w:rFonts w:ascii="Courier New" w:cs="Courier New" w:eastAsia="Courier New" w:hAnsi="Courier New"/>
          <w:sz w:val="15"/>
          <w:szCs w:val="15"/>
          <w:color w:val="auto"/>
        </w:rPr>
        <w:t>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75" w:lineRule="exact"/>
        <w:rPr>
          <w:sz w:val="20"/>
          <w:szCs w:val="20"/>
          <w:color w:val="auto"/>
        </w:rPr>
      </w:pPr>
    </w:p>
    <w:p>
      <w:pPr>
        <w:ind w:left="1689" w:hanging="358"/>
        <w:spacing w:after="0"/>
        <w:tabs>
          <w:tab w:leader="none" w:pos="1689"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Deferral and Acceleration by a Beneficiary.</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Any Beneficiary (other than a Surviving Spouse who has made a Subsequent Election under Section 3.5(b) or a Beneficiary who has made a Subsequent Election under Section 3.5(c)) may elect to:</w:t>
      </w:r>
    </w:p>
    <w:p>
      <w:pPr>
        <w:spacing w:after="0" w:line="172" w:lineRule="exact"/>
        <w:rPr>
          <w:sz w:val="20"/>
          <w:szCs w:val="20"/>
          <w:color w:val="auto"/>
        </w:rPr>
      </w:pPr>
    </w:p>
    <w:p>
      <w:pPr>
        <w:ind w:left="2389" w:hanging="348"/>
        <w:spacing w:after="0"/>
        <w:tabs>
          <w:tab w:leader="none" w:pos="2389" w:val="left"/>
        </w:tabs>
        <w:numPr>
          <w:ilvl w:val="1"/>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72" w:lineRule="exact"/>
        <w:rPr>
          <w:rFonts w:ascii="Courier New" w:cs="Courier New" w:eastAsia="Courier New" w:hAnsi="Courier New"/>
          <w:sz w:val="15"/>
          <w:szCs w:val="15"/>
          <w:color w:val="auto"/>
        </w:rPr>
      </w:pPr>
    </w:p>
    <w:p>
      <w:pPr>
        <w:ind w:left="2489" w:hanging="448"/>
        <w:spacing w:after="0"/>
        <w:tabs>
          <w:tab w:leader="none" w:pos="2489" w:val="left"/>
        </w:tabs>
        <w:numPr>
          <w:ilvl w:val="1"/>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time of payment of a Deceased</w:t>
      </w:r>
    </w:p>
    <w:p>
      <w:pPr>
        <w:spacing w:after="0" w:line="3" w:lineRule="exact"/>
        <w:rPr>
          <w:rFonts w:ascii="Courier New" w:cs="Courier New" w:eastAsia="Courier New" w:hAnsi="Courier New"/>
          <w:sz w:val="15"/>
          <w:szCs w:val="15"/>
          <w:color w:val="auto"/>
        </w:rPr>
      </w:pPr>
    </w:p>
    <w:p>
      <w:pPr>
        <w:ind w:left="9"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Account or deceased Beneficiary's Account from the date or dates that payment would otherwise be made to the date that is the later of (A) six</w:t>
      </w:r>
    </w:p>
    <w:p>
      <w:pPr>
        <w:ind w:left="9" w:right="3119" w:hanging="9"/>
        <w:spacing w:after="0"/>
        <w:tabs>
          <w:tab w:leader="none" w:pos="364"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the date of the Deceased Participant's or deceased Beneficiary's death and (B) 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75"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73"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(e) Acceleration by Disabled Participant or Permitted Transferee</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Disabled Participant.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3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801" w:right="1440" w:bottom="1440" w:gutter="0" w:footer="0" w:header="0"/>
        </w:sectPr>
      </w:pPr>
    </w:p>
    <w:bookmarkStart w:id="266" w:name="page267"/>
    <w:bookmarkEnd w:id="266"/>
    <w:p>
      <w:pPr>
        <w:ind w:left="1680" w:hanging="358"/>
        <w:spacing w:after="0"/>
        <w:tabs>
          <w:tab w:leader="none" w:pos="168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Participants and Disabled Participants.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may, in its sole and absolute discretion, permit a Retired Participant or a 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(g) Retired Participant or Permitted Transferee of Retired</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Participant.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Retired Participant (who has not been permitted to make a 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7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 Disabled Participant or Permitted Transferee of Disabled</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Participant.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 Most Recently Filed Initial Election or Subsequent Election</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Controlling.</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acceleration pursuant to Section 3.5(d), or 3.5(e),</w:t>
      </w:r>
    </w:p>
    <w:p>
      <w:pPr>
        <w:spacing w:after="0" w:line="3"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9" w:right="1440" w:bottom="1440" w:gutter="0" w:footer="0" w:header="0"/>
        </w:sectPr>
      </w:pPr>
    </w:p>
    <w:bookmarkStart w:id="267" w:name="page268"/>
    <w:bookmarkEnd w:id="267"/>
    <w:p>
      <w:pPr>
        <w:ind w:left="440"/>
        <w:spacing w:after="0"/>
        <w:rPr>
          <w:sz w:val="20"/>
          <w:szCs w:val="20"/>
          <w:color w:val="auto"/>
        </w:rPr>
      </w:pPr>
      <w:r>
        <w:rPr>
          <w:rFonts w:ascii="Courier New" w:cs="Courier New" w:eastAsia="Courier New" w:hAnsi="Courier New"/>
          <w:sz w:val="15"/>
          <w:szCs w:val="15"/>
          <w:color w:val="auto"/>
        </w:rPr>
        <w:t>3.6. Distribution in Full upon Terminating Event.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3.7. Withholding and Payment of Death Taxes.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1322"/>
        <w:spacing w:after="0" w:line="260" w:lineRule="auto"/>
        <w:tabs>
          <w:tab w:leader="none" w:pos="1686"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62" w:lineRule="exact"/>
        <w:rPr>
          <w:rFonts w:ascii="Courier New" w:cs="Courier New" w:eastAsia="Courier New" w:hAnsi="Courier New"/>
          <w:sz w:val="14"/>
          <w:szCs w:val="14"/>
          <w:color w:val="auto"/>
        </w:rPr>
      </w:pPr>
    </w:p>
    <w:p>
      <w:pPr>
        <w:ind w:right="3399" w:firstLine="1322"/>
        <w:spacing w:after="0" w:line="238" w:lineRule="auto"/>
        <w:tabs>
          <w:tab w:leader="none" w:pos="1686"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Decedent affirmatively has elected, pursuant to Section 3.7(a), that the terms of this Section 3.7(b) not apply:</w:t>
      </w:r>
    </w:p>
    <w:p>
      <w:pPr>
        <w:spacing w:after="0" w:line="174" w:lineRule="exact"/>
        <w:rPr>
          <w:rFonts w:ascii="Courier New" w:cs="Courier New" w:eastAsia="Courier New" w:hAnsi="Courier New"/>
          <w:sz w:val="15"/>
          <w:szCs w:val="15"/>
          <w:color w:val="auto"/>
        </w:rPr>
      </w:pPr>
    </w:p>
    <w:p>
      <w:pPr>
        <w:ind w:right="3219" w:firstLine="2032"/>
        <w:spacing w:after="0" w:line="239" w:lineRule="auto"/>
        <w:tabs>
          <w:tab w:leader="none" w:pos="2396"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3"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defer payment of the</w:t>
      </w:r>
    </w:p>
    <w:p>
      <w:pPr>
        <w:spacing w:after="0" w:line="3" w:lineRule="exact"/>
        <w:rPr>
          <w:rFonts w:ascii="Courier New" w:cs="Courier New" w:eastAsia="Courier New" w:hAnsi="Courier New"/>
          <w:sz w:val="15"/>
          <w:szCs w:val="15"/>
          <w:color w:val="auto"/>
        </w:rPr>
      </w:pPr>
    </w:p>
    <w:p>
      <w:pPr>
        <w:ind w:right="36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until the later of the Death Tax Clearance Date and the payment date designated in the Decedent's Initial Election or Subsequent Election;</w:t>
      </w:r>
    </w:p>
    <w:p>
      <w:pPr>
        <w:spacing w:after="0" w:line="172" w:lineRule="exact"/>
        <w:rPr>
          <w:rFonts w:ascii="Courier New" w:cs="Courier New" w:eastAsia="Courier New" w:hAnsi="Courier New"/>
          <w:sz w:val="15"/>
          <w:szCs w:val="15"/>
          <w:color w:val="auto"/>
        </w:rPr>
      </w:pPr>
    </w:p>
    <w:p>
      <w:pPr>
        <w:ind w:left="2560" w:hanging="528"/>
        <w:spacing w:after="0"/>
        <w:tabs>
          <w:tab w:leader="none" w:pos="256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73" w:lineRule="exact"/>
        <w:rPr>
          <w:rFonts w:ascii="Courier New" w:cs="Courier New" w:eastAsia="Courier New" w:hAnsi="Courier New"/>
          <w:sz w:val="15"/>
          <w:szCs w:val="15"/>
          <w:color w:val="auto"/>
        </w:rPr>
      </w:pPr>
    </w:p>
    <w:p>
      <w:pPr>
        <w:ind w:left="2480" w:hanging="448"/>
        <w:spacing w:after="0"/>
        <w:tabs>
          <w:tab w:leader="none" w:pos="2480" w:val="left"/>
        </w:tabs>
        <w:numPr>
          <w:ilvl w:val="1"/>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Administrator makes a withdrawal from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268" w:name="page269"/>
    <w:bookmarkEnd w:id="268"/>
    <w:p>
      <w:pPr>
        <w:ind w:right="3119" w:firstLine="2032"/>
        <w:spacing w:after="0" w:line="262" w:lineRule="auto"/>
        <w:tabs>
          <w:tab w:leader="none" w:pos="2396"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60" w:lineRule="exact"/>
        <w:rPr>
          <w:rFonts w:ascii="Courier New" w:cs="Courier New" w:eastAsia="Courier New" w:hAnsi="Courier New"/>
          <w:sz w:val="14"/>
          <w:szCs w:val="14"/>
          <w:color w:val="auto"/>
        </w:rPr>
      </w:pPr>
    </w:p>
    <w:p>
      <w:pPr>
        <w:ind w:left="2480" w:hanging="448"/>
        <w:spacing w:after="0"/>
        <w:tabs>
          <w:tab w:leader="none" w:pos="24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a reasonable time after the later to occur of</w:t>
      </w:r>
    </w:p>
    <w:p>
      <w:pPr>
        <w:spacing w:after="0" w:line="12" w:lineRule="exact"/>
        <w:rPr>
          <w:rFonts w:ascii="Courier New" w:cs="Courier New" w:eastAsia="Courier New" w:hAnsi="Courier New"/>
          <w:sz w:val="14"/>
          <w:szCs w:val="14"/>
          <w:color w:val="auto"/>
        </w:rPr>
      </w:pPr>
    </w:p>
    <w:p>
      <w:pPr>
        <w:ind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Death Tax Clearance Date and the payment date designated in the Decedent's Initial Election or Subsequent Election, the Administrator shall pay the Decedent's Account to the Beneficiary.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3.8. Effect of Distribution within Five Years of Effective Date of</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Diversification Election.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pursuant to Section 3.1 through 3.7, Shares distributable with respect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Deferred Stock Units credited to the Company Stock Fund that are attributable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Option as to which a Diversification Election was made are distributed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before the fifth anniversary of the effective date of such Diversification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(and, in the case of a Participant who is a Successor-in-Interest or 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Transferee, whether or not such Diversification Election was made by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predecessor-in-interest), then, except as may otherwise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by the Committee in its sole and absolute discretion,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the Participant's Account credited to the Income Fund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such Diversification Election shall be distributed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simultaneously with such Shares, without regard to any election to the contrary:</w:t>
      </w:r>
    </w:p>
    <w:p>
      <w:pPr>
        <w:sectPr>
          <w:pgSz w:w="11900" w:h="16838" w:orient="portrait"/>
          <w:cols w:equalWidth="0" w:num="1">
            <w:col w:w="10219"/>
          </w:cols>
          <w:pgMar w:left="240" w:top="8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Time that Shares are Distributable</w:t>
      </w:r>
    </w:p>
    <w:p>
      <w:pPr>
        <w:spacing w:after="0" w:line="12"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Distributable Percentage of</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Corresponding Income Fund Amount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460" w:space="720"/>
            <w:col w:w="303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On or before the third anniversary of a Diversification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w:t>
      </w:r>
    </w:p>
    <w:p>
      <w:pPr>
        <w:spacing w:after="0" w:line="183" w:lineRule="exact"/>
        <w:rPr>
          <w:sz w:val="20"/>
          <w:szCs w:val="20"/>
          <w:color w:val="auto"/>
        </w:rPr>
      </w:pPr>
    </w:p>
    <w:p>
      <w:pPr>
        <w:sectPr>
          <w:pgSz w:w="11900" w:h="16838" w:orient="portrait"/>
          <w:cols w:equalWidth="0" w:num="2">
            <w:col w:w="7800" w:space="720"/>
            <w:col w:w="1699"/>
          </w:cols>
          <w:pgMar w:left="240" w:top="801" w:right="1440" w:bottom="1440" w:gutter="0" w:footer="0" w:header="0"/>
          <w:type w:val="continuous"/>
        </w:sectPr>
      </w:pPr>
    </w:p>
    <w:p>
      <w:pPr>
        <w:ind w:right="1240"/>
        <w:spacing w:after="0" w:line="238" w:lineRule="auto"/>
        <w:rPr>
          <w:sz w:val="20"/>
          <w:szCs w:val="20"/>
          <w:color w:val="auto"/>
        </w:rPr>
      </w:pPr>
      <w:r>
        <w:rPr>
          <w:rFonts w:ascii="Courier New" w:cs="Courier New" w:eastAsia="Courier New" w:hAnsi="Courier New"/>
          <w:sz w:val="15"/>
          <w:szCs w:val="15"/>
          <w:color w:val="auto"/>
        </w:rPr>
        <w:t>After the third anniversary of a Diversification Election and on or before the fourth anniversary of a Diversification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w:t>
      </w:r>
    </w:p>
    <w:p>
      <w:pPr>
        <w:spacing w:after="0" w:line="353" w:lineRule="exact"/>
        <w:rPr>
          <w:sz w:val="20"/>
          <w:szCs w:val="20"/>
          <w:color w:val="auto"/>
        </w:rPr>
      </w:pPr>
    </w:p>
    <w:p>
      <w:pPr>
        <w:sectPr>
          <w:pgSz w:w="11900" w:h="16838" w:orient="portrait"/>
          <w:cols w:equalWidth="0" w:num="2">
            <w:col w:w="7800" w:space="720"/>
            <w:col w:w="1699"/>
          </w:cols>
          <w:pgMar w:left="240" w:top="801" w:right="1440" w:bottom="1440" w:gutter="0" w:footer="0" w:header="0"/>
          <w:type w:val="continuous"/>
        </w:sectPr>
      </w:pPr>
    </w:p>
    <w:p>
      <w:pPr>
        <w:ind w:right="1160"/>
        <w:spacing w:after="0" w:line="238" w:lineRule="auto"/>
        <w:rPr>
          <w:sz w:val="20"/>
          <w:szCs w:val="20"/>
          <w:color w:val="auto"/>
        </w:rPr>
      </w:pPr>
      <w:r>
        <w:rPr>
          <w:rFonts w:ascii="Courier New" w:cs="Courier New" w:eastAsia="Courier New" w:hAnsi="Courier New"/>
          <w:sz w:val="15"/>
          <w:szCs w:val="15"/>
          <w:color w:val="auto"/>
        </w:rPr>
        <w:t>After the fourth anniversary of a Diversification Election and on or before the fifth anniversary of a Diversification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w:t>
      </w:r>
    </w:p>
    <w:p>
      <w:pPr>
        <w:spacing w:after="0" w:line="350" w:lineRule="exact"/>
        <w:rPr>
          <w:sz w:val="20"/>
          <w:szCs w:val="20"/>
          <w:color w:val="auto"/>
        </w:rPr>
      </w:pPr>
    </w:p>
    <w:p>
      <w:pPr>
        <w:sectPr>
          <w:pgSz w:w="11900" w:h="16838" w:orient="portrait"/>
          <w:cols w:equalWidth="0" w:num="2">
            <w:col w:w="7800" w:space="720"/>
            <w:col w:w="1699"/>
          </w:cols>
          <w:pgMar w:left="240" w:top="801"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fifth anniversary of a Diversification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0" w:lineRule="exact"/>
        <w:rPr>
          <w:sz w:val="20"/>
          <w:szCs w:val="20"/>
          <w:color w:val="auto"/>
        </w:rPr>
      </w:pPr>
    </w:p>
    <w:p>
      <w:pPr>
        <w:sectPr>
          <w:pgSz w:w="11900" w:h="16838" w:orient="portrait"/>
          <w:cols w:equalWidth="0" w:num="2">
            <w:col w:w="7880" w:space="720"/>
            <w:col w:w="1619"/>
          </w:cols>
          <w:pgMar w:left="240" w:top="8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ARTICLE 4 - MANNER OF DISTRIBUTION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4.1. Manner of Distribution.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01" w:right="1440" w:bottom="1440" w:gutter="0" w:footer="0" w:header="0"/>
          <w:type w:val="continuous"/>
        </w:sectPr>
      </w:pPr>
    </w:p>
    <w:p>
      <w:pPr>
        <w:spacing w:after="0" w:line="174" w:lineRule="exact"/>
        <w:rPr>
          <w:sz w:val="20"/>
          <w:szCs w:val="20"/>
          <w:color w:val="auto"/>
        </w:rPr>
      </w:pPr>
    </w:p>
    <w:p>
      <w:pPr>
        <w:ind w:right="3119" w:firstLine="1322"/>
        <w:spacing w:after="0"/>
        <w:tabs>
          <w:tab w:leader="none" w:pos="168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1" w:right="1440" w:bottom="1440" w:gutter="0" w:footer="0" w:header="0"/>
          <w:type w:val="continuous"/>
        </w:sectPr>
      </w:pPr>
    </w:p>
    <w:bookmarkStart w:id="269" w:name="page270"/>
    <w:bookmarkEnd w:id="269"/>
    <w:p>
      <w:pPr>
        <w:ind w:right="3119"/>
        <w:spacing w:after="0"/>
        <w:rPr>
          <w:sz w:val="20"/>
          <w:szCs w:val="20"/>
          <w:color w:val="auto"/>
        </w:rPr>
      </w:pPr>
      <w:r>
        <w:rPr>
          <w:rFonts w:ascii="Courier New" w:cs="Courier New" w:eastAsia="Courier New" w:hAnsi="Courier New"/>
          <w:sz w:val="15"/>
          <w:szCs w:val="15"/>
          <w:color w:val="auto"/>
        </w:rPr>
        <w:t>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5 - BOOK ACCOUNTS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 Account.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Each Deferred Stock Unit that represented a hypothetical share of Comcast Corporation Class A Common Stock, par value $1.00 immediately before the consummation of the AT&amp;T Broadband Transaction shall be treated as a hypothetical share of Common Stock. Each Deferred Stock Unit that represented a hypothetical share of Comcast Corporation Class A Special Common Stock, par value $1.00 shall be treated as a hypothetical share of Special Common Stock. To the extent an Account is deemed invested in the Income Fund, the Administrator shall credit earnings with respect to such Account at the Applicable Interest Rate, as further provided in Section 5.2.</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Crediting of Income, Gains and Losses on Accounts.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0" w:hanging="358"/>
        <w:spacing w:after="0"/>
        <w:tabs>
          <w:tab w:leader="none" w:pos="168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Except as otherwise provided in this Section 5.2, the value of a Participant's Account as of any date shall be determined as if it were invested in the Company Stock Fund.</w:t>
      </w:r>
    </w:p>
    <w:p>
      <w:pPr>
        <w:spacing w:after="0" w:line="172" w:lineRule="exact"/>
        <w:rPr>
          <w:sz w:val="20"/>
          <w:szCs w:val="20"/>
          <w:color w:val="auto"/>
        </w:rPr>
      </w:pPr>
    </w:p>
    <w:p>
      <w:pPr>
        <w:ind w:left="1680" w:hanging="358"/>
        <w:spacing w:after="0"/>
        <w:tabs>
          <w:tab w:leader="none" w:pos="168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Diversification Elections.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80" w:hanging="348"/>
        <w:spacing w:after="0"/>
        <w:tabs>
          <w:tab w:leader="none" w:pos="238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A Diversification Election shall be available (A) at any time that a Registration Statement filed under the Securities Act of 1933, as amended (a "Registration Statement"), is effective with respect to the Plan and (B) if and to the extent that the opportunity to make a Diversification Election has been approved (or, pursuant to Section 2.24, deemed approved) by the Administrator.</w:t>
      </w:r>
    </w:p>
    <w:p>
      <w:pPr>
        <w:spacing w:after="0" w:line="162" w:lineRule="exact"/>
        <w:rPr>
          <w:sz w:val="20"/>
          <w:szCs w:val="20"/>
          <w:color w:val="auto"/>
        </w:rPr>
      </w:pPr>
    </w:p>
    <w:p>
      <w:pPr>
        <w:ind w:left="2480" w:hanging="448"/>
        <w:spacing w:after="0"/>
        <w:tabs>
          <w:tab w:leader="none" w:pos="24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 Approval of Diversification Elections.</w:t>
      </w:r>
    </w:p>
    <w:p>
      <w:pPr>
        <w:spacing w:after="0" w:line="9" w:lineRule="exact"/>
        <w:rPr>
          <w:rFonts w:ascii="Courier New" w:cs="Courier New" w:eastAsia="Courier New" w:hAnsi="Courier New"/>
          <w:sz w:val="14"/>
          <w:szCs w:val="14"/>
          <w:color w:val="auto"/>
        </w:rPr>
      </w:pPr>
    </w:p>
    <w:p>
      <w:pPr>
        <w:ind w:left="2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opportunity to make a Diversification Election and the extent to which a Diversification Election applies to Deferred Stock Units credited to the Company Stock Fund may be approved or rejected by the Administrator in connection with the filing of a contingent Initial Election (as described in Section 2.32), provided that an Outside Director, Former Outside Director, Eligible Employee, Former Eligible Employee, Successor-in-Interest or Permitted Transferee who has Deferred Stock Units credited to an Account at the time that a Registration Statement first becomes effective with respect to the Plan, may at any time thereafter file a proposed Diversification Election with respect to such Deferred Stock Units. Such a proposed Diversification Election shall only be effective if (and to the extent) approved (or, pursuant to Section 5.2(b)(iii), deemed approved) by the Administrator.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270" w:name="page271"/>
    <w:bookmarkEnd w:id="270"/>
    <w:p>
      <w:pPr>
        <w:ind w:left="2040"/>
        <w:spacing w:after="0"/>
        <w:rPr>
          <w:sz w:val="20"/>
          <w:szCs w:val="20"/>
          <w:color w:val="auto"/>
        </w:rPr>
      </w:pPr>
      <w:r>
        <w:rPr>
          <w:rFonts w:ascii="Courier New" w:cs="Courier New" w:eastAsia="Courier New" w:hAnsi="Courier New"/>
          <w:sz w:val="15"/>
          <w:szCs w:val="15"/>
          <w:color w:val="auto"/>
        </w:rPr>
        <w:t>(iii) Conversion of Deferred Stock Units to Cash</w:t>
      </w:r>
    </w:p>
    <w:p>
      <w:pPr>
        <w:spacing w:after="0" w:line="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Equivalents.</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Outside Director, Former Outside Director, Eligible Employee, Former Eligible Employee, Successor-in-Interest or Permitted Transferee who is a Participant and whose Diversification Election has been approved (or deemed approved) by the Administrator may make a Diversification Election to convert up to the approved percentage of Deferred Stock Units credited to the Company Stock Fund that are attributable to any Option to the Income Fund. No deemed transfers shall be permitted from the Income Fund to the Company Stock Fund. Notwithstanding the foregoing, an Outside Director's Diversification Election to convert up to 40 percent of the Deferred Stock Units credited to the Company Stock Fund and attributable to any Option to the Income Fund shall be deemed approved by the Administrator, and an Outside Director's Diversification Election to transfer any amount in excess of such 40 percent amount shall be deemed null and void to the extent of such excess amount.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are credited to the Participant's Account.</w:t>
      </w:r>
    </w:p>
    <w:p>
      <w:pPr>
        <w:spacing w:after="0" w:line="181" w:lineRule="exact"/>
        <w:rPr>
          <w:sz w:val="20"/>
          <w:szCs w:val="20"/>
          <w:color w:val="auto"/>
        </w:rPr>
      </w:pPr>
    </w:p>
    <w:p>
      <w:pPr>
        <w:ind w:left="1680" w:hanging="358"/>
        <w:spacing w:after="0"/>
        <w:tabs>
          <w:tab w:leader="none" w:pos="168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Credits.</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Account balances subject to a 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 Status of Deferred Amounts.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Regardless of whether or not the Company is a Participant's employer, all amounts deferred under this Plan shall continue for all purposes to be a part of the general funds of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5.4. Participants' Status as General Creditors.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7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6 - NONALIENATION OF BENEFITS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 Alienation Prohibited.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Except as otherwise required by applicable law,</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271" w:name="page272"/>
    <w:bookmarkEnd w:id="271"/>
    <w:p>
      <w:pPr>
        <w:ind w:left="2120"/>
        <w:spacing w:after="0"/>
        <w:rPr>
          <w:sz w:val="20"/>
          <w:szCs w:val="20"/>
          <w:color w:val="auto"/>
        </w:rPr>
      </w:pPr>
      <w:r>
        <w:rPr>
          <w:rFonts w:ascii="Courier New" w:cs="Courier New" w:eastAsia="Courier New" w:hAnsi="Courier New"/>
          <w:sz w:val="15"/>
          <w:szCs w:val="15"/>
          <w:color w:val="auto"/>
        </w:rPr>
        <w:t>ARTICLE 7 - DEATH OF PARTICIPANT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Death of Participant.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7.2. Designation of Beneficiaries.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8 - INTERPRETATION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 Authority of Committee.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Committee shall have full and exclusive authority to construe, interpret and administer this Plan and the Committee's construction and interpretation thereof shall be binding and conclusive on all persons for all purposes.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 Claims Procedure.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4" w:lineRule="exact"/>
        <w:rPr>
          <w:sz w:val="20"/>
          <w:szCs w:val="20"/>
          <w:color w:val="auto"/>
        </w:rPr>
      </w:pPr>
    </w:p>
    <w:p>
      <w:pPr>
        <w:ind w:left="1680" w:hanging="358"/>
        <w:spacing w:after="0"/>
        <w:tabs>
          <w:tab w:leader="none" w:pos="168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Plan provisions on which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denial is based;</w:t>
      </w:r>
    </w:p>
    <w:p>
      <w:pPr>
        <w:spacing w:after="0" w:line="174" w:lineRule="exact"/>
        <w:rPr>
          <w:rFonts w:ascii="Courier New" w:cs="Courier New" w:eastAsia="Courier New" w:hAnsi="Courier New"/>
          <w:sz w:val="15"/>
          <w:szCs w:val="15"/>
          <w:color w:val="auto"/>
        </w:rPr>
      </w:pPr>
    </w:p>
    <w:p>
      <w:pPr>
        <w:ind w:right="3579" w:firstLine="1322"/>
        <w:spacing w:after="0" w:line="239" w:lineRule="auto"/>
        <w:tabs>
          <w:tab w:leader="none" w:pos="1686"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Applicant to perfect the claim and an explanation of why such material or information is necessary; and</w:t>
      </w:r>
    </w:p>
    <w:p>
      <w:pPr>
        <w:spacing w:after="0" w:line="175" w:lineRule="exact"/>
        <w:rPr>
          <w:rFonts w:ascii="Courier New" w:cs="Courier New" w:eastAsia="Courier New" w:hAnsi="Courier New"/>
          <w:sz w:val="15"/>
          <w:szCs w:val="15"/>
          <w:color w:val="auto"/>
        </w:rPr>
      </w:pPr>
    </w:p>
    <w:p>
      <w:pPr>
        <w:ind w:right="3219" w:firstLine="1322"/>
        <w:spacing w:after="0" w:line="238" w:lineRule="auto"/>
        <w:tabs>
          <w:tab w:leader="none" w:pos="1686"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in order to submit a claim for review.</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272" w:name="page273"/>
    <w:bookmarkEnd w:id="272"/>
    <w:p>
      <w:pPr>
        <w:jc w:val="both"/>
        <w:ind w:right="3119" w:firstLine="1597"/>
        <w:spacing w:after="0"/>
        <w:rPr>
          <w:sz w:val="20"/>
          <w:szCs w:val="20"/>
          <w:color w:val="auto"/>
        </w:rPr>
      </w:pPr>
      <w:r>
        <w:rPr>
          <w:rFonts w:ascii="Courier New" w:cs="Courier New" w:eastAsia="Courier New" w:hAnsi="Courier New"/>
          <w:sz w:val="15"/>
          <w:szCs w:val="15"/>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79"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It is intended that the claims procedures of this Plan be administered in accordance with the claims procedure regulations of the Department of Labor set forth in 29 CFR ss. 2560.503-1.</w:t>
      </w:r>
    </w:p>
    <w:p>
      <w:pPr>
        <w:spacing w:after="0" w:line="175" w:lineRule="exact"/>
        <w:rPr>
          <w:sz w:val="20"/>
          <w:szCs w:val="20"/>
          <w:color w:val="auto"/>
        </w:rPr>
      </w:pPr>
    </w:p>
    <w:p>
      <w:pPr>
        <w:ind w:right="3839" w:firstLine="89"/>
        <w:spacing w:after="0" w:line="238" w:lineRule="auto"/>
        <w:rPr>
          <w:sz w:val="20"/>
          <w:szCs w:val="20"/>
          <w:color w:val="auto"/>
        </w:rPr>
      </w:pPr>
      <w:r>
        <w:rPr>
          <w:rFonts w:ascii="Courier New" w:cs="Courier New" w:eastAsia="Courier New" w:hAnsi="Courier New"/>
          <w:sz w:val="15"/>
          <w:szCs w:val="15"/>
          <w:color w:val="auto"/>
        </w:rPr>
        <w:t>Claims for benefits under the Plan must be filed with the Administrator at the following address:</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ARTICLE 9 - AMENDMENT OR TERMINATION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 Amendment or Termination.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by action of the Board or by action of the Committee, shall have the right at any time, or from time to time, to amend or modify this Plan. The Company, by action of the Board, shall have the right to terminate this Plan at any time.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ARTICLE 10 - WITHHOLDING OF TAXES ON EXERCISE OF OPTION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 In General.</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Whenever the Company proposes or is required to credit 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10.2. Share Withholding Election.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With respect to any Option subject to an Initial Election, an Eligible Employee, Former Eligible Employee, Successor-in-Interest or Permitted Transferee may elect to have the number of Option Shares determined such that Shares subject to</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1" w:right="1440" w:bottom="1440" w:gutter="0" w:footer="0" w:header="0"/>
        </w:sectPr>
      </w:pPr>
    </w:p>
    <w:bookmarkStart w:id="273" w:name="page274"/>
    <w:bookmarkEnd w:id="273"/>
    <w:p>
      <w:pPr>
        <w:ind w:right="3299"/>
        <w:spacing w:after="0" w:line="258" w:lineRule="auto"/>
        <w:rPr>
          <w:sz w:val="20"/>
          <w:szCs w:val="20"/>
          <w:color w:val="auto"/>
        </w:rPr>
      </w:pPr>
      <w:r>
        <w:rPr>
          <w:rFonts w:ascii="Courier New" w:cs="Courier New" w:eastAsia="Courier New" w:hAnsi="Courier New"/>
          <w:sz w:val="14"/>
          <w:szCs w:val="14"/>
          <w:color w:val="auto"/>
        </w:rPr>
        <w:t>such Option are withheld by the Company to the extent necessary to satisfy any withholding tax liabilities incurred in connection with the exercise of such Option. The number of Shares subject to an Option to be withheld pursuant to</w:t>
      </w:r>
    </w:p>
    <w:p>
      <w:pPr>
        <w:spacing w:after="0" w:line="1" w:lineRule="exact"/>
        <w:rPr>
          <w:sz w:val="20"/>
          <w:szCs w:val="20"/>
          <w:color w:val="auto"/>
        </w:rPr>
      </w:pPr>
    </w:p>
    <w:p>
      <w:pPr>
        <w:ind w:right="3219" w:firstLine="89"/>
        <w:spacing w:after="0" w:line="238" w:lineRule="auto"/>
        <w:rPr>
          <w:sz w:val="20"/>
          <w:szCs w:val="20"/>
          <w:color w:val="auto"/>
        </w:rPr>
      </w:pPr>
      <w:r>
        <w:rPr>
          <w:rFonts w:ascii="Courier New" w:cs="Courier New" w:eastAsia="Courier New" w:hAnsi="Courier New"/>
          <w:sz w:val="15"/>
          <w:szCs w:val="15"/>
          <w:color w:val="auto"/>
        </w:rPr>
        <w:t>such a Share Withholding Election shall have a Fair Market Value approximately equal to the sum of:</w:t>
      </w:r>
    </w:p>
    <w:p>
      <w:pPr>
        <w:spacing w:after="0" w:line="175" w:lineRule="exact"/>
        <w:rPr>
          <w:sz w:val="20"/>
          <w:szCs w:val="20"/>
          <w:color w:val="auto"/>
        </w:rPr>
      </w:pPr>
    </w:p>
    <w:p>
      <w:pPr>
        <w:ind w:right="3759" w:firstLine="1322"/>
        <w:spacing w:after="0" w:line="238" w:lineRule="auto"/>
        <w:tabs>
          <w:tab w:leader="none" w:pos="1686"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amount of withholding taxes required to be withheld by the Company under applicable law, plus</w:t>
      </w:r>
    </w:p>
    <w:p>
      <w:pPr>
        <w:spacing w:after="0" w:line="174" w:lineRule="exact"/>
        <w:rPr>
          <w:rFonts w:ascii="Courier New" w:cs="Courier New" w:eastAsia="Courier New" w:hAnsi="Courier New"/>
          <w:sz w:val="15"/>
          <w:szCs w:val="15"/>
          <w:color w:val="auto"/>
        </w:rPr>
      </w:pPr>
    </w:p>
    <w:p>
      <w:pPr>
        <w:ind w:right="3299" w:firstLine="1322"/>
        <w:spacing w:after="0" w:line="260" w:lineRule="auto"/>
        <w:tabs>
          <w:tab w:leader="none" w:pos="1686"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6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174"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11 - CAPITAL ADJUSTMENTS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 Capital Adjustments.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74"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12 - MISCELLANEOUS PROVISIONS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12.1. No Right to Continued Employment.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Nothing contained herein shall be construed as conferring upon any Participant the right to remain in service as an Outside Director or in the employment of a Participating Company as an executive or in any other capacity.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12.2. Expenses of Plan.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expenses of the Plan shall be paid by the Participating Companies.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12.3. Gender and Number.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12.4. Law Governing Construction.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2" w:right="1440" w:bottom="1440" w:gutter="0" w:footer="0" w:header="0"/>
        </w:sectPr>
      </w:pPr>
    </w:p>
    <w:bookmarkStart w:id="274" w:name="page275"/>
    <w:bookmarkEnd w:id="274"/>
    <w:p>
      <w:pPr>
        <w:ind w:left="440"/>
        <w:spacing w:after="0"/>
        <w:rPr>
          <w:sz w:val="20"/>
          <w:szCs w:val="20"/>
          <w:color w:val="auto"/>
        </w:rPr>
      </w:pPr>
      <w:r>
        <w:rPr>
          <w:rFonts w:ascii="Courier New" w:cs="Courier New" w:eastAsia="Courier New" w:hAnsi="Courier New"/>
          <w:sz w:val="15"/>
          <w:szCs w:val="15"/>
          <w:color w:val="auto"/>
        </w:rPr>
        <w:t>12.5. Headings Not a Part Hereof.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12.6. Severability of Provisions.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12.7. Expiration of Options.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 13 - EFFECTIVE DATE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13.1. Effective Date.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effective date of this amendment and restatement of the Plan shall be February 26,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275" w:name="page276"/>
    <w:bookmarkEnd w:id="275"/>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26th day of February, 2003.</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143" w:right="1440" w:bottom="1440" w:gutter="0" w:footer="0" w:header="0"/>
        </w:sectPr>
      </w:pPr>
    </w:p>
    <w:bookmarkStart w:id="276" w:name="page277"/>
    <w:bookmarkEnd w:id="276"/>
    <w:p>
      <w:pPr>
        <w:spacing w:after="0" w:line="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10.6</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2002 RESTRICTED STOCK PLAN</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February 26, 2003)</w:t>
      </w:r>
    </w:p>
    <w:p>
      <w:pPr>
        <w:spacing w:after="0" w:line="200" w:lineRule="exact"/>
        <w:rPr>
          <w:sz w:val="20"/>
          <w:szCs w:val="20"/>
          <w:color w:val="auto"/>
        </w:rPr>
      </w:pPr>
    </w:p>
    <w:p>
      <w:pPr>
        <w:spacing w:after="0" w:line="313" w:lineRule="exact"/>
        <w:rPr>
          <w:sz w:val="20"/>
          <w:szCs w:val="20"/>
          <w:color w:val="auto"/>
        </w:rPr>
      </w:pPr>
    </w:p>
    <w:p>
      <w:pPr>
        <w:ind w:left="700" w:hanging="265"/>
        <w:spacing w:after="0"/>
        <w:tabs>
          <w:tab w:leader="none" w:pos="70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PURPOSE</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COMCAST CORPORATION, a Pennsylvania corporation (formerly known as AT&amp;T Comcast Corporation), hereby amends and restates the Comcast Corporation 2002 Restricted Stock Plan (the "Plan"), effective February 26, 2003. The purpose of the Plan is to promote the ability of Comcast Corporation to retain certain key employees and enhance the growth and profitability of Comcast Corporation by providing the incentive of long-term awards for continued employment and the attainment of performance objectives.</w:t>
      </w:r>
    </w:p>
    <w:p>
      <w:pPr>
        <w:spacing w:after="0" w:line="173" w:lineRule="exact"/>
        <w:rPr>
          <w:sz w:val="20"/>
          <w:szCs w:val="20"/>
          <w:color w:val="auto"/>
        </w:rPr>
      </w:pPr>
    </w:p>
    <w:p>
      <w:pPr>
        <w:ind w:left="700" w:hanging="265"/>
        <w:spacing w:after="0"/>
        <w:tabs>
          <w:tab w:leader="none" w:pos="70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0" w:right="3219" w:firstLine="438"/>
        <w:spacing w:after="0" w:line="238" w:lineRule="auto"/>
        <w:tabs>
          <w:tab w:leader="none" w:pos="1239"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Grantee" means each Grantee who is actively employed by a Participating Company.</w:t>
      </w:r>
    </w:p>
    <w:p>
      <w:pPr>
        <w:spacing w:after="0" w:line="174" w:lineRule="exact"/>
        <w:rPr>
          <w:rFonts w:ascii="Courier New" w:cs="Courier New" w:eastAsia="Courier New" w:hAnsi="Courier New"/>
          <w:sz w:val="15"/>
          <w:szCs w:val="15"/>
          <w:color w:val="auto"/>
        </w:rPr>
      </w:pPr>
    </w:p>
    <w:p>
      <w:pPr>
        <w:ind w:left="440" w:right="3399" w:firstLine="438"/>
        <w:spacing w:after="0" w:line="260" w:lineRule="auto"/>
        <w:tabs>
          <w:tab w:leader="none" w:pos="1239"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1" w:lineRule="exact"/>
        <w:rPr>
          <w:rFonts w:ascii="Courier New" w:cs="Courier New" w:eastAsia="Courier New" w:hAnsi="Courier New"/>
          <w:sz w:val="14"/>
          <w:szCs w:val="14"/>
          <w:color w:val="auto"/>
        </w:rPr>
      </w:pPr>
    </w:p>
    <w:p>
      <w:pPr>
        <w:ind w:left="440" w:right="3219" w:firstLine="438"/>
        <w:spacing w:after="0" w:line="239" w:lineRule="auto"/>
        <w:tabs>
          <w:tab w:leader="none" w:pos="1239"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Transaction" means the acquisition of AT&amp;T Broadband Corp. (now known as Comcast Cable Communications Holdings, Inc.) by the Company.</w:t>
      </w:r>
    </w:p>
    <w:p>
      <w:pPr>
        <w:spacing w:after="0" w:line="175"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 award of Restricted Stock granted under the Plan.</w:t>
      </w:r>
    </w:p>
    <w:p>
      <w:pPr>
        <w:spacing w:after="0" w:line="180"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3"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4" w:lineRule="exact"/>
        <w:rPr>
          <w:rFonts w:ascii="Courier New" w:cs="Courier New" w:eastAsia="Courier New" w:hAnsi="Courier New"/>
          <w:sz w:val="15"/>
          <w:szCs w:val="15"/>
          <w:color w:val="auto"/>
        </w:rPr>
      </w:pPr>
    </w:p>
    <w:p>
      <w:pPr>
        <w:ind w:left="440" w:right="3399" w:firstLine="438"/>
        <w:spacing w:after="0" w:line="260" w:lineRule="auto"/>
        <w:tabs>
          <w:tab w:leader="none" w:pos="1239"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Plan" means any restricted stock,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59"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w:t>
      </w:r>
    </w:p>
    <w:p>
      <w:pPr>
        <w:spacing w:after="0" w:line="174" w:lineRule="exact"/>
        <w:rPr>
          <w:rFonts w:ascii="Courier New" w:cs="Courier New" w:eastAsia="Courier New" w:hAnsi="Courier New"/>
          <w:sz w:val="15"/>
          <w:szCs w:val="15"/>
          <w:color w:val="auto"/>
        </w:rPr>
      </w:pPr>
    </w:p>
    <w:p>
      <w:pPr>
        <w:ind w:left="440" w:right="3299" w:firstLine="438"/>
        <w:spacing w:after="0" w:line="262" w:lineRule="auto"/>
        <w:tabs>
          <w:tab w:leader="none" w:pos="1239"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58"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"Deceased Grantee" means:</w:t>
      </w:r>
    </w:p>
    <w:p>
      <w:pPr>
        <w:spacing w:after="0" w:line="174" w:lineRule="exact"/>
        <w:rPr>
          <w:rFonts w:ascii="Courier New" w:cs="Courier New" w:eastAsia="Courier New" w:hAnsi="Courier New"/>
          <w:sz w:val="15"/>
          <w:szCs w:val="15"/>
          <w:color w:val="auto"/>
        </w:rPr>
      </w:pPr>
    </w:p>
    <w:p>
      <w:pPr>
        <w:ind w:left="1760" w:right="3479" w:hanging="438"/>
        <w:spacing w:after="0" w:line="238" w:lineRule="auto"/>
        <w:tabs>
          <w:tab w:leader="none" w:pos="1760" w:val="left"/>
        </w:tabs>
        <w:numPr>
          <w:ilvl w:val="2"/>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whose employment by a Participating Company is terminated by death; or</w:t>
      </w:r>
    </w:p>
    <w:p>
      <w:pPr>
        <w:spacing w:after="0" w:line="174" w:lineRule="exact"/>
        <w:rPr>
          <w:rFonts w:ascii="Courier New" w:cs="Courier New" w:eastAsia="Courier New" w:hAnsi="Courier New"/>
          <w:sz w:val="15"/>
          <w:szCs w:val="15"/>
          <w:color w:val="auto"/>
        </w:rPr>
      </w:pPr>
    </w:p>
    <w:p>
      <w:pPr>
        <w:ind w:left="1760" w:right="3219" w:hanging="438"/>
        <w:spacing w:after="0" w:line="238" w:lineRule="auto"/>
        <w:tabs>
          <w:tab w:leader="none" w:pos="1760" w:val="left"/>
        </w:tabs>
        <w:numPr>
          <w:ilvl w:val="2"/>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 dies following termination of employment by a Participating Company.</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"Disabled Grantee" means:</w:t>
      </w:r>
    </w:p>
    <w:p>
      <w:pPr>
        <w:spacing w:after="0" w:line="174" w:lineRule="exact"/>
        <w:rPr>
          <w:rFonts w:ascii="Courier New" w:cs="Courier New" w:eastAsia="Courier New" w:hAnsi="Courier New"/>
          <w:sz w:val="15"/>
          <w:szCs w:val="15"/>
          <w:color w:val="auto"/>
        </w:rPr>
      </w:pPr>
    </w:p>
    <w:p>
      <w:pPr>
        <w:ind w:left="1760" w:right="3479" w:hanging="438"/>
        <w:spacing w:after="0" w:line="238" w:lineRule="auto"/>
        <w:tabs>
          <w:tab w:leader="none" w:pos="1760" w:val="left"/>
        </w:tabs>
        <w:numPr>
          <w:ilvl w:val="2"/>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whose employment by a Participating Company is terminated by reason of disability;</w:t>
      </w:r>
    </w:p>
    <w:p>
      <w:pPr>
        <w:spacing w:after="0" w:line="174" w:lineRule="exact"/>
        <w:rPr>
          <w:rFonts w:ascii="Courier New" w:cs="Courier New" w:eastAsia="Courier New" w:hAnsi="Courier New"/>
          <w:sz w:val="15"/>
          <w:szCs w:val="15"/>
          <w:color w:val="auto"/>
        </w:rPr>
      </w:pPr>
    </w:p>
    <w:p>
      <w:pPr>
        <w:ind w:left="1760" w:right="3839" w:hanging="438"/>
        <w:spacing w:after="0" w:line="239" w:lineRule="auto"/>
        <w:tabs>
          <w:tab w:leader="none" w:pos="1760" w:val="left"/>
        </w:tabs>
        <w:numPr>
          <w:ilvl w:val="2"/>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who becomes disabled (as determined by the Committee) following termination of employment by a Participating Company; or</w:t>
      </w:r>
    </w:p>
    <w:p>
      <w:pPr>
        <w:spacing w:after="0" w:line="175" w:lineRule="exact"/>
        <w:rPr>
          <w:rFonts w:ascii="Courier New" w:cs="Courier New" w:eastAsia="Courier New" w:hAnsi="Courier New"/>
          <w:sz w:val="15"/>
          <w:szCs w:val="15"/>
          <w:color w:val="auto"/>
        </w:rPr>
      </w:pPr>
    </w:p>
    <w:p>
      <w:pPr>
        <w:ind w:left="1760" w:right="3219" w:hanging="438"/>
        <w:spacing w:after="0" w:line="271" w:lineRule="auto"/>
        <w:tabs>
          <w:tab w:leader="none" w:pos="1849" w:val="left"/>
        </w:tabs>
        <w:numPr>
          <w:ilvl w:val="2"/>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duly-appointed legal guardian of an individual described in Paragraph 2(m)(i) or 2(m)(ii) acting on behalf</w:t>
      </w:r>
    </w:p>
    <w:p>
      <w:pPr>
        <w:sectPr>
          <w:pgSz w:w="11900" w:h="16891" w:orient="portrait"/>
          <w:cols w:equalWidth="0" w:num="1">
            <w:col w:w="10219"/>
          </w:cols>
          <w:pgMar w:left="240" w:top="139" w:right="1440" w:bottom="0" w:gutter="0" w:footer="0" w:header="0"/>
        </w:sectPr>
      </w:pPr>
    </w:p>
    <w:bookmarkStart w:id="277" w:name="page278"/>
    <w:bookmarkEnd w:id="277"/>
    <w:p>
      <w:pPr>
        <w:ind w:left="882"/>
        <w:spacing w:after="0"/>
        <w:rPr>
          <w:sz w:val="20"/>
          <w:szCs w:val="20"/>
          <w:color w:val="auto"/>
        </w:rPr>
      </w:pPr>
      <w:r>
        <w:rPr>
          <w:rFonts w:ascii="Courier New" w:cs="Courier New" w:eastAsia="Courier New" w:hAnsi="Courier New"/>
          <w:sz w:val="15"/>
          <w:szCs w:val="15"/>
          <w:color w:val="auto"/>
        </w:rPr>
        <w:t>of such individual.</w:t>
      </w:r>
    </w:p>
    <w:p>
      <w:pPr>
        <w:spacing w:after="0" w:line="174" w:lineRule="exact"/>
        <w:rPr>
          <w:sz w:val="20"/>
          <w:szCs w:val="20"/>
          <w:color w:val="auto"/>
        </w:rPr>
      </w:pPr>
    </w:p>
    <w:p>
      <w:pPr>
        <w:ind w:left="-438" w:right="3579" w:firstLine="438"/>
        <w:spacing w:after="0" w:line="239" w:lineRule="auto"/>
        <w:tabs>
          <w:tab w:leader="none" w:pos="36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means a written election on a form provided by the Committee, filed with the Committee in accordance with Paragraph 8, pursuant to which a Grantee:</w:t>
      </w:r>
    </w:p>
    <w:p>
      <w:pPr>
        <w:spacing w:after="0" w:line="175" w:lineRule="exact"/>
        <w:rPr>
          <w:rFonts w:ascii="Courier New" w:cs="Courier New" w:eastAsia="Courier New" w:hAnsi="Courier New"/>
          <w:sz w:val="15"/>
          <w:szCs w:val="15"/>
          <w:color w:val="auto"/>
        </w:rPr>
      </w:pPr>
    </w:p>
    <w:p>
      <w:pPr>
        <w:ind w:left="882" w:right="3299" w:hanging="438"/>
        <w:spacing w:after="0" w:line="271" w:lineRule="auto"/>
        <w:tabs>
          <w:tab w:leader="none" w:pos="882"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elects, within the time or times specified in Paragraph 8, to defer the distribution date of Restricted Stock; and</w:t>
      </w:r>
    </w:p>
    <w:p>
      <w:pPr>
        <w:spacing w:after="0" w:line="151" w:lineRule="exact"/>
        <w:rPr>
          <w:rFonts w:ascii="Courier New" w:cs="Courier New" w:eastAsia="Courier New" w:hAnsi="Courier New"/>
          <w:sz w:val="14"/>
          <w:szCs w:val="14"/>
          <w:color w:val="auto"/>
        </w:rPr>
      </w:pPr>
    </w:p>
    <w:p>
      <w:pPr>
        <w:ind w:left="882" w:hanging="438"/>
        <w:spacing w:after="0"/>
        <w:tabs>
          <w:tab w:leader="none" w:pos="882" w:val="left"/>
        </w:tabs>
        <w:numPr>
          <w:ilvl w:val="1"/>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designates the distribution date of Restricted Stock.</w:t>
      </w:r>
    </w:p>
    <w:p>
      <w:pPr>
        <w:spacing w:after="0" w:line="174" w:lineRule="exact"/>
        <w:rPr>
          <w:rFonts w:ascii="Courier New" w:cs="Courier New" w:eastAsia="Courier New" w:hAnsi="Courier New"/>
          <w:sz w:val="15"/>
          <w:szCs w:val="15"/>
          <w:color w:val="auto"/>
        </w:rPr>
      </w:pPr>
    </w:p>
    <w:p>
      <w:pPr>
        <w:ind w:left="-438" w:right="3119" w:firstLine="438"/>
        <w:spacing w:after="0" w:line="238" w:lineRule="auto"/>
        <w:tabs>
          <w:tab w:leader="none" w:pos="36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 management employee of a Participating Company, as determined by the Committee.</w:t>
      </w:r>
    </w:p>
    <w:p>
      <w:pPr>
        <w:spacing w:after="0" w:line="172" w:lineRule="exact"/>
        <w:rPr>
          <w:rFonts w:ascii="Courier New" w:cs="Courier New" w:eastAsia="Courier New" w:hAnsi="Courier New"/>
          <w:sz w:val="15"/>
          <w:szCs w:val="15"/>
          <w:color w:val="auto"/>
        </w:rPr>
      </w:pPr>
    </w:p>
    <w:p>
      <w:pPr>
        <w:ind w:left="362" w:hanging="362"/>
        <w:spacing w:after="0"/>
        <w:tabs>
          <w:tab w:leader="none" w:pos="362"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342"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41"/>
          </w:cols>
          <w:pgMar w:left="1118" w:top="139" w:right="1440" w:bottom="1440" w:gutter="0" w:footer="0" w:header="0"/>
        </w:sectPr>
      </w:pPr>
    </w:p>
    <w:bookmarkStart w:id="278" w:name="page279"/>
    <w:bookmarkEnd w:id="278"/>
    <w:p>
      <w:pPr>
        <w:ind w:left="440" w:right="3399" w:firstLine="438"/>
        <w:spacing w:after="0" w:line="264" w:lineRule="auto"/>
        <w:tabs>
          <w:tab w:leader="none" w:pos="1239"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means a Grantee's termination of employment that is treated by the Participating Company as a retirement under its employment policies and practices as in effect from time to time.</w:t>
      </w:r>
    </w:p>
    <w:p>
      <w:pPr>
        <w:spacing w:after="0" w:line="156" w:lineRule="exact"/>
        <w:rPr>
          <w:rFonts w:ascii="Courier New" w:cs="Courier New" w:eastAsia="Courier New" w:hAnsi="Courier New"/>
          <w:sz w:val="14"/>
          <w:szCs w:val="14"/>
          <w:color w:val="auto"/>
        </w:rPr>
      </w:pPr>
    </w:p>
    <w:p>
      <w:pPr>
        <w:ind w:left="1240" w:hanging="362"/>
        <w:spacing w:after="0"/>
        <w:tabs>
          <w:tab w:leader="none" w:pos="124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 means, as of any date, the sum of:</w:t>
      </w:r>
    </w:p>
    <w:p>
      <w:pPr>
        <w:spacing w:after="0" w:line="174" w:lineRule="exact"/>
        <w:rPr>
          <w:rFonts w:ascii="Courier New" w:cs="Courier New" w:eastAsia="Courier New" w:hAnsi="Courier New"/>
          <w:sz w:val="15"/>
          <w:szCs w:val="15"/>
          <w:color w:val="auto"/>
        </w:rPr>
      </w:pPr>
    </w:p>
    <w:p>
      <w:pPr>
        <w:ind w:left="1760" w:right="3219" w:hanging="438"/>
        <w:spacing w:after="0" w:line="239" w:lineRule="auto"/>
        <w:tabs>
          <w:tab w:leader="none" w:pos="176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Grantee that were not acquired by such Grantee pursuant to a Comcast Plan or otherwise in connection with the performance of services to the Company or an Affiliate; plus</w:t>
      </w:r>
    </w:p>
    <w:p>
      <w:pPr>
        <w:spacing w:after="0" w:line="173"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w:t>
      </w:r>
    </w:p>
    <w:p>
      <w:pPr>
        <w:spacing w:after="0" w:line="174" w:lineRule="exact"/>
        <w:rPr>
          <w:rFonts w:ascii="Courier New" w:cs="Courier New" w:eastAsia="Courier New" w:hAnsi="Courier New"/>
          <w:sz w:val="15"/>
          <w:szCs w:val="15"/>
          <w:color w:val="auto"/>
        </w:rPr>
      </w:pPr>
    </w:p>
    <w:p>
      <w:pPr>
        <w:ind w:left="2200" w:right="3399" w:hanging="434"/>
        <w:spacing w:after="0" w:line="271" w:lineRule="auto"/>
        <w:tabs>
          <w:tab w:leader="none" w:pos="2200" w:val="left"/>
        </w:tabs>
        <w:numPr>
          <w:ilvl w:val="2"/>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 Grantee other than the Shares described in Paragraph 2(r)(i); over</w:t>
      </w:r>
    </w:p>
    <w:p>
      <w:pPr>
        <w:spacing w:after="0" w:line="151" w:lineRule="exact"/>
        <w:rPr>
          <w:rFonts w:ascii="Courier New" w:cs="Courier New" w:eastAsia="Courier New" w:hAnsi="Courier New"/>
          <w:sz w:val="14"/>
          <w:szCs w:val="14"/>
          <w:color w:val="auto"/>
        </w:rPr>
      </w:pPr>
    </w:p>
    <w:p>
      <w:pPr>
        <w:ind w:left="2200" w:hanging="434"/>
        <w:spacing w:after="0"/>
        <w:tabs>
          <w:tab w:leader="none" w:pos="2200" w:val="left"/>
        </w:tabs>
        <w:numPr>
          <w:ilvl w:val="2"/>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4" w:lineRule="exact"/>
        <w:rPr>
          <w:rFonts w:ascii="Courier New" w:cs="Courier New" w:eastAsia="Courier New" w:hAnsi="Courier New"/>
          <w:sz w:val="15"/>
          <w:szCs w:val="15"/>
          <w:color w:val="auto"/>
        </w:rPr>
      </w:pPr>
    </w:p>
    <w:p>
      <w:pPr>
        <w:ind w:left="1680" w:right="3399" w:firstLine="618"/>
        <w:spacing w:after="0" w:line="238" w:lineRule="auto"/>
        <w:tabs>
          <w:tab w:leader="none" w:pos="2656" w:val="left"/>
        </w:tabs>
        <w:numPr>
          <w:ilvl w:val="3"/>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for less than six months; plus</w:t>
      </w:r>
    </w:p>
    <w:p>
      <w:pPr>
        <w:spacing w:after="0" w:line="174" w:lineRule="exact"/>
        <w:rPr>
          <w:rFonts w:ascii="Courier New" w:cs="Courier New" w:eastAsia="Courier New" w:hAnsi="Courier New"/>
          <w:sz w:val="15"/>
          <w:szCs w:val="15"/>
          <w:color w:val="auto"/>
        </w:rPr>
      </w:pPr>
    </w:p>
    <w:p>
      <w:pPr>
        <w:ind w:left="1680" w:right="3119" w:firstLine="618"/>
        <w:spacing w:after="0"/>
        <w:tabs>
          <w:tab w:leader="none" w:pos="2656" w:val="left"/>
        </w:tabs>
        <w:numPr>
          <w:ilvl w:val="3"/>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174" w:lineRule="exact"/>
        <w:rPr>
          <w:rFonts w:ascii="Courier New" w:cs="Courier New" w:eastAsia="Courier New" w:hAnsi="Courier New"/>
          <w:sz w:val="15"/>
          <w:szCs w:val="15"/>
          <w:color w:val="auto"/>
        </w:rPr>
      </w:pPr>
    </w:p>
    <w:p>
      <w:pPr>
        <w:ind w:left="1680" w:right="3119" w:firstLine="618"/>
        <w:spacing w:after="0"/>
        <w:tabs>
          <w:tab w:leader="none" w:pos="2656" w:val="left"/>
        </w:tabs>
        <w:numPr>
          <w:ilvl w:val="3"/>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76" w:lineRule="exact"/>
        <w:rPr>
          <w:rFonts w:ascii="Courier New" w:cs="Courier New" w:eastAsia="Courier New" w:hAnsi="Courier New"/>
          <w:sz w:val="15"/>
          <w:szCs w:val="15"/>
          <w:color w:val="auto"/>
        </w:rPr>
      </w:pPr>
    </w:p>
    <w:p>
      <w:pPr>
        <w:ind w:left="1680" w:right="3119" w:firstLine="618"/>
        <w:spacing w:after="0"/>
        <w:tabs>
          <w:tab w:leader="none" w:pos="2656" w:val="left"/>
        </w:tabs>
        <w:numPr>
          <w:ilvl w:val="3"/>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7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For purposes of this Paragraph 2(r), a Share that is subject to a deferral election pursuant to Paragraph 8 or another Comcast Plan shall not be treated as owned by a Grantee until all conditions to the delivery of such Share have lapsed. The number of Other Available Shares shall be determined separately for Common Stock and for the Company's Class A Special Common Stock, par value $0.01. For purposes of determining the number of Other Available</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79" w:name="page280"/>
    <w:bookmarkEnd w:id="279"/>
    <w:p>
      <w:pPr>
        <w:ind w:right="3399"/>
        <w:spacing w:after="0" w:line="264" w:lineRule="auto"/>
        <w:rPr>
          <w:sz w:val="20"/>
          <w:szCs w:val="20"/>
          <w:color w:val="auto"/>
        </w:rPr>
      </w:pPr>
      <w:r>
        <w:rPr>
          <w:rFonts w:ascii="Courier New" w:cs="Courier New" w:eastAsia="Courier New" w:hAnsi="Courier New"/>
          <w:sz w:val="14"/>
          <w:szCs w:val="14"/>
          <w:color w:val="auto"/>
        </w:rPr>
        <w:t>Shares, the term "Shares" shall also include the securities held by a Participant immediately before the consummation of the AT&amp;T Broadband Transaction that became Shares as a result of the AT&amp;T Broadband Transaction.</w:t>
      </w:r>
    </w:p>
    <w:p>
      <w:pPr>
        <w:spacing w:after="0" w:line="159" w:lineRule="exact"/>
        <w:rPr>
          <w:sz w:val="20"/>
          <w:szCs w:val="20"/>
          <w:color w:val="auto"/>
        </w:rPr>
      </w:pPr>
    </w:p>
    <w:p>
      <w:pPr>
        <w:ind w:left="440" w:right="391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Company" means the Company and each of the Subsidiary Companies.</w:t>
      </w:r>
    </w:p>
    <w:p>
      <w:pPr>
        <w:spacing w:after="0" w:line="174" w:lineRule="exact"/>
        <w:rPr>
          <w:rFonts w:ascii="Courier New" w:cs="Courier New" w:eastAsia="Courier New" w:hAnsi="Courier New"/>
          <w:sz w:val="15"/>
          <w:szCs w:val="15"/>
          <w:color w:val="auto"/>
        </w:rPr>
      </w:pPr>
    </w:p>
    <w:p>
      <w:pPr>
        <w:ind w:left="440" w:right="347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2002 Restricted Stock Plan, as set forth herein, and as amended from time to time.</w:t>
      </w:r>
    </w:p>
    <w:p>
      <w:pPr>
        <w:spacing w:after="0" w:line="174" w:lineRule="exact"/>
        <w:rPr>
          <w:rFonts w:ascii="Courier New" w:cs="Courier New" w:eastAsia="Courier New" w:hAnsi="Courier New"/>
          <w:sz w:val="15"/>
          <w:szCs w:val="15"/>
          <w:color w:val="auto"/>
        </w:rPr>
      </w:pPr>
    </w:p>
    <w:p>
      <w:pPr>
        <w:ind w:left="440" w:right="365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365-day period (or the 366-day period) extending from January 3 to the next following January 2.</w:t>
      </w:r>
    </w:p>
    <w:p>
      <w:pPr>
        <w:spacing w:after="0" w:line="174" w:lineRule="exact"/>
        <w:rPr>
          <w:rFonts w:ascii="Courier New" w:cs="Courier New" w:eastAsia="Courier New" w:hAnsi="Courier New"/>
          <w:sz w:val="15"/>
          <w:szCs w:val="15"/>
          <w:color w:val="auto"/>
        </w:rPr>
      </w:pPr>
    </w:p>
    <w:p>
      <w:pPr>
        <w:ind w:left="440" w:right="347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subject to restrictions as set forth in an Award.</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Grantee" means a Grantee who has terminated employment pursuant to a Normal Retirement.</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1934 Act, as in effect from time to time.</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w:t>
      </w:r>
    </w:p>
    <w:p>
      <w:pPr>
        <w:spacing w:after="0" w:line="174" w:lineRule="exact"/>
        <w:rPr>
          <w:rFonts w:ascii="Courier New" w:cs="Courier New" w:eastAsia="Courier New" w:hAnsi="Courier New"/>
          <w:sz w:val="15"/>
          <w:szCs w:val="15"/>
          <w:color w:val="auto"/>
        </w:rPr>
      </w:pPr>
    </w:p>
    <w:p>
      <w:pPr>
        <w:ind w:left="1760" w:right="3219" w:hanging="438"/>
        <w:spacing w:after="0" w:line="271" w:lineRule="auto"/>
        <w:tabs>
          <w:tab w:leader="none" w:pos="1760"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2(z)(ii), a share or shares of Class A Common Stock, par value $0.01, of the Company.</w:t>
      </w:r>
    </w:p>
    <w:p>
      <w:pPr>
        <w:spacing w:after="0" w:line="153" w:lineRule="exact"/>
        <w:rPr>
          <w:rFonts w:ascii="Courier New" w:cs="Courier New" w:eastAsia="Courier New" w:hAnsi="Courier New"/>
          <w:sz w:val="14"/>
          <w:szCs w:val="14"/>
          <w:color w:val="auto"/>
        </w:rPr>
      </w:pPr>
    </w:p>
    <w:p>
      <w:pPr>
        <w:ind w:left="1760" w:right="3119" w:hanging="438"/>
        <w:spacing w:after="0"/>
        <w:tabs>
          <w:tab w:leader="none" w:pos="1760"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Awards granted before the consummation of the AT&amp;T Broadband Transaction as to which restrictions upon shares have not lapsed, and for purposes of Paragraphs 2(r) and 9(c), the term "Share" or "Shares" also means a share or shares of the Company's Class A Special Common Stock, par value, $0.01.</w:t>
      </w:r>
    </w:p>
    <w:p>
      <w:pPr>
        <w:spacing w:after="0" w:line="175" w:lineRule="exact"/>
        <w:rPr>
          <w:sz w:val="20"/>
          <w:szCs w:val="20"/>
          <w:color w:val="auto"/>
        </w:rPr>
      </w:pPr>
    </w:p>
    <w:p>
      <w:pPr>
        <w:ind w:left="440" w:right="3299" w:firstLine="438"/>
        <w:spacing w:after="0" w:line="239" w:lineRule="auto"/>
        <w:tabs>
          <w:tab w:leader="none" w:pos="132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 means all business entities that, at the time in question, are subsidiaries of the Company, within the meaning of section 424(f) of the Code.</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80" w:name="page281"/>
    <w:bookmarkEnd w:id="280"/>
    <w:p>
      <w:pPr>
        <w:ind w:left="440" w:right="3579" w:firstLine="438"/>
        <w:spacing w:after="0" w:line="239" w:lineRule="auto"/>
        <w:tabs>
          <w:tab w:leader="none" w:pos="1327" w:val="left"/>
        </w:tabs>
        <w:numPr>
          <w:ilvl w:val="1"/>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together with such Person's Affiliates, provided that the term "Third Party" shall not include the Company or an Affiliate of the Company.</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174"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 amended.</w:t>
      </w:r>
    </w:p>
    <w:p>
      <w:pPr>
        <w:spacing w:after="0" w:line="180"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174" w:lineRule="exact"/>
        <w:rPr>
          <w:sz w:val="20"/>
          <w:szCs w:val="20"/>
          <w:color w:val="auto"/>
        </w:rPr>
      </w:pPr>
    </w:p>
    <w:p>
      <w:pPr>
        <w:ind w:left="700" w:hanging="265"/>
        <w:spacing w:after="0"/>
        <w:tabs>
          <w:tab w:leader="none" w:pos="70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239" w:val="left"/>
        </w:tabs>
        <w:numPr>
          <w:ilvl w:val="1"/>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10,750,000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239" w:val="left"/>
        </w:tabs>
        <w:numPr>
          <w:ilvl w:val="1"/>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Restricted Stock is forfeited pursuant to the term of an Award, other Awards with respect to such Shares may be granted.</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1"/>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4" w:lineRule="exact"/>
        <w:rPr>
          <w:rFonts w:ascii="Courier New" w:cs="Courier New" w:eastAsia="Courier New" w:hAnsi="Courier New"/>
          <w:sz w:val="15"/>
          <w:szCs w:val="15"/>
          <w:color w:val="auto"/>
        </w:rPr>
      </w:pPr>
    </w:p>
    <w:p>
      <w:pPr>
        <w:ind w:left="1760" w:right="3119" w:hanging="438"/>
        <w:spacing w:after="0"/>
        <w:tabs>
          <w:tab w:leader="none" w:pos="1760" w:val="left"/>
        </w:tabs>
        <w:numPr>
          <w:ilvl w:val="2"/>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75" w:lineRule="exact"/>
        <w:rPr>
          <w:rFonts w:ascii="Courier New" w:cs="Courier New" w:eastAsia="Courier New" w:hAnsi="Courier New"/>
          <w:sz w:val="15"/>
          <w:szCs w:val="15"/>
          <w:color w:val="auto"/>
        </w:rPr>
      </w:pPr>
    </w:p>
    <w:p>
      <w:pPr>
        <w:ind w:left="1760" w:right="3479" w:hanging="438"/>
        <w:spacing w:after="0" w:line="239" w:lineRule="auto"/>
        <w:tabs>
          <w:tab w:leader="none" w:pos="1760" w:val="left"/>
        </w:tabs>
        <w:numPr>
          <w:ilvl w:val="2"/>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6"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5" w:lineRule="exact"/>
        <w:rPr>
          <w:sz w:val="20"/>
          <w:szCs w:val="20"/>
          <w:color w:val="auto"/>
        </w:rPr>
      </w:pPr>
    </w:p>
    <w:p>
      <w:pPr>
        <w:ind w:left="440" w:right="3119" w:firstLine="438"/>
        <w:spacing w:after="0"/>
        <w:tabs>
          <w:tab w:leader="none" w:pos="1239"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81" w:name="page282"/>
    <w:bookmarkEnd w:id="281"/>
    <w:p>
      <w:pPr>
        <w:ind w:left="440" w:right="3119" w:firstLine="438"/>
        <w:spacing w:after="0"/>
        <w:tabs>
          <w:tab w:leader="none" w:pos="1239"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77"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78" w:lineRule="exact"/>
        <w:rPr>
          <w:rFonts w:ascii="Courier New" w:cs="Courier New" w:eastAsia="Courier New" w:hAnsi="Courier New"/>
          <w:sz w:val="15"/>
          <w:szCs w:val="15"/>
          <w:color w:val="auto"/>
        </w:rPr>
      </w:pPr>
    </w:p>
    <w:p>
      <w:pPr>
        <w:ind w:left="440" w:right="3219" w:firstLine="438"/>
        <w:spacing w:after="0"/>
        <w:tabs>
          <w:tab w:leader="none" w:pos="1239"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 The Committee may delegate to an officer of the Company, or a committee of two or more officers of the Company, discretion under the Plan to grant Restricted Stock to any employee or officer of the Company or a Subsidiary Company who, at the time of the grant, has a base salary of less than $250,000. Such delegation of authority shall continue in effect until the earliest of:</w:t>
      </w:r>
    </w:p>
    <w:p>
      <w:pPr>
        <w:spacing w:after="0" w:line="175" w:lineRule="exact"/>
        <w:rPr>
          <w:rFonts w:ascii="Courier New" w:cs="Courier New" w:eastAsia="Courier New" w:hAnsi="Courier New"/>
          <w:sz w:val="15"/>
          <w:szCs w:val="15"/>
          <w:color w:val="auto"/>
        </w:rPr>
      </w:pPr>
    </w:p>
    <w:p>
      <w:pPr>
        <w:ind w:left="1760" w:right="3219" w:hanging="438"/>
        <w:spacing w:after="0" w:line="238" w:lineRule="auto"/>
        <w:tabs>
          <w:tab w:leader="none" w:pos="1760" w:val="left"/>
        </w:tabs>
        <w:numPr>
          <w:ilvl w:val="2"/>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time as the Committee shall, in its discretion, revoke such delegation of authority;</w:t>
      </w:r>
    </w:p>
    <w:p>
      <w:pPr>
        <w:spacing w:after="0" w:line="174" w:lineRule="exact"/>
        <w:rPr>
          <w:rFonts w:ascii="Courier New" w:cs="Courier New" w:eastAsia="Courier New" w:hAnsi="Courier New"/>
          <w:sz w:val="15"/>
          <w:szCs w:val="15"/>
          <w:color w:val="auto"/>
        </w:rPr>
      </w:pPr>
    </w:p>
    <w:p>
      <w:pPr>
        <w:ind w:left="1760" w:right="3399" w:hanging="438"/>
        <w:spacing w:after="0" w:line="238" w:lineRule="auto"/>
        <w:tabs>
          <w:tab w:leader="none" w:pos="1760" w:val="left"/>
        </w:tabs>
        <w:numPr>
          <w:ilvl w:val="2"/>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cease to be an employee of the Company for any reason; or</w:t>
      </w:r>
    </w:p>
    <w:p>
      <w:pPr>
        <w:spacing w:after="0" w:line="174" w:lineRule="exact"/>
        <w:rPr>
          <w:rFonts w:ascii="Courier New" w:cs="Courier New" w:eastAsia="Courier New" w:hAnsi="Courier New"/>
          <w:sz w:val="15"/>
          <w:szCs w:val="15"/>
          <w:color w:val="auto"/>
        </w:rPr>
      </w:pPr>
    </w:p>
    <w:p>
      <w:pPr>
        <w:ind w:left="1760" w:right="3119" w:hanging="438"/>
        <w:spacing w:after="0" w:line="238" w:lineRule="auto"/>
        <w:tabs>
          <w:tab w:leader="none" w:pos="1849" w:val="left"/>
        </w:tabs>
        <w:numPr>
          <w:ilvl w:val="2"/>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notify the Committee that he declines to continue exercise such authority.</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Awards may be granted only to Eligible Employees, as determined by the Committee. No Awards shall be granted to an individual who is not an employee of a Participating Company.</w:t>
      </w:r>
    </w:p>
    <w:p>
      <w:pPr>
        <w:spacing w:after="0" w:line="172" w:lineRule="exact"/>
        <w:rPr>
          <w:sz w:val="20"/>
          <w:szCs w:val="20"/>
          <w:color w:val="auto"/>
        </w:rPr>
      </w:pPr>
    </w:p>
    <w:p>
      <w:pPr>
        <w:ind w:left="700" w:hanging="265"/>
        <w:spacing w:after="0"/>
        <w:tabs>
          <w:tab w:leader="none" w:pos="70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5" w:lineRule="exact"/>
        <w:rPr>
          <w:sz w:val="20"/>
          <w:szCs w:val="20"/>
          <w:color w:val="auto"/>
        </w:rPr>
      </w:pPr>
    </w:p>
    <w:p>
      <w:pPr>
        <w:ind w:left="440" w:right="3299" w:firstLine="438"/>
        <w:spacing w:after="0" w:line="238" w:lineRule="auto"/>
        <w:tabs>
          <w:tab w:leader="none" w:pos="1239"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ten (10) years from the date of adoption of the Plan by the Board.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82" w:name="page283"/>
    <w:bookmarkEnd w:id="282"/>
    <w:p>
      <w:pPr>
        <w:ind w:left="-438" w:right="3119" w:firstLine="438"/>
        <w:spacing w:after="0" w:line="239" w:lineRule="auto"/>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Awarded. The provisions of Awards need not be the same with respect to each Grantee. No cash or other consideration shall be required to be paid by the Grantee in exchange for an Award.</w:t>
      </w:r>
    </w:p>
    <w:p>
      <w:pPr>
        <w:spacing w:after="0" w:line="175" w:lineRule="exact"/>
        <w:rPr>
          <w:rFonts w:ascii="Courier New" w:cs="Courier New" w:eastAsia="Courier New" w:hAnsi="Courier New"/>
          <w:sz w:val="15"/>
          <w:szCs w:val="15"/>
          <w:color w:val="auto"/>
        </w:rPr>
      </w:pPr>
    </w:p>
    <w:p>
      <w:pPr>
        <w:ind w:left="-438" w:right="3119" w:firstLine="438"/>
        <w:spacing w:after="0"/>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75" w:lineRule="exact"/>
        <w:rPr>
          <w:rFonts w:ascii="Courier New" w:cs="Courier New" w:eastAsia="Courier New" w:hAnsi="Courier New"/>
          <w:sz w:val="15"/>
          <w:szCs w:val="15"/>
          <w:color w:val="auto"/>
        </w:rPr>
      </w:pPr>
    </w:p>
    <w:p>
      <w:pPr>
        <w:ind w:left="-438" w:right="3119" w:firstLine="438"/>
        <w:spacing w:after="0" w:line="260" w:lineRule="auto"/>
        <w:tabs>
          <w:tab w:leader="none" w:pos="36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61" w:lineRule="exact"/>
        <w:rPr>
          <w:rFonts w:ascii="Courier New" w:cs="Courier New" w:eastAsia="Courier New" w:hAnsi="Courier New"/>
          <w:sz w:val="14"/>
          <w:szCs w:val="14"/>
          <w:color w:val="auto"/>
        </w:rPr>
      </w:pPr>
    </w:p>
    <w:p>
      <w:pPr>
        <w:ind w:left="-438" w:right="3119" w:firstLine="438"/>
        <w:spacing w:after="0"/>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 All references in Awards granted before the consummation of the AT&amp;T Broadband Transaction as to which restrictions upon shares have not lapsed shall be deemed to be references to Comcast Corporation Class A Special Common Stock, par value $0.01.</w:t>
      </w:r>
    </w:p>
    <w:p>
      <w:pPr>
        <w:spacing w:after="0" w:line="181" w:lineRule="exact"/>
        <w:rPr>
          <w:rFonts w:ascii="Courier New" w:cs="Courier New" w:eastAsia="Courier New" w:hAnsi="Courier New"/>
          <w:sz w:val="15"/>
          <w:szCs w:val="15"/>
          <w:color w:val="auto"/>
        </w:rPr>
      </w:pPr>
    </w:p>
    <w:p>
      <w:pPr>
        <w:ind w:left="-438" w:right="3119" w:firstLine="438"/>
        <w:spacing w:after="0" w:line="239" w:lineRule="auto"/>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76" w:lineRule="exact"/>
        <w:rPr>
          <w:rFonts w:ascii="Courier New" w:cs="Courier New" w:eastAsia="Courier New" w:hAnsi="Courier New"/>
          <w:sz w:val="15"/>
          <w:szCs w:val="15"/>
          <w:color w:val="auto"/>
        </w:rPr>
      </w:pPr>
    </w:p>
    <w:p>
      <w:pPr>
        <w:ind w:left="-438" w:right="3219" w:firstLine="438"/>
        <w:spacing w:after="0"/>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75" w:lineRule="exact"/>
        <w:rPr>
          <w:rFonts w:ascii="Courier New" w:cs="Courier New" w:eastAsia="Courier New" w:hAnsi="Courier New"/>
          <w:sz w:val="15"/>
          <w:szCs w:val="15"/>
          <w:color w:val="auto"/>
        </w:rPr>
      </w:pPr>
    </w:p>
    <w:p>
      <w:pPr>
        <w:ind w:left="-438" w:right="3119" w:firstLine="438"/>
        <w:spacing w:after="0"/>
        <w:tabs>
          <w:tab w:leader="none" w:pos="3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w:t>
      </w:r>
    </w:p>
    <w:p>
      <w:pPr>
        <w:spacing w:after="0" w:line="200" w:lineRule="exact"/>
        <w:rPr>
          <w:sz w:val="20"/>
          <w:szCs w:val="20"/>
          <w:color w:val="auto"/>
        </w:rPr>
      </w:pPr>
    </w:p>
    <w:p>
      <w:pPr>
        <w:spacing w:after="0" w:line="313"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41"/>
          </w:cols>
          <w:pgMar w:left="1118" w:top="631" w:right="1440" w:bottom="1440" w:gutter="0" w:footer="0" w:header="0"/>
        </w:sectPr>
      </w:pPr>
    </w:p>
    <w:bookmarkStart w:id="283" w:name="page284"/>
    <w:bookmarkEnd w:id="283"/>
    <w:p>
      <w:pPr>
        <w:ind w:left="440" w:right="3119"/>
        <w:spacing w:after="0"/>
        <w:rPr>
          <w:sz w:val="20"/>
          <w:szCs w:val="20"/>
          <w:color w:val="auto"/>
        </w:rPr>
      </w:pPr>
      <w:r>
        <w:rPr>
          <w:rFonts w:ascii="Courier New" w:cs="Courier New" w:eastAsia="Courier New" w:hAnsi="Courier New"/>
          <w:sz w:val="15"/>
          <w:szCs w:val="15"/>
          <w:color w:val="auto"/>
        </w:rPr>
        <w:t>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73" w:lineRule="exact"/>
        <w:rPr>
          <w:sz w:val="20"/>
          <w:szCs w:val="20"/>
          <w:color w:val="auto"/>
        </w:rPr>
      </w:pPr>
    </w:p>
    <w:p>
      <w:pPr>
        <w:ind w:left="700" w:hanging="265"/>
        <w:spacing w:after="0"/>
        <w:tabs>
          <w:tab w:leader="none" w:pos="700"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firstLine="799"/>
        <w:spacing w:after="0" w:line="239" w:lineRule="auto"/>
        <w:rPr>
          <w:sz w:val="20"/>
          <w:szCs w:val="20"/>
          <w:color w:val="auto"/>
        </w:rPr>
      </w:pPr>
      <w:r>
        <w:rPr>
          <w:rFonts w:ascii="Courier New" w:cs="Courier New" w:eastAsia="Courier New" w:hAnsi="Courier New"/>
          <w:sz w:val="15"/>
          <w:szCs w:val="15"/>
          <w:color w:val="auto"/>
        </w:rPr>
        <w:t>A Grantee may elect to defer the receipt of Restricted Stock as to which restrictions have lapsed as provided by the Committee in the Award, consistent, however, with the following:</w:t>
      </w:r>
    </w:p>
    <w:p>
      <w:pPr>
        <w:spacing w:after="0" w:line="172" w:lineRule="exact"/>
        <w:rPr>
          <w:sz w:val="20"/>
          <w:szCs w:val="20"/>
          <w:color w:val="auto"/>
        </w:rPr>
      </w:pPr>
    </w:p>
    <w:p>
      <w:pPr>
        <w:ind w:left="1320" w:hanging="442"/>
        <w:spacing w:after="0"/>
        <w:tabs>
          <w:tab w:leader="none" w:pos="1320"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w:t>
      </w:r>
    </w:p>
    <w:p>
      <w:pPr>
        <w:spacing w:after="0" w:line="174" w:lineRule="exact"/>
        <w:rPr>
          <w:rFonts w:ascii="Courier New" w:cs="Courier New" w:eastAsia="Courier New" w:hAnsi="Courier New"/>
          <w:sz w:val="15"/>
          <w:szCs w:val="15"/>
          <w:color w:val="auto"/>
        </w:rPr>
      </w:pPr>
    </w:p>
    <w:p>
      <w:pPr>
        <w:ind w:left="1760" w:right="3219" w:hanging="438"/>
        <w:spacing w:after="0"/>
        <w:tabs>
          <w:tab w:leader="none" w:pos="1760" w:val="left"/>
        </w:tabs>
        <w:numPr>
          <w:ilvl w:val="1"/>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75" w:lineRule="exact"/>
        <w:rPr>
          <w:rFonts w:ascii="Courier New" w:cs="Courier New" w:eastAsia="Courier New" w:hAnsi="Courier New"/>
          <w:sz w:val="15"/>
          <w:szCs w:val="15"/>
          <w:color w:val="auto"/>
        </w:rPr>
      </w:pPr>
    </w:p>
    <w:p>
      <w:pPr>
        <w:ind w:left="1760" w:right="3119" w:hanging="438"/>
        <w:spacing w:after="0" w:line="259" w:lineRule="auto"/>
        <w:tabs>
          <w:tab w:leader="none" w:pos="1760" w:val="left"/>
        </w:tabs>
        <w:numPr>
          <w:ilvl w:val="1"/>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163"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284" w:name="page285"/>
    <w:bookmarkEnd w:id="284"/>
    <w:p>
      <w:pPr>
        <w:ind w:right="3119"/>
        <w:spacing w:after="0"/>
        <w:rPr>
          <w:sz w:val="20"/>
          <w:szCs w:val="20"/>
          <w:color w:val="auto"/>
        </w:rPr>
      </w:pPr>
      <w:r>
        <w:rPr>
          <w:rFonts w:ascii="Courier New" w:cs="Courier New" w:eastAsia="Courier New" w:hAnsi="Courier New"/>
          <w:sz w:val="15"/>
          <w:szCs w:val="15"/>
          <w:color w:val="auto"/>
        </w:rPr>
        <w:t>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72" w:lineRule="exact"/>
        <w:rPr>
          <w:sz w:val="20"/>
          <w:szCs w:val="20"/>
          <w:color w:val="auto"/>
        </w:rPr>
      </w:pPr>
    </w:p>
    <w:p>
      <w:pPr>
        <w:ind w:left="800" w:hanging="362"/>
        <w:spacing w:after="0"/>
        <w:tabs>
          <w:tab w:leader="none" w:pos="800"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Deferral Election.</w:t>
      </w:r>
    </w:p>
    <w:p>
      <w:pPr>
        <w:spacing w:after="0" w:line="174" w:lineRule="exact"/>
        <w:rPr>
          <w:rFonts w:ascii="Courier New" w:cs="Courier New" w:eastAsia="Courier New" w:hAnsi="Courier New"/>
          <w:sz w:val="15"/>
          <w:szCs w:val="15"/>
          <w:color w:val="auto"/>
        </w:rPr>
      </w:pPr>
    </w:p>
    <w:p>
      <w:pPr>
        <w:ind w:left="1320" w:right="3119" w:hanging="438"/>
        <w:spacing w:after="0"/>
        <w:tabs>
          <w:tab w:leader="none" w:pos="1320" w:val="left"/>
        </w:tabs>
        <w:numPr>
          <w:ilvl w:val="1"/>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179" w:lineRule="exact"/>
        <w:rPr>
          <w:rFonts w:ascii="Courier New" w:cs="Courier New" w:eastAsia="Courier New" w:hAnsi="Courier New"/>
          <w:sz w:val="15"/>
          <w:szCs w:val="15"/>
          <w:color w:val="auto"/>
        </w:rPr>
      </w:pPr>
    </w:p>
    <w:p>
      <w:pPr>
        <w:ind w:left="1320" w:right="3119" w:hanging="438"/>
        <w:spacing w:after="0" w:line="258" w:lineRule="auto"/>
        <w:tabs>
          <w:tab w:leader="none" w:pos="132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w:t>
      </w:r>
    </w:p>
    <w:p>
      <w:pPr>
        <w:spacing w:after="0" w:line="2" w:lineRule="exact"/>
        <w:rPr>
          <w:rFonts w:ascii="Courier New" w:cs="Courier New" w:eastAsia="Courier New" w:hAnsi="Courier New"/>
          <w:sz w:val="14"/>
          <w:szCs w:val="14"/>
          <w:color w:val="auto"/>
        </w:rPr>
      </w:pPr>
    </w:p>
    <w:p>
      <w:pPr>
        <w:ind w:left="1320" w:right="3119" w:firstLine="6"/>
        <w:spacing w:after="0"/>
        <w:tabs>
          <w:tab w:leader="none" w:pos="1675" w:val="left"/>
        </w:tabs>
        <w:numPr>
          <w:ilvl w:val="2"/>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75" w:lineRule="exact"/>
        <w:rPr>
          <w:rFonts w:ascii="Courier New" w:cs="Courier New" w:eastAsia="Courier New" w:hAnsi="Courier New"/>
          <w:sz w:val="15"/>
          <w:szCs w:val="15"/>
          <w:color w:val="auto"/>
        </w:rPr>
      </w:pPr>
    </w:p>
    <w:p>
      <w:pPr>
        <w:ind w:left="1320" w:right="3119" w:hanging="438"/>
        <w:spacing w:after="0" w:line="259" w:lineRule="auto"/>
        <w:tabs>
          <w:tab w:leader="none" w:pos="1409"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w:t>
      </w:r>
    </w:p>
    <w:p>
      <w:pPr>
        <w:spacing w:after="0" w:line="200" w:lineRule="exact"/>
        <w:rPr>
          <w:sz w:val="20"/>
          <w:szCs w:val="20"/>
          <w:color w:val="auto"/>
        </w:rPr>
      </w:pPr>
    </w:p>
    <w:p>
      <w:pPr>
        <w:spacing w:after="0" w:line="30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31" w:right="1440" w:bottom="1440" w:gutter="0" w:footer="0" w:header="0"/>
        </w:sectPr>
      </w:pPr>
    </w:p>
    <w:bookmarkStart w:id="285" w:name="page286"/>
    <w:bookmarkEnd w:id="285"/>
    <w:p>
      <w:pPr>
        <w:ind w:left="1325" w:right="3219"/>
        <w:spacing w:after="0" w:line="260" w:lineRule="auto"/>
        <w:rPr>
          <w:sz w:val="20"/>
          <w:szCs w:val="20"/>
          <w:color w:val="auto"/>
        </w:rPr>
      </w:pPr>
      <w:r>
        <w:rPr>
          <w:rFonts w:ascii="Courier New" w:cs="Courier New" w:eastAsia="Courier New" w:hAnsi="Courier New"/>
          <w:sz w:val="14"/>
          <w:szCs w:val="14"/>
          <w:color w:val="auto"/>
        </w:rPr>
        <w:t>calendar year, (y) 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164" w:lineRule="exact"/>
        <w:rPr>
          <w:sz w:val="20"/>
          <w:szCs w:val="20"/>
          <w:color w:val="auto"/>
        </w:rPr>
      </w:pPr>
    </w:p>
    <w:p>
      <w:pPr>
        <w:ind w:left="1325" w:right="3119" w:hanging="438"/>
        <w:spacing w:after="0" w:line="258" w:lineRule="auto"/>
        <w:tabs>
          <w:tab w:leader="none" w:pos="1325" w:val="left"/>
        </w:tabs>
        <w:numPr>
          <w:ilvl w:val="2"/>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 business on the later of</w:t>
      </w:r>
    </w:p>
    <w:p>
      <w:pPr>
        <w:spacing w:after="0" w:line="1" w:lineRule="exact"/>
        <w:rPr>
          <w:rFonts w:ascii="Courier New" w:cs="Courier New" w:eastAsia="Courier New" w:hAnsi="Courier New"/>
          <w:sz w:val="14"/>
          <w:szCs w:val="14"/>
          <w:color w:val="auto"/>
        </w:rPr>
      </w:pPr>
    </w:p>
    <w:p>
      <w:pPr>
        <w:ind w:left="1325" w:right="3119" w:firstLine="6"/>
        <w:spacing w:after="0"/>
        <w:tabs>
          <w:tab w:leader="none" w:pos="1680" w:val="left"/>
        </w:tabs>
        <w:numPr>
          <w:ilvl w:val="3"/>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75" w:lineRule="exact"/>
        <w:rPr>
          <w:rFonts w:ascii="Courier New" w:cs="Courier New" w:eastAsia="Courier New" w:hAnsi="Courier New"/>
          <w:sz w:val="15"/>
          <w:szCs w:val="15"/>
          <w:color w:val="auto"/>
        </w:rPr>
      </w:pPr>
    </w:p>
    <w:p>
      <w:pPr>
        <w:ind w:left="5" w:right="3119" w:firstLine="438"/>
        <w:spacing w:after="0"/>
        <w:tabs>
          <w:tab w:leader="none" w:pos="804"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78" w:lineRule="exact"/>
        <w:rPr>
          <w:rFonts w:ascii="Courier New" w:cs="Courier New" w:eastAsia="Courier New" w:hAnsi="Courier New"/>
          <w:sz w:val="15"/>
          <w:szCs w:val="15"/>
          <w:color w:val="auto"/>
        </w:rPr>
      </w:pPr>
    </w:p>
    <w:p>
      <w:pPr>
        <w:jc w:val="both"/>
        <w:ind w:left="5" w:right="3219" w:firstLine="438"/>
        <w:spacing w:after="0"/>
        <w:tabs>
          <w:tab w:leader="none" w:pos="804"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71"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TAXES</w:t>
      </w: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5" w:right="3219" w:firstLine="438"/>
        <w:spacing w:after="0"/>
        <w:tabs>
          <w:tab w:leader="none" w:pos="804"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345"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4"/>
          </w:cols>
          <w:pgMar w:left="675" w:top="630" w:right="1440" w:bottom="1440" w:gutter="0" w:footer="0" w:header="0"/>
        </w:sectPr>
      </w:pPr>
    </w:p>
    <w:bookmarkStart w:id="286" w:name="page287"/>
    <w:bookmarkEnd w:id="286"/>
    <w:p>
      <w:pPr>
        <w:ind w:left="-438" w:right="3219" w:firstLine="438"/>
        <w:spacing w:after="0"/>
        <w:tabs>
          <w:tab w:leader="none" w:pos="36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75" w:lineRule="exact"/>
        <w:rPr>
          <w:rFonts w:ascii="Courier New" w:cs="Courier New" w:eastAsia="Courier New" w:hAnsi="Courier New"/>
          <w:sz w:val="15"/>
          <w:szCs w:val="15"/>
          <w:color w:val="auto"/>
        </w:rPr>
      </w:pPr>
    </w:p>
    <w:p>
      <w:pPr>
        <w:ind w:left="-438" w:right="3479" w:firstLine="438"/>
        <w:spacing w:after="0" w:line="238" w:lineRule="auto"/>
        <w:tabs>
          <w:tab w:leader="none" w:pos="36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 Liabilities; Election to Withhold Shares or Pay Cash to Satisfy Tax Liability.</w:t>
      </w:r>
    </w:p>
    <w:p>
      <w:pPr>
        <w:spacing w:after="0" w:line="174" w:lineRule="exact"/>
        <w:rPr>
          <w:rFonts w:ascii="Courier New" w:cs="Courier New" w:eastAsia="Courier New" w:hAnsi="Courier New"/>
          <w:sz w:val="15"/>
          <w:szCs w:val="15"/>
          <w:color w:val="auto"/>
        </w:rPr>
      </w:pPr>
    </w:p>
    <w:p>
      <w:pPr>
        <w:ind w:left="882" w:right="3119" w:hanging="438"/>
        <w:spacing w:after="0"/>
        <w:tabs>
          <w:tab w:leader="none" w:pos="882"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79" w:lineRule="exact"/>
        <w:rPr>
          <w:rFonts w:ascii="Courier New" w:cs="Courier New" w:eastAsia="Courier New" w:hAnsi="Courier New"/>
          <w:sz w:val="15"/>
          <w:szCs w:val="15"/>
          <w:color w:val="auto"/>
        </w:rPr>
      </w:pPr>
    </w:p>
    <w:p>
      <w:pPr>
        <w:ind w:left="882" w:right="3119" w:hanging="438"/>
        <w:spacing w:after="0" w:line="258" w:lineRule="auto"/>
        <w:tabs>
          <w:tab w:leader="none" w:pos="882" w:val="left"/>
        </w:tabs>
        <w:numPr>
          <w:ilvl w:val="1"/>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w:t>
      </w:r>
    </w:p>
    <w:p>
      <w:pPr>
        <w:spacing w:after="0" w:line="200" w:lineRule="exact"/>
        <w:rPr>
          <w:sz w:val="20"/>
          <w:szCs w:val="20"/>
          <w:color w:val="auto"/>
        </w:rPr>
      </w:pPr>
    </w:p>
    <w:p>
      <w:pPr>
        <w:spacing w:after="0" w:line="314"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341"/>
          </w:cols>
          <w:pgMar w:left="1118" w:top="631" w:right="1440" w:bottom="1440" w:gutter="0" w:footer="0" w:header="0"/>
        </w:sectPr>
      </w:pPr>
    </w:p>
    <w:bookmarkStart w:id="287" w:name="page288"/>
    <w:bookmarkEnd w:id="287"/>
    <w:p>
      <w:pPr>
        <w:ind w:left="1760" w:right="3119"/>
        <w:spacing w:after="0" w:line="259" w:lineRule="auto"/>
        <w:rPr>
          <w:sz w:val="20"/>
          <w:szCs w:val="20"/>
          <w:color w:val="auto"/>
        </w:rPr>
      </w:pPr>
      <w:r>
        <w:rPr>
          <w:rFonts w:ascii="Courier New" w:cs="Courier New" w:eastAsia="Courier New" w:hAnsi="Courier New"/>
          <w:sz w:val="14"/>
          <w:szCs w:val="14"/>
          <w:color w:val="auto"/>
        </w:rPr>
        <w:t>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63" w:lineRule="exact"/>
        <w:rPr>
          <w:sz w:val="20"/>
          <w:szCs w:val="20"/>
          <w:color w:val="auto"/>
        </w:rPr>
      </w:pPr>
    </w:p>
    <w:p>
      <w:pPr>
        <w:ind w:left="780" w:hanging="345"/>
        <w:spacing w:after="0"/>
        <w:tabs>
          <w:tab w:leader="none" w:pos="780"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78" w:lineRule="exact"/>
        <w:rPr>
          <w:sz w:val="20"/>
          <w:szCs w:val="20"/>
          <w:color w:val="auto"/>
        </w:rPr>
      </w:pPr>
    </w:p>
    <w:p>
      <w:pPr>
        <w:ind w:left="780" w:hanging="345"/>
        <w:spacing w:after="0"/>
        <w:tabs>
          <w:tab w:leader="none" w:pos="780"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176" w:lineRule="exact"/>
        <w:rPr>
          <w:sz w:val="20"/>
          <w:szCs w:val="20"/>
          <w:color w:val="auto"/>
        </w:rPr>
      </w:pPr>
    </w:p>
    <w:p>
      <w:pPr>
        <w:ind w:left="780" w:hanging="345"/>
        <w:spacing w:after="0"/>
        <w:tabs>
          <w:tab w:leader="none" w:pos="780"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line="264"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57" w:lineRule="exact"/>
        <w:rPr>
          <w:sz w:val="20"/>
          <w:szCs w:val="20"/>
          <w:color w:val="auto"/>
        </w:rPr>
      </w:pPr>
    </w:p>
    <w:p>
      <w:pPr>
        <w:ind w:left="780" w:hanging="345"/>
        <w:spacing w:after="0"/>
        <w:tabs>
          <w:tab w:leader="none" w:pos="78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effective date of this amendment and restatement of the Plan is February 26, 2003. The adoption of this amendment and restatement of the Plan and the grant of Awards pursuant to this amendment and restatement of the Plan is subject to the approval of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288" w:name="page289"/>
    <w:bookmarkEnd w:id="288"/>
    <w:p>
      <w:pPr>
        <w:ind w:right="3119"/>
        <w:spacing w:after="0"/>
        <w:rPr>
          <w:sz w:val="20"/>
          <w:szCs w:val="20"/>
          <w:color w:val="auto"/>
        </w:rPr>
      </w:pPr>
      <w:r>
        <w:rPr>
          <w:rFonts w:ascii="Courier New" w:cs="Courier New" w:eastAsia="Courier New" w:hAnsi="Courier New"/>
          <w:sz w:val="15"/>
          <w:szCs w:val="15"/>
          <w:color w:val="auto"/>
        </w:rPr>
        <w:t>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of the Company for their approval at the first annual meeting of shareholders held after the adoption of the amended and restated Plan by the Board.</w:t>
      </w:r>
    </w:p>
    <w:p>
      <w:pPr>
        <w:spacing w:after="0" w:line="175" w:lineRule="exact"/>
        <w:rPr>
          <w:sz w:val="20"/>
          <w:szCs w:val="20"/>
          <w:color w:val="auto"/>
        </w:rPr>
      </w:pPr>
    </w:p>
    <w:p>
      <w:pPr>
        <w:ind w:left="780" w:hanging="345"/>
        <w:spacing w:after="0"/>
        <w:tabs>
          <w:tab w:leader="none" w:pos="78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Executed as of the 26th day of February, 2003.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ATTEST:_________________________</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89" w:name="page290"/>
    <w:bookmarkEnd w:id="289"/>
    <w:p>
      <w:pPr>
        <w:spacing w:after="0" w:line="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10.8</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2002 CASH BONUS PLAN</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BACKGROUND AND PURPOSE</w:t>
      </w:r>
    </w:p>
    <w:p>
      <w:pPr>
        <w:spacing w:after="0" w:line="174"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Comcast Corporation, a Pennsylvania corporation, hereby amends and restates the Comcast Corporation 1996 Cash Bonus Plan and renames it as the Comcast Corporation 2002 Cash Bonus Plan (the "Plan"), effective November 18, 2002 upon the consummation of the combination of Comcast Corporation and AT&amp;T Broadband Corp. (the "AT&amp;T Broadband Transaction"). The purpose of the Plan is to promote the ability of Comcast Corporation (the "Company"), as the successor to Comcast Holdings Corporation, and the Company's Affiliates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63" w:lineRule="exact"/>
        <w:rPr>
          <w:sz w:val="20"/>
          <w:szCs w:val="20"/>
          <w:color w:val="auto"/>
        </w:rPr>
      </w:pPr>
    </w:p>
    <w:p>
      <w:pPr>
        <w:ind w:left="700" w:hanging="265"/>
        <w:spacing w:after="0"/>
        <w:tabs>
          <w:tab w:leader="none" w:pos="700"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right="3219" w:firstLine="878"/>
        <w:spacing w:after="0"/>
        <w:tabs>
          <w:tab w:leader="none" w:pos="1242" w:val="left"/>
        </w:tabs>
        <w:numPr>
          <w:ilvl w:val="1"/>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6" w:lineRule="exact"/>
        <w:rPr>
          <w:rFonts w:ascii="Courier New" w:cs="Courier New" w:eastAsia="Courier New" w:hAnsi="Courier New"/>
          <w:sz w:val="15"/>
          <w:szCs w:val="15"/>
          <w:color w:val="auto"/>
        </w:rPr>
      </w:pPr>
    </w:p>
    <w:p>
      <w:pPr>
        <w:ind w:right="3299" w:firstLine="878"/>
        <w:spacing w:after="0"/>
        <w:tabs>
          <w:tab w:leader="none" w:pos="1242" w:val="left"/>
        </w:tabs>
        <w:numPr>
          <w:ilvl w:val="1"/>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or "Cash Bonus Award" means a cash bonus award granted under the Plan. Each Award under the Plan outstanding upon the consummation of the AT&amp;T Broadband Transaction shall continue in effect on the same terms and conditions as in effect immediately preceding such consummation, except as otherwise provided pursuant to the terms of the Award.</w:t>
      </w:r>
    </w:p>
    <w:p>
      <w:pPr>
        <w:spacing w:after="0" w:line="174" w:lineRule="exact"/>
        <w:rPr>
          <w:rFonts w:ascii="Courier New" w:cs="Courier New" w:eastAsia="Courier New" w:hAnsi="Courier New"/>
          <w:sz w:val="15"/>
          <w:szCs w:val="15"/>
          <w:color w:val="auto"/>
        </w:rPr>
      </w:pPr>
    </w:p>
    <w:p>
      <w:pPr>
        <w:jc w:val="both"/>
        <w:ind w:right="3399" w:firstLine="878"/>
        <w:spacing w:after="0" w:line="262" w:lineRule="auto"/>
        <w:tabs>
          <w:tab w:leader="none" w:pos="1242" w:val="left"/>
        </w:tabs>
        <w:numPr>
          <w:ilvl w:val="1"/>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Period" means the period extending from January 1 of the first Plan Year for to which an Award applies through December 31 of the last Plan Year to which such Award applies. The Award Period beginning January 1, 2002 shall not be treated as terminated by the AT&amp;T Broadband Transaction.</w:t>
      </w:r>
    </w:p>
    <w:p>
      <w:pPr>
        <w:spacing w:after="0" w:line="158"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right="3299" w:firstLine="878"/>
        <w:spacing w:after="0" w:line="260" w:lineRule="auto"/>
        <w:tabs>
          <w:tab w:leader="none" w:pos="1242" w:val="left"/>
        </w:tabs>
        <w:numPr>
          <w:ilvl w:val="1"/>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completion of one or more proposed transactions. The Board's determination shall be final and binding.</w:t>
      </w:r>
    </w:p>
    <w:p>
      <w:pPr>
        <w:spacing w:after="0" w:line="175" w:lineRule="exact"/>
        <w:rPr>
          <w:sz w:val="20"/>
          <w:szCs w:val="20"/>
          <w:color w:val="auto"/>
        </w:rPr>
      </w:pPr>
    </w:p>
    <w:p>
      <w:pPr>
        <w:ind w:right="3219" w:firstLine="878"/>
        <w:spacing w:after="0" w:line="271" w:lineRule="auto"/>
        <w:tabs>
          <w:tab w:leader="none" w:pos="1242"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or such other committee of the Board assigned by the Board to administer the Plan.</w:t>
      </w:r>
    </w:p>
    <w:p>
      <w:pPr>
        <w:spacing w:after="0" w:line="153" w:lineRule="exact"/>
        <w:rPr>
          <w:rFonts w:ascii="Courier New" w:cs="Courier New" w:eastAsia="Courier New" w:hAnsi="Courier New"/>
          <w:sz w:val="14"/>
          <w:szCs w:val="14"/>
          <w:color w:val="auto"/>
        </w:rPr>
      </w:pPr>
    </w:p>
    <w:p>
      <w:pPr>
        <w:ind w:right="3219" w:firstLine="878"/>
        <w:spacing w:after="0"/>
        <w:tabs>
          <w:tab w:leader="none" w:pos="124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(formerly known as AT&amp;T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4" w:lineRule="exact"/>
        <w:rPr>
          <w:rFonts w:ascii="Courier New" w:cs="Courier New" w:eastAsia="Courier New" w:hAnsi="Courier New"/>
          <w:sz w:val="15"/>
          <w:szCs w:val="15"/>
          <w:color w:val="auto"/>
        </w:rPr>
      </w:pPr>
    </w:p>
    <w:p>
      <w:pPr>
        <w:ind w:right="3839" w:firstLine="878"/>
        <w:spacing w:after="0" w:line="238" w:lineRule="auto"/>
        <w:tabs>
          <w:tab w:leader="none" w:pos="124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Company or an Affiliate, as determined by the Committee.</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4" w:lineRule="exact"/>
        <w:rPr>
          <w:rFonts w:ascii="Courier New" w:cs="Courier New" w:eastAsia="Courier New" w:hAnsi="Courier New"/>
          <w:sz w:val="15"/>
          <w:szCs w:val="15"/>
          <w:color w:val="auto"/>
        </w:rPr>
      </w:pPr>
    </w:p>
    <w:p>
      <w:pPr>
        <w:ind w:right="3479" w:firstLine="878"/>
        <w:spacing w:after="0" w:line="238" w:lineRule="auto"/>
        <w:tabs>
          <w:tab w:leader="none" w:pos="124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right="3219" w:firstLine="878"/>
        <w:spacing w:after="0" w:line="238" w:lineRule="auto"/>
        <w:tabs>
          <w:tab w:leader="none" w:pos="124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2002 Cash Bonus Plan, as set forth herein, and as amended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 "Plan Year" means the calendar year.</w:t>
      </w:r>
    </w:p>
    <w:p>
      <w:pPr>
        <w:spacing w:after="0" w:line="174" w:lineRule="exact"/>
        <w:rPr>
          <w:sz w:val="20"/>
          <w:szCs w:val="20"/>
          <w:color w:val="auto"/>
        </w:rPr>
      </w:pPr>
    </w:p>
    <w:p>
      <w:pPr>
        <w:ind w:right="3119" w:firstLine="878"/>
        <w:spacing w:after="0" w:line="238" w:lineRule="auto"/>
        <w:tabs>
          <w:tab w:leader="none" w:pos="124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means, for any Plan Year or Award Period, the performance objective or objectives established by the Committee.</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4" w:lineRule="exact"/>
        <w:rPr>
          <w:rFonts w:ascii="Courier New" w:cs="Courier New" w:eastAsia="Courier New" w:hAnsi="Courier New"/>
          <w:sz w:val="15"/>
          <w:szCs w:val="15"/>
          <w:color w:val="auto"/>
        </w:rPr>
      </w:pPr>
    </w:p>
    <w:p>
      <w:pPr>
        <w:ind w:right="3299" w:firstLine="878"/>
        <w:spacing w:after="0" w:line="271" w:lineRule="auto"/>
        <w:tabs>
          <w:tab w:leader="none" w:pos="1242"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w:t>
      </w:r>
    </w:p>
    <w:p>
      <w:pPr>
        <w:sectPr>
          <w:pgSz w:w="11900" w:h="16891" w:orient="portrait"/>
          <w:cols w:equalWidth="0" w:num="1">
            <w:col w:w="10219"/>
          </w:cols>
          <w:pgMar w:left="240" w:top="139" w:right="1440" w:bottom="0" w:gutter="0" w:footer="0" w:header="0"/>
        </w:sectPr>
      </w:pPr>
    </w:p>
    <w:bookmarkStart w:id="290" w:name="page291"/>
    <w:bookmarkEnd w:id="290"/>
    <w:p>
      <w:pPr>
        <w:spacing w:after="0"/>
        <w:rPr>
          <w:sz w:val="20"/>
          <w:szCs w:val="20"/>
          <w:color w:val="auto"/>
        </w:rPr>
      </w:pPr>
      <w:r>
        <w:rPr>
          <w:rFonts w:ascii="Courier New" w:cs="Courier New" w:eastAsia="Courier New" w:hAnsi="Courier New"/>
          <w:sz w:val="15"/>
          <w:szCs w:val="15"/>
          <w:color w:val="auto"/>
        </w:rPr>
        <w:t>or an Affiliate of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RIGHTS TO BE GRANTED</w:t>
      </w:r>
    </w:p>
    <w:p>
      <w:pPr>
        <w:spacing w:after="0" w:line="174"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Rights that may be granted under the Plan are rights to cash payments, payable in accordance with the terms of the Plan and the Award document.</w:t>
      </w:r>
    </w:p>
    <w:p>
      <w:pPr>
        <w:spacing w:after="0" w:line="151" w:lineRule="exact"/>
        <w:rPr>
          <w:sz w:val="20"/>
          <w:szCs w:val="20"/>
          <w:color w:val="auto"/>
        </w:rPr>
      </w:pPr>
    </w:p>
    <w:p>
      <w:pPr>
        <w:ind w:left="700" w:hanging="265"/>
        <w:spacing w:after="0"/>
        <w:tabs>
          <w:tab w:leader="none" w:pos="70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rFonts w:ascii="Courier New" w:cs="Courier New" w:eastAsia="Courier New" w:hAnsi="Courier New"/>
          <w:sz w:val="15"/>
          <w:szCs w:val="15"/>
          <w:color w:val="auto"/>
        </w:rPr>
      </w:pPr>
    </w:p>
    <w:p>
      <w:pPr>
        <w:ind w:left="3360" w:right="3299" w:hanging="2482"/>
        <w:spacing w:after="0" w:line="478" w:lineRule="auto"/>
        <w:tabs>
          <w:tab w:leader="none" w:pos="1230" w:val="left"/>
        </w:tabs>
        <w:numPr>
          <w:ilvl w:val="1"/>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 -2-</w:t>
      </w:r>
    </w:p>
    <w:p>
      <w:pPr>
        <w:sectPr>
          <w:pgSz w:w="11900" w:h="16838" w:orient="portrait"/>
          <w:cols w:equalWidth="0" w:num="1">
            <w:col w:w="10219"/>
          </w:cols>
          <w:pgMar w:left="240" w:top="139" w:right="1440" w:bottom="1440" w:gutter="0" w:footer="0" w:header="0"/>
        </w:sectPr>
      </w:pPr>
    </w:p>
    <w:bookmarkStart w:id="291" w:name="page292"/>
    <w:bookmarkEnd w:id="291"/>
    <w:p>
      <w:pPr>
        <w:ind w:right="3299" w:firstLine="878"/>
        <w:spacing w:after="0" w:line="238" w:lineRule="auto"/>
        <w:tabs>
          <w:tab w:leader="none" w:pos="1242"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4" w:lineRule="exact"/>
        <w:rPr>
          <w:rFonts w:ascii="Courier New" w:cs="Courier New" w:eastAsia="Courier New" w:hAnsi="Courier New"/>
          <w:sz w:val="15"/>
          <w:szCs w:val="15"/>
          <w:color w:val="auto"/>
        </w:rPr>
      </w:pPr>
    </w:p>
    <w:p>
      <w:pPr>
        <w:ind w:right="3219" w:firstLine="1322"/>
        <w:spacing w:after="0" w:line="239" w:lineRule="auto"/>
        <w:tabs>
          <w:tab w:leader="none" w:pos="1686"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176" w:lineRule="exact"/>
        <w:rPr>
          <w:rFonts w:ascii="Courier New" w:cs="Courier New" w:eastAsia="Courier New" w:hAnsi="Courier New"/>
          <w:sz w:val="15"/>
          <w:szCs w:val="15"/>
          <w:color w:val="auto"/>
        </w:rPr>
      </w:pPr>
    </w:p>
    <w:p>
      <w:pPr>
        <w:ind w:right="3399" w:firstLine="1322"/>
        <w:spacing w:after="0" w:line="239" w:lineRule="auto"/>
        <w:tabs>
          <w:tab w:leader="none" w:pos="1775"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5" w:lineRule="exact"/>
        <w:rPr>
          <w:sz w:val="20"/>
          <w:szCs w:val="20"/>
          <w:color w:val="auto"/>
        </w:rPr>
      </w:pPr>
    </w:p>
    <w:p>
      <w:pPr>
        <w:jc w:val="both"/>
        <w:ind w:right="3119" w:firstLine="878"/>
        <w:spacing w:after="0" w:line="239" w:lineRule="auto"/>
        <w:tabs>
          <w:tab w:leader="none" w:pos="1242"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6" w:lineRule="exact"/>
        <w:rPr>
          <w:rFonts w:ascii="Courier New" w:cs="Courier New" w:eastAsia="Courier New" w:hAnsi="Courier New"/>
          <w:sz w:val="15"/>
          <w:szCs w:val="15"/>
          <w:color w:val="auto"/>
        </w:rPr>
      </w:pPr>
    </w:p>
    <w:p>
      <w:pPr>
        <w:ind w:right="3119" w:firstLine="878"/>
        <w:spacing w:after="0" w:line="260" w:lineRule="auto"/>
        <w:tabs>
          <w:tab w:leader="none" w:pos="1242"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4(d) shall not apply to the responsibility or liability of a member of the Committee pursuant to any criminal statute.</w:t>
      </w:r>
    </w:p>
    <w:p>
      <w:pPr>
        <w:spacing w:after="0" w:line="161" w:lineRule="exact"/>
        <w:rPr>
          <w:rFonts w:ascii="Courier New" w:cs="Courier New" w:eastAsia="Courier New" w:hAnsi="Courier New"/>
          <w:sz w:val="14"/>
          <w:szCs w:val="14"/>
          <w:color w:val="auto"/>
        </w:rPr>
      </w:pPr>
    </w:p>
    <w:p>
      <w:pPr>
        <w:ind w:right="3119" w:firstLine="878"/>
        <w:spacing w:after="0"/>
        <w:tabs>
          <w:tab w:leader="none" w:pos="1242"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74"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CASH BONUS AWARDS</w:t>
      </w:r>
    </w:p>
    <w:p>
      <w:pPr>
        <w:spacing w:after="0" w:line="174"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92" w:name="page293"/>
    <w:bookmarkEnd w:id="292"/>
    <w:p>
      <w:pPr>
        <w:ind w:left="-878" w:right="3219" w:firstLine="878"/>
        <w:spacing w:after="0" w:line="239" w:lineRule="auto"/>
        <w:tabs>
          <w:tab w:leader="none" w:pos="364"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Awards may be granted at any time from the date of adoption of the Plan by the Board until the Plan is terminated by the Board or the Committee.</w:t>
      </w:r>
    </w:p>
    <w:p>
      <w:pPr>
        <w:spacing w:after="0" w:line="175" w:lineRule="exact"/>
        <w:rPr>
          <w:rFonts w:ascii="Courier New" w:cs="Courier New" w:eastAsia="Courier New" w:hAnsi="Courier New"/>
          <w:sz w:val="15"/>
          <w:szCs w:val="15"/>
          <w:color w:val="auto"/>
        </w:rPr>
      </w:pPr>
    </w:p>
    <w:p>
      <w:pPr>
        <w:ind w:left="-878" w:right="3119" w:firstLine="878"/>
        <w:spacing w:after="0" w:line="238" w:lineRule="auto"/>
        <w:tabs>
          <w:tab w:leader="none" w:pos="364"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Non-uniformity of Awards. The provisions of Awards need not be the same with respect to each Grantee.</w:t>
      </w:r>
    </w:p>
    <w:p>
      <w:pPr>
        <w:spacing w:after="0" w:line="174" w:lineRule="exact"/>
        <w:rPr>
          <w:rFonts w:ascii="Courier New" w:cs="Courier New" w:eastAsia="Courier New" w:hAnsi="Courier New"/>
          <w:sz w:val="15"/>
          <w:szCs w:val="15"/>
          <w:color w:val="auto"/>
        </w:rPr>
      </w:pPr>
    </w:p>
    <w:p>
      <w:pPr>
        <w:ind w:left="-878" w:right="3219" w:firstLine="878"/>
        <w:spacing w:after="0" w:line="271" w:lineRule="auto"/>
        <w:tabs>
          <w:tab w:leader="none" w:pos="36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The terms of each Award shall be reflected in an Award document in form and substance satisfactory to the Committee.</w:t>
      </w:r>
    </w:p>
    <w:p>
      <w:pPr>
        <w:spacing w:after="0" w:line="153" w:lineRule="exact"/>
        <w:rPr>
          <w:rFonts w:ascii="Courier New" w:cs="Courier New" w:eastAsia="Courier New" w:hAnsi="Courier New"/>
          <w:sz w:val="14"/>
          <w:szCs w:val="14"/>
          <w:color w:val="auto"/>
        </w:rPr>
      </w:pPr>
    </w:p>
    <w:p>
      <w:pPr>
        <w:ind w:left="-878" w:right="3119" w:firstLine="878"/>
        <w:spacing w:after="0" w:line="259" w:lineRule="auto"/>
        <w:tabs>
          <w:tab w:leader="none" w:pos="36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63" w:lineRule="exact"/>
        <w:rPr>
          <w:rFonts w:ascii="Courier New" w:cs="Courier New" w:eastAsia="Courier New" w:hAnsi="Courier New"/>
          <w:sz w:val="14"/>
          <w:szCs w:val="14"/>
          <w:color w:val="auto"/>
        </w:rPr>
      </w:pPr>
    </w:p>
    <w:p>
      <w:pPr>
        <w:ind w:left="362" w:hanging="362"/>
        <w:spacing w:after="0"/>
        <w:tabs>
          <w:tab w:leader="none" w:pos="362"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w:t>
      </w:r>
    </w:p>
    <w:p>
      <w:pPr>
        <w:spacing w:after="0" w:line="174" w:lineRule="exact"/>
        <w:rPr>
          <w:rFonts w:ascii="Courier New" w:cs="Courier New" w:eastAsia="Courier New" w:hAnsi="Courier New"/>
          <w:sz w:val="15"/>
          <w:szCs w:val="15"/>
          <w:color w:val="auto"/>
        </w:rPr>
      </w:pPr>
    </w:p>
    <w:p>
      <w:pPr>
        <w:ind w:left="-878" w:right="3119" w:firstLine="1411"/>
        <w:spacing w:after="0"/>
        <w:tabs>
          <w:tab w:leader="none" w:pos="897"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81" w:lineRule="exact"/>
        <w:rPr>
          <w:rFonts w:ascii="Courier New" w:cs="Courier New" w:eastAsia="Courier New" w:hAnsi="Courier New"/>
          <w:sz w:val="15"/>
          <w:szCs w:val="15"/>
          <w:color w:val="auto"/>
        </w:rPr>
      </w:pPr>
    </w:p>
    <w:p>
      <w:pPr>
        <w:ind w:left="-878" w:right="3299" w:firstLine="1411"/>
        <w:spacing w:after="0" w:line="264" w:lineRule="auto"/>
        <w:tabs>
          <w:tab w:leader="none" w:pos="897"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Grantee terminates employment with the Company and its Affiliates, all Awards remaining subject to conditions to payment shall be forfeited by the Grantee and deemed canceled by the Company.</w:t>
      </w:r>
    </w:p>
    <w:p>
      <w:pPr>
        <w:spacing w:after="0" w:line="159" w:lineRule="exact"/>
        <w:rPr>
          <w:rFonts w:ascii="Courier New" w:cs="Courier New" w:eastAsia="Courier New" w:hAnsi="Courier New"/>
          <w:sz w:val="14"/>
          <w:szCs w:val="14"/>
          <w:color w:val="auto"/>
        </w:rPr>
      </w:pPr>
    </w:p>
    <w:p>
      <w:pPr>
        <w:ind w:left="-878" w:right="3219" w:firstLine="878"/>
        <w:spacing w:after="0"/>
        <w:tabs>
          <w:tab w:leader="none" w:pos="364"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71" w:lineRule="exact"/>
        <w:rPr>
          <w:rFonts w:ascii="Courier New" w:cs="Courier New" w:eastAsia="Courier New" w:hAnsi="Courier New"/>
          <w:sz w:val="15"/>
          <w:szCs w:val="15"/>
          <w:color w:val="auto"/>
        </w:rPr>
      </w:pPr>
    </w:p>
    <w:p>
      <w:pPr>
        <w:ind w:left="1502" w:hanging="792"/>
        <w:spacing w:after="0"/>
        <w:tabs>
          <w:tab w:leader="none" w:pos="1502" w:val="left"/>
        </w:tabs>
        <w:numPr>
          <w:ilvl w:val="2"/>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342"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41"/>
          </w:cols>
          <w:pgMar w:left="1118" w:top="631" w:right="1440" w:bottom="1440" w:gutter="0" w:footer="0" w:header="0"/>
        </w:sectPr>
      </w:pPr>
    </w:p>
    <w:bookmarkStart w:id="293" w:name="page294"/>
    <w:bookmarkEnd w:id="293"/>
    <w:p>
      <w:pPr>
        <w:jc w:val="both"/>
        <w:ind w:right="3219" w:firstLine="887"/>
        <w:spacing w:after="0" w:line="239" w:lineRule="auto"/>
        <w:rPr>
          <w:sz w:val="20"/>
          <w:szCs w:val="20"/>
          <w:color w:val="auto"/>
        </w:rPr>
      </w:pPr>
      <w:r>
        <w:rPr>
          <w:rFonts w:ascii="Courier New" w:cs="Courier New" w:eastAsia="Courier New" w:hAnsi="Courier New"/>
          <w:sz w:val="15"/>
          <w:szCs w:val="15"/>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TERMINATING EVENTS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AMENDMENT AND TERMINATION</w:t>
      </w:r>
    </w:p>
    <w:p>
      <w:pPr>
        <w:spacing w:after="0" w:line="174"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 EFFECTIVE DATE</w:t>
      </w:r>
    </w:p>
    <w:p>
      <w:pPr>
        <w:spacing w:after="0" w:line="174"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The effective date of this amendment and restatement of the Plan is November 18, 2002 or such other date on which the AT&amp;T Broadband Transaction may be consummated, and the amendment and restatement of the Plan is conditioned on the consummation of the AT&amp;T Broadband Transaction. To the extent provided by the Committee, the rules of the Plan, as amended and restated, shall apply to the determination of payments to be made pursuant to the Plan on and after the effective date of this amendment and restatement of the Plan.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GOVERNING LAW</w:t>
      </w:r>
    </w:p>
    <w:p>
      <w:pPr>
        <w:spacing w:after="0" w:line="17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34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Executed as of the 29th day of October, 2002.</w:t>
      </w:r>
    </w:p>
    <w:p>
      <w:pPr>
        <w:spacing w:after="0" w:line="35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5"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BY:_____________________________</w:t>
      </w:r>
    </w:p>
    <w:p>
      <w:pPr>
        <w:spacing w:after="0" w:line="200" w:lineRule="exact"/>
        <w:rPr>
          <w:sz w:val="20"/>
          <w:szCs w:val="20"/>
          <w:color w:val="auto"/>
        </w:rPr>
      </w:pPr>
    </w:p>
    <w:p>
      <w:pPr>
        <w:spacing w:after="0" w:line="324"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ATTEST:_________________________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94" w:name="page295"/>
    <w:bookmarkEnd w:id="294"/>
    <w:p>
      <w:pPr>
        <w:spacing w:after="0" w:line="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10.9</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2002 EXECUTIVE CASH BONUS PLAN</w:t>
      </w:r>
    </w:p>
    <w:p>
      <w:pPr>
        <w:spacing w:after="0" w:line="200" w:lineRule="exact"/>
        <w:rPr>
          <w:sz w:val="20"/>
          <w:szCs w:val="20"/>
          <w:color w:val="auto"/>
        </w:rPr>
      </w:pPr>
    </w:p>
    <w:p>
      <w:pPr>
        <w:spacing w:after="0" w:line="313" w:lineRule="exact"/>
        <w:rPr>
          <w:sz w:val="20"/>
          <w:szCs w:val="20"/>
          <w:color w:val="auto"/>
        </w:rPr>
      </w:pPr>
    </w:p>
    <w:p>
      <w:pPr>
        <w:ind w:left="700" w:hanging="265"/>
        <w:spacing w:after="0"/>
        <w:tabs>
          <w:tab w:leader="none" w:pos="70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PURPOSE</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Comcast Corporation, a Pennsylvania corporation (the "Company"), hereby amends and restates the Comcast Corporation 2002 Executive Cash Bonus Plan (the "Plan"), effective February 26, 2003. The purpose of the Plan is to provide a performance-based cash bonus compensation for certain employees of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74" w:lineRule="exact"/>
        <w:rPr>
          <w:sz w:val="20"/>
          <w:szCs w:val="20"/>
          <w:color w:val="auto"/>
        </w:rPr>
      </w:pPr>
    </w:p>
    <w:p>
      <w:pPr>
        <w:ind w:left="700" w:hanging="265"/>
        <w:spacing w:after="0"/>
        <w:tabs>
          <w:tab w:leader="none" w:pos="70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The following words and phrases as used herein shall have the following meanings, unless a different meaning is plainly required by the context:</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of Directors" shall mean the Board of Directors of the Company.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"Cash Flow." For calendar years beginning after 2002, "Cash Flow" shall mean the operating income before depreciation and amortization for the Company and those of its affiliates which are included with the Company in its consolidated financial statements, as determined by the Committee.</w:t>
      </w:r>
    </w:p>
    <w:p>
      <w:pPr>
        <w:spacing w:after="0" w:line="176"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"Committee" shall mean the means the Compensation Committee of the Board or such other committee of the Board assigned by the Board to administer the Plan.</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"Company" shall mean means Comcast Corporation, a Pennsylvania corporation (formerly known as AT&amp;T Comcast Corporation), as successor to Comcast Holdings Corporation (formerly known as Comcast Corporation), including any successor thereto by merger, consolidation, acquisition of all or substantially all the assets thereof, or otherwise.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"Participant" shall mean those persons eligible to participate in the Plan in accordance with Section 3.</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 shall mean the Comcast Corporation 2002 Executive Cash Bonus Plan.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 Year" shall mean the calendar year.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"Target Bonus" shall mean, with respect to any Participant for any Plan Year, the sum of (a) the Target Percentage of the Participant's base salary and any guaranteed bonus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pacing w:after="0" w:line="174" w:lineRule="exact"/>
        <w:rPr>
          <w:sz w:val="20"/>
          <w:szCs w:val="20"/>
          <w:color w:val="auto"/>
        </w:rPr>
      </w:pPr>
    </w:p>
    <w:p>
      <w:pPr>
        <w:ind w:left="700" w:hanging="265"/>
        <w:spacing w:after="0"/>
        <w:tabs>
          <w:tab w:leader="none" w:pos="700"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Effective for Plan Years beginning after 2003, the Participants in the Plan shall be C. Michael Armstrong, Brian L. Roberts, Lawrence S. Smith, John R. Alchin, Stephen B. Burke, Michael A. Tallent, Bradley P. Dusto, David N. Watson, Arthur R. Block, Mark A. Coblitz, Robert A. Pick, Terry S. Bienstock and Lawrence J. Salva. In addition, Participants in the Plan shall include such</w:t>
      </w:r>
    </w:p>
    <w:p>
      <w:pPr>
        <w:sectPr>
          <w:pgSz w:w="11900" w:h="16883" w:orient="portrait"/>
          <w:cols w:equalWidth="0" w:num="1">
            <w:col w:w="10219"/>
          </w:cols>
          <w:pgMar w:left="240" w:top="139" w:right="1440" w:bottom="0" w:gutter="0" w:footer="0" w:header="0"/>
        </w:sectPr>
      </w:pPr>
    </w:p>
    <w:bookmarkStart w:id="295" w:name="page296"/>
    <w:bookmarkEnd w:id="295"/>
    <w:p>
      <w:pPr>
        <w:ind w:right="3119"/>
        <w:spacing w:after="0" w:line="238" w:lineRule="auto"/>
        <w:rPr>
          <w:sz w:val="20"/>
          <w:szCs w:val="20"/>
          <w:color w:val="auto"/>
        </w:rPr>
      </w:pPr>
      <w:r>
        <w:rPr>
          <w:rFonts w:ascii="Courier New" w:cs="Courier New" w:eastAsia="Courier New" w:hAnsi="Courier New"/>
          <w:sz w:val="15"/>
          <w:szCs w:val="15"/>
          <w:color w:val="auto"/>
        </w:rPr>
        <w:t>other key executives as may be designated by the Committee to participate in the Plan from time to time.</w:t>
      </w:r>
    </w:p>
    <w:p>
      <w:pPr>
        <w:spacing w:after="0" w:line="172" w:lineRule="exact"/>
        <w:rPr>
          <w:sz w:val="20"/>
          <w:szCs w:val="20"/>
          <w:color w:val="auto"/>
        </w:rPr>
      </w:pPr>
    </w:p>
    <w:p>
      <w:pPr>
        <w:ind w:left="700" w:hanging="265"/>
        <w:spacing w:after="0"/>
        <w:tabs>
          <w:tab w:leader="none" w:pos="70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original effective date of the Plan was July 1, 1996.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174" w:lineRule="exact"/>
        <w:rPr>
          <w:sz w:val="20"/>
          <w:szCs w:val="20"/>
          <w:color w:val="auto"/>
        </w:rPr>
      </w:pPr>
    </w:p>
    <w:p>
      <w:pPr>
        <w:ind w:left="700" w:hanging="265"/>
        <w:spacing w:after="0"/>
        <w:tabs>
          <w:tab w:leader="none" w:pos="70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ENTITLEMENT</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2" w:right="1440" w:bottom="1440" w:gutter="0" w:footer="0" w:header="0"/>
        </w:sectPr>
      </w:pPr>
    </w:p>
    <w:bookmarkStart w:id="296" w:name="page297"/>
    <w:bookmarkEnd w:id="296"/>
    <w:p>
      <w:pPr>
        <w:ind w:right="3119"/>
        <w:spacing w:after="0"/>
        <w:rPr>
          <w:sz w:val="20"/>
          <w:szCs w:val="20"/>
          <w:color w:val="auto"/>
        </w:rPr>
      </w:pPr>
      <w:r>
        <w:rPr>
          <w:rFonts w:ascii="Courier New" w:cs="Courier New" w:eastAsia="Courier New" w:hAnsi="Courier New"/>
          <w:sz w:val="15"/>
          <w:szCs w:val="15"/>
          <w:color w:val="auto"/>
        </w:rPr>
        <w:t>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172" w:lineRule="exact"/>
        <w:rPr>
          <w:sz w:val="20"/>
          <w:szCs w:val="20"/>
          <w:color w:val="auto"/>
        </w:rPr>
      </w:pPr>
    </w:p>
    <w:p>
      <w:pPr>
        <w:ind w:left="700" w:hanging="265"/>
        <w:spacing w:after="0"/>
        <w:tabs>
          <w:tab w:leader="none" w:pos="70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PERFORMANCE-BASED COMPENSATION BONUS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Plan Years beginning on and after January 1, 2003:</w:t>
      </w:r>
    </w:p>
    <w:p>
      <w:pPr>
        <w:spacing w:after="0" w:line="174" w:lineRule="exact"/>
        <w:rPr>
          <w:sz w:val="20"/>
          <w:szCs w:val="20"/>
          <w:color w:val="auto"/>
        </w:rPr>
      </w:pPr>
    </w:p>
    <w:p>
      <w:pPr>
        <w:ind w:right="3119" w:firstLine="435"/>
        <w:spacing w:after="0" w:line="259" w:lineRule="auto"/>
        <w:tabs>
          <w:tab w:leader="none" w:pos="799"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163" w:lineRule="exact"/>
        <w:rPr>
          <w:rFonts w:ascii="Courier New" w:cs="Courier New" w:eastAsia="Courier New" w:hAnsi="Courier New"/>
          <w:sz w:val="14"/>
          <w:szCs w:val="14"/>
          <w:color w:val="auto"/>
        </w:rPr>
      </w:pPr>
    </w:p>
    <w:p>
      <w:pPr>
        <w:ind w:right="3399" w:firstLine="435"/>
        <w:spacing w:after="0" w:line="239" w:lineRule="auto"/>
        <w:tabs>
          <w:tab w:leader="none" w:pos="799"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determination of the amount of a Participant's bonus payable with respect to any Plan Year under Section 6(a), the Committee shall have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97" w:name="page298"/>
    <w:bookmarkEnd w:id="297"/>
    <w:p>
      <w:pPr>
        <w:ind w:right="3299"/>
        <w:spacing w:after="0" w:line="239" w:lineRule="auto"/>
        <w:rPr>
          <w:sz w:val="20"/>
          <w:szCs w:val="20"/>
          <w:color w:val="auto"/>
        </w:rPr>
      </w:pPr>
      <w:r>
        <w:rPr>
          <w:rFonts w:ascii="Courier New" w:cs="Courier New" w:eastAsia="Courier New" w:hAnsi="Courier New"/>
          <w:sz w:val="15"/>
          <w:szCs w:val="15"/>
          <w:color w:val="auto"/>
        </w:rPr>
        <w:t>discretion to reduce or eliminate the bonus otherwise payable to a Participant if it determines that such a reduction or elimination of the bonus is in the best interests of the Company.</w:t>
      </w:r>
    </w:p>
    <w:p>
      <w:pPr>
        <w:spacing w:after="0" w:line="172" w:lineRule="exact"/>
        <w:rPr>
          <w:sz w:val="20"/>
          <w:szCs w:val="20"/>
          <w:color w:val="auto"/>
        </w:rPr>
      </w:pPr>
    </w:p>
    <w:p>
      <w:pPr>
        <w:ind w:left="700" w:hanging="265"/>
        <w:spacing w:after="0"/>
        <w:tabs>
          <w:tab w:leader="none" w:pos="70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299" w:firstLine="435"/>
        <w:spacing w:after="0" w:line="261" w:lineRule="auto"/>
        <w:tabs>
          <w:tab w:leader="none" w:pos="799"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61" w:lineRule="exact"/>
        <w:rPr>
          <w:rFonts w:ascii="Courier New" w:cs="Courier New" w:eastAsia="Courier New" w:hAnsi="Courier New"/>
          <w:sz w:val="14"/>
          <w:szCs w:val="14"/>
          <w:color w:val="auto"/>
        </w:rPr>
      </w:pPr>
    </w:p>
    <w:p>
      <w:pPr>
        <w:ind w:right="3219" w:firstLine="1411"/>
        <w:spacing w:after="0" w:line="239" w:lineRule="auto"/>
        <w:tabs>
          <w:tab w:leader="none" w:pos="1775"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rules and regulations for the management, operation and administration of the Plan, and, from time to time, to amend or supplement such rules and regulations;</w:t>
      </w:r>
    </w:p>
    <w:p>
      <w:pPr>
        <w:spacing w:after="0" w:line="175" w:lineRule="exact"/>
        <w:rPr>
          <w:rFonts w:ascii="Courier New" w:cs="Courier New" w:eastAsia="Courier New" w:hAnsi="Courier New"/>
          <w:sz w:val="15"/>
          <w:szCs w:val="15"/>
          <w:color w:val="auto"/>
        </w:rPr>
      </w:pPr>
    </w:p>
    <w:p>
      <w:pPr>
        <w:ind w:right="3299" w:firstLine="1411"/>
        <w:spacing w:after="0" w:line="238" w:lineRule="auto"/>
        <w:tabs>
          <w:tab w:leader="none" w:pos="1864"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construe the Plan, which construction, as long as made in good faith, shall be final and conclusive upon all parties hereto; and</w:t>
      </w:r>
    </w:p>
    <w:p>
      <w:pPr>
        <w:spacing w:after="0" w:line="174" w:lineRule="exact"/>
        <w:rPr>
          <w:rFonts w:ascii="Courier New" w:cs="Courier New" w:eastAsia="Courier New" w:hAnsi="Courier New"/>
          <w:sz w:val="15"/>
          <w:szCs w:val="15"/>
          <w:color w:val="auto"/>
        </w:rPr>
      </w:pPr>
    </w:p>
    <w:p>
      <w:pPr>
        <w:ind w:right="3219" w:firstLine="1411"/>
        <w:spacing w:after="0" w:line="239" w:lineRule="auto"/>
        <w:tabs>
          <w:tab w:leader="none" w:pos="1952"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76" w:lineRule="exact"/>
        <w:rPr>
          <w:sz w:val="20"/>
          <w:szCs w:val="20"/>
          <w:color w:val="auto"/>
        </w:rPr>
      </w:pPr>
    </w:p>
    <w:p>
      <w:pPr>
        <w:ind w:right="3119" w:firstLine="266"/>
        <w:spacing w:after="0" w:line="239" w:lineRule="auto"/>
        <w:rPr>
          <w:sz w:val="20"/>
          <w:szCs w:val="20"/>
          <w:color w:val="auto"/>
        </w:rPr>
      </w:pPr>
      <w:r>
        <w:rPr>
          <w:rFonts w:ascii="Courier New" w:cs="Courier New" w:eastAsia="Courier New" w:hAnsi="Courier New"/>
          <w:sz w:val="15"/>
          <w:szCs w:val="15"/>
          <w:color w:val="auto"/>
        </w:rPr>
        <w:t>The resolution of any questions with respect to payments and entitlements pursuant to the provisions of the Plan shall be determined by the Committee, and all such determinations shall be final and conclusive.</w:t>
      </w:r>
    </w:p>
    <w:p>
      <w:pPr>
        <w:spacing w:after="0" w:line="175" w:lineRule="exact"/>
        <w:rPr>
          <w:sz w:val="20"/>
          <w:szCs w:val="20"/>
          <w:color w:val="auto"/>
        </w:rPr>
      </w:pPr>
    </w:p>
    <w:p>
      <w:pPr>
        <w:ind w:right="3119" w:firstLine="435"/>
        <w:spacing w:after="0"/>
        <w:tabs>
          <w:tab w:leader="none" w:pos="799"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98" w:name="page299"/>
    <w:bookmarkEnd w:id="298"/>
    <w:p>
      <w:pPr>
        <w:ind w:right="3479"/>
        <w:spacing w:after="0" w:line="238" w:lineRule="auto"/>
        <w:rPr>
          <w:sz w:val="20"/>
          <w:szCs w:val="20"/>
          <w:color w:val="auto"/>
        </w:rPr>
      </w:pPr>
      <w:r>
        <w:rPr>
          <w:rFonts w:ascii="Courier New" w:cs="Courier New" w:eastAsia="Courier New" w:hAnsi="Courier New"/>
          <w:sz w:val="15"/>
          <w:szCs w:val="15"/>
          <w:color w:val="auto"/>
        </w:rPr>
        <w:t>without any investigation thereof; provided, however, that the Committee may correct any errors discovered in any such information.</w:t>
      </w:r>
    </w:p>
    <w:p>
      <w:pPr>
        <w:spacing w:after="0" w:line="175" w:lineRule="exact"/>
        <w:rPr>
          <w:sz w:val="20"/>
          <w:szCs w:val="20"/>
          <w:color w:val="auto"/>
        </w:rPr>
      </w:pPr>
    </w:p>
    <w:p>
      <w:pPr>
        <w:ind w:right="3219" w:firstLine="435"/>
        <w:spacing w:after="0"/>
        <w:tabs>
          <w:tab w:leader="none" w:pos="799"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72" w:lineRule="exact"/>
        <w:rPr>
          <w:sz w:val="20"/>
          <w:szCs w:val="20"/>
          <w:color w:val="auto"/>
        </w:rPr>
      </w:pPr>
    </w:p>
    <w:p>
      <w:pPr>
        <w:ind w:left="700" w:hanging="265"/>
        <w:spacing w:after="0"/>
        <w:tabs>
          <w:tab w:leader="none" w:pos="70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AMENDMENT</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79" w:lineRule="exact"/>
        <w:rPr>
          <w:sz w:val="20"/>
          <w:szCs w:val="20"/>
          <w:color w:val="auto"/>
        </w:rPr>
      </w:pPr>
    </w:p>
    <w:p>
      <w:pPr>
        <w:ind w:left="700" w:hanging="265"/>
        <w:spacing w:after="0"/>
        <w:tabs>
          <w:tab w:leader="none" w:pos="70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35"/>
        <w:spacing w:after="0" w:line="260" w:lineRule="auto"/>
        <w:tabs>
          <w:tab w:leader="none" w:pos="799"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61" w:lineRule="exact"/>
        <w:rPr>
          <w:rFonts w:ascii="Courier New" w:cs="Courier New" w:eastAsia="Courier New" w:hAnsi="Courier New"/>
          <w:sz w:val="14"/>
          <w:szCs w:val="14"/>
          <w:color w:val="auto"/>
        </w:rPr>
      </w:pPr>
    </w:p>
    <w:p>
      <w:pPr>
        <w:ind w:right="3219" w:firstLine="435"/>
        <w:spacing w:after="0" w:line="260" w:lineRule="auto"/>
        <w:tabs>
          <w:tab w:leader="none" w:pos="799"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62"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4" w:lineRule="exact"/>
        <w:rPr>
          <w:rFonts w:ascii="Courier New" w:cs="Courier New" w:eastAsia="Courier New" w:hAnsi="Courier New"/>
          <w:sz w:val="15"/>
          <w:szCs w:val="15"/>
          <w:color w:val="auto"/>
        </w:rPr>
      </w:pPr>
    </w:p>
    <w:p>
      <w:pPr>
        <w:ind w:right="3759" w:firstLine="435"/>
        <w:spacing w:after="0" w:line="239" w:lineRule="auto"/>
        <w:tabs>
          <w:tab w:leader="none" w:pos="799"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Neither the establishment of the Plan, any provisions of the Plan, nor any action of the Committee shall be held or construed to confer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99" w:name="page300"/>
    <w:bookmarkEnd w:id="299"/>
    <w:p>
      <w:pPr>
        <w:ind w:right="3299"/>
        <w:spacing w:after="0" w:line="239" w:lineRule="auto"/>
        <w:rPr>
          <w:sz w:val="20"/>
          <w:szCs w:val="20"/>
          <w:color w:val="auto"/>
        </w:rPr>
      </w:pPr>
      <w:r>
        <w:rPr>
          <w:rFonts w:ascii="Courier New" w:cs="Courier New" w:eastAsia="Courier New" w:hAnsi="Courier New"/>
          <w:sz w:val="15"/>
          <w:szCs w:val="15"/>
          <w:color w:val="auto"/>
        </w:rPr>
        <w:t>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76" w:lineRule="exact"/>
        <w:rPr>
          <w:sz w:val="20"/>
          <w:szCs w:val="20"/>
          <w:color w:val="auto"/>
        </w:rPr>
      </w:pPr>
    </w:p>
    <w:p>
      <w:pPr>
        <w:ind w:right="3119" w:firstLine="435"/>
        <w:spacing w:after="0"/>
        <w:tabs>
          <w:tab w:leader="none" w:pos="799"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76" w:lineRule="exact"/>
        <w:rPr>
          <w:sz w:val="20"/>
          <w:szCs w:val="20"/>
          <w:color w:val="auto"/>
        </w:rPr>
      </w:pPr>
    </w:p>
    <w:p>
      <w:pPr>
        <w:ind w:right="3219" w:firstLine="435"/>
        <w:spacing w:after="0" w:line="239" w:lineRule="auto"/>
        <w:tabs>
          <w:tab w:leader="none" w:pos="799"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76"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Executed as of the 26th day of February, 2003.</w:t>
      </w:r>
    </w:p>
    <w:p>
      <w:pPr>
        <w:spacing w:after="0" w:line="342"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ATTEST:_________________________________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300" w:name="page301"/>
    <w:bookmarkEnd w:id="300"/>
    <w:p>
      <w:pPr>
        <w:spacing w:after="0" w:line="4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10.10</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2002 SUPPLEMENTAL CASH BONUS PLAN</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BACKGROUND AND PURPOSE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Comcast Corporation, a Pennsylvania corporation, hereby adopts the Comcast Corporation 2002 Supplemental Cash Bonus Plan (the "Plan"), effective as of November 18, 2002. The purpose of the Plan is to provide the senior management of Comcast Corporation (the "Company") and the Company's Affiliates (as defined below) with an incentive to accomplish such business objectives as from time to time may be determined by the Committee, including, but not limited to the integration of the business of the former AT&amp;T Broadband Corp.</w:t>
      </w:r>
    </w:p>
    <w:p>
      <w:pPr>
        <w:spacing w:after="0" w:line="173" w:lineRule="exact"/>
        <w:rPr>
          <w:sz w:val="20"/>
          <w:szCs w:val="20"/>
          <w:color w:val="auto"/>
        </w:rPr>
      </w:pPr>
    </w:p>
    <w:p>
      <w:pPr>
        <w:ind w:left="700" w:hanging="265"/>
        <w:spacing w:after="0"/>
        <w:tabs>
          <w:tab w:leader="none" w:pos="70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right="3219" w:firstLine="790"/>
        <w:spacing w:after="0"/>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6" w:lineRule="exact"/>
        <w:rPr>
          <w:rFonts w:ascii="Courier New" w:cs="Courier New" w:eastAsia="Courier New" w:hAnsi="Courier New"/>
          <w:sz w:val="15"/>
          <w:szCs w:val="15"/>
          <w:color w:val="auto"/>
        </w:rPr>
      </w:pPr>
    </w:p>
    <w:p>
      <w:pPr>
        <w:ind w:right="3219" w:firstLine="790"/>
        <w:spacing w:after="0"/>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 cash bonus award granted under the Plan. An Award shall be expressed as the percentage of a Grantee's base salary payable for a Plan Year that shall become payable if all of the Targets established by the Committee are satisfied. The portion of an Award that shall be payable to a Grantee shall be determined by the Committee in accordance with the rules established for the Award for each Plan Year. In addition, in the discretion of the Committee, based on the satisfaction of performance standards as it may determine, whether or not previously designated as a Target, such additional amounts as may be determined by the Committee may be included in an Award for a Plan Year, consistent with the rules of the Plan.</w:t>
      </w:r>
    </w:p>
    <w:p>
      <w:pPr>
        <w:spacing w:after="0" w:line="175"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right="3119" w:firstLine="790"/>
        <w:spacing w:after="0"/>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7" w:lineRule="exact"/>
        <w:rPr>
          <w:rFonts w:ascii="Courier New" w:cs="Courier New" w:eastAsia="Courier New" w:hAnsi="Courier New"/>
          <w:sz w:val="15"/>
          <w:szCs w:val="15"/>
          <w:color w:val="auto"/>
        </w:rPr>
      </w:pPr>
    </w:p>
    <w:p>
      <w:pPr>
        <w:ind w:right="3299" w:firstLine="790"/>
        <w:spacing w:after="0" w:line="271" w:lineRule="auto"/>
        <w:tabs>
          <w:tab w:leader="none" w:pos="1154"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or such other committee of the Board assigned by the Board to administer the Plan.</w:t>
      </w:r>
    </w:p>
    <w:p>
      <w:pPr>
        <w:spacing w:after="0" w:line="153" w:lineRule="exact"/>
        <w:rPr>
          <w:rFonts w:ascii="Courier New" w:cs="Courier New" w:eastAsia="Courier New" w:hAnsi="Courier New"/>
          <w:sz w:val="14"/>
          <w:szCs w:val="14"/>
          <w:color w:val="auto"/>
        </w:rPr>
      </w:pPr>
    </w:p>
    <w:p>
      <w:pPr>
        <w:ind w:right="3119" w:firstLine="790"/>
        <w:spacing w:after="0" w:line="239" w:lineRule="auto"/>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(formerly known as AT&amp;T Comcast Corporation), a Pennsylvania corporation, including any successor thereto by merger, consolidation, acquisition of all or substantially all the assets thereof, or otherwise.</w:t>
      </w:r>
    </w:p>
    <w:p>
      <w:pPr>
        <w:spacing w:after="0" w:line="173"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4" w:lineRule="exact"/>
        <w:rPr>
          <w:rFonts w:ascii="Courier New" w:cs="Courier New" w:eastAsia="Courier New" w:hAnsi="Courier New"/>
          <w:sz w:val="15"/>
          <w:szCs w:val="15"/>
          <w:color w:val="auto"/>
        </w:rPr>
      </w:pPr>
    </w:p>
    <w:p>
      <w:pPr>
        <w:ind w:right="3919" w:firstLine="790"/>
        <w:spacing w:after="0" w:line="238" w:lineRule="auto"/>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Company or an Affiliate, as determined by the Committee.</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4" w:lineRule="exact"/>
        <w:rPr>
          <w:rFonts w:ascii="Courier New" w:cs="Courier New" w:eastAsia="Courier New" w:hAnsi="Courier New"/>
          <w:sz w:val="15"/>
          <w:szCs w:val="15"/>
          <w:color w:val="auto"/>
        </w:rPr>
      </w:pPr>
    </w:p>
    <w:p>
      <w:pPr>
        <w:ind w:right="3579" w:firstLine="790"/>
        <w:spacing w:after="0" w:line="238" w:lineRule="auto"/>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4" w:lineRule="exact"/>
        <w:rPr>
          <w:rFonts w:ascii="Courier New" w:cs="Courier New" w:eastAsia="Courier New" w:hAnsi="Courier New"/>
          <w:sz w:val="15"/>
          <w:szCs w:val="15"/>
          <w:color w:val="auto"/>
        </w:rPr>
      </w:pPr>
    </w:p>
    <w:p>
      <w:pPr>
        <w:ind w:right="3299" w:firstLine="790"/>
        <w:spacing w:after="0" w:line="238" w:lineRule="auto"/>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2002 Supplemental Cash Bonus Plan, as set forth herein, and as amended from time to time.</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calendar year.</w:t>
      </w:r>
    </w:p>
    <w:p>
      <w:pPr>
        <w:spacing w:after="0" w:line="174" w:lineRule="exact"/>
        <w:rPr>
          <w:rFonts w:ascii="Courier New" w:cs="Courier New" w:eastAsia="Courier New" w:hAnsi="Courier New"/>
          <w:sz w:val="15"/>
          <w:szCs w:val="15"/>
          <w:color w:val="auto"/>
        </w:rPr>
      </w:pPr>
    </w:p>
    <w:p>
      <w:pPr>
        <w:ind w:right="3219" w:firstLine="790"/>
        <w:spacing w:after="0"/>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"Qualitative Performance Standards" means performance standards other than Quantitative Performance Standards, including but not limited to customer satisfaction,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"Quantitative Performance Standards" means performance standards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175" w:lineRule="exact"/>
        <w:rPr>
          <w:rFonts w:ascii="Courier New" w:cs="Courier New" w:eastAsia="Courier New" w:hAnsi="Courier New"/>
          <w:sz w:val="15"/>
          <w:szCs w:val="15"/>
          <w:color w:val="auto"/>
        </w:rPr>
      </w:pPr>
    </w:p>
    <w:p>
      <w:pPr>
        <w:ind w:right="3399" w:firstLine="790"/>
        <w:spacing w:after="0" w:line="264" w:lineRule="auto"/>
        <w:tabs>
          <w:tab w:leader="none" w:pos="1154" w:val="left"/>
        </w:tabs>
        <w:numPr>
          <w:ilvl w:val="1"/>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means, for any Plan Year, the Qualitative Performance Standards and the Quantitative Performance Standards established by the Committee, in its discretion. Qualitative Performance Standards, Quantitative</w:t>
      </w:r>
    </w:p>
    <w:p>
      <w:pPr>
        <w:sectPr>
          <w:pgSz w:w="11900" w:h="16885" w:orient="portrait"/>
          <w:cols w:equalWidth="0" w:num="1">
            <w:col w:w="10219"/>
          </w:cols>
          <w:pgMar w:left="240" w:top="139" w:right="1440" w:bottom="0" w:gutter="0" w:footer="0" w:header="0"/>
        </w:sectPr>
      </w:pPr>
    </w:p>
    <w:bookmarkStart w:id="301" w:name="page302"/>
    <w:bookmarkEnd w:id="301"/>
    <w:p>
      <w:pPr>
        <w:ind w:right="3219"/>
        <w:spacing w:after="0" w:line="239" w:lineRule="auto"/>
        <w:rPr>
          <w:sz w:val="20"/>
          <w:szCs w:val="20"/>
          <w:color w:val="auto"/>
        </w:rPr>
      </w:pPr>
      <w:r>
        <w:rPr>
          <w:rFonts w:ascii="Courier New" w:cs="Courier New" w:eastAsia="Courier New" w:hAnsi="Courier New"/>
          <w:sz w:val="15"/>
          <w:szCs w:val="15"/>
          <w:color w:val="auto"/>
        </w:rPr>
        <w:t>Performance Standards and the weighting of such Standards may differ from Plan Year to Plan Year, and within a Plan Year, may differ among Grantees or classes of Grantees.</w:t>
      </w:r>
    </w:p>
    <w:p>
      <w:pPr>
        <w:spacing w:after="0" w:line="172" w:lineRule="exact"/>
        <w:rPr>
          <w:sz w:val="20"/>
          <w:szCs w:val="20"/>
          <w:color w:val="auto"/>
        </w:rPr>
      </w:pPr>
    </w:p>
    <w:p>
      <w:pPr>
        <w:ind w:left="1140" w:hanging="350"/>
        <w:spacing w:after="0"/>
        <w:tabs>
          <w:tab w:leader="none" w:pos="1140"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2120" w:hanging="354"/>
        <w:spacing w:after="0"/>
        <w:tabs>
          <w:tab w:leader="none" w:pos="2120"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2200" w:hanging="434"/>
        <w:spacing w:after="0"/>
        <w:tabs>
          <w:tab w:leader="none" w:pos="2200" w:val="left"/>
        </w:tabs>
        <w:numPr>
          <w:ilvl w:val="1"/>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302" w:name="page303"/>
    <w:bookmarkEnd w:id="302"/>
    <w:p>
      <w:pPr>
        <w:ind w:right="3299" w:firstLine="790"/>
        <w:spacing w:after="0" w:line="239" w:lineRule="auto"/>
        <w:tabs>
          <w:tab w:leader="none" w:pos="1154" w:val="left"/>
        </w:tabs>
        <w:numPr>
          <w:ilvl w:val="1"/>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together with such Person's Affiliates, provided that the term "Third Party" shall not include the Company or an Affiliate of the Company.</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rFonts w:ascii="Courier New" w:cs="Courier New" w:eastAsia="Courier New" w:hAnsi="Courier New"/>
          <w:sz w:val="15"/>
          <w:szCs w:val="15"/>
          <w:color w:val="auto"/>
        </w:rPr>
      </w:pPr>
    </w:p>
    <w:p>
      <w:pPr>
        <w:ind w:right="3299" w:firstLine="790"/>
        <w:spacing w:after="0"/>
        <w:tabs>
          <w:tab w:leader="none" w:pos="1154" w:val="left"/>
        </w:tabs>
        <w:numPr>
          <w:ilvl w:val="1"/>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75" w:lineRule="exact"/>
        <w:rPr>
          <w:rFonts w:ascii="Courier New" w:cs="Courier New" w:eastAsia="Courier New" w:hAnsi="Courier New"/>
          <w:sz w:val="15"/>
          <w:szCs w:val="15"/>
          <w:color w:val="auto"/>
        </w:rPr>
      </w:pPr>
    </w:p>
    <w:p>
      <w:pPr>
        <w:ind w:right="3399" w:firstLine="1766"/>
        <w:spacing w:after="0" w:line="239" w:lineRule="auto"/>
        <w:tabs>
          <w:tab w:leader="none" w:pos="2130" w:val="left"/>
        </w:tabs>
        <w:numPr>
          <w:ilvl w:val="2"/>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rules and regulations for the management, operation and administration of the Plan, and, from time to time, to amend or supplement such rules and regulations;</w:t>
      </w:r>
    </w:p>
    <w:p>
      <w:pPr>
        <w:spacing w:after="0" w:line="175" w:lineRule="exact"/>
        <w:rPr>
          <w:rFonts w:ascii="Courier New" w:cs="Courier New" w:eastAsia="Courier New" w:hAnsi="Courier New"/>
          <w:sz w:val="15"/>
          <w:szCs w:val="15"/>
          <w:color w:val="auto"/>
        </w:rPr>
      </w:pPr>
    </w:p>
    <w:p>
      <w:pPr>
        <w:ind w:right="3219" w:firstLine="1766"/>
        <w:spacing w:after="0" w:line="271" w:lineRule="auto"/>
        <w:tabs>
          <w:tab w:leader="none" w:pos="2219" w:val="left"/>
        </w:tabs>
        <w:numPr>
          <w:ilvl w:val="2"/>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construe the Plan, which construction, as long as made in good faith, shall be final and conclusive upon all parties hereto; and</w:t>
      </w:r>
    </w:p>
    <w:p>
      <w:pPr>
        <w:spacing w:after="0" w:line="153" w:lineRule="exact"/>
        <w:rPr>
          <w:rFonts w:ascii="Courier New" w:cs="Courier New" w:eastAsia="Courier New" w:hAnsi="Courier New"/>
          <w:sz w:val="14"/>
          <w:szCs w:val="14"/>
          <w:color w:val="auto"/>
        </w:rPr>
      </w:pPr>
    </w:p>
    <w:p>
      <w:pPr>
        <w:ind w:right="3119" w:firstLine="1766"/>
        <w:spacing w:after="0" w:line="239" w:lineRule="auto"/>
        <w:tabs>
          <w:tab w:leader="none" w:pos="2307" w:val="left"/>
        </w:tabs>
        <w:numPr>
          <w:ilvl w:val="2"/>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resolution of any questions with respect to payments and entitlements pursuant to the provisions of the Plan shall be determined by the Committee, and all such determinations shall be final and conclusive.</w:t>
      </w:r>
    </w:p>
    <w:p>
      <w:pPr>
        <w:spacing w:after="0" w:line="175" w:lineRule="exact"/>
        <w:rPr>
          <w:sz w:val="20"/>
          <w:szCs w:val="20"/>
          <w:color w:val="auto"/>
        </w:rPr>
      </w:pPr>
    </w:p>
    <w:p>
      <w:pPr>
        <w:ind w:right="3119" w:firstLine="790"/>
        <w:spacing w:after="0" w:line="259" w:lineRule="auto"/>
        <w:tabs>
          <w:tab w:leader="none" w:pos="1154" w:val="left"/>
        </w:tabs>
        <w:numPr>
          <w:ilvl w:val="1"/>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 The Committee may delegate to an officer of the Company or committee of two or more officers of the Company discretion under the Plan to grant an Award to any employee of the Company or its subsidiaries who, at the time of the grant, has a base salary of less than $250,000. Such delegation of authority shall continue in effect until the earliest of (i) such time as the Committee shall, in its discretion, revoke such delegation of authority, (ii) its delegate shall cease to be an employee of the Company for any reason or (iii) its delegate shall notify the Committee that he declines to continue exercise such authority.</w:t>
      </w:r>
    </w:p>
    <w:p>
      <w:pPr>
        <w:spacing w:after="0" w:line="164" w:lineRule="exact"/>
        <w:rPr>
          <w:rFonts w:ascii="Courier New" w:cs="Courier New" w:eastAsia="Courier New" w:hAnsi="Courier New"/>
          <w:sz w:val="14"/>
          <w:szCs w:val="14"/>
          <w:color w:val="auto"/>
        </w:rPr>
      </w:pPr>
    </w:p>
    <w:p>
      <w:pPr>
        <w:ind w:right="3219" w:firstLine="790"/>
        <w:spacing w:after="0" w:line="260" w:lineRule="auto"/>
        <w:tabs>
          <w:tab w:leader="none" w:pos="1154" w:val="left"/>
        </w:tabs>
        <w:numPr>
          <w:ilvl w:val="1"/>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6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03" w:name="page304"/>
    <w:bookmarkEnd w:id="303"/>
    <w:p>
      <w:pPr>
        <w:ind w:right="3119" w:firstLine="799"/>
        <w:spacing w:after="0" w:line="239" w:lineRule="auto"/>
        <w:rPr>
          <w:sz w:val="20"/>
          <w:szCs w:val="20"/>
          <w:color w:val="auto"/>
        </w:rPr>
      </w:pPr>
      <w:r>
        <w:rPr>
          <w:rFonts w:ascii="Courier New" w:cs="Courier New" w:eastAsia="Courier New" w:hAnsi="Courier New"/>
          <w:sz w:val="15"/>
          <w:szCs w:val="15"/>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AWARDS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as determined from time to time by the Committee, consistent, however, with the following:</w:t>
      </w:r>
    </w:p>
    <w:p>
      <w:pPr>
        <w:spacing w:after="0" w:line="175" w:lineRule="exact"/>
        <w:rPr>
          <w:sz w:val="20"/>
          <w:szCs w:val="20"/>
          <w:color w:val="auto"/>
        </w:rPr>
      </w:pPr>
    </w:p>
    <w:p>
      <w:pPr>
        <w:jc w:val="both"/>
        <w:ind w:right="3299" w:firstLine="790"/>
        <w:spacing w:after="0" w:line="239" w:lineRule="auto"/>
        <w:tabs>
          <w:tab w:leader="none" w:pos="1154"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Awards may be granted at any time from the date of adoption of the Plan by the Board until the Plan is terminated by the Board or the Committee.</w:t>
      </w:r>
    </w:p>
    <w:p>
      <w:pPr>
        <w:spacing w:after="0" w:line="175" w:lineRule="exact"/>
        <w:rPr>
          <w:rFonts w:ascii="Courier New" w:cs="Courier New" w:eastAsia="Courier New" w:hAnsi="Courier New"/>
          <w:sz w:val="15"/>
          <w:szCs w:val="15"/>
          <w:color w:val="auto"/>
        </w:rPr>
      </w:pPr>
    </w:p>
    <w:p>
      <w:pPr>
        <w:ind w:right="3219" w:firstLine="790"/>
        <w:spacing w:after="0" w:line="238" w:lineRule="auto"/>
        <w:tabs>
          <w:tab w:leader="none" w:pos="1154"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Non-uniformity of Awards. The provisions of Awards need not be the same with respect to each Grantee.</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Targets and Conditions to Payment of Awards.</w:t>
      </w:r>
    </w:p>
    <w:p>
      <w:pPr>
        <w:spacing w:after="0" w:line="174" w:lineRule="exact"/>
        <w:rPr>
          <w:rFonts w:ascii="Courier New" w:cs="Courier New" w:eastAsia="Courier New" w:hAnsi="Courier New"/>
          <w:sz w:val="15"/>
          <w:szCs w:val="15"/>
          <w:color w:val="auto"/>
        </w:rPr>
      </w:pPr>
    </w:p>
    <w:p>
      <w:pPr>
        <w:ind w:left="2120" w:hanging="354"/>
        <w:spacing w:after="0"/>
        <w:tabs>
          <w:tab w:leader="none" w:pos="2120"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shall be expressed as a percentage of a Grantee's</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Base Salary.</w:t>
      </w:r>
    </w:p>
    <w:p>
      <w:pPr>
        <w:spacing w:after="0" w:line="174" w:lineRule="exact"/>
        <w:rPr>
          <w:rFonts w:ascii="Courier New" w:cs="Courier New" w:eastAsia="Courier New" w:hAnsi="Courier New"/>
          <w:sz w:val="14"/>
          <w:szCs w:val="14"/>
          <w:color w:val="auto"/>
        </w:rPr>
      </w:pPr>
    </w:p>
    <w:p>
      <w:pPr>
        <w:ind w:right="3219" w:firstLine="1766"/>
        <w:spacing w:after="0" w:line="239" w:lineRule="auto"/>
        <w:tabs>
          <w:tab w:leader="none" w:pos="2219"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such conditions on the payment of a bonus pursuant to an Award as it may, in its sole discretion, deem appropriate.</w:t>
      </w:r>
    </w:p>
    <w:p>
      <w:pPr>
        <w:spacing w:after="0" w:line="175" w:lineRule="exact"/>
        <w:rPr>
          <w:rFonts w:ascii="Courier New" w:cs="Courier New" w:eastAsia="Courier New" w:hAnsi="Courier New"/>
          <w:sz w:val="15"/>
          <w:szCs w:val="15"/>
          <w:color w:val="auto"/>
        </w:rPr>
      </w:pPr>
    </w:p>
    <w:p>
      <w:pPr>
        <w:ind w:right="3119" w:firstLine="1766"/>
        <w:spacing w:after="0" w:line="239" w:lineRule="auto"/>
        <w:tabs>
          <w:tab w:leader="none" w:pos="2307"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176" w:lineRule="exact"/>
        <w:rPr>
          <w:rFonts w:ascii="Courier New" w:cs="Courier New" w:eastAsia="Courier New" w:hAnsi="Courier New"/>
          <w:sz w:val="15"/>
          <w:szCs w:val="15"/>
          <w:color w:val="auto"/>
        </w:rPr>
      </w:pPr>
    </w:p>
    <w:p>
      <w:pPr>
        <w:ind w:right="3119" w:firstLine="1766"/>
        <w:spacing w:after="0"/>
        <w:tabs>
          <w:tab w:leader="none" w:pos="2219"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the Targets for each Plan Year beginning after 2002 no later than 90 days after the first day of the Plan Year. Each Grantee shall be entitled to receive payment of the Award for Plan Years beginning after 2002 only after certification by the Committee that the Targets established by the Committee for such Plan Year have been satisfied. The Company shall pay the Awards under the Plan to each Grantee as soon as practicable with respect to each Plan Year.</w:t>
      </w:r>
    </w:p>
    <w:p>
      <w:pPr>
        <w:spacing w:after="0" w:line="173" w:lineRule="exact"/>
        <w:rPr>
          <w:sz w:val="20"/>
          <w:szCs w:val="20"/>
          <w:color w:val="auto"/>
        </w:rPr>
      </w:pPr>
    </w:p>
    <w:p>
      <w:pPr>
        <w:ind w:left="1140" w:hanging="350"/>
        <w:spacing w:after="0"/>
        <w:tabs>
          <w:tab w:leader="none" w:pos="1140"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w:t>
      </w:r>
    </w:p>
    <w:p>
      <w:pPr>
        <w:spacing w:after="0" w:line="174" w:lineRule="exact"/>
        <w:rPr>
          <w:rFonts w:ascii="Courier New" w:cs="Courier New" w:eastAsia="Courier New" w:hAnsi="Courier New"/>
          <w:sz w:val="15"/>
          <w:szCs w:val="15"/>
          <w:color w:val="auto"/>
        </w:rPr>
      </w:pPr>
    </w:p>
    <w:p>
      <w:pPr>
        <w:ind w:right="3219" w:firstLine="1766"/>
        <w:spacing w:after="0"/>
        <w:tabs>
          <w:tab w:leader="none" w:pos="2130"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2" w:right="1440" w:bottom="1440" w:gutter="0" w:footer="0" w:header="0"/>
        </w:sectPr>
      </w:pPr>
    </w:p>
    <w:bookmarkStart w:id="304" w:name="page305"/>
    <w:bookmarkEnd w:id="304"/>
    <w:p>
      <w:pPr>
        <w:ind w:right="4019"/>
        <w:spacing w:after="0" w:line="238" w:lineRule="auto"/>
        <w:rPr>
          <w:sz w:val="20"/>
          <w:szCs w:val="20"/>
          <w:color w:val="auto"/>
        </w:rPr>
      </w:pPr>
      <w:r>
        <w:rPr>
          <w:rFonts w:ascii="Courier New" w:cs="Courier New" w:eastAsia="Courier New" w:hAnsi="Courier New"/>
          <w:sz w:val="15"/>
          <w:szCs w:val="15"/>
          <w:color w:val="auto"/>
        </w:rPr>
        <w:t>Grantees who are employees of the transferee division, all as shall be determined by the Committee in an equitable manner.</w:t>
      </w:r>
    </w:p>
    <w:p>
      <w:pPr>
        <w:spacing w:after="0" w:line="175" w:lineRule="exact"/>
        <w:rPr>
          <w:sz w:val="20"/>
          <w:szCs w:val="20"/>
          <w:color w:val="auto"/>
        </w:rPr>
      </w:pPr>
    </w:p>
    <w:p>
      <w:pPr>
        <w:ind w:right="3299" w:firstLine="1766"/>
        <w:spacing w:after="0" w:line="264" w:lineRule="auto"/>
        <w:tabs>
          <w:tab w:leader="none" w:pos="2130" w:val="left"/>
        </w:tabs>
        <w:numPr>
          <w:ilvl w:val="2"/>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Grantee terminates employment with the Company and its Affiliates, all Awards remaining subject to conditions to payment shall be forfeited by the Grantee and deemed canceled by the Company.</w:t>
      </w:r>
    </w:p>
    <w:p>
      <w:pPr>
        <w:spacing w:after="0" w:line="159" w:lineRule="exact"/>
        <w:rPr>
          <w:rFonts w:ascii="Courier New" w:cs="Courier New" w:eastAsia="Courier New" w:hAnsi="Courier New"/>
          <w:sz w:val="14"/>
          <w:szCs w:val="14"/>
          <w:color w:val="auto"/>
        </w:rPr>
      </w:pPr>
    </w:p>
    <w:p>
      <w:pPr>
        <w:ind w:right="3299" w:firstLine="790"/>
        <w:spacing w:after="0" w:line="271" w:lineRule="auto"/>
        <w:tabs>
          <w:tab w:leader="none" w:pos="1154"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Grant. In no event shall the amount paid to any Grantee pursuant to an Award for any Plan Year beginning after 2002 exceed $5 million.</w:t>
      </w:r>
    </w:p>
    <w:p>
      <w:pPr>
        <w:spacing w:after="0" w:line="153" w:lineRule="exact"/>
        <w:rPr>
          <w:rFonts w:ascii="Courier New" w:cs="Courier New" w:eastAsia="Courier New" w:hAnsi="Courier New"/>
          <w:sz w:val="14"/>
          <w:szCs w:val="14"/>
          <w:color w:val="auto"/>
        </w:rPr>
      </w:pPr>
    </w:p>
    <w:p>
      <w:pPr>
        <w:ind w:right="3119" w:firstLine="790"/>
        <w:spacing w:after="0"/>
        <w:tabs>
          <w:tab w:leader="none" w:pos="1154"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Awards. Payments authorized by the actions of the Board of Directors of Comcast Holdings Corporation (formerly known as Comcast Corporation and, hereinafter, "Old Comcast") taken on July 9, 2002 and November 15, 2002 with respect to the authorization for payment of supplemental cash bonuses contingent on the completion of the acquisition of AT&amp;T Broadband Corp. by the Company shall be made pursuant to the Plan.</w:t>
      </w:r>
    </w:p>
    <w:p>
      <w:pPr>
        <w:spacing w:after="0" w:line="175" w:lineRule="exact"/>
        <w:rPr>
          <w:rFonts w:ascii="Courier New" w:cs="Courier New" w:eastAsia="Courier New" w:hAnsi="Courier New"/>
          <w:sz w:val="15"/>
          <w:szCs w:val="15"/>
          <w:color w:val="auto"/>
        </w:rPr>
      </w:pPr>
    </w:p>
    <w:p>
      <w:pPr>
        <w:ind w:right="3219" w:firstLine="790"/>
        <w:spacing w:after="0"/>
        <w:tabs>
          <w:tab w:leader="none" w:pos="1154"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effectiveness of the grants of Awards under the Plan relating to payments on the satisfaction of the Quantitative Performance Standards established by the Committee from time to time with respect to Plan Years beginning after 2002 shall be conditioned on the approval of the Plan by the Company's shareholders.</w:t>
      </w:r>
    </w:p>
    <w:p>
      <w:pPr>
        <w:spacing w:after="0" w:line="171"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 AMENDMENT AND TERMINATION</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No Awards shall be granted for any period commencing after December 31, 2012.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72" w:lineRule="exact"/>
        <w:rPr>
          <w:sz w:val="20"/>
          <w:szCs w:val="20"/>
          <w:color w:val="auto"/>
        </w:rPr>
      </w:pPr>
    </w:p>
    <w:p>
      <w:pPr>
        <w:ind w:left="700" w:hanging="265"/>
        <w:spacing w:after="0"/>
        <w:tabs>
          <w:tab w:leader="none" w:pos="700"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4" w:lineRule="exact"/>
        <w:rPr>
          <w:rFonts w:ascii="Courier New" w:cs="Courier New" w:eastAsia="Courier New" w:hAnsi="Courier New"/>
          <w:sz w:val="15"/>
          <w:szCs w:val="15"/>
          <w:color w:val="auto"/>
        </w:rPr>
      </w:pPr>
    </w:p>
    <w:p>
      <w:pPr>
        <w:ind w:right="3119" w:firstLine="790"/>
        <w:spacing w:after="0" w:line="260" w:lineRule="auto"/>
        <w:tabs>
          <w:tab w:leader="none" w:pos="1154" w:val="left"/>
        </w:tabs>
        <w:numPr>
          <w:ilvl w:val="1"/>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Creditor Status.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61" w:lineRule="exact"/>
        <w:rPr>
          <w:rFonts w:ascii="Courier New" w:cs="Courier New" w:eastAsia="Courier New" w:hAnsi="Courier New"/>
          <w:sz w:val="14"/>
          <w:szCs w:val="14"/>
          <w:color w:val="auto"/>
        </w:rPr>
      </w:pPr>
    </w:p>
    <w:p>
      <w:pPr>
        <w:ind w:right="3299" w:firstLine="790"/>
        <w:spacing w:after="0" w:line="239" w:lineRule="auto"/>
        <w:tabs>
          <w:tab w:leader="none" w:pos="1154" w:val="left"/>
        </w:tabs>
        <w:numPr>
          <w:ilvl w:val="1"/>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Non-Assignment of Awards. The Grantee shall not be permitted to sell, transfer, pledge or assign any amount payable pursuant to the Plan or an Award, provided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305" w:name="page306"/>
    <w:bookmarkEnd w:id="305"/>
    <w:p>
      <w:pPr>
        <w:ind w:right="3119"/>
        <w:spacing w:after="0" w:line="238" w:lineRule="auto"/>
        <w:rPr>
          <w:sz w:val="20"/>
          <w:szCs w:val="20"/>
          <w:color w:val="auto"/>
        </w:rPr>
      </w:pPr>
      <w:r>
        <w:rPr>
          <w:rFonts w:ascii="Courier New" w:cs="Courier New" w:eastAsia="Courier New" w:hAnsi="Courier New"/>
          <w:sz w:val="15"/>
          <w:szCs w:val="15"/>
          <w:color w:val="auto"/>
        </w:rPr>
        <w:t>that the right to payment under an Award may pass by will or the laws of descent and distribution.</w:t>
      </w:r>
    </w:p>
    <w:p>
      <w:pPr>
        <w:spacing w:after="0" w:line="175" w:lineRule="exact"/>
        <w:rPr>
          <w:sz w:val="20"/>
          <w:szCs w:val="20"/>
          <w:color w:val="auto"/>
        </w:rPr>
      </w:pPr>
    </w:p>
    <w:p>
      <w:pPr>
        <w:ind w:right="3219" w:firstLine="790"/>
        <w:spacing w:after="0" w:line="260" w:lineRule="auto"/>
        <w:tabs>
          <w:tab w:leader="none" w:pos="1154" w:val="left"/>
        </w:tabs>
        <w:numPr>
          <w:ilvl w:val="1"/>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Company Plans.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62" w:lineRule="exact"/>
        <w:rPr>
          <w:rFonts w:ascii="Courier New" w:cs="Courier New" w:eastAsia="Courier New" w:hAnsi="Courier New"/>
          <w:sz w:val="14"/>
          <w:szCs w:val="14"/>
          <w:color w:val="auto"/>
        </w:rPr>
      </w:pPr>
    </w:p>
    <w:p>
      <w:pPr>
        <w:ind w:right="3119" w:firstLine="790"/>
        <w:spacing w:after="0"/>
        <w:tabs>
          <w:tab w:leader="none" w:pos="1154"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4" w:lineRule="exact"/>
        <w:rPr>
          <w:rFonts w:ascii="Courier New" w:cs="Courier New" w:eastAsia="Courier New" w:hAnsi="Courier New"/>
          <w:sz w:val="15"/>
          <w:szCs w:val="15"/>
          <w:color w:val="auto"/>
        </w:rPr>
      </w:pPr>
    </w:p>
    <w:p>
      <w:pPr>
        <w:ind w:right="3119" w:firstLine="790"/>
        <w:spacing w:after="0"/>
        <w:tabs>
          <w:tab w:leader="none" w:pos="1154"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75"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3"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343" w:lineRule="exact"/>
        <w:rPr>
          <w:sz w:val="20"/>
          <w:szCs w:val="20"/>
          <w:color w:val="auto"/>
        </w:rPr>
      </w:pPr>
    </w:p>
    <w:p>
      <w:pPr>
        <w:ind w:left="780" w:hanging="345"/>
        <w:spacing w:after="0"/>
        <w:tabs>
          <w:tab w:leader="none" w:pos="780"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Plan is 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06" w:name="page307"/>
    <w:bookmarkEnd w:id="306"/>
    <w:p>
      <w:pPr>
        <w:ind w:left="26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0" w:lineRule="exact"/>
        <w:rPr>
          <w:sz w:val="20"/>
          <w:szCs w:val="20"/>
          <w:color w:val="auto"/>
        </w:rPr>
      </w:pPr>
    </w:p>
    <w:p>
      <w:pPr>
        <w:spacing w:after="0" w:line="32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ATTEST:______________________________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8" w:right="1440" w:bottom="1440" w:gutter="0" w:footer="0" w:header="0"/>
        </w:sectPr>
      </w:pPr>
    </w:p>
    <w:bookmarkStart w:id="307" w:name="page308"/>
    <w:bookmarkEnd w:id="307"/>
    <w:p>
      <w:pPr>
        <w:spacing w:after="0" w:line="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10.11</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2002 NON-EMPLOYEE DIRECTOR COMPENSATION PLAN</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February 26, 2003)</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BACKGROUND AND PURPOSE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COMCAST CORPORATION, a Pennsylvania corporation, hereby amends and restates the Comcast Corporation 2002 Non-Employee Director Compensation Plan, effective February 26, 2003. The purpose of the Plan is to provide Non-Employee Directors of COMCAST CORPORATION (the "Company") with compensation for services to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DEFINITIONS</w:t>
      </w:r>
    </w:p>
    <w:p>
      <w:pPr>
        <w:spacing w:after="0" w:line="174" w:lineRule="exact"/>
        <w:rPr>
          <w:sz w:val="20"/>
          <w:szCs w:val="20"/>
          <w:color w:val="auto"/>
        </w:rPr>
      </w:pPr>
    </w:p>
    <w:p>
      <w:pPr>
        <w:ind w:right="3119" w:firstLine="799"/>
        <w:spacing w:after="0" w:line="264" w:lineRule="auto"/>
        <w:rPr>
          <w:sz w:val="20"/>
          <w:szCs w:val="20"/>
          <w:color w:val="auto"/>
        </w:rPr>
      </w:pPr>
      <w:r>
        <w:rPr>
          <w:rFonts w:ascii="Courier New" w:cs="Courier New" w:eastAsia="Courier New" w:hAnsi="Courier New"/>
          <w:sz w:val="14"/>
          <w:szCs w:val="14"/>
          <w:color w:val="auto"/>
        </w:rPr>
        <w:t>(a) "Annual Retainer" means the amount payable for service as a Non-Employee Director for a calendar year, as a member of the Board, and as a member of one or more Committees as determined under Paragraph 3(a) of the Plan.</w:t>
      </w:r>
    </w:p>
    <w:p>
      <w:pPr>
        <w:spacing w:after="0" w:line="157" w:lineRule="exact"/>
        <w:rPr>
          <w:sz w:val="20"/>
          <w:szCs w:val="20"/>
          <w:color w:val="auto"/>
        </w:rPr>
      </w:pPr>
    </w:p>
    <w:p>
      <w:pPr>
        <w:ind w:left="1140" w:hanging="350"/>
        <w:spacing w:after="0"/>
        <w:tabs>
          <w:tab w:leader="none" w:pos="1140"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Meeting" means a meeting of the Board, whether in person or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telephone.</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duly-constituted committee of the Board.</w:t>
      </w:r>
    </w:p>
    <w:p>
      <w:pPr>
        <w:spacing w:after="0" w:line="174"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Meeting" means a meeting of a Committee, whether in person or by telephone, other than a meeting of a Committee that is convened and held during a Board Meeting.</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a Pennsylvania corporation, including any successor thereto by merger, consolidation, acquisition of all or substantially all the assets thereof, or otherwise.</w:t>
      </w:r>
    </w:p>
    <w:p>
      <w:pPr>
        <w:spacing w:after="0" w:line="175"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an individual who is a member of the Board, and who is not an employee of the Company, including an individual who is a member of the Board and who previously was an employee of the Company.</w:t>
      </w:r>
    </w:p>
    <w:p>
      <w:pPr>
        <w:spacing w:after="0" w:line="175" w:lineRule="exact"/>
        <w:rPr>
          <w:rFonts w:ascii="Courier New" w:cs="Courier New" w:eastAsia="Courier New" w:hAnsi="Courier New"/>
          <w:sz w:val="15"/>
          <w:szCs w:val="15"/>
          <w:color w:val="auto"/>
        </w:rPr>
      </w:pPr>
    </w:p>
    <w:p>
      <w:pPr>
        <w:ind w:right="3479" w:firstLine="790"/>
        <w:spacing w:after="0" w:line="271" w:lineRule="auto"/>
        <w:tabs>
          <w:tab w:leader="none" w:pos="1154" w:val="left"/>
        </w:tabs>
        <w:numPr>
          <w:ilvl w:val="1"/>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2003 Non-Employee Director Compensation Plan, as set forth herein, and as amended from time to time.</w:t>
      </w:r>
    </w:p>
    <w:p>
      <w:pPr>
        <w:spacing w:after="0" w:line="153" w:lineRule="exact"/>
        <w:rPr>
          <w:rFonts w:ascii="Courier New" w:cs="Courier New" w:eastAsia="Courier New" w:hAnsi="Courier New"/>
          <w:sz w:val="14"/>
          <w:szCs w:val="14"/>
          <w:color w:val="auto"/>
        </w:rPr>
      </w:pPr>
    </w:p>
    <w:p>
      <w:pPr>
        <w:ind w:right="3479" w:firstLine="790"/>
        <w:spacing w:after="0" w:line="271" w:lineRule="auto"/>
        <w:tabs>
          <w:tab w:leader="none" w:pos="1154" w:val="left"/>
        </w:tabs>
        <w:numPr>
          <w:ilvl w:val="1"/>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(i) the period from November 18, 2002 through December 31, 2002 and (ii) each calendar year beginning after 2002.</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84" w:lineRule="exact"/>
        <w:rPr>
          <w:rFonts w:ascii="Courier New" w:cs="Courier New" w:eastAsia="Courier New" w:hAnsi="Courier New"/>
          <w:sz w:val="14"/>
          <w:szCs w:val="14"/>
          <w:color w:val="auto"/>
        </w:rPr>
      </w:pPr>
    </w:p>
    <w:p>
      <w:pPr>
        <w:ind w:right="3219" w:firstLine="790"/>
        <w:spacing w:after="0" w:line="238" w:lineRule="auto"/>
        <w:tabs>
          <w:tab w:leader="none" w:pos="1154"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Comcast Corporation Class A Common Stock, par value $0.01.</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COMPENSATION</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Compensation Package. Effective as of November 18, 2002, Non-Employee Directors shall be entitled to payments, grants and awards determined as follows:</w:t>
      </w:r>
    </w:p>
    <w:p>
      <w:pPr>
        <w:spacing w:after="0" w:line="175" w:lineRule="exact"/>
        <w:rPr>
          <w:rFonts w:ascii="Courier New" w:cs="Courier New" w:eastAsia="Courier New" w:hAnsi="Courier New"/>
          <w:sz w:val="15"/>
          <w:szCs w:val="15"/>
          <w:color w:val="auto"/>
        </w:rPr>
      </w:pPr>
    </w:p>
    <w:p>
      <w:pPr>
        <w:ind w:right="3219" w:firstLine="1766"/>
        <w:spacing w:after="0" w:line="238" w:lineRule="auto"/>
        <w:tabs>
          <w:tab w:leader="none" w:pos="213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The Annual Retainer for service to the Company as a Non-Employee Director shall be $50,000.</w:t>
      </w:r>
    </w:p>
    <w:p>
      <w:pPr>
        <w:spacing w:after="0" w:line="172" w:lineRule="exact"/>
        <w:rPr>
          <w:rFonts w:ascii="Courier New" w:cs="Courier New" w:eastAsia="Courier New" w:hAnsi="Courier New"/>
          <w:sz w:val="15"/>
          <w:szCs w:val="15"/>
          <w:color w:val="auto"/>
        </w:rPr>
      </w:pPr>
    </w:p>
    <w:p>
      <w:pPr>
        <w:ind w:left="2200" w:hanging="434"/>
        <w:spacing w:after="0"/>
        <w:tabs>
          <w:tab w:leader="none" w:pos="220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Meeting Fee. The fee payable for attendance in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person or via telephone at a Board Meeting shall be $2,000.</w:t>
      </w:r>
    </w:p>
    <w:p>
      <w:pPr>
        <w:spacing w:after="0" w:line="171" w:lineRule="exact"/>
        <w:rPr>
          <w:rFonts w:ascii="Courier New" w:cs="Courier New" w:eastAsia="Courier New" w:hAnsi="Courier New"/>
          <w:sz w:val="15"/>
          <w:szCs w:val="15"/>
          <w:color w:val="auto"/>
        </w:rPr>
      </w:pPr>
    </w:p>
    <w:p>
      <w:pPr>
        <w:ind w:left="2300" w:hanging="534"/>
        <w:spacing w:after="0"/>
        <w:tabs>
          <w:tab w:leader="none" w:pos="230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Chair - Audit Committee. The Annual</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Retainer for service as Chair of the Audit Committee shall be $20,000</w:t>
      </w:r>
    </w:p>
    <w:p>
      <w:pPr>
        <w:spacing w:after="0" w:line="174" w:lineRule="exact"/>
        <w:rPr>
          <w:rFonts w:ascii="Courier New" w:cs="Courier New" w:eastAsia="Courier New" w:hAnsi="Courier New"/>
          <w:sz w:val="15"/>
          <w:szCs w:val="15"/>
          <w:color w:val="auto"/>
        </w:rPr>
      </w:pPr>
    </w:p>
    <w:p>
      <w:pPr>
        <w:ind w:right="3299" w:firstLine="1766"/>
        <w:spacing w:after="0" w:line="271" w:lineRule="auto"/>
        <w:tabs>
          <w:tab w:leader="none" w:pos="2219" w:val="left"/>
        </w:tabs>
        <w:numPr>
          <w:ilvl w:val="2"/>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Retainer: Member - Audit Committee. The Annual Retainer for service as a member of the Audit Committee shall be $10,000.</w:t>
      </w:r>
    </w:p>
    <w:p>
      <w:pPr>
        <w:spacing w:after="0" w:line="153" w:lineRule="exact"/>
        <w:rPr>
          <w:rFonts w:ascii="Courier New" w:cs="Courier New" w:eastAsia="Courier New" w:hAnsi="Courier New"/>
          <w:sz w:val="14"/>
          <w:szCs w:val="14"/>
          <w:color w:val="auto"/>
        </w:rPr>
      </w:pPr>
    </w:p>
    <w:p>
      <w:pPr>
        <w:ind w:right="3479" w:firstLine="1766"/>
        <w:spacing w:after="0" w:line="239" w:lineRule="auto"/>
        <w:tabs>
          <w:tab w:leader="none" w:pos="213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Chair - Compensation Committee. The Annual Retainer for service as Chair of the Compensation Committee shall be $10,000.</w:t>
      </w:r>
    </w:p>
    <w:p>
      <w:pPr>
        <w:spacing w:after="0" w:line="175" w:lineRule="exact"/>
        <w:rPr>
          <w:rFonts w:ascii="Courier New" w:cs="Courier New" w:eastAsia="Courier New" w:hAnsi="Courier New"/>
          <w:sz w:val="15"/>
          <w:szCs w:val="15"/>
          <w:color w:val="auto"/>
        </w:rPr>
      </w:pPr>
    </w:p>
    <w:p>
      <w:pPr>
        <w:jc w:val="both"/>
        <w:ind w:right="3299" w:firstLine="1766"/>
        <w:spacing w:after="0" w:line="239" w:lineRule="auto"/>
        <w:tabs>
          <w:tab w:leader="none" w:pos="2219"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Member - Compensation Committee. The Annual Retainer for service as a member of the Compensation Committee shall be $5,000.</w:t>
      </w:r>
    </w:p>
    <w:p>
      <w:pPr>
        <w:spacing w:after="0" w:line="172" w:lineRule="exact"/>
        <w:rPr>
          <w:rFonts w:ascii="Courier New" w:cs="Courier New" w:eastAsia="Courier New" w:hAnsi="Courier New"/>
          <w:sz w:val="15"/>
          <w:szCs w:val="15"/>
          <w:color w:val="auto"/>
        </w:rPr>
      </w:pPr>
    </w:p>
    <w:p>
      <w:pPr>
        <w:ind w:left="2300" w:hanging="534"/>
        <w:spacing w:after="0"/>
        <w:tabs>
          <w:tab w:leader="none" w:pos="230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Chair - Any Committee of the Board</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Audit Committee or the Compensation Committee. The Annual Retainer for service as the Chair of any committee of the Board other than the Audit Committee or the Compensation Committee shall be $5,000.</w:t>
      </w:r>
    </w:p>
    <w:p>
      <w:pPr>
        <w:spacing w:after="0" w:line="172" w:lineRule="exact"/>
        <w:rPr>
          <w:rFonts w:ascii="Courier New" w:cs="Courier New" w:eastAsia="Courier New" w:hAnsi="Courier New"/>
          <w:sz w:val="15"/>
          <w:szCs w:val="15"/>
          <w:color w:val="auto"/>
        </w:rPr>
      </w:pPr>
    </w:p>
    <w:p>
      <w:pPr>
        <w:ind w:left="2380" w:hanging="614"/>
        <w:spacing w:after="0"/>
        <w:tabs>
          <w:tab w:leader="none" w:pos="238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Member - Any Committee of the Board</w:t>
      </w:r>
    </w:p>
    <w:p>
      <w:pPr>
        <w:spacing w:after="0" w:line="3" w:lineRule="exact"/>
        <w:rPr>
          <w:rFonts w:ascii="Courier New" w:cs="Courier New" w:eastAsia="Courier New" w:hAnsi="Courier New"/>
          <w:sz w:val="15"/>
          <w:szCs w:val="15"/>
          <w:color w:val="auto"/>
        </w:rPr>
      </w:pPr>
    </w:p>
    <w:p>
      <w:pPr>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Audit Committee or the Compensation Committee. The Annual Retainer for service as a member of any committee of the Board other than the Audit Committee or the Compensation Committee shall be $2,500.</w:t>
      </w:r>
    </w:p>
    <w:p>
      <w:pPr>
        <w:spacing w:after="0" w:line="172" w:lineRule="exact"/>
        <w:rPr>
          <w:rFonts w:ascii="Courier New" w:cs="Courier New" w:eastAsia="Courier New" w:hAnsi="Courier New"/>
          <w:sz w:val="15"/>
          <w:szCs w:val="15"/>
          <w:color w:val="auto"/>
        </w:rPr>
      </w:pPr>
    </w:p>
    <w:p>
      <w:pPr>
        <w:ind w:left="2200" w:hanging="434"/>
        <w:spacing w:after="0"/>
        <w:tabs>
          <w:tab w:leader="none" w:pos="2200" w:val="left"/>
        </w:tabs>
        <w:numPr>
          <w:ilvl w:val="2"/>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Meeting Fee - Audit Committee and</w:t>
      </w:r>
    </w:p>
    <w:p>
      <w:pPr>
        <w:spacing w:after="0" w:line="3" w:lineRule="exact"/>
        <w:rPr>
          <w:rFonts w:ascii="Courier New" w:cs="Courier New" w:eastAsia="Courier New" w:hAnsi="Courier New"/>
          <w:sz w:val="15"/>
          <w:szCs w:val="15"/>
          <w:color w:val="auto"/>
        </w:rPr>
      </w:pPr>
    </w:p>
    <w:p>
      <w:pPr>
        <w:ind w:right="357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Compensation Committee. The fee payable for attendance in person or via telephone at a Committee Meeting of the Audit Committee or the Compensation</w:t>
      </w:r>
    </w:p>
    <w:p>
      <w:pPr>
        <w:sectPr>
          <w:pgSz w:w="11900" w:h="16890" w:orient="portrait"/>
          <w:cols w:equalWidth="0" w:num="1">
            <w:col w:w="10219"/>
          </w:cols>
          <w:pgMar w:left="240" w:top="138" w:right="1440" w:bottom="0" w:gutter="0" w:footer="0" w:header="0"/>
        </w:sectPr>
      </w:pPr>
    </w:p>
    <w:bookmarkStart w:id="308" w:name="page309"/>
    <w:bookmarkEnd w:id="308"/>
    <w:p>
      <w:pPr>
        <w:spacing w:after="0"/>
        <w:rPr>
          <w:sz w:val="20"/>
          <w:szCs w:val="20"/>
          <w:color w:val="auto"/>
        </w:rPr>
      </w:pPr>
      <w:r>
        <w:rPr>
          <w:rFonts w:ascii="Courier New" w:cs="Courier New" w:eastAsia="Courier New" w:hAnsi="Courier New"/>
          <w:sz w:val="15"/>
          <w:szCs w:val="15"/>
          <w:color w:val="auto"/>
        </w:rPr>
        <w:t>Committee shall be $2,500.</w:t>
      </w:r>
    </w:p>
    <w:p>
      <w:pPr>
        <w:spacing w:after="0" w:line="174" w:lineRule="exact"/>
        <w:rPr>
          <w:sz w:val="20"/>
          <w:szCs w:val="20"/>
          <w:color w:val="auto"/>
        </w:rPr>
      </w:pPr>
    </w:p>
    <w:p>
      <w:pPr>
        <w:ind w:right="3119" w:firstLine="1766"/>
        <w:spacing w:after="0" w:line="271" w:lineRule="auto"/>
        <w:tabs>
          <w:tab w:leader="none" w:pos="213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Meeting Fee - Any Committee of the Board other than the Audit Committee or the Compensation Committee. The fee payable for</w:t>
      </w:r>
    </w:p>
    <w:p>
      <w:pPr>
        <w:spacing w:after="0" w:line="3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8" w:right="1440" w:bottom="1440" w:gutter="0" w:footer="0" w:header="0"/>
        </w:sectPr>
      </w:pPr>
    </w:p>
    <w:bookmarkStart w:id="309" w:name="page310"/>
    <w:bookmarkEnd w:id="309"/>
    <w:p>
      <w:pPr>
        <w:jc w:val="both"/>
        <w:ind w:left="9" w:right="3820"/>
        <w:spacing w:after="0" w:line="271" w:lineRule="auto"/>
        <w:rPr>
          <w:sz w:val="20"/>
          <w:szCs w:val="20"/>
          <w:color w:val="auto"/>
        </w:rPr>
      </w:pPr>
      <w:r>
        <w:rPr>
          <w:rFonts w:ascii="Courier New" w:cs="Courier New" w:eastAsia="Courier New" w:hAnsi="Courier New"/>
          <w:sz w:val="14"/>
          <w:szCs w:val="14"/>
          <w:color w:val="auto"/>
        </w:rPr>
        <w:t>attendance in person or via telephone at a Committee Meeting of any Committee other than the Audit Committee or the Compensation Committee shall be $1,000.</w:t>
      </w:r>
    </w:p>
    <w:p>
      <w:pPr>
        <w:spacing w:after="0" w:line="151" w:lineRule="exact"/>
        <w:rPr>
          <w:sz w:val="20"/>
          <w:szCs w:val="20"/>
          <w:color w:val="auto"/>
        </w:rPr>
      </w:pPr>
    </w:p>
    <w:p>
      <w:pPr>
        <w:ind w:left="2129" w:hanging="354"/>
        <w:spacing w:after="0"/>
        <w:tabs>
          <w:tab w:leader="none" w:pos="2129"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1" w:lineRule="exact"/>
        <w:rPr>
          <w:rFonts w:ascii="Courier New" w:cs="Courier New" w:eastAsia="Courier New" w:hAnsi="Courier New"/>
          <w:sz w:val="15"/>
          <w:szCs w:val="15"/>
          <w:color w:val="auto"/>
        </w:rPr>
      </w:pPr>
    </w:p>
    <w:p>
      <w:pPr>
        <w:ind w:left="2489" w:hanging="359"/>
        <w:spacing w:after="0"/>
        <w:tabs>
          <w:tab w:leader="none" w:pos="2489" w:val="left"/>
        </w:tabs>
        <w:numPr>
          <w:ilvl w:val="2"/>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November 20, 2002 and as of November 2002 of</w:t>
      </w:r>
    </w:p>
    <w:p>
      <w:pPr>
        <w:spacing w:after="0" w:line="3" w:lineRule="exact"/>
        <w:rPr>
          <w:rFonts w:ascii="Courier New" w:cs="Courier New" w:eastAsia="Courier New" w:hAnsi="Courier New"/>
          <w:sz w:val="15"/>
          <w:szCs w:val="15"/>
          <w:color w:val="auto"/>
        </w:rPr>
      </w:pPr>
    </w:p>
    <w:p>
      <w:pPr>
        <w:ind w:left="9" w:right="354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Plan Year beginning after 2002, the Board shall grant non-qualified options to purchase 7,500 Shares to each Non-Employee Director who is in service as of each such date; provided that with respect to each individual who first becomes a Non-Employee Director after November 20, 2002, the Board shall grant a number of non-qualified options to purchase Shares determined as follows: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5"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5409" w:right="800" w:hanging="5413"/>
        <w:spacing w:after="0" w:line="238" w:lineRule="auto"/>
        <w:tabs>
          <w:tab w:leader="none" w:pos="5389" w:val="left"/>
        </w:tabs>
        <w:rPr>
          <w:sz w:val="20"/>
          <w:szCs w:val="20"/>
          <w:color w:val="auto"/>
        </w:rPr>
      </w:pPr>
      <w:r>
        <w:rPr>
          <w:rFonts w:ascii="Courier New" w:cs="Courier New" w:eastAsia="Courier New" w:hAnsi="Courier New"/>
          <w:sz w:val="15"/>
          <w:szCs w:val="15"/>
          <w:color w:val="auto"/>
        </w:rPr>
        <w:t>Date of Commencement of Service as a Non-Employee Director</w:t>
        <w:tab/>
        <w:t>Number of Shares Subject to Grant of Non-Qualified Options</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After November 20 of a Plan Year and before the next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following February 20</w:t>
            </w:r>
          </w:p>
        </w:tc>
        <w:tc>
          <w:tcPr>
            <w:tcW w:w="84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After February 20 of a Plan Year and before the next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5,625</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following May 20</w:t>
            </w:r>
          </w:p>
        </w:tc>
        <w:tc>
          <w:tcPr>
            <w:tcW w:w="84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After May</w:t>
            </w: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rPr>
              <w:t>20 of a Plan Year and before the next following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August 20</w:t>
            </w:r>
          </w:p>
        </w:tc>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9"/>
        <w:spacing w:after="0"/>
        <w:tabs>
          <w:tab w:leader="none" w:pos="5389" w:val="left"/>
        </w:tabs>
        <w:rPr>
          <w:sz w:val="20"/>
          <w:szCs w:val="20"/>
          <w:color w:val="auto"/>
        </w:rPr>
      </w:pPr>
      <w:r>
        <w:rPr>
          <w:rFonts w:ascii="Courier New" w:cs="Courier New" w:eastAsia="Courier New" w:hAnsi="Courier New"/>
          <w:sz w:val="15"/>
          <w:szCs w:val="15"/>
          <w:color w:val="auto"/>
        </w:rPr>
        <w:t>After August 20 of a Plan Year and before the next</w:t>
      </w:r>
      <w:r>
        <w:rPr>
          <w:sz w:val="20"/>
          <w:szCs w:val="20"/>
          <w:color w:val="auto"/>
        </w:rPr>
        <w:tab/>
      </w:r>
      <w:r>
        <w:rPr>
          <w:rFonts w:ascii="Courier New" w:cs="Courier New" w:eastAsia="Courier New" w:hAnsi="Courier New"/>
          <w:sz w:val="14"/>
          <w:szCs w:val="14"/>
          <w:color w:val="auto"/>
        </w:rPr>
        <w:t>1,875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November 20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353" w:lineRule="exact"/>
        <w:rPr>
          <w:sz w:val="20"/>
          <w:szCs w:val="20"/>
          <w:color w:val="auto"/>
        </w:rPr>
      </w:pPr>
    </w:p>
    <w:p>
      <w:pPr>
        <w:ind w:left="9" w:right="3540"/>
        <w:spacing w:after="0"/>
        <w:rPr>
          <w:sz w:val="20"/>
          <w:szCs w:val="20"/>
          <w:color w:val="auto"/>
        </w:rPr>
      </w:pPr>
      <w:r>
        <w:rPr>
          <w:rFonts w:ascii="Courier New" w:cs="Courier New" w:eastAsia="Courier New" w:hAnsi="Courier New"/>
          <w:sz w:val="15"/>
          <w:szCs w:val="15"/>
          <w:color w:val="auto"/>
        </w:rPr>
        <w:t>Each non-qualified option shall (1) generally be exercisable for 10 years from the date of grant, provided that options, to the extent then exercisable, shall be exercisable for 90 days following a termination of service for any reason other than death, disability or attainment of a mandatory retirement age; (2) vest and be exercisable in full after six months from the date of grant, provided that the Director continues in service for six months from the date of grant; (3) have an option price equal to the fair market value of the option share on the date of grant; and (4) bear such other terms and conditions of such shall be determined by the Board in its discretion.</w:t>
      </w:r>
    </w:p>
    <w:p>
      <w:pPr>
        <w:spacing w:after="0" w:line="175" w:lineRule="exact"/>
        <w:rPr>
          <w:sz w:val="20"/>
          <w:szCs w:val="20"/>
          <w:color w:val="auto"/>
        </w:rPr>
      </w:pPr>
    </w:p>
    <w:p>
      <w:pPr>
        <w:ind w:left="2489" w:hanging="359"/>
        <w:spacing w:after="0"/>
        <w:tabs>
          <w:tab w:leader="none" w:pos="2489" w:val="left"/>
        </w:tabs>
        <w:numPr>
          <w:ilvl w:val="1"/>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Shares are changed into or</w:t>
      </w:r>
    </w:p>
    <w:p>
      <w:pPr>
        <w:spacing w:after="0" w:line="3" w:lineRule="exact"/>
        <w:rPr>
          <w:rFonts w:ascii="Courier New" w:cs="Courier New" w:eastAsia="Courier New" w:hAnsi="Courier New"/>
          <w:sz w:val="15"/>
          <w:szCs w:val="15"/>
          <w:color w:val="auto"/>
        </w:rPr>
      </w:pPr>
    </w:p>
    <w:p>
      <w:pPr>
        <w:ind w:left="9" w:right="364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Non-Qualified Options under the Plan shall be adjusted consistent with the adjustment made pursuant to the Comcast Corporation 2002 Stock Option Plan (or such other more recently-adopted generally applicable Plan pursuant to which the Company grants stock options), and such adjustment shall be effective and binding for all purposes of this Plan.</w:t>
      </w:r>
    </w:p>
    <w:p>
      <w:pPr>
        <w:spacing w:after="0" w:line="166" w:lineRule="exact"/>
        <w:rPr>
          <w:rFonts w:ascii="Courier New" w:cs="Courier New" w:eastAsia="Courier New" w:hAnsi="Courier New"/>
          <w:sz w:val="15"/>
          <w:szCs w:val="15"/>
          <w:color w:val="auto"/>
        </w:rPr>
      </w:pPr>
    </w:p>
    <w:p>
      <w:pPr>
        <w:ind w:left="9" w:right="3640" w:firstLine="790"/>
        <w:spacing w:after="0" w:line="271" w:lineRule="auto"/>
        <w:tabs>
          <w:tab w:leader="none" w:pos="1163"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Practices. Payments, grants and awards described in Paragraph 3(a) of the Plan shall be subject to the following payment practices:</w:t>
      </w:r>
    </w:p>
    <w:p>
      <w:pPr>
        <w:spacing w:after="0" w:line="32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649"/>
          </w:cols>
          <w:pgMar w:left="231" w:top="630" w:right="1019" w:bottom="1440" w:gutter="0" w:footer="0" w:header="0"/>
        </w:sectPr>
      </w:pPr>
    </w:p>
    <w:bookmarkStart w:id="310" w:name="page311"/>
    <w:bookmarkEnd w:id="310"/>
    <w:p>
      <w:pPr>
        <w:ind w:right="3119" w:firstLine="1766"/>
        <w:spacing w:after="0"/>
        <w:tabs>
          <w:tab w:leader="none" w:pos="2130" w:val="left"/>
        </w:tabs>
        <w:numPr>
          <w:ilvl w:val="1"/>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payments described in Paragraphs 3(a)(i), 3(a)(iii), 3(a)(iv), 3(a)(v), 3(a)(vi), 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The Annual Retainer amounts adopted as part of the amendment and restatement of the Plan effective February 26, 2003 shall apply for the first calendar quarter of 2003 for any Non-Employee Director in service as a Non-Employee Director (including with respect to Committee assignments) for the period from February 26, 2003 through March 31, 2003.</w:t>
      </w:r>
    </w:p>
    <w:p>
      <w:pPr>
        <w:spacing w:after="0" w:line="180" w:lineRule="exact"/>
        <w:rPr>
          <w:rFonts w:ascii="Courier New" w:cs="Courier New" w:eastAsia="Courier New" w:hAnsi="Courier New"/>
          <w:sz w:val="15"/>
          <w:szCs w:val="15"/>
          <w:color w:val="auto"/>
        </w:rPr>
      </w:pPr>
    </w:p>
    <w:p>
      <w:pPr>
        <w:ind w:right="3219" w:firstLine="1766"/>
        <w:spacing w:after="0"/>
        <w:tabs>
          <w:tab w:leader="none" w:pos="2219" w:val="left"/>
        </w:tabs>
        <w:numPr>
          <w:ilvl w:val="1"/>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Non-Employee Director may elect to receive up to 50% of the Annual Retainer amount described in Paragraph 3(a)(i) and payable after 2002 in the form of Shares. The number of Shares payable to a Non-Employee Director shall be determined based on the closing price of Shares on the last business day of each calendar quarter.</w:t>
      </w:r>
    </w:p>
    <w:p>
      <w:pPr>
        <w:spacing w:after="0" w:line="171"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TAXES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AMENDMENT AND TERMINATION</w:t>
      </w:r>
    </w:p>
    <w:p>
      <w:pPr>
        <w:spacing w:after="0" w:line="174"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 EFFECTIVE DATE</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effective date of this amended and restatement of the Plan is February 26, 2003, and applies with respect to Committee Meetings held on or after January 1, 2003. The original effective date of the Plan is November 18, 2002.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GOVERNING LAW</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11" w:name="page312"/>
    <w:bookmarkEnd w:id="311"/>
    <w:p>
      <w:pPr>
        <w:ind w:right="3219" w:firstLine="799"/>
        <w:spacing w:after="0" w:line="238"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5"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BY:____________________________</w:t>
      </w:r>
    </w:p>
    <w:p>
      <w:pPr>
        <w:spacing w:after="0" w:line="200" w:lineRule="exact"/>
        <w:rPr>
          <w:sz w:val="20"/>
          <w:szCs w:val="20"/>
          <w:color w:val="auto"/>
        </w:rPr>
      </w:pPr>
    </w:p>
    <w:p>
      <w:pPr>
        <w:spacing w:after="0" w:line="32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ATTEST:________________________</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0" w:right="1440" w:bottom="1440" w:gutter="0" w:footer="0" w:header="0"/>
        </w:sectPr>
      </w:pPr>
    </w:p>
    <w:bookmarkStart w:id="312" w:name="page313"/>
    <w:bookmarkEnd w:id="312"/>
    <w:p>
      <w:pPr>
        <w:ind w:left="1900"/>
        <w:spacing w:after="0"/>
        <w:rPr>
          <w:sz w:val="20"/>
          <w:szCs w:val="20"/>
          <w:color w:val="auto"/>
        </w:rPr>
      </w:pPr>
      <w:r>
        <w:rPr>
          <w:rFonts w:ascii="Courier New" w:cs="Courier New" w:eastAsia="Courier New" w:hAnsi="Courier New"/>
          <w:sz w:val="15"/>
          <w:szCs w:val="15"/>
          <w:color w:val="auto"/>
        </w:rPr>
        <w:t>SCHEDULE I</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NON-EMPLOYEE DIRECTOR COMPENSATION</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Director Annual Retainer</w:t>
      </w:r>
      <w:r>
        <w:rPr>
          <w:sz w:val="20"/>
          <w:szCs w:val="20"/>
          <w:color w:val="auto"/>
        </w:rPr>
        <w:tab/>
      </w:r>
      <w:r>
        <w:rPr>
          <w:rFonts w:ascii="Courier New" w:cs="Courier New" w:eastAsia="Courier New" w:hAnsi="Courier New"/>
          <w:sz w:val="14"/>
          <w:szCs w:val="14"/>
          <w:color w:val="auto"/>
        </w:rPr>
        <w:t>$50,000, subject to election to receive up</w:t>
      </w:r>
    </w:p>
    <w:p>
      <w:pPr>
        <w:spacing w:after="0" w:line="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to half in the form of Comcast Corporation Class</w:t>
      </w:r>
    </w:p>
    <w:p>
      <w:pPr>
        <w:spacing w:after="0" w:line="9"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A Common Stock</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Board Meeting Fee</w:t>
      </w:r>
      <w:r>
        <w:rPr>
          <w:sz w:val="20"/>
          <w:szCs w:val="20"/>
          <w:color w:val="auto"/>
        </w:rPr>
        <w:tab/>
      </w:r>
      <w:r>
        <w:rPr>
          <w:rFonts w:ascii="Courier New" w:cs="Courier New" w:eastAsia="Courier New" w:hAnsi="Courier New"/>
          <w:sz w:val="14"/>
          <w:szCs w:val="14"/>
          <w:color w:val="auto"/>
        </w:rPr>
        <w:t>$2,000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Audit Committee Annual Retainer - Chair</w:t>
      </w:r>
      <w:r>
        <w:rPr>
          <w:sz w:val="20"/>
          <w:szCs w:val="20"/>
          <w:color w:val="auto"/>
        </w:rPr>
        <w:tab/>
      </w:r>
      <w:r>
        <w:rPr>
          <w:rFonts w:ascii="Courier New" w:cs="Courier New" w:eastAsia="Courier New" w:hAnsi="Courier New"/>
          <w:sz w:val="14"/>
          <w:szCs w:val="14"/>
          <w:color w:val="auto"/>
        </w:rPr>
        <w:t>$20,000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Compensation Committee Annual Retainer - Chair</w:t>
      </w:r>
      <w:r>
        <w:rPr>
          <w:sz w:val="20"/>
          <w:szCs w:val="20"/>
          <w:color w:val="auto"/>
        </w:rPr>
        <w:tab/>
      </w:r>
      <w:r>
        <w:rPr>
          <w:rFonts w:ascii="Courier New" w:cs="Courier New" w:eastAsia="Courier New" w:hAnsi="Courier New"/>
          <w:sz w:val="14"/>
          <w:szCs w:val="14"/>
          <w:color w:val="auto"/>
        </w:rPr>
        <w:t>$10,000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Other Committee Annual Retainer - Chair</w:t>
      </w:r>
      <w:r>
        <w:rPr>
          <w:sz w:val="20"/>
          <w:szCs w:val="20"/>
          <w:color w:val="auto"/>
        </w:rPr>
        <w:tab/>
      </w:r>
      <w:r>
        <w:rPr>
          <w:rFonts w:ascii="Courier New" w:cs="Courier New" w:eastAsia="Courier New" w:hAnsi="Courier New"/>
          <w:sz w:val="14"/>
          <w:szCs w:val="14"/>
          <w:color w:val="auto"/>
        </w:rPr>
        <w:t>$5,000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Audit Committee Annual Retainer - Member</w:t>
      </w:r>
      <w:r>
        <w:rPr>
          <w:sz w:val="20"/>
          <w:szCs w:val="20"/>
          <w:color w:val="auto"/>
        </w:rPr>
        <w:tab/>
      </w:r>
      <w:r>
        <w:rPr>
          <w:rFonts w:ascii="Courier New" w:cs="Courier New" w:eastAsia="Courier New" w:hAnsi="Courier New"/>
          <w:sz w:val="14"/>
          <w:szCs w:val="14"/>
          <w:color w:val="auto"/>
        </w:rPr>
        <w:t>$10,000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Compensation Committee Annual Retainer - Member</w:t>
      </w:r>
      <w:r>
        <w:rPr>
          <w:sz w:val="20"/>
          <w:szCs w:val="20"/>
          <w:color w:val="auto"/>
        </w:rPr>
        <w:tab/>
      </w:r>
      <w:r>
        <w:rPr>
          <w:rFonts w:ascii="Courier New" w:cs="Courier New" w:eastAsia="Courier New" w:hAnsi="Courier New"/>
          <w:sz w:val="14"/>
          <w:szCs w:val="14"/>
          <w:color w:val="auto"/>
        </w:rPr>
        <w:t>$5,000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Other Committee Annual Retainer - Member</w:t>
      </w:r>
      <w:r>
        <w:rPr>
          <w:sz w:val="20"/>
          <w:szCs w:val="20"/>
          <w:color w:val="auto"/>
        </w:rPr>
        <w:tab/>
      </w:r>
      <w:r>
        <w:rPr>
          <w:rFonts w:ascii="Courier New" w:cs="Courier New" w:eastAsia="Courier New" w:hAnsi="Courier New"/>
          <w:sz w:val="14"/>
          <w:szCs w:val="14"/>
          <w:color w:val="auto"/>
        </w:rPr>
        <w:t>$2,500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Committee Meeting Fee - Audit Committee</w:t>
      </w:r>
      <w:r>
        <w:rPr>
          <w:sz w:val="20"/>
          <w:szCs w:val="20"/>
          <w:color w:val="auto"/>
        </w:rPr>
        <w:tab/>
      </w:r>
      <w:r>
        <w:rPr>
          <w:rFonts w:ascii="Courier New" w:cs="Courier New" w:eastAsia="Courier New" w:hAnsi="Courier New"/>
          <w:sz w:val="14"/>
          <w:szCs w:val="14"/>
          <w:color w:val="auto"/>
        </w:rPr>
        <w:t>$2,500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Committee Meeting Fee - Compensation Committee</w:t>
      </w:r>
      <w:r>
        <w:rPr>
          <w:sz w:val="20"/>
          <w:szCs w:val="20"/>
          <w:color w:val="auto"/>
        </w:rPr>
        <w:tab/>
      </w:r>
      <w:r>
        <w:rPr>
          <w:rFonts w:ascii="Courier New" w:cs="Courier New" w:eastAsia="Courier New" w:hAnsi="Courier New"/>
          <w:sz w:val="14"/>
          <w:szCs w:val="14"/>
          <w:color w:val="auto"/>
        </w:rPr>
        <w:t>$2,500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Committee Meeting Fee - Other Committee</w:t>
      </w:r>
      <w:r>
        <w:rPr>
          <w:sz w:val="20"/>
          <w:szCs w:val="20"/>
          <w:color w:val="auto"/>
        </w:rPr>
        <w:tab/>
      </w:r>
      <w:r>
        <w:rPr>
          <w:rFonts w:ascii="Courier New" w:cs="Courier New" w:eastAsia="Courier New" w:hAnsi="Courier New"/>
          <w:sz w:val="14"/>
          <w:szCs w:val="14"/>
          <w:color w:val="auto"/>
        </w:rPr>
        <w:t>$1,000</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300"/>
        <w:spacing w:after="0"/>
        <w:tabs>
          <w:tab w:leader="none" w:pos="4900" w:val="left"/>
        </w:tabs>
        <w:rPr>
          <w:sz w:val="20"/>
          <w:szCs w:val="20"/>
          <w:color w:val="auto"/>
        </w:rPr>
      </w:pPr>
      <w:r>
        <w:rPr>
          <w:rFonts w:ascii="Courier New" w:cs="Courier New" w:eastAsia="Courier New" w:hAnsi="Courier New"/>
          <w:sz w:val="15"/>
          <w:szCs w:val="15"/>
          <w:color w:val="auto"/>
        </w:rPr>
        <w:t>Annual Stock Option Grant</w:t>
      </w:r>
      <w:r>
        <w:rPr>
          <w:sz w:val="20"/>
          <w:szCs w:val="20"/>
          <w:color w:val="auto"/>
        </w:rPr>
        <w:tab/>
      </w:r>
      <w:r>
        <w:rPr>
          <w:rFonts w:ascii="Courier New" w:cs="Courier New" w:eastAsia="Courier New" w:hAnsi="Courier New"/>
          <w:sz w:val="14"/>
          <w:szCs w:val="14"/>
          <w:color w:val="auto"/>
        </w:rPr>
        <w:t>7,500 shares</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180"/>
          </w:cols>
          <w:pgMar w:left="1440" w:top="969" w:right="1279" w:bottom="1440" w:gutter="0" w:footer="0" w:header="0"/>
        </w:sectPr>
      </w:pPr>
    </w:p>
    <w:bookmarkStart w:id="313" w:name="page314"/>
    <w:bookmarkEnd w:id="313"/>
    <w:p>
      <w:pPr>
        <w:jc w:val="right"/>
        <w:ind w:right="3119"/>
        <w:spacing w:after="0"/>
        <w:rPr>
          <w:sz w:val="20"/>
          <w:szCs w:val="20"/>
          <w:color w:val="auto"/>
        </w:rPr>
      </w:pPr>
      <w:r>
        <w:rPr>
          <w:rFonts w:ascii="Courier New" w:cs="Courier New" w:eastAsia="Courier New" w:hAnsi="Courier New"/>
          <w:sz w:val="15"/>
          <w:szCs w:val="15"/>
          <w:color w:val="auto"/>
        </w:rPr>
        <w:t>Exhibit 10.16</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AMENDMENT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COMPENSATION AND DEFERRED COMPENSATION AGREEMENT</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BETWEEN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COMCAST CORPORATION AND RALPH J. ROBERTS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Amendment is made this ______ day of _____________ , 2002, by and</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between Comcast Corporation, a Pennsylvania corporation (the "Company") and Ralph J. Roberts ("Roberts").</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WHEREAS, Roberts and the Company entered into an amended and restated Compensation and Deferred Compensation Agreement effective August 31, 1998 (the "Agreement"); and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WHEREAS, Roberts and the Company amended the Agreement by Amendment dated as of August 19, 1999, and further amended the Agreement by Amendment dated as of June 5, 2001 (the Agreement as thus amended by both Amendments being referred to herein as the "Amended Agreement"); and</w:t>
      </w:r>
    </w:p>
    <w:p>
      <w:pPr>
        <w:spacing w:after="0" w:line="347"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WHEREAS, the Company desires to further modify the provisions of the Amended Agreement concerning the payment of bonuses in connection with certain split-dollar life insurance arrangements between Roberts and the Company; and</w:t>
      </w:r>
    </w:p>
    <w:p>
      <w:pPr>
        <w:spacing w:after="0" w:line="330"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WHEREAS, Roberts is agreeable to accepting the Company's proposed modifications to the Amended Agreement;</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NOW THEREFORE, in consideration of the foregoing and of the provisions set forth herein,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1.Section 7.1 of the Amended Agreement is modified by replacing clause (a) of the first sentence thereof with the following new clause (a): "(a) pay the bonuses described in Section 7.2 hereof; and".</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2.Section 7.2.1 of the Amended Agreement is replaced with the following new</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7.2.1:</w:t>
      </w:r>
    </w:p>
    <w:p>
      <w:pPr>
        <w:spacing w:after="0" w:line="174" w:lineRule="exact"/>
        <w:rPr>
          <w:sz w:val="20"/>
          <w:szCs w:val="20"/>
          <w:color w:val="auto"/>
        </w:rPr>
      </w:pPr>
    </w:p>
    <w:p>
      <w:pPr>
        <w:ind w:left="880" w:right="3119" w:firstLine="444"/>
        <w:spacing w:after="0"/>
        <w:rPr>
          <w:sz w:val="20"/>
          <w:szCs w:val="20"/>
          <w:color w:val="auto"/>
        </w:rPr>
      </w:pPr>
      <w:r>
        <w:rPr>
          <w:rFonts w:ascii="Courier New" w:cs="Courier New" w:eastAsia="Courier New" w:hAnsi="Courier New"/>
          <w:sz w:val="15"/>
          <w:szCs w:val="15"/>
          <w:color w:val="auto"/>
        </w:rPr>
        <w:t>7.2.1 at least thirty (30) days before the beginning of each policy year for an Insurance Policy during the joint lifetimes of Roberts and his spouse and during the lifetime of the survivor of them, the Company shall pay to Roberts if he is living, otherwise to his spouse if she is living, as a bonus (a "Premium Bonus"), an amount equal to the economic benefit of the insurance protection provided under the Policy and the applicable Split-Dollar Arrangement for that policy year on the life or lives of such as are then living of Roberts and his spouse, regardless of whether or not the issuer of the Policy requires that a premium be paid to such issuer for such policy year. The economic benefit referred to in the preceding sentence shall be the lesser of (i) the value of current life insurance protection as determined using the P.S. 58 rates set forth by the Internal Revenue Service in Revenue Ruling 55-747, 1955-2 C.B. 228, modified as appropriate to reflect that such insurance protection is on the joint lives of Roberts and his spouse and that the death benefit under the Policy is payable only upon the death of the second-to-die of them, and (ii) if such insurance protection is available from the issuer of the Policy as term insurance, the premium for such insurance protection as</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8" w:right="1440" w:bottom="1440" w:gutter="0" w:footer="0" w:header="0"/>
        </w:sectPr>
      </w:pPr>
    </w:p>
    <w:bookmarkStart w:id="314" w:name="page315"/>
    <w:bookmarkEnd w:id="314"/>
    <w:p>
      <w:pPr>
        <w:ind w:left="880" w:right="3479"/>
        <w:spacing w:after="0" w:line="239" w:lineRule="auto"/>
        <w:rPr>
          <w:sz w:val="20"/>
          <w:szCs w:val="20"/>
          <w:color w:val="auto"/>
        </w:rPr>
      </w:pPr>
      <w:r>
        <w:rPr>
          <w:rFonts w:ascii="Courier New" w:cs="Courier New" w:eastAsia="Courier New" w:hAnsi="Courier New"/>
          <w:sz w:val="15"/>
          <w:szCs w:val="15"/>
          <w:color w:val="auto"/>
        </w:rPr>
        <w:t>determined by reference to such issuer's current published premium rate for initial issue one-year term life insurance protection available to all standard risks; and"</w:t>
      </w:r>
    </w:p>
    <w:p>
      <w:pPr>
        <w:spacing w:after="0" w:line="34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3.Section 7.2.2 of the Amended Agreement is modified by inserting the words, "to Roberts if he is then living, to his spouse if he is not then living but she is then living, or to the personal representatives of the second-to-die of them if neither of them is then living," after the words "the Company shall pay" and before the words "an additional" in the second line thereof.</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4.The parties hereby confirm that the terms "Split-Dollar Arrangement" and "Split-Dollar Arrangements" as used in the Amended Agreement shall include all those Split-Dollar Insurance Agreements which pertain to policies of insurance which are owned by the following trusts: (a) the Trust of Ralph J. Roberts dated November 30, 1976, (b) the Trust of Ralph J. Roberts and Suzanne F. Roberts dated June 10, 1992, (c) the 1994-2 Trust of Ralph J. Roberts and Suzanne F. Roberts dated July 22, 1994, (d) the Trust of Ralph J. Roberts dated December 19, 1995, and (e) the Trust of Ralph J. Roberts and Suzanne F. Roberts dated January 13, 1998.</w:t>
      </w:r>
    </w:p>
    <w:p>
      <w:pPr>
        <w:spacing w:after="0" w:line="177"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5.Except as amended hereby, the Amended Agreement remains in full force and effect.</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Amendment the day and year first above written.</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_______________________________</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Ralph J. Roberts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15" w:name="page316"/>
    <w:bookmarkEnd w:id="315"/>
    <w:p>
      <w:pPr>
        <w:jc w:val="right"/>
        <w:ind w:right="3119"/>
        <w:spacing w:after="0"/>
        <w:rPr>
          <w:sz w:val="20"/>
          <w:szCs w:val="20"/>
          <w:color w:val="auto"/>
        </w:rPr>
      </w:pPr>
      <w:r>
        <w:rPr>
          <w:rFonts w:ascii="Courier New" w:cs="Courier New" w:eastAsia="Courier New" w:hAnsi="Courier New"/>
          <w:sz w:val="15"/>
          <w:szCs w:val="15"/>
          <w:color w:val="auto"/>
        </w:rPr>
        <w:t>Exhibit 10.17</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AMENDMENT 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COMPENSATION AND DEFERRED COMPENSATION AGREEMENT</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BETWEEN</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COMCAST CORPORATION AND RALPH J. ROBERTS</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both"/>
        <w:ind w:left="9" w:right="3399" w:firstLine="799"/>
        <w:spacing w:after="0" w:line="239" w:lineRule="auto"/>
        <w:rPr>
          <w:sz w:val="20"/>
          <w:szCs w:val="20"/>
          <w:color w:val="auto"/>
        </w:rPr>
      </w:pPr>
      <w:r>
        <w:rPr>
          <w:rFonts w:ascii="Courier New" w:cs="Courier New" w:eastAsia="Courier New" w:hAnsi="Courier New"/>
          <w:sz w:val="15"/>
          <w:szCs w:val="15"/>
          <w:color w:val="auto"/>
        </w:rPr>
        <w:t>This Amendment is made as of this 18th day of November, 2002, by and between Comcast Corporation, a Pennsylvania corporation (the "Company"), and Ralph J. Roberts ("Roberts").</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RECITALS</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WHEREAS, Roberts and the Company entered into an amended and restated Compensation and Deferred Compensation Agreement effective August 31, 1998 (the "Agreement"); and</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WHEREAS, Roberts and the Company amended the Agreement by Amendment dated as of August 19, 1999, Amendment dated as of June 5, 2001, and Amendment dated January 24, 2002 (the Agreement as thus amended being referred to herein as the "Amended Agreement"); and</w:t>
      </w:r>
    </w:p>
    <w:p>
      <w:pPr>
        <w:spacing w:after="0" w:line="176" w:lineRule="exact"/>
        <w:rPr>
          <w:sz w:val="20"/>
          <w:szCs w:val="20"/>
          <w:color w:val="auto"/>
        </w:rPr>
      </w:pPr>
    </w:p>
    <w:p>
      <w:pPr>
        <w:ind w:left="9" w:right="3759" w:firstLine="444"/>
        <w:spacing w:after="0" w:line="239" w:lineRule="auto"/>
        <w:rPr>
          <w:sz w:val="20"/>
          <w:szCs w:val="20"/>
          <w:color w:val="auto"/>
        </w:rPr>
      </w:pPr>
      <w:r>
        <w:rPr>
          <w:rFonts w:ascii="Courier New" w:cs="Courier New" w:eastAsia="Courier New" w:hAnsi="Courier New"/>
          <w:sz w:val="15"/>
          <w:szCs w:val="15"/>
          <w:color w:val="auto"/>
        </w:rPr>
        <w:t>WHEREAS, the Company desires to further modify the provisions of the Amended Agreement concerning the term of the Amended Agreement, the establishment of a trust as provided therein and other matters; and</w:t>
      </w:r>
    </w:p>
    <w:p>
      <w:pPr>
        <w:spacing w:after="0" w:line="175" w:lineRule="exact"/>
        <w:rPr>
          <w:sz w:val="20"/>
          <w:szCs w:val="20"/>
          <w:color w:val="auto"/>
        </w:rPr>
      </w:pPr>
    </w:p>
    <w:p>
      <w:pPr>
        <w:ind w:left="9" w:right="4019" w:firstLine="444"/>
        <w:spacing w:after="0" w:line="238" w:lineRule="auto"/>
        <w:rPr>
          <w:sz w:val="20"/>
          <w:szCs w:val="20"/>
          <w:color w:val="auto"/>
        </w:rPr>
      </w:pPr>
      <w:r>
        <w:rPr>
          <w:rFonts w:ascii="Courier New" w:cs="Courier New" w:eastAsia="Courier New" w:hAnsi="Courier New"/>
          <w:sz w:val="15"/>
          <w:szCs w:val="15"/>
          <w:color w:val="auto"/>
        </w:rPr>
        <w:t>WHEREAS, Roberts is agreeable to accepting the Company's proposed modifications to the Amended Agreement;</w:t>
      </w:r>
    </w:p>
    <w:p>
      <w:pPr>
        <w:spacing w:after="0" w:line="17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NOW THEREFORE, in consideration of the foregoing and of the provisions set forth herein, the parties agree as follows:</w:t>
      </w:r>
    </w:p>
    <w:p>
      <w:pPr>
        <w:spacing w:after="0" w:line="175" w:lineRule="exact"/>
        <w:rPr>
          <w:sz w:val="20"/>
          <w:szCs w:val="20"/>
          <w:color w:val="auto"/>
        </w:rPr>
      </w:pPr>
    </w:p>
    <w:p>
      <w:pPr>
        <w:ind w:left="9" w:right="3119" w:firstLine="435"/>
        <w:spacing w:after="0" w:line="238" w:lineRule="auto"/>
        <w:tabs>
          <w:tab w:leader="none" w:pos="719" w:val="left"/>
        </w:tabs>
        <w:numPr>
          <w:ilvl w:val="1"/>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Amended Agreement is modified by replacing the phrase "December 31, 2002" therein with the phrase "December 31, 2007".</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4" w:lineRule="exact"/>
        <w:rPr>
          <w:rFonts w:ascii="Courier New" w:cs="Courier New" w:eastAsia="Courier New" w:hAnsi="Courier New"/>
          <w:sz w:val="15"/>
          <w:szCs w:val="15"/>
          <w:color w:val="auto"/>
        </w:rPr>
      </w:pPr>
    </w:p>
    <w:p>
      <w:pPr>
        <w:ind w:left="9" w:right="3219" w:firstLine="435"/>
        <w:spacing w:after="0" w:line="258" w:lineRule="auto"/>
        <w:tabs>
          <w:tab w:leader="none" w:pos="719" w:val="left"/>
        </w:tabs>
        <w:numPr>
          <w:ilvl w:val="1"/>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November 18, 2002, Roberts' Base Compensation is increased to $1,600,000 per annum. Notwithstanding the provisions of the second sentence of Section 3.1 of the Amended Agreement (which is hereby deleted): (a) the Base Compensation shall not be subject to increase on January 1, 2003; and</w:t>
      </w:r>
    </w:p>
    <w:p>
      <w:pPr>
        <w:ind w:left="9" w:right="3119" w:hanging="9"/>
        <w:spacing w:after="0" w:line="239" w:lineRule="auto"/>
        <w:tabs>
          <w:tab w:leader="none" w:pos="364"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Compensation shall be subject to increase effective January 1, 2004 (and for each calendar year following 2004) in the discretion of the Subcommittee.</w:t>
      </w:r>
    </w:p>
    <w:p>
      <w:pPr>
        <w:spacing w:after="0" w:line="175" w:lineRule="exact"/>
        <w:rPr>
          <w:rFonts w:ascii="Courier New" w:cs="Courier New" w:eastAsia="Courier New" w:hAnsi="Courier New"/>
          <w:sz w:val="15"/>
          <w:szCs w:val="15"/>
          <w:color w:val="auto"/>
        </w:rPr>
      </w:pPr>
    </w:p>
    <w:p>
      <w:pPr>
        <w:ind w:left="9" w:right="3119" w:firstLine="435"/>
        <w:spacing w:after="0" w:line="259" w:lineRule="auto"/>
        <w:tabs>
          <w:tab w:leader="none" w:pos="719" w:val="left"/>
        </w:tabs>
        <w:numPr>
          <w:ilvl w:val="1"/>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the occurrence of the merger (the "Merger") between the Company and a subsidiary of AT&amp;T Comcast Corporation ("AT&amp;T Comcast") (which, effective immediately following the consummation of the Merger, is changing its name to "Comcast Corporation"), as contemplated by the Agreement and Plan of Merger, dated as of December 19, 2001 (as amended from time to time, the "Merger Agreement"), among the Company, AT&amp;T Comcast, AT&amp;T Corp., and certain other related parties, will result in a Change of Control as defined in the Amended Agreement. Pursuant to Section 3.10 of the Amended Agreement, the Company is required, prior to the occurrence of a Change of Control, to establish the Trust (as defined in the Amended Agreement), and is further required, upon and after the occurrence of a Change of Control, to contribute certain assets to the Trust. Roberts hereby waives the requirements that the Company so form and contribute assets to the Trust as a result of the Merger; provided that (a) Roberts may at any time, by notice to the Company, require the Company to form and contribute assets to the Trust and (b) if Roberts gives such notice, the Company, as promptly as practicable (and in any event within 30 days) thereafter, shall (i) form the Trust in accordance with Section 3.10 of the Amended Agreement, (ii) contribute to the Trust the funds and other assets which the Company would be required to</w:t>
      </w:r>
    </w:p>
    <w:p>
      <w:pPr>
        <w:spacing w:after="0" w:line="33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139" w:right="1440" w:bottom="1440" w:gutter="0" w:footer="0" w:header="0"/>
        </w:sectPr>
      </w:pPr>
    </w:p>
    <w:bookmarkStart w:id="316" w:name="page317"/>
    <w:bookmarkEnd w:id="316"/>
    <w:p>
      <w:pPr>
        <w:jc w:val="both"/>
        <w:ind w:right="3119"/>
        <w:spacing w:after="0" w:line="239" w:lineRule="auto"/>
        <w:rPr>
          <w:sz w:val="20"/>
          <w:szCs w:val="20"/>
          <w:color w:val="auto"/>
        </w:rPr>
      </w:pPr>
      <w:r>
        <w:rPr>
          <w:rFonts w:ascii="Courier New" w:cs="Courier New" w:eastAsia="Courier New" w:hAnsi="Courier New"/>
          <w:sz w:val="15"/>
          <w:szCs w:val="15"/>
          <w:color w:val="auto"/>
        </w:rPr>
        <w:t>contribute pursuant to the Amended Agreement if a Change of Control occurred on the date of such notice, and (iii) thereafter contribute such additional assets as may be required by the Amended Agreement as if the waiver made hereby had not been made.</w:t>
      </w:r>
    </w:p>
    <w:p>
      <w:pPr>
        <w:spacing w:after="0" w:line="176" w:lineRule="exact"/>
        <w:rPr>
          <w:sz w:val="20"/>
          <w:szCs w:val="20"/>
          <w:color w:val="auto"/>
        </w:rPr>
      </w:pPr>
    </w:p>
    <w:p>
      <w:pPr>
        <w:ind w:right="3119" w:firstLine="435"/>
        <w:spacing w:after="0" w:line="238" w:lineRule="auto"/>
        <w:tabs>
          <w:tab w:leader="none" w:pos="710"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12.3 of the Amended Agreement is amended by adding the following at the end thereof:</w:t>
      </w:r>
    </w:p>
    <w:p>
      <w:pPr>
        <w:spacing w:after="0" w:line="17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In any case where this Agreement provides for a determination to be made or instruction to be given by Roberts, such determination or instruction made or given after his death shall be made or given by the foregoing persons as their interests may appear; provided that, if it is impractical to give effect to separate determinations or instructions, the determination or instruction given by such of the foregoing as shall then have the greatest interest, as determined by the Company in its reasonable discretion, shall control.</w:t>
      </w:r>
    </w:p>
    <w:p>
      <w:pPr>
        <w:spacing w:after="0" w:line="177" w:lineRule="exact"/>
        <w:rPr>
          <w:sz w:val="20"/>
          <w:szCs w:val="20"/>
          <w:color w:val="auto"/>
        </w:rPr>
      </w:pPr>
    </w:p>
    <w:p>
      <w:pPr>
        <w:ind w:right="3119" w:firstLine="435"/>
        <w:spacing w:after="0"/>
        <w:tabs>
          <w:tab w:leader="none" w:pos="710"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contemplated by Section 9.14 of the Merger Agreement, and pursuant to Section 12.1 of the Amended Agreement, upon consummation of the Merger, AT&amp;T Comcast, as the successor to the Company, will be bound by the Amended Agreement, as further amended hereby (together, the "Further Amended Agreement"), and will perform the Further Amended Agreement, in the same manner and to the same extent that the Company would be required to perform it if no such succession had taken place. To give effect thereto, and as further contemplated by Section 9.14 of the Merger Agreement, upon and following consummation of the Merger:</w:t>
      </w:r>
    </w:p>
    <w:p>
      <w:pPr>
        <w:spacing w:after="0" w:line="177"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the Further Amended Agreement to refer to a period or action to be taken or other event occurring after consummation of the Merger,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0" w:right="1440" w:bottom="1440" w:gutter="0" w:footer="0" w:header="0"/>
        </w:sectPr>
      </w:pPr>
    </w:p>
    <w:bookmarkStart w:id="317" w:name="page318"/>
    <w:bookmarkEnd w:id="317"/>
    <w:p>
      <w:pPr>
        <w:ind w:left="-320" w:right="3299" w:firstLine="442"/>
        <w:spacing w:after="0" w:line="239" w:lineRule="auto"/>
        <w:tabs>
          <w:tab w:leader="none" w:pos="479"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"Company" shall be deemed to refer to AT&amp;T Comcast (which shall include, for all purposes of this Section 3, its successors as provided in Section 12.1 of the Further Amended Agreement);</w:t>
      </w:r>
    </w:p>
    <w:p>
      <w:pPr>
        <w:spacing w:after="0" w:line="176" w:lineRule="exact"/>
        <w:rPr>
          <w:rFonts w:ascii="Courier New" w:cs="Courier New" w:eastAsia="Courier New" w:hAnsi="Courier New"/>
          <w:sz w:val="15"/>
          <w:szCs w:val="15"/>
          <w:color w:val="auto"/>
        </w:rPr>
      </w:pPr>
    </w:p>
    <w:p>
      <w:pPr>
        <w:ind w:left="-320" w:right="3219" w:firstLine="442"/>
        <w:spacing w:after="0" w:line="239" w:lineRule="auto"/>
        <w:tabs>
          <w:tab w:leader="none" w:pos="568"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"Board" and "Committee" shall be deemed to refer, respectively, to the Board of Directors of AT&amp;T Comcast and the Compensation Committee of such Board;</w:t>
      </w:r>
    </w:p>
    <w:p>
      <w:pPr>
        <w:spacing w:after="0" w:line="175" w:lineRule="exact"/>
        <w:rPr>
          <w:rFonts w:ascii="Courier New" w:cs="Courier New" w:eastAsia="Courier New" w:hAnsi="Courier New"/>
          <w:sz w:val="15"/>
          <w:szCs w:val="15"/>
          <w:color w:val="auto"/>
        </w:rPr>
      </w:pPr>
    </w:p>
    <w:p>
      <w:pPr>
        <w:ind w:left="-320" w:right="3219" w:firstLine="442"/>
        <w:spacing w:after="0"/>
        <w:tabs>
          <w:tab w:leader="none" w:pos="656"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"Subcommittee" shall be deemed to refer to the Subcommittee on Performance-Based Compensation of the Compensation Committee, if such Subcommittee exists, or, if such Subcommittee does not exist, such other subcommittee of the Compensation Committee as shall perform the functions heretofore performed by the Subcommittee on Performance-Based Compensation of the Company's Compensation Committee, or, if there is no such other subcommittee, the full Compensation Committee; and</w:t>
      </w:r>
    </w:p>
    <w:p>
      <w:pPr>
        <w:spacing w:after="0" w:line="176" w:lineRule="exact"/>
        <w:rPr>
          <w:rFonts w:ascii="Courier New" w:cs="Courier New" w:eastAsia="Courier New" w:hAnsi="Courier New"/>
          <w:sz w:val="15"/>
          <w:szCs w:val="15"/>
          <w:color w:val="auto"/>
        </w:rPr>
      </w:pPr>
    </w:p>
    <w:p>
      <w:pPr>
        <w:ind w:left="-320" w:right="3119" w:firstLine="442"/>
        <w:spacing w:after="0"/>
        <w:tabs>
          <w:tab w:leader="none" w:pos="568"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this Amendment where indicated below, AT&amp;T Comcast hereby assumes the Company's obligations to Roberts under the Further Amended Agreement, 1993 Agreement, the Cash Bonus Plan, the 1992 Split-Dollar Plan, the 1992 and 1994 Split-Dollar Plans, the 1996 Split-Dollar Agreement, the 1997/1998 Split-Dollar Agreement, the 1996 Deferred Compensation Plan, the SERP and the Pre-Existing Agreements (as each is defined in the Amended Agreement), and the terms "1993 Agreement," "Cash Bonus Plan," "1992 Split-Dollar Plan," "1992 and 1994 Split-Dollar Plans," "1996 Split-Dollar Agreement," "1997/1998 Split-Dollar Agreement," "1996</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30" w:right="1440" w:bottom="1440" w:gutter="0" w:footer="0" w:header="0"/>
        </w:sectPr>
      </w:pPr>
    </w:p>
    <w:bookmarkStart w:id="318" w:name="page319"/>
    <w:bookmarkEnd w:id="318"/>
    <w:p>
      <w:pPr>
        <w:ind w:left="445" w:right="3219"/>
        <w:spacing w:after="0" w:line="239" w:lineRule="auto"/>
        <w:rPr>
          <w:sz w:val="20"/>
          <w:szCs w:val="20"/>
          <w:color w:val="auto"/>
        </w:rPr>
      </w:pPr>
      <w:r>
        <w:rPr>
          <w:rFonts w:ascii="Courier New" w:cs="Courier New" w:eastAsia="Courier New" w:hAnsi="Courier New"/>
          <w:sz w:val="15"/>
          <w:szCs w:val="15"/>
          <w:color w:val="auto"/>
        </w:rPr>
        <w:t>Deferred Compensation Plan," "SERP," and "Pre-Existing Agreements" shall be deemed to refer to such agreements or plans as so assumed by AT&amp;T Comcast.</w:t>
      </w:r>
    </w:p>
    <w:p>
      <w:pPr>
        <w:spacing w:after="0" w:line="175" w:lineRule="exact"/>
        <w:rPr>
          <w:sz w:val="20"/>
          <w:szCs w:val="20"/>
          <w:color w:val="auto"/>
        </w:rPr>
      </w:pPr>
    </w:p>
    <w:p>
      <w:pPr>
        <w:ind w:left="5" w:right="3299" w:firstLine="438"/>
        <w:spacing w:after="0"/>
        <w:tabs>
          <w:tab w:leader="none" w:pos="804" w:val="left"/>
        </w:tabs>
        <w:numPr>
          <w:ilvl w:val="1"/>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 "Comcast Corporation" in Section 12.2 of the Further Amended Agreement is replaced with the phrase "AT&amp;T Comcast Corporation (which, effective immediately following the consummation of the merger between Comcast Corporation and a subsidiary of AT&amp;T Comcast Corporation, is changing its name to "Comcast Corporation")".</w:t>
      </w:r>
    </w:p>
    <w:p>
      <w:pPr>
        <w:spacing w:after="0" w:line="174" w:lineRule="exact"/>
        <w:rPr>
          <w:rFonts w:ascii="Courier New" w:cs="Courier New" w:eastAsia="Courier New" w:hAnsi="Courier New"/>
          <w:sz w:val="15"/>
          <w:szCs w:val="15"/>
          <w:color w:val="auto"/>
        </w:rPr>
      </w:pPr>
    </w:p>
    <w:p>
      <w:pPr>
        <w:ind w:left="-435" w:right="3119" w:firstLine="435"/>
        <w:spacing w:after="0" w:line="239" w:lineRule="auto"/>
        <w:tabs>
          <w:tab w:leader="none" w:pos="275"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upon consummation of the Merger, Section 2.1 of the Further Amended Agreement is amended by (a) replacing the phrase "Chairman of the Board" therein with the phrase "Chairman of the Executive and Finance Committee of the Board" and (b) deleting the phrase "Section 4-6 of".</w:t>
      </w:r>
    </w:p>
    <w:p>
      <w:pPr>
        <w:spacing w:after="0" w:line="176" w:lineRule="exact"/>
        <w:rPr>
          <w:rFonts w:ascii="Courier New" w:cs="Courier New" w:eastAsia="Courier New" w:hAnsi="Courier New"/>
          <w:sz w:val="15"/>
          <w:szCs w:val="15"/>
          <w:color w:val="auto"/>
        </w:rPr>
      </w:pPr>
    </w:p>
    <w:p>
      <w:pPr>
        <w:ind w:left="-435" w:right="3399" w:firstLine="435"/>
        <w:spacing w:after="0" w:line="238" w:lineRule="auto"/>
        <w:tabs>
          <w:tab w:leader="none" w:pos="275"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the Amended Agreement remains in full force and effect.</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84"/>
          </w:cols>
          <w:pgMar w:left="675" w:top="631" w:right="1440" w:bottom="1440" w:gutter="0" w:footer="0" w:header="0"/>
        </w:sectPr>
      </w:pPr>
    </w:p>
    <w:bookmarkStart w:id="319" w:name="page320"/>
    <w:bookmarkEnd w:id="319"/>
    <w:p>
      <w:pPr>
        <w:ind w:right="329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Amendment as of the date first above written.</w:t>
      </w: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Ralph J. Roberts</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Agreed to and acknowledged by:</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AT&amp;T Comcast Corporation</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320" w:name="page321"/>
    <w:bookmarkEnd w:id="320"/>
    <w:p>
      <w:pPr>
        <w:ind w:left="5940"/>
        <w:spacing w:after="0"/>
        <w:rPr>
          <w:sz w:val="20"/>
          <w:szCs w:val="20"/>
          <w:color w:val="auto"/>
        </w:rPr>
      </w:pPr>
      <w:r>
        <w:rPr>
          <w:rFonts w:ascii="Courier New" w:cs="Courier New" w:eastAsia="Courier New" w:hAnsi="Courier New"/>
          <w:sz w:val="14"/>
          <w:szCs w:val="14"/>
          <w:color w:val="auto"/>
        </w:rPr>
        <w:t>Exhibit 10.18</w:t>
      </w:r>
    </w:p>
    <w:p>
      <w:pPr>
        <w:spacing w:after="0" w:line="180"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EXECUTION COPY</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200" w:lineRule="exact"/>
        <w:rPr>
          <w:sz w:val="20"/>
          <w:szCs w:val="20"/>
          <w:color w:val="auto"/>
        </w:rPr>
      </w:pPr>
    </w:p>
    <w:p>
      <w:pPr>
        <w:spacing w:after="0" w:line="31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AGREEMENT, made and entered into as of the 18th day of November, 2002 by and between AT&amp;T Comcast Corporation, a Pennsylvania corporation (together with its successors and assigns permitted under this Agreement, the "Company"), and C. Michael Armstrong (the "Executive").</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 :</w:t>
      </w:r>
    </w:p>
    <w:p>
      <w:pPr>
        <w:spacing w:after="0" w:line="174"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WHEREAS, the Company desires to employ the Executive and to enter into an agreement embodying the terms of such employment (this "Agreement") and the Executive desires to enter into this Agreement and to accept such employment, subject to the terms and provisions of this Agreement;</w:t>
      </w:r>
    </w:p>
    <w:p>
      <w:pPr>
        <w:spacing w:after="0" w:line="176"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74"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jc w:val="both"/>
        <w:ind w:right="3119" w:firstLine="967"/>
        <w:spacing w:after="0" w:line="239" w:lineRule="auto"/>
        <w:tabs>
          <w:tab w:leader="none" w:pos="1420" w:val="left"/>
        </w:tabs>
        <w:numPr>
          <w:ilvl w:val="1"/>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of a person or other entity shall mean a person or other entity that directly or indirectly controls, is controlled by, or is under common control with the person or other entity specified.</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mean AT&amp;T Corp., a New York corporation.</w:t>
      </w:r>
    </w:p>
    <w:p>
      <w:pPr>
        <w:spacing w:after="0" w:line="174" w:lineRule="exact"/>
        <w:rPr>
          <w:rFonts w:ascii="Courier New" w:cs="Courier New" w:eastAsia="Courier New" w:hAnsi="Courier New"/>
          <w:sz w:val="15"/>
          <w:szCs w:val="15"/>
          <w:color w:val="auto"/>
        </w:rPr>
      </w:pPr>
    </w:p>
    <w:p>
      <w:pPr>
        <w:jc w:val="both"/>
        <w:ind w:right="3119" w:firstLine="790"/>
        <w:spacing w:after="0" w:line="239" w:lineRule="auto"/>
        <w:tabs>
          <w:tab w:leader="none" w:pos="1154"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mean the annual rate of salary provided for in Section 4 below or any increased annual rate of salary granted to the Executive pursuant to Section 4.</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4" w:lineRule="exact"/>
        <w:rPr>
          <w:rFonts w:ascii="Courier New" w:cs="Courier New" w:eastAsia="Courier New" w:hAnsi="Courier New"/>
          <w:sz w:val="15"/>
          <w:szCs w:val="15"/>
          <w:color w:val="auto"/>
        </w:rPr>
      </w:pPr>
    </w:p>
    <w:p>
      <w:pPr>
        <w:ind w:left="1320" w:hanging="530"/>
        <w:spacing w:after="0"/>
        <w:tabs>
          <w:tab w:leader="none" w:pos="132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shall  mean  AT&amp;T   Broadband   Corp.,  a  Delaware</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corporation.</w:t>
      </w:r>
    </w:p>
    <w:p>
      <w:pPr>
        <w:spacing w:after="0" w:line="171"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shall mean: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4" w:lineRule="exact"/>
        <w:rPr>
          <w:rFonts w:ascii="Courier New" w:cs="Courier New" w:eastAsia="Courier New" w:hAnsi="Courier New"/>
          <w:sz w:val="15"/>
          <w:szCs w:val="15"/>
          <w:color w:val="auto"/>
        </w:rPr>
      </w:pPr>
    </w:p>
    <w:p>
      <w:pPr>
        <w:ind w:left="880" w:right="3839" w:firstLine="442"/>
        <w:spacing w:after="0" w:line="238" w:lineRule="auto"/>
        <w:tabs>
          <w:tab w:leader="none" w:pos="1679" w:val="left"/>
        </w:tabs>
        <w:numPr>
          <w:ilvl w:val="2"/>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involving the Executive's moral turpitude; or</w:t>
      </w:r>
    </w:p>
    <w:p>
      <w:pPr>
        <w:spacing w:after="0" w:line="174" w:lineRule="exact"/>
        <w:rPr>
          <w:rFonts w:ascii="Courier New" w:cs="Courier New" w:eastAsia="Courier New" w:hAnsi="Courier New"/>
          <w:sz w:val="15"/>
          <w:szCs w:val="15"/>
          <w:color w:val="auto"/>
        </w:rPr>
      </w:pPr>
    </w:p>
    <w:p>
      <w:pPr>
        <w:ind w:right="3219" w:firstLine="1233"/>
        <w:spacing w:after="0"/>
        <w:tabs>
          <w:tab w:leader="none" w:pos="1686" w:val="left"/>
        </w:tabs>
        <w:numPr>
          <w:ilvl w:val="2"/>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guilty of willful gross neglect or willful gross misconduct in carrying out his duties under this Agreement, resulting, in either case, in material economic harm to the Company, unless the Executive believed in good faith that such act or nonact was in the best interests of the Company.</w:t>
      </w:r>
    </w:p>
    <w:p>
      <w:pPr>
        <w:spacing w:after="0" w:line="174" w:lineRule="exact"/>
        <w:rPr>
          <w:rFonts w:ascii="Courier New" w:cs="Courier New" w:eastAsia="Courier New" w:hAnsi="Courier New"/>
          <w:sz w:val="15"/>
          <w:szCs w:val="15"/>
          <w:color w:val="auto"/>
        </w:rPr>
      </w:pPr>
    </w:p>
    <w:p>
      <w:pPr>
        <w:ind w:right="3219" w:firstLine="790"/>
        <w:spacing w:after="0" w:line="238" w:lineRule="auto"/>
        <w:tabs>
          <w:tab w:leader="none" w:pos="1242"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the occurrence of any of the following events:</w:t>
      </w:r>
    </w:p>
    <w:p>
      <w:pPr>
        <w:spacing w:after="0" w:line="174" w:lineRule="exact"/>
        <w:rPr>
          <w:rFonts w:ascii="Courier New" w:cs="Courier New" w:eastAsia="Courier New" w:hAnsi="Courier New"/>
          <w:sz w:val="15"/>
          <w:szCs w:val="15"/>
          <w:color w:val="auto"/>
        </w:rPr>
      </w:pPr>
    </w:p>
    <w:p>
      <w:pPr>
        <w:jc w:val="both"/>
        <w:ind w:left="780" w:right="3119" w:firstLine="542"/>
        <w:spacing w:after="0" w:line="259" w:lineRule="auto"/>
        <w:tabs>
          <w:tab w:leader="none" w:pos="1667" w:val="left"/>
        </w:tabs>
        <w:numPr>
          <w:ilvl w:val="2"/>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by any individual, entity or group (within the meaning of Section 13(d)(3) or 14(d)(2) of the Securities Exchange Act of 1934 (the "Exchange Act")) (an "Entity") of beneficial ownership (within the meaning of Rule 13d-3 promulgated under the Exchange Act) of 20% or more of either (A) the then outstanding shares of common stock of the Company (the "Outstanding Company Stock") or (B) the combined voting power of the then outstanding voting securities of the Company entitled to vote generally in the election of directors (the "Outstanding Company Voting Securities"); excluding, however, the following: (1) any acquisition directly from the Company, other than an acquisition by virtue of the exercise of a conversion privilege unless the security being so converted was itself acquired directly from the Company, (2) any acquisition by the Company, (3) any acquisition by any employee benefit plan (or related trust) sponsored or maintained by the Company or any corporation controlled by the Company, or (4) any acquisition by any corporation pursuant to a transaction which complies with clauses (A), (B) and (C) of subsection (iii) of this Section 1(g);</w:t>
      </w:r>
    </w:p>
    <w:p>
      <w:pPr>
        <w:spacing w:after="0" w:line="162" w:lineRule="exact"/>
        <w:rPr>
          <w:rFonts w:ascii="Courier New" w:cs="Courier New" w:eastAsia="Courier New" w:hAnsi="Courier New"/>
          <w:sz w:val="14"/>
          <w:szCs w:val="14"/>
          <w:color w:val="auto"/>
        </w:rPr>
      </w:pPr>
    </w:p>
    <w:p>
      <w:pPr>
        <w:ind w:left="880" w:right="3119" w:firstLine="531"/>
        <w:spacing w:after="0" w:line="259" w:lineRule="auto"/>
        <w:tabs>
          <w:tab w:leader="none" w:pos="1856" w:val="left"/>
        </w:tabs>
        <w:numPr>
          <w:ilvl w:val="3"/>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composition of the Board such that the individuals who, as of the effective date of this Agreement, constitute the Board (such Board shall be hereinafter referred to as the "Incumbent Board") cease for any reason to constitute at least a majority of the Board; provided, however, that for purposes of this definition, any individual who becomes a member of the Board subsequent to the effective date of this Agreement, whose election, or nomination for election, by the Company's shareholders was approved by a vote of at least a two-thirds majority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w:t>
      </w:r>
    </w:p>
    <w:p>
      <w:pPr>
        <w:sectPr>
          <w:pgSz w:w="11900" w:h="16838" w:orient="portrait"/>
          <w:cols w:equalWidth="0" w:num="1">
            <w:col w:w="10219"/>
          </w:cols>
          <w:pgMar w:left="240" w:top="141" w:right="1440" w:bottom="277" w:gutter="0" w:footer="0" w:header="0"/>
        </w:sectPr>
      </w:pPr>
    </w:p>
    <w:bookmarkStart w:id="321" w:name="page322"/>
    <w:bookmarkEnd w:id="321"/>
    <w:p>
      <w:pPr>
        <w:ind w:left="23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141" w:right="1440" w:bottom="1440" w:gutter="0" w:footer="0" w:header="0"/>
        </w:sectPr>
      </w:pPr>
    </w:p>
    <w:bookmarkStart w:id="322" w:name="page323"/>
    <w:bookmarkEnd w:id="322"/>
    <w:p>
      <w:pPr>
        <w:ind w:right="3119"/>
        <w:spacing w:after="0"/>
        <w:rPr>
          <w:sz w:val="20"/>
          <w:szCs w:val="20"/>
          <w:color w:val="auto"/>
        </w:rPr>
      </w:pPr>
      <w:r>
        <w:rPr>
          <w:rFonts w:ascii="Courier New" w:cs="Courier New" w:eastAsia="Courier New" w:hAnsi="Courier New"/>
          <w:sz w:val="15"/>
          <w:szCs w:val="15"/>
          <w:color w:val="auto"/>
        </w:rPr>
        <w:t>connection with either an actual or threatened election contest (as such terms are used in Rule 14a-11 of Regulation 14A promulgated under the Exchange Act) or other actual or threatened solicitation of proxies or consents by or on behalf of an Entity other than the Board shall not be so considered as a member of the Incumbent Board;</w:t>
      </w:r>
    </w:p>
    <w:p>
      <w:pPr>
        <w:spacing w:after="0" w:line="174" w:lineRule="exact"/>
        <w:rPr>
          <w:sz w:val="20"/>
          <w:szCs w:val="20"/>
          <w:color w:val="auto"/>
        </w:rPr>
      </w:pPr>
    </w:p>
    <w:p>
      <w:pPr>
        <w:ind w:left="100" w:right="3119" w:firstLine="531"/>
        <w:spacing w:after="0"/>
        <w:tabs>
          <w:tab w:leader="none" w:pos="1165"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reorganization or consolidation to which the Company is a party or a sale or other disposition of all or substantially all of the assets of the Company (each, a "Corporate Transaction"); excluding however, such a Corporate Transaction pursuant to which (A) all or substantially all of the individuals and entities who are the beneficial owners, respectively, of the Outstanding Company Stock and Outstanding Company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or other person which as a result of such transaction owns the Company or all or substantially all of the Company's assets either directly or through one or more subsidiaries (a "Parent Company")) in substantially the same proportions as their ownership, immediately prior to such Corporate Transaction, of the Outstanding Company Stock and Outstanding Company Voting Securities, as the case may be, (B) no Entity (other than the Company, any employee benefit plan (or related trust) of the Company, such corporation resulting from such Corporate Transaction (or, if reference was made to equity ownership of any Parent Company for purposes of determining whether clause (A) above is satisfied in connection with the applicable Corporate Transaction, such Parent Company) will beneficially own, directly or indirectly, 20% or more of, respectively, the outstanding shares of common stock of the corporation resulting from such Corporate Transaction (or, if reference was made to equity ownership of any Parent Company for purposes of determining whether clause (A) above is satisfied in connection with the applicable Corporate Transaction, such Parent Company) or the combined voting power of the outstanding voting securities of such corporation entitled to vote generally in the election of directors unless such ownership resulted solely from ownership of securities of the Company prior to the Corporate Transaction, and (C) individuals who were members of the Incumbent Board will immediately after the consummation of the Corporate Transaction constitute at least a two-thirds majority of the members of the board of directors of the corporation resulting from such Corporate Transaction (or, if reference was made to equity ownership of any Parent</w:t>
      </w:r>
    </w:p>
    <w:p>
      <w:pPr>
        <w:spacing w:after="0" w:line="200" w:lineRule="exact"/>
        <w:rPr>
          <w:sz w:val="20"/>
          <w:szCs w:val="20"/>
          <w:color w:val="auto"/>
        </w:rPr>
      </w:pPr>
    </w:p>
    <w:p>
      <w:pPr>
        <w:spacing w:after="0" w:line="34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30" w:right="1440" w:bottom="1440" w:gutter="0" w:footer="0" w:header="0"/>
        </w:sectPr>
      </w:pPr>
    </w:p>
    <w:bookmarkStart w:id="323" w:name="page324"/>
    <w:bookmarkEnd w:id="323"/>
    <w:p>
      <w:pPr>
        <w:ind w:right="3299"/>
        <w:spacing w:after="0" w:line="239" w:lineRule="auto"/>
        <w:rPr>
          <w:sz w:val="20"/>
          <w:szCs w:val="20"/>
          <w:color w:val="auto"/>
        </w:rPr>
      </w:pPr>
      <w:r>
        <w:rPr>
          <w:rFonts w:ascii="Courier New" w:cs="Courier New" w:eastAsia="Courier New" w:hAnsi="Courier New"/>
          <w:sz w:val="15"/>
          <w:szCs w:val="15"/>
          <w:color w:val="auto"/>
        </w:rPr>
        <w:t>Company for purposes of determining whether clause (A) above is satisfied in connection with the applicable Corporate Transaction, of the Parent Company); or</w:t>
      </w:r>
    </w:p>
    <w:p>
      <w:pPr>
        <w:spacing w:after="0" w:line="175" w:lineRule="exact"/>
        <w:rPr>
          <w:sz w:val="20"/>
          <w:szCs w:val="20"/>
          <w:color w:val="auto"/>
        </w:rPr>
      </w:pPr>
    </w:p>
    <w:p>
      <w:pPr>
        <w:ind w:left="100" w:right="3299" w:firstLine="531"/>
        <w:spacing w:after="0" w:line="238" w:lineRule="auto"/>
        <w:tabs>
          <w:tab w:leader="none" w:pos="1076"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shareholders of the Company of a plan of complete liquidation or dissolution of the Company.</w:t>
      </w:r>
    </w:p>
    <w:p>
      <w:pPr>
        <w:spacing w:after="0" w:line="172"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174" w:lineRule="exact"/>
        <w:rPr>
          <w:rFonts w:ascii="Courier New" w:cs="Courier New" w:eastAsia="Courier New" w:hAnsi="Courier New"/>
          <w:sz w:val="15"/>
          <w:szCs w:val="15"/>
          <w:color w:val="auto"/>
        </w:rPr>
      </w:pPr>
    </w:p>
    <w:p>
      <w:pPr>
        <w:ind w:left="100" w:right="3219" w:hanging="90"/>
        <w:spacing w:after="0" w:line="239" w:lineRule="auto"/>
        <w:tabs>
          <w:tab w:leader="none" w:pos="366"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Without Cause" shall mean termination by the Executive of his employment at his initiative following the occurrence of any of the following events without his consent:</w:t>
      </w:r>
    </w:p>
    <w:p>
      <w:pPr>
        <w:spacing w:after="0" w:line="175" w:lineRule="exact"/>
        <w:rPr>
          <w:rFonts w:ascii="Courier New" w:cs="Courier New" w:eastAsia="Courier New" w:hAnsi="Courier New"/>
          <w:sz w:val="15"/>
          <w:szCs w:val="15"/>
          <w:color w:val="auto"/>
        </w:rPr>
      </w:pPr>
    </w:p>
    <w:p>
      <w:pPr>
        <w:ind w:left="100" w:right="3299" w:firstLine="531"/>
        <w:spacing w:after="0"/>
        <w:tabs>
          <w:tab w:leader="none" w:pos="988"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Executive's then current Base Salary or Target Bonus as a percentage of Base Salary or the termination or material reduction of any employee benefit or executive service enjoyed by him (other than as part of an across-the-board reduction applicable to all executive officers of the Company);</w:t>
      </w:r>
    </w:p>
    <w:p>
      <w:pPr>
        <w:spacing w:after="0" w:line="174" w:lineRule="exact"/>
        <w:rPr>
          <w:rFonts w:ascii="Courier New" w:cs="Courier New" w:eastAsia="Courier New" w:hAnsi="Courier New"/>
          <w:sz w:val="15"/>
          <w:szCs w:val="15"/>
          <w:color w:val="auto"/>
        </w:rPr>
      </w:pPr>
    </w:p>
    <w:p>
      <w:pPr>
        <w:ind w:left="100" w:right="3119" w:firstLine="531"/>
        <w:spacing w:after="0" w:line="239" w:lineRule="auto"/>
        <w:tabs>
          <w:tab w:leader="none" w:pos="1076"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to elect or reelect the Executive to any of the positions described in Section 3 or the removal of him from any such position;</w:t>
      </w:r>
    </w:p>
    <w:p>
      <w:pPr>
        <w:spacing w:after="0" w:line="175" w:lineRule="exact"/>
        <w:rPr>
          <w:rFonts w:ascii="Courier New" w:cs="Courier New" w:eastAsia="Courier New" w:hAnsi="Courier New"/>
          <w:sz w:val="15"/>
          <w:szCs w:val="15"/>
          <w:color w:val="auto"/>
        </w:rPr>
      </w:pPr>
    </w:p>
    <w:p>
      <w:pPr>
        <w:ind w:left="100" w:right="3479" w:firstLine="531"/>
        <w:spacing w:after="0" w:line="239" w:lineRule="auto"/>
        <w:tabs>
          <w:tab w:leader="none" w:pos="1165"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diminution in the Executive's duties or the assignment to the Executive of duties which are materially inconsistent with his duties or which materially impair the Executive's ability to function as the Chairman of the Company;</w:t>
      </w:r>
    </w:p>
    <w:p>
      <w:pPr>
        <w:spacing w:after="0" w:line="176" w:lineRule="exact"/>
        <w:rPr>
          <w:rFonts w:ascii="Courier New" w:cs="Courier New" w:eastAsia="Courier New" w:hAnsi="Courier New"/>
          <w:sz w:val="15"/>
          <w:szCs w:val="15"/>
          <w:color w:val="auto"/>
        </w:rPr>
      </w:pPr>
    </w:p>
    <w:p>
      <w:pPr>
        <w:ind w:left="100" w:right="3119" w:firstLine="531"/>
        <w:spacing w:after="0" w:line="238" w:lineRule="auto"/>
        <w:tabs>
          <w:tab w:leader="none" w:pos="1076"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of the Executive's own principal office from its location in the Grace Building;</w:t>
      </w:r>
    </w:p>
    <w:p>
      <w:pPr>
        <w:spacing w:after="0" w:line="174" w:lineRule="exact"/>
        <w:rPr>
          <w:rFonts w:ascii="Courier New" w:cs="Courier New" w:eastAsia="Courier New" w:hAnsi="Courier New"/>
          <w:sz w:val="15"/>
          <w:szCs w:val="15"/>
          <w:color w:val="auto"/>
        </w:rPr>
      </w:pPr>
    </w:p>
    <w:p>
      <w:pPr>
        <w:ind w:left="100" w:right="3299" w:firstLine="531"/>
        <w:spacing w:after="0"/>
        <w:tabs>
          <w:tab w:leader="none" w:pos="988"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obtain the assumption in writing of its obligation to perform this Agreement by any successor to all or substantially all of the assets of the Company within 15 calendar days after a merger, consolidation, sale or similar transaction; or</w:t>
      </w:r>
    </w:p>
    <w:p>
      <w:pPr>
        <w:spacing w:after="0" w:line="171" w:lineRule="exact"/>
        <w:rPr>
          <w:rFonts w:ascii="Courier New" w:cs="Courier New" w:eastAsia="Courier New" w:hAnsi="Courier New"/>
          <w:sz w:val="15"/>
          <w:szCs w:val="15"/>
          <w:color w:val="auto"/>
        </w:rPr>
      </w:pPr>
    </w:p>
    <w:p>
      <w:pPr>
        <w:ind w:left="1080" w:hanging="449"/>
        <w:spacing w:after="0"/>
        <w:tabs>
          <w:tab w:leader="none" w:pos="1080" w:val="left"/>
        </w:tabs>
        <w:numPr>
          <w:ilvl w:val="1"/>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this Agreement by the Company.</w:t>
      </w:r>
    </w:p>
    <w:p>
      <w:pPr>
        <w:spacing w:after="0" w:line="174"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Following written notice from the Executive, as described above, the Company shall have 15 calendar days in which to cure. If the Company fails to cure, the Executive's termination shall become effective on the 16th calendar day following the written notice.</w:t>
      </w:r>
    </w:p>
    <w:p>
      <w:pPr>
        <w:spacing w:after="0" w:line="200" w:lineRule="exact"/>
        <w:rPr>
          <w:sz w:val="20"/>
          <w:szCs w:val="20"/>
          <w:color w:val="auto"/>
        </w:rPr>
      </w:pPr>
    </w:p>
    <w:p>
      <w:pPr>
        <w:spacing w:after="0" w:line="31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30" w:right="1440" w:bottom="1440" w:gutter="0" w:footer="0" w:header="0"/>
        </w:sectPr>
      </w:pPr>
    </w:p>
    <w:bookmarkStart w:id="324" w:name="page325"/>
    <w:bookmarkEnd w:id="324"/>
    <w:p>
      <w:pPr>
        <w:jc w:val="both"/>
        <w:ind w:right="3119" w:firstLine="878"/>
        <w:spacing w:after="0" w:line="260" w:lineRule="auto"/>
        <w:tabs>
          <w:tab w:leader="none" w:pos="1242" w:val="left"/>
        </w:tabs>
        <w:numPr>
          <w:ilvl w:val="1"/>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the Executive's inability, due to physical or mental incapacity, to substantially perform his duties and responsibilities under this Agreement as determined by a medical doctor selected by the Company and the Executive. If the Parties cannot agree on a medical doctor, each Party shall select a medical doctor and the two doctors shall select a third who shall be the approved medical doctor for this purpose.</w:t>
      </w:r>
    </w:p>
    <w:p>
      <w:pPr>
        <w:spacing w:after="0" w:line="163" w:lineRule="exact"/>
        <w:rPr>
          <w:rFonts w:ascii="Courier New" w:cs="Courier New" w:eastAsia="Courier New" w:hAnsi="Courier New"/>
          <w:sz w:val="14"/>
          <w:szCs w:val="14"/>
          <w:color w:val="auto"/>
        </w:rPr>
      </w:pPr>
    </w:p>
    <w:p>
      <w:pPr>
        <w:ind w:right="3119" w:firstLine="790"/>
        <w:spacing w:after="0" w:line="238"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"EBA" shall mean the Employee Benefits Agreement by and between AT&amp;T and Broadband dated as of December 19, 2001.</w:t>
      </w:r>
    </w:p>
    <w:p>
      <w:pPr>
        <w:spacing w:after="0" w:line="174" w:lineRule="exact"/>
        <w:rPr>
          <w:rFonts w:ascii="Courier New" w:cs="Courier New" w:eastAsia="Courier New" w:hAnsi="Courier New"/>
          <w:sz w:val="15"/>
          <w:szCs w:val="15"/>
          <w:color w:val="auto"/>
        </w:rPr>
      </w:pPr>
    </w:p>
    <w:p>
      <w:pPr>
        <w:ind w:right="3119" w:firstLine="790"/>
        <w:spacing w:after="0" w:line="238" w:lineRule="auto"/>
        <w:tabs>
          <w:tab w:leader="none" w:pos="1242"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the "Closing Date" as such term is defined in the Merger Agreement.</w:t>
      </w:r>
    </w:p>
    <w:p>
      <w:pPr>
        <w:spacing w:after="0" w:line="174" w:lineRule="exact"/>
        <w:rPr>
          <w:rFonts w:ascii="Courier New" w:cs="Courier New" w:eastAsia="Courier New" w:hAnsi="Courier New"/>
          <w:sz w:val="15"/>
          <w:szCs w:val="15"/>
          <w:color w:val="auto"/>
        </w:rPr>
      </w:pPr>
    </w:p>
    <w:p>
      <w:pPr>
        <w:jc w:val="both"/>
        <w:ind w:right="3119" w:firstLine="790"/>
        <w:spacing w:after="0" w:line="239"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the value of a share of Stock or a share of AT&amp;T stock, as the case may be, as traded on the Nasdaq Stock Market or the New York Stock Exchange, as the case may be, on the date in question, based on the respective closing prices.</w:t>
      </w:r>
    </w:p>
    <w:p>
      <w:pPr>
        <w:spacing w:after="0" w:line="176" w:lineRule="exact"/>
        <w:rPr>
          <w:rFonts w:ascii="Courier New" w:cs="Courier New" w:eastAsia="Courier New" w:hAnsi="Courier New"/>
          <w:sz w:val="15"/>
          <w:szCs w:val="15"/>
          <w:color w:val="auto"/>
        </w:rPr>
      </w:pPr>
    </w:p>
    <w:p>
      <w:pPr>
        <w:jc w:val="both"/>
        <w:ind w:right="3119" w:firstLine="790"/>
        <w:spacing w:after="0" w:line="239"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"Grace Building" shall mean the W.R. Grace Building at 1114 Avenue of the Americas (and 41 West 42nd Street), New York, New York or any other building of comparable stature maintained by the Company as its principal place of business in the borough of Manhattan in New York City.</w:t>
      </w:r>
    </w:p>
    <w:p>
      <w:pPr>
        <w:spacing w:after="0" w:line="176" w:lineRule="exact"/>
        <w:rPr>
          <w:rFonts w:ascii="Courier New" w:cs="Courier New" w:eastAsia="Courier New" w:hAnsi="Courier New"/>
          <w:sz w:val="15"/>
          <w:szCs w:val="15"/>
          <w:color w:val="auto"/>
        </w:rPr>
      </w:pPr>
    </w:p>
    <w:p>
      <w:pPr>
        <w:jc w:val="both"/>
        <w:ind w:right="3119" w:firstLine="790"/>
        <w:spacing w:after="0" w:line="239" w:lineRule="auto"/>
        <w:tabs>
          <w:tab w:leader="none" w:pos="1242"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Agreement" shall mean the Agreement and Plan of Merger dated as of December 19, 2001, as amended, by and among AT&amp;T, Broadband, Comcast Corporation, AT&amp;T Broadband Acquisition Corp., Comcast Acquisition Corp. and the Company.</w:t>
      </w:r>
    </w:p>
    <w:p>
      <w:pPr>
        <w:spacing w:after="0" w:line="173"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shall mean Class A Common Stock of the Company.</w:t>
      </w:r>
    </w:p>
    <w:p>
      <w:pPr>
        <w:spacing w:after="0" w:line="174" w:lineRule="exact"/>
        <w:rPr>
          <w:rFonts w:ascii="Courier New" w:cs="Courier New" w:eastAsia="Courier New" w:hAnsi="Courier New"/>
          <w:sz w:val="15"/>
          <w:szCs w:val="15"/>
          <w:color w:val="auto"/>
        </w:rPr>
      </w:pPr>
    </w:p>
    <w:p>
      <w:pPr>
        <w:ind w:right="3119" w:firstLine="790"/>
        <w:spacing w:after="0" w:line="238"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Bonus" shall have the definition set forth in Section 5(a) of this Agreement.</w:t>
      </w:r>
    </w:p>
    <w:p>
      <w:pPr>
        <w:spacing w:after="0" w:line="174"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shall mean the period  specified in Section 2</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below.</w:t>
      </w:r>
    </w:p>
    <w:p>
      <w:pPr>
        <w:spacing w:after="0" w:line="174" w:lineRule="exact"/>
        <w:rPr>
          <w:rFonts w:ascii="Courier New" w:cs="Courier New" w:eastAsia="Courier New" w:hAnsi="Courier New"/>
          <w:sz w:val="14"/>
          <w:szCs w:val="14"/>
          <w:color w:val="auto"/>
        </w:rPr>
      </w:pPr>
    </w:p>
    <w:p>
      <w:pPr>
        <w:ind w:right="3119" w:firstLine="790"/>
        <w:spacing w:after="0" w:line="238"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"2003 Annual Meeting" shall mean the regularly scheduled 2003 annual meeting of the shareholders of the Company.</w:t>
      </w:r>
    </w:p>
    <w:p>
      <w:pPr>
        <w:spacing w:after="0" w:line="174" w:lineRule="exact"/>
        <w:rPr>
          <w:rFonts w:ascii="Courier New" w:cs="Courier New" w:eastAsia="Courier New" w:hAnsi="Courier New"/>
          <w:sz w:val="15"/>
          <w:szCs w:val="15"/>
          <w:color w:val="auto"/>
        </w:rPr>
      </w:pPr>
    </w:p>
    <w:p>
      <w:pPr>
        <w:ind w:right="3119" w:firstLine="790"/>
        <w:spacing w:after="0" w:line="238" w:lineRule="auto"/>
        <w:tabs>
          <w:tab w:leader="none" w:pos="115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"2004 Annual Meeting" shall mean the regularly scheduled 2004 annual meeting of the shareholders of the Company.</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0" w:right="1440" w:bottom="1440" w:gutter="0" w:footer="0" w:header="0"/>
        </w:sectPr>
      </w:pPr>
    </w:p>
    <w:bookmarkStart w:id="325" w:name="page326"/>
    <w:bookmarkEnd w:id="325"/>
    <w:p>
      <w:pPr>
        <w:ind w:right="3119" w:firstLine="790"/>
        <w:spacing w:after="0" w:line="238" w:lineRule="auto"/>
        <w:tabs>
          <w:tab w:leader="none" w:pos="1154"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 Annual Meeting" shall mean the regularly scheduled 2005 annual meeting of the shareholders of the Company.</w:t>
      </w:r>
    </w:p>
    <w:p>
      <w:pPr>
        <w:spacing w:after="0" w:line="172"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Term of Employment.</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The Term of Employment shall begin on the Effective Date and end on the date of the 2005 Annual Meeting. Notwithstanding the foregoing, after the Effective Date, the Term of Employment may be earlier terminated by either Party in accordance with the provisions of Section 10 and the Articles of Incorporation and the By-Laws of the Company.</w:t>
      </w:r>
    </w:p>
    <w:p>
      <w:pPr>
        <w:spacing w:after="0" w:line="172"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Position, Duties and Responsibilities.</w:t>
      </w:r>
    </w:p>
    <w:p>
      <w:pPr>
        <w:spacing w:after="0" w:line="174" w:lineRule="exact"/>
        <w:rPr>
          <w:sz w:val="20"/>
          <w:szCs w:val="20"/>
          <w:color w:val="auto"/>
        </w:rPr>
      </w:pPr>
    </w:p>
    <w:p>
      <w:pPr>
        <w:jc w:val="both"/>
        <w:ind w:right="3119" w:firstLine="878"/>
        <w:spacing w:after="0"/>
        <w:tabs>
          <w:tab w:leader="none" w:pos="1242"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on the Effective Date and continuing until the date of the 2005 Annual Meeting, the Executive shall be employed as the Chairman of the Board and shall have the duties and responsibilities of the Chairman of the Board as are set forth in the Articles of Incorporation and the By-Laws of the Company. The Executive, in carrying out his duties under this Agreement, shall report to the Board. During the Term of Employment, the Executive shall devote such business time and attention to the business and affairs of the Company as shall be necessary to discharge his responsibilities hereunder and shall use his best efforts, skills and abilities to promote its interests.</w:t>
      </w:r>
    </w:p>
    <w:p>
      <w:pPr>
        <w:spacing w:after="0" w:line="177"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preclude the Executive from (i) serving on the boards of directors of a reasonable number of other corporations subject to the approval of the Board in each case (which approval has been given as to the boards listed in Exhibit A attached hereto), (ii) serving on the boards of a reasonable number of trade associations and/or charitable organizations, (iii) engaging in charitable activities and community affairs, and (iv) managing his personal investments and affairs, provided that such activities set forth in this Section 3(b) do not materially interfere with the proper performance of his duties and responsibilities under Section 3(a).</w:t>
      </w:r>
    </w:p>
    <w:p>
      <w:pPr>
        <w:spacing w:after="0" w:line="175"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Base Salary.</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During the Term of Employment, the Executive shall be paid an annualized Base Salary, payable in accordance with the regular payroll practices of the Company, of $1,800,000. The Base Salary shall be reviewed annually for increase in the discretion of the Board. In no event shall the Executive's Base Salary be decreased.</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26" w:name="page327"/>
    <w:bookmarkEnd w:id="326"/>
    <w:p>
      <w:pPr>
        <w:spacing w:after="0"/>
        <w:tabs>
          <w:tab w:leader="none" w:pos="10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Annual Incentive Award.</w:t>
      </w:r>
    </w:p>
    <w:p>
      <w:pPr>
        <w:spacing w:after="0" w:line="174" w:lineRule="exact"/>
        <w:rPr>
          <w:sz w:val="20"/>
          <w:szCs w:val="20"/>
          <w:color w:val="auto"/>
        </w:rPr>
      </w:pPr>
    </w:p>
    <w:p>
      <w:pPr>
        <w:ind w:left="-780" w:right="3119" w:firstLine="878"/>
        <w:spacing w:after="0"/>
        <w:tabs>
          <w:tab w:leader="none" w:pos="462"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Employment, the Executive shall participate in the annual incentive award plan of the Company applicable to senior executive officers of the Company. Under such plan, the Executive shall have a target bonus opportunity each year equal to no less than 150% of his Base Salary from time to time during that year (the "Target Bonus"), payable in that amount if the performance goals established for the relevant year are met; provided that the performance goals for each year shall be no less favorable to the Executive than the performance goals established for other senior officers of the Company, including the Company's Chief Executive Officer. If such performance goals are not met, the Executive shall receive a lesser amount (or nothing) as determined in accordance with applicable plan guidelines. If such performance goals are exceeded, the Executive may receive a greater amount as determined in accordance with applicable plan guidelines. Except as otherwise provided herein, the Executive shall be paid his annual incentive awards under this Section 5 no later than other senior executives of the Company are paid their annual incentive awards.</w:t>
      </w:r>
    </w:p>
    <w:p>
      <w:pPr>
        <w:spacing w:after="0" w:line="182" w:lineRule="exact"/>
        <w:rPr>
          <w:rFonts w:ascii="Courier New" w:cs="Courier New" w:eastAsia="Courier New" w:hAnsi="Courier New"/>
          <w:sz w:val="15"/>
          <w:szCs w:val="15"/>
          <w:color w:val="auto"/>
        </w:rPr>
      </w:pPr>
    </w:p>
    <w:p>
      <w:pPr>
        <w:ind w:left="-780" w:right="3119" w:firstLine="790"/>
        <w:spacing w:after="0" w:line="238" w:lineRule="auto"/>
        <w:tabs>
          <w:tab w:leader="none" w:pos="462"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Executive's annual incentive awards for the following periods shall be as described below:</w:t>
      </w:r>
    </w:p>
    <w:p>
      <w:pPr>
        <w:spacing w:after="0" w:line="174" w:lineRule="exact"/>
        <w:rPr>
          <w:rFonts w:ascii="Courier New" w:cs="Courier New" w:eastAsia="Courier New" w:hAnsi="Courier New"/>
          <w:sz w:val="15"/>
          <w:szCs w:val="15"/>
          <w:color w:val="auto"/>
        </w:rPr>
      </w:pPr>
    </w:p>
    <w:p>
      <w:pPr>
        <w:ind w:left="100" w:right="3659" w:firstLine="531"/>
        <w:spacing w:after="0" w:line="238" w:lineRule="auto"/>
        <w:tabs>
          <w:tab w:leader="none" w:pos="988" w:val="left"/>
        </w:tabs>
        <w:numPr>
          <w:ilvl w:val="2"/>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 2002, the Executive shall receive an annual incentive award of $3,510,000 on January 3, 2003.</w:t>
      </w:r>
    </w:p>
    <w:p>
      <w:pPr>
        <w:spacing w:after="0" w:line="174" w:lineRule="exact"/>
        <w:rPr>
          <w:rFonts w:ascii="Courier New" w:cs="Courier New" w:eastAsia="Courier New" w:hAnsi="Courier New"/>
          <w:sz w:val="15"/>
          <w:szCs w:val="15"/>
          <w:color w:val="auto"/>
        </w:rPr>
      </w:pPr>
    </w:p>
    <w:p>
      <w:pPr>
        <w:ind w:left="100" w:right="3219" w:firstLine="531"/>
        <w:spacing w:after="0" w:line="260" w:lineRule="auto"/>
        <w:tabs>
          <w:tab w:leader="none" w:pos="1076" w:val="left"/>
        </w:tabs>
        <w:numPr>
          <w:ilvl w:val="2"/>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calendar year 2005, the Executive shall be entitled to an annual incentive award, equal to the Executive's Target Bonus for such year, multiplied by a fraction, the numerator of which is the number of days that the Executive was employed during the applicable year and the denominator of which is 365. Such award shall be paid to the Executive as soon as practicable after the 2005 Annual Meeting.</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Long-term Incentive Awards.</w:t>
      </w:r>
    </w:p>
    <w:p>
      <w:pPr>
        <w:spacing w:after="0" w:line="174" w:lineRule="exact"/>
        <w:rPr>
          <w:sz w:val="20"/>
          <w:szCs w:val="20"/>
          <w:color w:val="auto"/>
        </w:rPr>
      </w:pPr>
    </w:p>
    <w:p>
      <w:pPr>
        <w:jc w:val="both"/>
        <w:ind w:left="-780" w:right="3119" w:firstLine="878"/>
        <w:spacing w:after="0" w:line="239" w:lineRule="auto"/>
        <w:tabs>
          <w:tab w:leader="none" w:pos="462"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Performance Awards. Subject to the provisions of Section 10, Exhibit B sets forth the treatment of the outstanding AT&amp;T performance shares, restricted stock units ("RSUs") and stock options, respectively, held by the Executive as of the Effective Date.</w:t>
      </w:r>
    </w:p>
    <w:p>
      <w:pPr>
        <w:spacing w:after="0" w:line="176" w:lineRule="exact"/>
        <w:rPr>
          <w:rFonts w:ascii="Courier New" w:cs="Courier New" w:eastAsia="Courier New" w:hAnsi="Courier New"/>
          <w:sz w:val="15"/>
          <w:szCs w:val="15"/>
          <w:color w:val="auto"/>
        </w:rPr>
      </w:pPr>
    </w:p>
    <w:p>
      <w:pPr>
        <w:jc w:val="both"/>
        <w:ind w:left="-780" w:right="3119" w:firstLine="878"/>
        <w:spacing w:after="0"/>
        <w:tabs>
          <w:tab w:leader="none" w:pos="551"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Performance Awards. As soon as practicable after the Effective Date, the Company shall grant to the Executive an option (the "Option") to purchase 2,400,000 shares of Stock at the Fair Market Value of the Stock on the day immediately preceding the date of grant. This grant shall be made on the</w:t>
      </w:r>
    </w:p>
    <w:p>
      <w:pPr>
        <w:spacing w:after="0" w:line="34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457" w:right="1440" w:bottom="1440" w:gutter="0" w:footer="0" w:header="0"/>
        </w:sectPr>
      </w:pPr>
    </w:p>
    <w:bookmarkStart w:id="327" w:name="page328"/>
    <w:bookmarkEnd w:id="327"/>
    <w:p>
      <w:pPr>
        <w:ind w:right="3119"/>
        <w:spacing w:after="0"/>
        <w:rPr>
          <w:sz w:val="20"/>
          <w:szCs w:val="20"/>
          <w:color w:val="auto"/>
        </w:rPr>
      </w:pPr>
      <w:r>
        <w:rPr>
          <w:rFonts w:ascii="Courier New" w:cs="Courier New" w:eastAsia="Courier New" w:hAnsi="Courier New"/>
          <w:sz w:val="15"/>
          <w:szCs w:val="15"/>
          <w:color w:val="auto"/>
        </w:rPr>
        <w:t>same terms and conditions as options granted to other senior officers of the Company (i.e., ten-year term, ten-year vesting with respect to half of the Option, five-year vesting with respect to the other half (the details of such vesting having been disclosed to the Executive), and the Executive shall have 90 days after retirement to exercise the vested portion of the Option, if any). The Company shall be under no obligation to grant any additional equity awards to the Executive.</w:t>
      </w:r>
    </w:p>
    <w:p>
      <w:pPr>
        <w:spacing w:after="0" w:line="176"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SECTION 7. Supplemental Pension. As of the Effective Time, the Company shall have paid to AT&amp;T the amount necessary to discharge any obligation with respect to the supplemental retirement benefit provided to the Executive under Section 9 of his prior employment agreement with AT&amp;T. Executive acknowledges that the obligation to administer and pay such supplemental retirement benefit has accordingly been assumed by AT&amp;T and the Executive further acknowledges that the Company shall have no obligation or liability to the Executive with respect to payment of such supplemental retirement benefit.</w:t>
      </w:r>
    </w:p>
    <w:p>
      <w:pPr>
        <w:spacing w:after="0" w:line="174"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Employee Benefit Programs.</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During the Term of Employment, the Executive shall be entitled to participate in all employee pension and welfare benefit plans and programs made available to the Company's senior level executives or to its employees generally, as such plans or programs may be in effect from time to time, including, without limitation, pension, profit sharing, savings and other retirement plans or programs, 401(k), medical, dental, hospitalization, short-term and long-term disability and life insurance plans, accidental death and dismemberment protection, travel accident insurance, and any other pension or retirement plans or programs and any other employee welfare benefit plans or programs that may be sponsored by the Company from time to time, including any plans that supplement the above-listed types of plans or programs, whether funded or unfunded. The Executive's participation shall be based on, and the calculation of all benefits shall be based on, the assumptions that the Executive has met all service-period or other requirements for such participation provided that no such assumptions shall be made as to a tax-qualified plan if such assumption would jeopardize the tax- qualified status of such plan.</w:t>
      </w:r>
    </w:p>
    <w:p>
      <w:pPr>
        <w:spacing w:after="0" w:line="183"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9. Reimbursement of Business and Other Expenses; Executive Services; Vacation.</w:t>
      </w:r>
    </w:p>
    <w:p>
      <w:pPr>
        <w:spacing w:after="0" w:line="175" w:lineRule="exact"/>
        <w:rPr>
          <w:sz w:val="20"/>
          <w:szCs w:val="20"/>
          <w:color w:val="auto"/>
        </w:rPr>
      </w:pPr>
    </w:p>
    <w:p>
      <w:pPr>
        <w:ind w:right="3119" w:firstLine="790"/>
        <w:spacing w:after="0"/>
        <w:tabs>
          <w:tab w:leader="none" w:pos="1154"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authorized to incur reasonable expenses in carrying out his duties and responsibilities under this Agreement and the Company shall promptly reimburse him for all business expenses incurred in connection with carrying out the business of the Company, subject to documentation in accordance</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328" w:name="page329"/>
    <w:bookmarkEnd w:id="328"/>
    <w:p>
      <w:pPr>
        <w:ind w:right="3299"/>
        <w:spacing w:after="0" w:line="239" w:lineRule="auto"/>
        <w:rPr>
          <w:sz w:val="20"/>
          <w:szCs w:val="20"/>
          <w:color w:val="auto"/>
        </w:rPr>
      </w:pPr>
      <w:r>
        <w:rPr>
          <w:rFonts w:ascii="Courier New" w:cs="Courier New" w:eastAsia="Courier New" w:hAnsi="Courier New"/>
          <w:sz w:val="15"/>
          <w:szCs w:val="15"/>
          <w:color w:val="auto"/>
        </w:rPr>
        <w:t>with the Company's policy. The Company shall pay all reasonable financial consultant and legal fees and expenses incurred by the Executive in connection with the negotiation of the Executive's employment and consulting arrangements with the Company.</w:t>
      </w:r>
    </w:p>
    <w:p>
      <w:pPr>
        <w:spacing w:after="0" w:line="176" w:lineRule="exact"/>
        <w:rPr>
          <w:sz w:val="20"/>
          <w:szCs w:val="20"/>
          <w:color w:val="auto"/>
        </w:rPr>
      </w:pPr>
    </w:p>
    <w:p>
      <w:pPr>
        <w:jc w:val="both"/>
        <w:ind w:right="3119" w:firstLine="790"/>
        <w:spacing w:after="0"/>
        <w:tabs>
          <w:tab w:leader="none" w:pos="115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Employment, the Executive's principal office shall be located in the Grace Building. The Company shall provide full-time secretarial support for the Executive's principal office, as selected by the Executive in his sole discretion. The Company shall make available for the Executive's use appropriate office space (which shall be on the executive floor) and secretarial support when he performs services at the Company's principal offices in Philadelphia, Pennsylvania.</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Employment, the Executive shall be entitled to participate in each of the Company's executive services in accordance with the terms and conditions of such arrangements as they are in effect from time to time for the Company's Chief Executive Officer, including primary personal use of an airplane on the same economic terms as the Company's Chief Executive Officer. Without duplication of the foregoing, until the date of the 2004 Annual Meeting, the Company shall pay the dues for the Executive's membership in the Business Roundtable, the G-100 and the Business Council.</w:t>
      </w:r>
    </w:p>
    <w:p>
      <w:pPr>
        <w:spacing w:after="0" w:line="176"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calendar year 2003, the Company shall pay when due the premiums for the Executive's Senior Management Universal Life Insurance Policy (as in effect immediately prior to the Effective Date), estimates of which have been provided to the Company by the Executive, and a gross-up for all federal taxes payable by the Executive in connection with the payment of such premiums. The Company shall only pay such premiums for calendar year 2004 if the Executive elects to become Non-Executive Chairman of the Board prior to or at the 2003 Annual Meeting.</w:t>
      </w:r>
    </w:p>
    <w:p>
      <w:pPr>
        <w:spacing w:after="0" w:line="176"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calendar year 2003, if the Executive elects to become Non-Executive Chairman of the Board prior to or at the 2003 Annual Meeting he shall be entitled to tax preparation and financial counseling services for such year. If the Company provides any executive officer with a gross-up for applicable taxes payable in connection with the provision of such tax preparation and counseling services, the Executive shall also be entitled to such tax gross-up.</w:t>
      </w:r>
    </w:p>
    <w:p>
      <w:pPr>
        <w:spacing w:after="0" w:line="175"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be entitled to five weeks paid vacation per year of employment, which shall accrue and otherwise be subject to the Company's vacation policy for senior executives.</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0" w:right="1440" w:bottom="1440" w:gutter="0" w:footer="0" w:header="0"/>
        </w:sectPr>
      </w:pPr>
    </w:p>
    <w:bookmarkStart w:id="329" w:name="page330"/>
    <w:bookmarkEnd w:id="329"/>
    <w:p>
      <w:pPr>
        <w:spacing w:after="0"/>
        <w:tabs>
          <w:tab w:leader="none" w:pos="11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Termination of Employment.</w:t>
      </w:r>
    </w:p>
    <w:p>
      <w:pPr>
        <w:spacing w:after="0" w:line="174" w:lineRule="exact"/>
        <w:rPr>
          <w:sz w:val="20"/>
          <w:szCs w:val="20"/>
          <w:color w:val="auto"/>
        </w:rPr>
      </w:pPr>
    </w:p>
    <w:p>
      <w:pPr>
        <w:ind w:left="-780" w:right="3119" w:firstLine="790"/>
        <w:spacing w:after="0" w:line="239" w:lineRule="auto"/>
        <w:tabs>
          <w:tab w:leader="none" w:pos="462"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Death. In the event that the Executive's employment is terminated due to his death, his estate or his beneficiaries, as the case may be, shall be entitled to the following benefits:</w:t>
      </w:r>
    </w:p>
    <w:p>
      <w:pPr>
        <w:spacing w:after="0" w:line="172" w:lineRule="exact"/>
        <w:rPr>
          <w:rFonts w:ascii="Courier New" w:cs="Courier New" w:eastAsia="Courier New" w:hAnsi="Courier New"/>
          <w:sz w:val="15"/>
          <w:szCs w:val="15"/>
          <w:color w:val="auto"/>
        </w:rPr>
      </w:pPr>
    </w:p>
    <w:p>
      <w:pPr>
        <w:ind w:left="980" w:hanging="349"/>
        <w:spacing w:after="0"/>
        <w:tabs>
          <w:tab w:leader="none" w:pos="980" w:val="left"/>
        </w:tabs>
        <w:numPr>
          <w:ilvl w:val="2"/>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through the end of the month in which his death</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occurs;</w:t>
      </w:r>
    </w:p>
    <w:p>
      <w:pPr>
        <w:spacing w:after="0" w:line="174" w:lineRule="exact"/>
        <w:rPr>
          <w:rFonts w:ascii="Courier New" w:cs="Courier New" w:eastAsia="Courier New" w:hAnsi="Courier New"/>
          <w:sz w:val="15"/>
          <w:szCs w:val="15"/>
          <w:color w:val="auto"/>
        </w:rPr>
      </w:pPr>
    </w:p>
    <w:p>
      <w:pPr>
        <w:ind w:left="100" w:right="3479" w:firstLine="531"/>
        <w:spacing w:after="0" w:line="239" w:lineRule="auto"/>
        <w:tabs>
          <w:tab w:leader="none" w:pos="1076" w:val="left"/>
        </w:tabs>
        <w:numPr>
          <w:ilvl w:val="2"/>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incentive award for the year in which the Executive's death occurs, equal to the Target Bonus for such year, payable in a single installment promptly after his death;</w:t>
      </w:r>
    </w:p>
    <w:p>
      <w:pPr>
        <w:spacing w:after="0" w:line="175" w:lineRule="exact"/>
        <w:rPr>
          <w:rFonts w:ascii="Courier New" w:cs="Courier New" w:eastAsia="Courier New" w:hAnsi="Courier New"/>
          <w:sz w:val="15"/>
          <w:szCs w:val="15"/>
          <w:color w:val="auto"/>
        </w:rPr>
      </w:pPr>
    </w:p>
    <w:p>
      <w:pPr>
        <w:ind w:left="100" w:right="3119" w:firstLine="531"/>
        <w:spacing w:after="0" w:line="239" w:lineRule="auto"/>
        <w:tabs>
          <w:tab w:leader="none" w:pos="1165" w:val="left"/>
        </w:tabs>
        <w:numPr>
          <w:ilvl w:val="2"/>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 and</w:t>
      </w:r>
    </w:p>
    <w:p>
      <w:pPr>
        <w:spacing w:after="0" w:line="172" w:lineRule="exact"/>
        <w:rPr>
          <w:rFonts w:ascii="Courier New" w:cs="Courier New" w:eastAsia="Courier New" w:hAnsi="Courier New"/>
          <w:sz w:val="15"/>
          <w:szCs w:val="15"/>
          <w:color w:val="auto"/>
        </w:rPr>
      </w:pPr>
    </w:p>
    <w:p>
      <w:pPr>
        <w:ind w:left="1080" w:hanging="449"/>
        <w:spacing w:after="0"/>
        <w:tabs>
          <w:tab w:leader="none" w:pos="1080" w:val="left"/>
        </w:tabs>
        <w:numPr>
          <w:ilvl w:val="2"/>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restrictions on restricted stock shall lapse and</w:t>
      </w:r>
    </w:p>
    <w:p>
      <w:pPr>
        <w:spacing w:after="0" w:line="3" w:lineRule="exact"/>
        <w:rPr>
          <w:rFonts w:ascii="Courier New" w:cs="Courier New" w:eastAsia="Courier New" w:hAnsi="Courier New"/>
          <w:sz w:val="15"/>
          <w:szCs w:val="15"/>
          <w:color w:val="auto"/>
        </w:rPr>
      </w:pPr>
    </w:p>
    <w:p>
      <w:pPr>
        <w:ind w:left="100" w:right="3119" w:hanging="2"/>
        <w:spacing w:after="0" w:line="239" w:lineRule="auto"/>
        <w:tabs>
          <w:tab w:leader="none" w:pos="455" w:val="left"/>
        </w:tabs>
        <w:numPr>
          <w:ilvl w:val="1"/>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RSUs (as well as the $10,000,000 guarantee set forth in Exhibit B), performance shares and other equity-based awards shall vest and be paid out (at target, with respect to the performance shares) in a single installment promptly after his death.</w:t>
      </w:r>
    </w:p>
    <w:p>
      <w:pPr>
        <w:spacing w:after="0" w:line="176" w:lineRule="exact"/>
        <w:rPr>
          <w:sz w:val="20"/>
          <w:szCs w:val="20"/>
          <w:color w:val="auto"/>
        </w:rPr>
      </w:pPr>
    </w:p>
    <w:p>
      <w:pPr>
        <w:jc w:val="both"/>
        <w:ind w:right="3119" w:firstLine="98"/>
        <w:spacing w:after="0" w:line="239" w:lineRule="auto"/>
        <w:tabs>
          <w:tab w:leader="none" w:pos="444"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Disability. In the event that the Executive's employment is terminated due to his Disability, he shall be entitled to the following benefits:</w:t>
      </w:r>
    </w:p>
    <w:p>
      <w:pPr>
        <w:spacing w:after="0" w:line="175" w:lineRule="exact"/>
        <w:rPr>
          <w:rFonts w:ascii="Courier New" w:cs="Courier New" w:eastAsia="Courier New" w:hAnsi="Courier New"/>
          <w:sz w:val="15"/>
          <w:szCs w:val="15"/>
          <w:color w:val="auto"/>
        </w:rPr>
      </w:pPr>
    </w:p>
    <w:p>
      <w:pPr>
        <w:jc w:val="both"/>
        <w:ind w:left="100" w:right="3839" w:firstLine="531"/>
        <w:spacing w:after="0" w:line="239" w:lineRule="auto"/>
        <w:tabs>
          <w:tab w:leader="none" w:pos="988"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benefits in accordance with the long-term disability program then in effect for senior executives of the Company;</w:t>
      </w:r>
    </w:p>
    <w:p>
      <w:pPr>
        <w:spacing w:after="0" w:line="175" w:lineRule="exact"/>
        <w:rPr>
          <w:rFonts w:ascii="Courier New" w:cs="Courier New" w:eastAsia="Courier New" w:hAnsi="Courier New"/>
          <w:sz w:val="15"/>
          <w:szCs w:val="15"/>
          <w:color w:val="auto"/>
        </w:rPr>
      </w:pPr>
    </w:p>
    <w:p>
      <w:pPr>
        <w:ind w:left="100" w:right="4019" w:firstLine="531"/>
        <w:spacing w:after="0" w:line="238" w:lineRule="auto"/>
        <w:tabs>
          <w:tab w:leader="none" w:pos="1076"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through the end of the month in which disability benefits commence;</w:t>
      </w:r>
    </w:p>
    <w:p>
      <w:pPr>
        <w:spacing w:after="0" w:line="174" w:lineRule="exact"/>
        <w:rPr>
          <w:rFonts w:ascii="Courier New" w:cs="Courier New" w:eastAsia="Courier New" w:hAnsi="Courier New"/>
          <w:sz w:val="15"/>
          <w:szCs w:val="15"/>
          <w:color w:val="auto"/>
        </w:rPr>
      </w:pPr>
    </w:p>
    <w:p>
      <w:pPr>
        <w:ind w:left="100" w:right="3219" w:firstLine="531"/>
        <w:spacing w:after="0" w:line="264" w:lineRule="auto"/>
        <w:tabs>
          <w:tab w:leader="none" w:pos="1165"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award for the year in which the Executive's termination occurs, equal to the Target Bonus for such year, payable in a single installment promptly after his termination;</w:t>
      </w:r>
    </w:p>
    <w:p>
      <w:pPr>
        <w:spacing w:after="0" w:line="159" w:lineRule="exact"/>
        <w:rPr>
          <w:rFonts w:ascii="Courier New" w:cs="Courier New" w:eastAsia="Courier New" w:hAnsi="Courier New"/>
          <w:sz w:val="14"/>
          <w:szCs w:val="14"/>
          <w:color w:val="auto"/>
        </w:rPr>
      </w:pPr>
    </w:p>
    <w:p>
      <w:pPr>
        <w:ind w:left="100" w:right="3119" w:firstLine="531"/>
        <w:spacing w:after="0" w:line="239" w:lineRule="auto"/>
        <w:tabs>
          <w:tab w:leader="none" w:pos="1076"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 and</w:t>
      </w:r>
    </w:p>
    <w:p>
      <w:pPr>
        <w:spacing w:after="0" w:line="175" w:lineRule="exact"/>
        <w:rPr>
          <w:rFonts w:ascii="Courier New" w:cs="Courier New" w:eastAsia="Courier New" w:hAnsi="Courier New"/>
          <w:sz w:val="15"/>
          <w:szCs w:val="15"/>
          <w:color w:val="auto"/>
        </w:rPr>
      </w:pPr>
    </w:p>
    <w:p>
      <w:pPr>
        <w:ind w:left="100" w:right="3119" w:firstLine="531"/>
        <w:spacing w:after="0" w:line="239" w:lineRule="auto"/>
        <w:tabs>
          <w:tab w:leader="none" w:pos="988"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restrictions on restricted stock shall lapse and (B) all outstanding RSUs (as well as the $10,000,000 guarantee set forth in Exhibit B), performance shares and other equity-based awards shall vest</w:t>
      </w:r>
    </w:p>
    <w:p>
      <w:pPr>
        <w:spacing w:after="0" w:line="200" w:lineRule="exact"/>
        <w:rPr>
          <w:sz w:val="20"/>
          <w:szCs w:val="20"/>
          <w:color w:val="auto"/>
        </w:rPr>
      </w:pPr>
    </w:p>
    <w:p>
      <w:pPr>
        <w:spacing w:after="0" w:line="31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457" w:right="1440" w:bottom="1440" w:gutter="0" w:footer="0" w:header="0"/>
        </w:sectPr>
      </w:pPr>
    </w:p>
    <w:bookmarkStart w:id="330" w:name="page331"/>
    <w:bookmarkEnd w:id="330"/>
    <w:p>
      <w:pPr>
        <w:ind w:left="100" w:right="3119"/>
        <w:spacing w:after="0" w:line="238" w:lineRule="auto"/>
        <w:rPr>
          <w:sz w:val="20"/>
          <w:szCs w:val="20"/>
          <w:color w:val="auto"/>
        </w:rPr>
      </w:pPr>
      <w:r>
        <w:rPr>
          <w:rFonts w:ascii="Courier New" w:cs="Courier New" w:eastAsia="Courier New" w:hAnsi="Courier New"/>
          <w:sz w:val="15"/>
          <w:szCs w:val="15"/>
          <w:color w:val="auto"/>
        </w:rPr>
        <w:t>and be paid out (at target, with respect to the performance shares) in a single installment promptly after his termination.</w:t>
      </w:r>
    </w:p>
    <w:p>
      <w:pPr>
        <w:spacing w:after="0" w:line="17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In no event shall a termination of the Executive's employment for Disability occur until the Party terminating his employment gives written notice to the other Party in accordance with Section 24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hanging="350"/>
        <w:spacing w:after="0"/>
        <w:tabs>
          <w:tab w:leader="none" w:pos="360"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w:t>
      </w:r>
    </w:p>
    <w:p>
      <w:pPr>
        <w:spacing w:after="0" w:line="174" w:lineRule="exact"/>
        <w:rPr>
          <w:rFonts w:ascii="Courier New" w:cs="Courier New" w:eastAsia="Courier New" w:hAnsi="Courier New"/>
          <w:sz w:val="15"/>
          <w:szCs w:val="15"/>
          <w:color w:val="auto"/>
        </w:rPr>
      </w:pPr>
    </w:p>
    <w:p>
      <w:pPr>
        <w:ind w:left="100" w:right="3119" w:firstLine="531"/>
        <w:spacing w:after="0"/>
        <w:tabs>
          <w:tab w:leader="none" w:pos="988" w:val="left"/>
        </w:tabs>
        <w:numPr>
          <w:ilvl w:val="1"/>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for Cause shall not take effect unless the provisions of this paragraph (i) are complied with. The Executive shall be given written notice by the Board, authorized by a vote of no less than 75% of the entire Board, of the intention to terminate him for Cause, such notice (A) to state in detail the particular act or acts or failure or failures to act that constitute the grounds on which the proposed termination for Cause is based and (B) to be given within six months of the Board learning of such act or acts or failure or failures to act. The Executive shall have ten calendar days after the date that such written notice has been given to the Executive in which to cure such conduct, to the extent such cure is possible. If he fails to cure such conduct, the Executive shall then be entitled to a hearing before the Board. Such hearing shall be held within 15 calendar days of such notice to the Executive, provided he requests such hearing within ten calendar days of the written notice from the Board of the intention to terminate him for Cause. If, within five calendar days following such hearing, the Executive is furnished written notice by the Board confirming that, in its judgment, grounds for Cause on the basis of the original notice exist, he shall thereupon be terminated for Cause.</w:t>
      </w:r>
    </w:p>
    <w:p>
      <w:pPr>
        <w:spacing w:after="0" w:line="185" w:lineRule="exact"/>
        <w:rPr>
          <w:rFonts w:ascii="Courier New" w:cs="Courier New" w:eastAsia="Courier New" w:hAnsi="Courier New"/>
          <w:sz w:val="15"/>
          <w:szCs w:val="15"/>
          <w:color w:val="auto"/>
        </w:rPr>
      </w:pPr>
    </w:p>
    <w:p>
      <w:pPr>
        <w:ind w:left="100" w:right="3839" w:firstLine="531"/>
        <w:spacing w:after="0" w:line="238" w:lineRule="auto"/>
        <w:tabs>
          <w:tab w:leader="none" w:pos="1076" w:val="left"/>
        </w:tabs>
        <w:numPr>
          <w:ilvl w:val="1"/>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terminates the Executive's employment for Cause:</w:t>
      </w:r>
    </w:p>
    <w:p>
      <w:pPr>
        <w:spacing w:after="0" w:line="174" w:lineRule="exact"/>
        <w:rPr>
          <w:rFonts w:ascii="Courier New" w:cs="Courier New" w:eastAsia="Courier New" w:hAnsi="Courier New"/>
          <w:sz w:val="15"/>
          <w:szCs w:val="15"/>
          <w:color w:val="auto"/>
        </w:rPr>
      </w:pPr>
    </w:p>
    <w:p>
      <w:pPr>
        <w:ind w:left="800" w:right="3119" w:firstLine="452"/>
        <w:spacing w:after="0" w:line="238" w:lineRule="auto"/>
        <w:tabs>
          <w:tab w:leader="none" w:pos="1599"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be entitled to Base Salary through the date of the termination;</w:t>
      </w:r>
    </w:p>
    <w:p>
      <w:pPr>
        <w:spacing w:after="0" w:line="174" w:lineRule="exact"/>
        <w:rPr>
          <w:rFonts w:ascii="Courier New" w:cs="Courier New" w:eastAsia="Courier New" w:hAnsi="Courier New"/>
          <w:sz w:val="15"/>
          <w:szCs w:val="15"/>
          <w:color w:val="auto"/>
        </w:rPr>
      </w:pPr>
    </w:p>
    <w:p>
      <w:pPr>
        <w:jc w:val="both"/>
        <w:ind w:left="800" w:right="3119" w:firstLine="452"/>
        <w:spacing w:after="0"/>
        <w:tabs>
          <w:tab w:leader="none" w:pos="1599"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which are not exercisable shall be forfeited; exercisable options shall remain exercisable until the earlier of the ninetieth day after the date of termination or the originally scheduled expiration date of the options unless the Board determines otherwise;</w:t>
      </w:r>
    </w:p>
    <w:p>
      <w:pPr>
        <w:spacing w:after="0" w:line="174" w:lineRule="exact"/>
        <w:rPr>
          <w:rFonts w:ascii="Courier New" w:cs="Courier New" w:eastAsia="Courier New" w:hAnsi="Courier New"/>
          <w:sz w:val="15"/>
          <w:szCs w:val="15"/>
          <w:color w:val="auto"/>
        </w:rPr>
      </w:pPr>
    </w:p>
    <w:p>
      <w:pPr>
        <w:ind w:left="800" w:right="3119" w:firstLine="452"/>
        <w:spacing w:after="0" w:line="238" w:lineRule="auto"/>
        <w:tabs>
          <w:tab w:leader="none" w:pos="1599"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restricted stock as to which restrictions have not lapsed shall be forfeited;</w:t>
      </w:r>
    </w:p>
    <w:p>
      <w:pPr>
        <w:spacing w:after="0" w:line="172" w:lineRule="exact"/>
        <w:rPr>
          <w:rFonts w:ascii="Courier New" w:cs="Courier New" w:eastAsia="Courier New" w:hAnsi="Courier New"/>
          <w:sz w:val="15"/>
          <w:szCs w:val="15"/>
          <w:color w:val="auto"/>
        </w:rPr>
      </w:pPr>
    </w:p>
    <w:p>
      <w:pPr>
        <w:ind w:left="1600" w:hanging="348"/>
        <w:spacing w:after="0"/>
        <w:tabs>
          <w:tab w:leader="none" w:pos="1600" w:val="left"/>
        </w:tabs>
        <w:numPr>
          <w:ilvl w:val="2"/>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unvested RSUS shall be forfeited;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39"/>
          </w:cols>
          <w:pgMar w:left="1020" w:top="631" w:right="1440" w:bottom="1440" w:gutter="0" w:footer="0" w:header="0"/>
        </w:sectPr>
      </w:pPr>
    </w:p>
    <w:bookmarkStart w:id="331" w:name="page332"/>
    <w:bookmarkEnd w:id="331"/>
    <w:p>
      <w:pPr>
        <w:jc w:val="both"/>
        <w:ind w:left="790" w:right="3119" w:firstLine="452"/>
        <w:spacing w:after="0" w:line="239" w:lineRule="auto"/>
        <w:tabs>
          <w:tab w:leader="none" w:pos="1589" w:val="left"/>
        </w:tabs>
        <w:numPr>
          <w:ilvl w:val="3"/>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long-term incentive plan awards with respect to performance cycles which have not yet been completed shall be forfeited.</w:t>
      </w:r>
    </w:p>
    <w:p>
      <w:pPr>
        <w:spacing w:after="0" w:line="175" w:lineRule="exact"/>
        <w:rPr>
          <w:rFonts w:ascii="Courier New" w:cs="Courier New" w:eastAsia="Courier New" w:hAnsi="Courier New"/>
          <w:sz w:val="15"/>
          <w:szCs w:val="15"/>
          <w:color w:val="auto"/>
        </w:rPr>
      </w:pPr>
    </w:p>
    <w:p>
      <w:pPr>
        <w:ind w:left="-790" w:right="3119" w:firstLine="790"/>
        <w:spacing w:after="0"/>
        <w:tabs>
          <w:tab w:leader="none" w:pos="453"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or Constructive Termination without Cause. In the event the Executive's employment is terminated by the Company without Cause, other than due to Disability or death, or in the event there is a Constructive Termination without Cause, the Executive shall be entitled to the following benefits:</w:t>
      </w:r>
    </w:p>
    <w:p>
      <w:pPr>
        <w:spacing w:after="0" w:line="171" w:lineRule="exact"/>
        <w:rPr>
          <w:rFonts w:ascii="Courier New" w:cs="Courier New" w:eastAsia="Courier New" w:hAnsi="Courier New"/>
          <w:sz w:val="15"/>
          <w:szCs w:val="15"/>
          <w:color w:val="auto"/>
        </w:rPr>
      </w:pPr>
    </w:p>
    <w:p>
      <w:pPr>
        <w:ind w:left="890" w:hanging="358"/>
        <w:spacing w:after="0"/>
        <w:tabs>
          <w:tab w:leader="none" w:pos="890"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through the date of termination;</w:t>
      </w:r>
    </w:p>
    <w:p>
      <w:pPr>
        <w:spacing w:after="0" w:line="174" w:lineRule="exact"/>
        <w:rPr>
          <w:rFonts w:ascii="Courier New" w:cs="Courier New" w:eastAsia="Courier New" w:hAnsi="Courier New"/>
          <w:sz w:val="15"/>
          <w:szCs w:val="15"/>
          <w:color w:val="auto"/>
        </w:rPr>
      </w:pPr>
    </w:p>
    <w:p>
      <w:pPr>
        <w:ind w:left="90" w:right="3219" w:firstLine="442"/>
        <w:spacing w:after="0"/>
        <w:tabs>
          <w:tab w:leader="none" w:pos="978" w:val="left"/>
        </w:tabs>
        <w:numPr>
          <w:ilvl w:val="1"/>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annual incentive award for the year in which termination occurs, equal to the Target Bonus for such year multiplied by a fraction, the numerator of which is the number of days that the Executive was employed during the applicable year and the denominator of which is 365, payable in a single installment promptly after his termination;</w:t>
      </w:r>
    </w:p>
    <w:p>
      <w:pPr>
        <w:spacing w:after="0" w:line="175" w:lineRule="exact"/>
        <w:rPr>
          <w:rFonts w:ascii="Courier New" w:cs="Courier New" w:eastAsia="Courier New" w:hAnsi="Courier New"/>
          <w:sz w:val="15"/>
          <w:szCs w:val="15"/>
          <w:color w:val="auto"/>
        </w:rPr>
      </w:pPr>
    </w:p>
    <w:p>
      <w:pPr>
        <w:ind w:left="90" w:right="3119" w:firstLine="531"/>
        <w:spacing w:after="0" w:line="239" w:lineRule="auto"/>
        <w:tabs>
          <w:tab w:leader="none" w:pos="1155" w:val="left"/>
        </w:tabs>
        <w:numPr>
          <w:ilvl w:val="2"/>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w:t>
      </w:r>
    </w:p>
    <w:p>
      <w:pPr>
        <w:spacing w:after="0" w:line="175" w:lineRule="exact"/>
        <w:rPr>
          <w:rFonts w:ascii="Courier New" w:cs="Courier New" w:eastAsia="Courier New" w:hAnsi="Courier New"/>
          <w:sz w:val="15"/>
          <w:szCs w:val="15"/>
          <w:color w:val="auto"/>
        </w:rPr>
      </w:pPr>
    </w:p>
    <w:p>
      <w:pPr>
        <w:ind w:left="90" w:right="3119" w:firstLine="531"/>
        <w:spacing w:after="0" w:line="261" w:lineRule="auto"/>
        <w:tabs>
          <w:tab w:leader="none" w:pos="1066" w:val="left"/>
        </w:tabs>
        <w:numPr>
          <w:ilvl w:val="2"/>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any restrictions on any restricted stock shall lapse and (B) all outstanding RSUs (as well as the $10,000,000 guarantee set forth in Exhibit B), performance shares and other equity-based awards shall vest and be paid out (at target, with respect to the performance shares) in a single installment promptly after his termination; and</w:t>
      </w:r>
    </w:p>
    <w:p>
      <w:pPr>
        <w:spacing w:after="0" w:line="161" w:lineRule="exact"/>
        <w:rPr>
          <w:rFonts w:ascii="Courier New" w:cs="Courier New" w:eastAsia="Courier New" w:hAnsi="Courier New"/>
          <w:sz w:val="14"/>
          <w:szCs w:val="14"/>
          <w:color w:val="auto"/>
        </w:rPr>
      </w:pPr>
    </w:p>
    <w:p>
      <w:pPr>
        <w:ind w:left="90" w:right="3219" w:firstLine="531"/>
        <w:spacing w:after="0" w:line="259" w:lineRule="auto"/>
        <w:tabs>
          <w:tab w:leader="none" w:pos="978" w:val="left"/>
        </w:tabs>
        <w:numPr>
          <w:ilvl w:val="2"/>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termination occurs on or prior to the second anniversary of the Effective Date, the Executive shall be entitled to receive a lump sum cash amount equal to the greater of (A) (X) the product of three multiplied by the sum of (I) the Base Salary, (II) the annual incentive award, equal to the target bonus established by AT&amp;T for 2002, which was 150% of his then base salary, and (III) the long-term performance share award, equal to the performance share target set by AT&amp;T for 2002 and (B) the product of four multiplied by the sum of Base Salary, at the annualized rate in effect on the date of termination, and the Target Bonus for the year in which the termination occurs (with respect to the Target Bonus, $2.7 million if such termination occurs in 2002 or 2005). If such termination occurs after the second anniversary of the Effective Date, the Executive shall be entitled to receive the payment set forth in clause (B) of this Section 10(d)(v).</w:t>
      </w:r>
    </w:p>
    <w:p>
      <w:pPr>
        <w:spacing w:after="0" w:line="200" w:lineRule="exact"/>
        <w:rPr>
          <w:sz w:val="20"/>
          <w:szCs w:val="20"/>
          <w:color w:val="auto"/>
        </w:rPr>
      </w:pPr>
    </w:p>
    <w:p>
      <w:pPr>
        <w:spacing w:after="0" w:line="302"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29"/>
          </w:cols>
          <w:pgMar w:left="1030" w:top="460" w:right="1440" w:bottom="1440" w:gutter="0" w:footer="0" w:header="0"/>
        </w:sectPr>
      </w:pPr>
    </w:p>
    <w:bookmarkStart w:id="332" w:name="page333"/>
    <w:bookmarkEnd w:id="332"/>
    <w:p>
      <w:pPr>
        <w:ind w:left="350" w:hanging="350"/>
        <w:spacing w:after="0"/>
        <w:tabs>
          <w:tab w:leader="none" w:pos="350"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Retirement.</w:t>
      </w:r>
    </w:p>
    <w:p>
      <w:pPr>
        <w:spacing w:after="0" w:line="174" w:lineRule="exact"/>
        <w:rPr>
          <w:rFonts w:ascii="Courier New" w:cs="Courier New" w:eastAsia="Courier New" w:hAnsi="Courier New"/>
          <w:sz w:val="15"/>
          <w:szCs w:val="15"/>
          <w:color w:val="auto"/>
        </w:rPr>
      </w:pPr>
    </w:p>
    <w:p>
      <w:pPr>
        <w:ind w:left="90" w:right="3299" w:firstLine="531"/>
        <w:spacing w:after="0"/>
        <w:tabs>
          <w:tab w:leader="none" w:pos="978" w:val="left"/>
        </w:tabs>
        <w:numPr>
          <w:ilvl w:val="2"/>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termination of employment by the Executive on his own initiative, other than a termination due to death or Disability or a Constructive Termination without Cause or retirement following the end of the Term of Employment, shall have the same consequences as provided in Section 10(c)(ii) for a termination for Cause. A voluntary termination under this Section 10(e) shall be effective 30 calendar days after prior written notice is received by the Company.</w:t>
      </w:r>
    </w:p>
    <w:p>
      <w:pPr>
        <w:spacing w:after="0" w:line="176" w:lineRule="exact"/>
        <w:rPr>
          <w:rFonts w:ascii="Courier New" w:cs="Courier New" w:eastAsia="Courier New" w:hAnsi="Courier New"/>
          <w:sz w:val="15"/>
          <w:szCs w:val="15"/>
          <w:color w:val="auto"/>
        </w:rPr>
      </w:pPr>
    </w:p>
    <w:p>
      <w:pPr>
        <w:ind w:left="90" w:right="3119" w:firstLine="531"/>
        <w:spacing w:after="0"/>
        <w:tabs>
          <w:tab w:leader="none" w:pos="1066" w:val="left"/>
        </w:tabs>
        <w:numPr>
          <w:ilvl w:val="2"/>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the Executive elects to both (A) become Non-Executive Chairman of the Board prior to or at the 2003 Annual Meeting and (B) retire from his position as Non-Executive Chairman of the Board prior to or at the 2004 Annual Meeting, but not earlier than January 1, 2004, the Company shall offer to enter into a consulting agreement with the Executive in the form attached hereto as Exhibit C under which he would serve as a consultant and senior advisor to the Company until the one year anniversary of the 2005 Annual Meeting. All benefits owing to the Executive as a result of a retirement event described in the immediately preceding sentence shall be as set forth in the consulting agreement. The Company's failure to offer to enter into such consulting agreement shall constitute a termination of the Executive's employment without Cause covered by Section 10(d).</w:t>
      </w:r>
    </w:p>
    <w:p>
      <w:pPr>
        <w:spacing w:after="0" w:line="181" w:lineRule="exact"/>
        <w:rPr>
          <w:rFonts w:ascii="Courier New" w:cs="Courier New" w:eastAsia="Courier New" w:hAnsi="Courier New"/>
          <w:sz w:val="15"/>
          <w:szCs w:val="15"/>
          <w:color w:val="auto"/>
        </w:rPr>
      </w:pPr>
    </w:p>
    <w:p>
      <w:pPr>
        <w:ind w:left="90" w:right="3219" w:firstLine="531"/>
        <w:spacing w:after="0"/>
        <w:tabs>
          <w:tab w:leader="none" w:pos="1155" w:val="left"/>
        </w:tabs>
        <w:numPr>
          <w:ilvl w:val="2"/>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may retire at any time following the end of the Term of Employment and thereupon commence receiving any benefits to which he is entitled as a retired senior executive in accordance with the Company's then existing plans and practices. Upon such retirement, all stock options, other than the Option, shall continue to be exercisable for the remainder of their originally scheduled ten-year terms.</w:t>
      </w:r>
    </w:p>
    <w:p>
      <w:pPr>
        <w:spacing w:after="0" w:line="173" w:lineRule="exact"/>
        <w:rPr>
          <w:rFonts w:ascii="Courier New" w:cs="Courier New" w:eastAsia="Courier New" w:hAnsi="Courier New"/>
          <w:sz w:val="15"/>
          <w:szCs w:val="15"/>
          <w:color w:val="auto"/>
        </w:rPr>
      </w:pPr>
    </w:p>
    <w:p>
      <w:pPr>
        <w:ind w:left="630" w:hanging="542"/>
        <w:spacing w:after="0"/>
        <w:tabs>
          <w:tab w:leader="none" w:pos="630"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Gross-up Payment.</w:t>
      </w:r>
    </w:p>
    <w:p>
      <w:pPr>
        <w:spacing w:after="0" w:line="174" w:lineRule="exact"/>
        <w:rPr>
          <w:rFonts w:ascii="Courier New" w:cs="Courier New" w:eastAsia="Courier New" w:hAnsi="Courier New"/>
          <w:sz w:val="15"/>
          <w:szCs w:val="15"/>
          <w:color w:val="auto"/>
        </w:rPr>
      </w:pPr>
    </w:p>
    <w:p>
      <w:pPr>
        <w:ind w:left="90" w:right="3119" w:firstLine="531"/>
        <w:spacing w:after="0"/>
        <w:tabs>
          <w:tab w:leader="none" w:pos="978" w:val="left"/>
        </w:tabs>
        <w:numPr>
          <w:ilvl w:val="2"/>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of all payments or benefits made or provided to the Executive under this Agreement and under all other plans and programs of the Company (the "Aggregate Payment") is determined to constitute a Parachute Payment within the meaning of Section 280G(b)(2) of the Code, the Company shall pay to the Executive, prior to the time any excise tax imposed by Section 4999 of the Code ("Excise Tax") is payable with respect to such Aggregate Payment, an additional amount (the "Gross-Up Payment") which, after the imposition of all income, employment, excise and other taxes thereon, is equal to the Excise Tax on the Aggregate Payment. The determination of whether the Aggregate</w:t>
      </w:r>
    </w:p>
    <w:p>
      <w:pPr>
        <w:spacing w:after="0" w:line="200" w:lineRule="exact"/>
        <w:rPr>
          <w:sz w:val="20"/>
          <w:szCs w:val="20"/>
          <w:color w:val="auto"/>
        </w:rPr>
      </w:pPr>
    </w:p>
    <w:p>
      <w:pPr>
        <w:spacing w:after="0" w:line="318"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29"/>
          </w:cols>
          <w:pgMar w:left="1030" w:top="628" w:right="1440" w:bottom="1440" w:gutter="0" w:footer="0" w:header="0"/>
        </w:sectPr>
      </w:pPr>
    </w:p>
    <w:bookmarkStart w:id="333" w:name="page334"/>
    <w:bookmarkEnd w:id="333"/>
    <w:p>
      <w:pPr>
        <w:ind w:right="3119"/>
        <w:spacing w:after="0" w:line="259" w:lineRule="auto"/>
        <w:rPr>
          <w:sz w:val="20"/>
          <w:szCs w:val="20"/>
          <w:color w:val="auto"/>
        </w:rPr>
      </w:pPr>
      <w:r>
        <w:rPr>
          <w:rFonts w:ascii="Courier New" w:cs="Courier New" w:eastAsia="Courier New" w:hAnsi="Courier New"/>
          <w:sz w:val="14"/>
          <w:szCs w:val="14"/>
          <w:color w:val="auto"/>
        </w:rPr>
        <w:t>Payment constitutes a Parachute Payment and, if so, the amount to be paid to the Executive and the time of payment pursuant to this Section 10(f)(i) shall be made by an independent auditor (the "Auditor") selected by the Parties and paid by the Company. The Auditor shall be a nationally recognized United States public accounting firm which has not, during the two years preceding the date of its selection, acted in any way on behalf of the Company or any Affiliate thereof. If the Executive and the Company cannot agree on the firm to serve as the Auditor, then the Executive and the Company shall each designate one accounting firm and those two firms shall jointly select the accounting firm to serve as the Auditor. All fees and expenses of the Auditor shall be borne solely by the Company. Any Gross- Up Payment shall be paid by the Company to the Executive within five calendar days of the receipt of the Auditor's determination. Any determination by the Auditor shall be binding upon the Company and the Executive.</w:t>
      </w:r>
    </w:p>
    <w:p>
      <w:pPr>
        <w:spacing w:after="0" w:line="163" w:lineRule="exact"/>
        <w:rPr>
          <w:sz w:val="20"/>
          <w:szCs w:val="20"/>
          <w:color w:val="auto"/>
        </w:rPr>
      </w:pPr>
    </w:p>
    <w:p>
      <w:pPr>
        <w:ind w:right="3119" w:firstLine="531"/>
        <w:spacing w:after="0" w:line="258" w:lineRule="auto"/>
        <w:tabs>
          <w:tab w:leader="none" w:pos="976"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uncertainty in the application of Sections 280G and 4999 of the Code at the time of the initial determination by the Auditor hereunder, it is possible that the Gross-Up Payment made will have been an amount more than the Company should have paid pursuant to Section 10(f)(i) (the "Overpayment") or that the Gross-Up Payment made will have been an amount less than the Company should have paid pursuant to Section 10(f)(i) (the "Underpayment"). In the event that there is a final determination by the Internal Revenue Service, or a final determination by a court of competent jurisdiction, that an Overpayment has been made, any such Overpayment shall be treated for all purposes as a loan to the Executive which the Executive shall repay to the Company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Agreement, any such Underpayment shall be promptly paid by the Company to or for the benefit of the Executive together with interest at the applicable Federal rate provided for in Section 7872(f)(2) of the Code.</w:t>
      </w:r>
    </w:p>
    <w:p>
      <w:pPr>
        <w:spacing w:after="0" w:line="344" w:lineRule="exact"/>
        <w:rPr>
          <w:rFonts w:ascii="Courier New" w:cs="Courier New" w:eastAsia="Courier New" w:hAnsi="Courier New"/>
          <w:sz w:val="14"/>
          <w:szCs w:val="14"/>
          <w:color w:val="auto"/>
        </w:rPr>
      </w:pPr>
    </w:p>
    <w:p>
      <w:pPr>
        <w:ind w:right="3119" w:firstLine="531"/>
        <w:spacing w:after="0"/>
        <w:tabs>
          <w:tab w:leader="none" w:pos="1065"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notify the Company in writing of any claim by the Internal Revenue Service that, if successful, would result in an Underpayment and would require the payment by the Company of an additional Gross-Up Payment. Such notification shall be given as soon as practicable but no later than 10 business days after the Executive is informed in writing of such claim and shall apprise the Company of the nature of such claim and the date on which such claim is requested to be paid. The Executive shall not pay such claim prior to the expiration of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39"/>
          </w:cols>
          <w:pgMar w:left="1120" w:top="630" w:right="1440" w:bottom="1440" w:gutter="0" w:footer="0" w:header="0"/>
        </w:sectPr>
      </w:pPr>
    </w:p>
    <w:bookmarkStart w:id="334" w:name="page335"/>
    <w:bookmarkEnd w:id="334"/>
    <w:p>
      <w:pPr>
        <w:ind w:left="880" w:right="3119"/>
        <w:spacing w:after="0"/>
        <w:rPr>
          <w:sz w:val="20"/>
          <w:szCs w:val="20"/>
          <w:color w:val="auto"/>
        </w:rPr>
      </w:pPr>
      <w:r>
        <w:rPr>
          <w:rFonts w:ascii="Courier New" w:cs="Courier New" w:eastAsia="Courier New" w:hAnsi="Courier New"/>
          <w:sz w:val="15"/>
          <w:szCs w:val="15"/>
          <w:color w:val="auto"/>
        </w:rPr>
        <w:t>30 calendar day period following the date on which the Executive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5" w:lineRule="exact"/>
        <w:rPr>
          <w:sz w:val="20"/>
          <w:szCs w:val="20"/>
          <w:color w:val="auto"/>
        </w:rPr>
      </w:pPr>
    </w:p>
    <w:p>
      <w:pPr>
        <w:ind w:left="1580" w:right="3119" w:firstLine="452"/>
        <w:spacing w:after="0" w:line="238" w:lineRule="auto"/>
        <w:tabs>
          <w:tab w:leader="none" w:pos="2379"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4" w:lineRule="exact"/>
        <w:rPr>
          <w:rFonts w:ascii="Courier New" w:cs="Courier New" w:eastAsia="Courier New" w:hAnsi="Courier New"/>
          <w:sz w:val="15"/>
          <w:szCs w:val="15"/>
          <w:color w:val="auto"/>
        </w:rPr>
      </w:pPr>
    </w:p>
    <w:p>
      <w:pPr>
        <w:jc w:val="both"/>
        <w:ind w:left="1580" w:right="3119" w:firstLine="452"/>
        <w:spacing w:after="0"/>
        <w:tabs>
          <w:tab w:leader="none" w:pos="2379"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74" w:lineRule="exact"/>
        <w:rPr>
          <w:rFonts w:ascii="Courier New" w:cs="Courier New" w:eastAsia="Courier New" w:hAnsi="Courier New"/>
          <w:sz w:val="15"/>
          <w:szCs w:val="15"/>
          <w:color w:val="auto"/>
        </w:rPr>
      </w:pPr>
    </w:p>
    <w:p>
      <w:pPr>
        <w:ind w:left="1580" w:right="3119" w:firstLine="452"/>
        <w:spacing w:after="0" w:line="238" w:lineRule="auto"/>
        <w:tabs>
          <w:tab w:leader="none" w:pos="2468"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4" w:lineRule="exact"/>
        <w:rPr>
          <w:rFonts w:ascii="Courier New" w:cs="Courier New" w:eastAsia="Courier New" w:hAnsi="Courier New"/>
          <w:sz w:val="15"/>
          <w:szCs w:val="15"/>
          <w:color w:val="auto"/>
        </w:rPr>
      </w:pPr>
    </w:p>
    <w:p>
      <w:pPr>
        <w:ind w:left="1580" w:right="3119" w:firstLine="452"/>
        <w:spacing w:after="0" w:line="238" w:lineRule="auto"/>
        <w:tabs>
          <w:tab w:leader="none" w:pos="2379"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 relating to such claim;</w:t>
      </w:r>
    </w:p>
    <w:p>
      <w:pPr>
        <w:spacing w:after="0" w:line="175"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or employment tax (including interest and penalties with respect thereto) imposed as a result of such proceeding and payment of costs and expenses. Without limitation on the foregoing provisions of this Section 10(f), the Company shall control all proceedings taken in connection with such contest, provided that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336" w:lineRule="exact"/>
        <w:rPr>
          <w:sz w:val="20"/>
          <w:szCs w:val="20"/>
          <w:color w:val="auto"/>
        </w:rPr>
      </w:pPr>
    </w:p>
    <w:p>
      <w:pPr>
        <w:ind w:left="780" w:right="3119" w:firstLine="10"/>
        <w:spacing w:after="0" w:line="239" w:lineRule="auto"/>
        <w:tabs>
          <w:tab w:leader="none" w:pos="1135"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Benefits. In the case of any of the foregoing terminations (other than retirement as Non-Executive Chairman of the Board pursuant to Section 10(e)(ii)) the Executive or his estate shall also be entitled to:</w:t>
      </w:r>
    </w:p>
    <w:p>
      <w:pPr>
        <w:spacing w:after="0" w:line="176" w:lineRule="exact"/>
        <w:rPr>
          <w:rFonts w:ascii="Courier New" w:cs="Courier New" w:eastAsia="Courier New" w:hAnsi="Courier New"/>
          <w:sz w:val="15"/>
          <w:szCs w:val="15"/>
          <w:color w:val="auto"/>
        </w:rPr>
      </w:pPr>
    </w:p>
    <w:p>
      <w:pPr>
        <w:ind w:left="880" w:right="3299" w:firstLine="531"/>
        <w:spacing w:after="0" w:line="271" w:lineRule="auto"/>
        <w:tabs>
          <w:tab w:leader="none" w:pos="1768" w:val="left"/>
        </w:tabs>
        <w:numPr>
          <w:ilvl w:val="1"/>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of any incentive awards due for performance periods which have been completed, but which have not yet been paid;</w:t>
      </w:r>
    </w:p>
    <w:p>
      <w:pPr>
        <w:spacing w:after="0" w:line="151" w:lineRule="exact"/>
        <w:rPr>
          <w:rFonts w:ascii="Courier New" w:cs="Courier New" w:eastAsia="Courier New" w:hAnsi="Courier New"/>
          <w:sz w:val="14"/>
          <w:szCs w:val="14"/>
          <w:color w:val="auto"/>
        </w:rPr>
      </w:pPr>
    </w:p>
    <w:p>
      <w:pPr>
        <w:ind w:left="1860" w:hanging="449"/>
        <w:spacing w:after="0"/>
        <w:tabs>
          <w:tab w:leader="none" w:pos="1860" w:val="left"/>
        </w:tabs>
        <w:numPr>
          <w:ilvl w:val="1"/>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expense reimbursements due the Executive;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0" w:right="1440" w:bottom="1440" w:gutter="0" w:footer="0" w:header="0"/>
        </w:sectPr>
      </w:pPr>
    </w:p>
    <w:bookmarkStart w:id="335" w:name="page336"/>
    <w:bookmarkEnd w:id="335"/>
    <w:p>
      <w:pPr>
        <w:ind w:left="889" w:right="3579" w:firstLine="531"/>
        <w:spacing w:after="0" w:line="238" w:lineRule="auto"/>
        <w:tabs>
          <w:tab w:leader="none" w:pos="1954" w:val="left"/>
        </w:tabs>
        <w:numPr>
          <w:ilvl w:val="1"/>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if any, in accordance with applicable plans and programs of the Company; and</w:t>
      </w:r>
    </w:p>
    <w:p>
      <w:pPr>
        <w:spacing w:after="0" w:line="174" w:lineRule="exact"/>
        <w:rPr>
          <w:rFonts w:ascii="Courier New" w:cs="Courier New" w:eastAsia="Courier New" w:hAnsi="Courier New"/>
          <w:sz w:val="15"/>
          <w:szCs w:val="15"/>
          <w:color w:val="auto"/>
        </w:rPr>
      </w:pPr>
    </w:p>
    <w:p>
      <w:pPr>
        <w:ind w:left="889" w:right="3219" w:firstLine="531"/>
        <w:spacing w:after="0" w:line="239" w:lineRule="auto"/>
        <w:tabs>
          <w:tab w:leader="none" w:pos="1865" w:val="left"/>
        </w:tabs>
        <w:numPr>
          <w:ilvl w:val="1"/>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Executive only, if such termination occurs on or prior to the second anniversary of the Effective Date, financial counseling services for a period of two years following the Executive's termination.</w:t>
      </w:r>
    </w:p>
    <w:p>
      <w:pPr>
        <w:spacing w:after="0" w:line="176"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Offset. In the event of any termination of employment under this Section 10, the Executive shall be under no obligation to seek other employment and there shall be no offset against amounts due the Executive under this Agreement on account of any remuneration attributable to any subsequent employment that he may obtain.</w:t>
      </w:r>
    </w:p>
    <w:p>
      <w:pPr>
        <w:spacing w:after="0" w:line="174" w:lineRule="exact"/>
        <w:rPr>
          <w:rFonts w:ascii="Courier New" w:cs="Courier New" w:eastAsia="Courier New" w:hAnsi="Courier New"/>
          <w:sz w:val="15"/>
          <w:szCs w:val="15"/>
          <w:color w:val="auto"/>
        </w:rPr>
      </w:pPr>
    </w:p>
    <w:p>
      <w:pPr>
        <w:ind w:left="889" w:right="3119" w:firstLine="531"/>
        <w:spacing w:after="0" w:line="239" w:lineRule="auto"/>
        <w:tabs>
          <w:tab w:leader="none" w:pos="1777" w:val="left"/>
        </w:tabs>
        <w:numPr>
          <w:ilvl w:val="1"/>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Payments. Any amounts due under this Section 10 are in the nature of severance payments considered to be reasonable by the Company and are not in the nature of a penalty.</w:t>
      </w:r>
    </w:p>
    <w:p>
      <w:pPr>
        <w:spacing w:after="0" w:line="175" w:lineRule="exact"/>
        <w:rPr>
          <w:sz w:val="20"/>
          <w:szCs w:val="20"/>
          <w:color w:val="auto"/>
        </w:rPr>
      </w:pPr>
    </w:p>
    <w:p>
      <w:pPr>
        <w:ind w:left="9" w:right="3399" w:firstLine="799"/>
        <w:spacing w:after="0" w:line="238" w:lineRule="auto"/>
        <w:rPr>
          <w:sz w:val="20"/>
          <w:szCs w:val="20"/>
          <w:color w:val="auto"/>
        </w:rPr>
      </w:pPr>
      <w:r>
        <w:rPr>
          <w:rFonts w:ascii="Courier New" w:cs="Courier New" w:eastAsia="Courier New" w:hAnsi="Courier New"/>
          <w:sz w:val="15"/>
          <w:szCs w:val="15"/>
          <w:color w:val="auto"/>
        </w:rPr>
        <w:t>SECTION 11. Confidential Information; Prohibited Public Statements; Publicity.</w:t>
      </w:r>
    </w:p>
    <w:p>
      <w:pPr>
        <w:spacing w:after="0" w:line="175" w:lineRule="exact"/>
        <w:rPr>
          <w:sz w:val="20"/>
          <w:szCs w:val="20"/>
          <w:color w:val="auto"/>
        </w:rPr>
      </w:pPr>
    </w:p>
    <w:p>
      <w:pPr>
        <w:ind w:left="9" w:right="3119" w:firstLine="790"/>
        <w:spacing w:after="0" w:line="258" w:lineRule="auto"/>
        <w:tabs>
          <w:tab w:leader="none" w:pos="1163" w:val="left"/>
        </w:tabs>
        <w:numPr>
          <w:ilvl w:val="1"/>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 hereinafter specially defined for purposes of Sections 11 through 13 hereof), pursuant to the Executive's employment hereunder, provides him access to and confides in him business methods and systems, techniques and methods of operation developed at great expense by the Company ("Trade Secrets") and which the Executive recognizes to be unique assets of the Company's business. The Executive shall not, during or at any time after the Term of Employment, directly or indirectly, in any manner utilize or disclose to any person, firm, corporation, association or other entity, except</w:t>
      </w:r>
    </w:p>
    <w:p>
      <w:pPr>
        <w:spacing w:after="0" w:line="1" w:lineRule="exact"/>
        <w:rPr>
          <w:rFonts w:ascii="Courier New" w:cs="Courier New" w:eastAsia="Courier New" w:hAnsi="Courier New"/>
          <w:sz w:val="14"/>
          <w:szCs w:val="14"/>
          <w:color w:val="auto"/>
        </w:rPr>
      </w:pPr>
    </w:p>
    <w:p>
      <w:pPr>
        <w:jc w:val="both"/>
        <w:ind w:left="9" w:right="3119" w:hanging="9"/>
        <w:spacing w:after="0" w:line="258" w:lineRule="auto"/>
        <w:tabs>
          <w:tab w:leader="none" w:pos="364"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required by law, (ii) to directors, consultants or employees of the Company in the ordinary course of his duties or (iii) during his employment and in the ordinary course of his services as Chairman of the Board for such use and disclosure as he shall reasonably determine to be in the best interest of the Company: (A) any such Trade Secrets, (B) any sales prospects, customer lists, products, research or data of any kind, or (C) any information relating to strategic plans, sales, costs, profits or the financial condition of the Company or any of its customers or prospective customers, which are not generally known to the public or recognized as standard practice in the industry in which the Company shall be engaged. The Executive further covenants and agrees that he will promptly deliver to the Company all tangible evidence of the knowledge and information described in (A), (B) and (C), above, prior to or at the termination of the Executive's employment. For purposes of Sections 11, 12 and 13 hereof the term "Company" shall mean AT&amp;T Comcast Corporation ("AT&amp;T Comcast") as well as</w:t>
      </w:r>
    </w:p>
    <w:p>
      <w:pPr>
        <w:spacing w:after="0" w:line="2" w:lineRule="exact"/>
        <w:rPr>
          <w:rFonts w:ascii="Courier New" w:cs="Courier New" w:eastAsia="Courier New" w:hAnsi="Courier New"/>
          <w:sz w:val="14"/>
          <w:szCs w:val="14"/>
          <w:color w:val="auto"/>
        </w:rPr>
      </w:pPr>
    </w:p>
    <w:p>
      <w:pPr>
        <w:ind w:left="9"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each of its more than fifty percent (50%) owned subsidiaries and (II) each other entity 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630"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5"/>
          <w:szCs w:val="15"/>
          <w:color w:val="auto"/>
        </w:rPr>
        <w:t>which AT&amp;T Comcast directly or indirectly has a greater than ten percent (10%)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interest, the fair market value of which interest is in excess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 In determining AT&amp;T Comcast's equity interest for purposes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any equity interest which AT&amp;T Comcast has an option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considered as owned by AT&amp;T Comcast.</w:t>
      </w:r>
    </w:p>
    <w:p>
      <w:pPr>
        <w:spacing w:after="0" w:line="174" w:lineRule="exact"/>
        <w:rPr>
          <w:sz w:val="20"/>
          <w:szCs w:val="20"/>
          <w:color w:val="auto"/>
        </w:rPr>
      </w:pPr>
    </w:p>
    <w:p>
      <w:pPr>
        <w:ind w:right="3119" w:firstLine="790"/>
        <w:spacing w:after="0"/>
        <w:tabs>
          <w:tab w:leader="none" w:pos="1154"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Executive nor the Company, its officers or directors (collectively, the "Company Affiliated Entities") shall, either during or at any time after the Term of Employment, directly or indirectly make any public statement (including a private statement reasonably likely to be repeated publicly) reflecting adversely on the Company Affiliated Entities or the Executive, as the case may be, or the business prospects of the Company except for (i) such statements which the Executive may be required to make in the ordinary course of his service as a member of, including Chairman of, the Board or (ii) with respect to each of the Executive and the Company Affiliated Entities, as otherwise required by applicable law.</w:t>
      </w:r>
    </w:p>
    <w:p>
      <w:pPr>
        <w:spacing w:after="0" w:line="178" w:lineRule="exact"/>
        <w:rPr>
          <w:rFonts w:ascii="Courier New" w:cs="Courier New" w:eastAsia="Courier New" w:hAnsi="Courier New"/>
          <w:sz w:val="15"/>
          <w:szCs w:val="15"/>
          <w:color w:val="auto"/>
        </w:rPr>
      </w:pPr>
    </w:p>
    <w:p>
      <w:pPr>
        <w:ind w:right="3219" w:firstLine="790"/>
        <w:spacing w:after="0"/>
        <w:tabs>
          <w:tab w:leader="none" w:pos="1154"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Executive nor the Company Affiliated Entities shall publicly comment (including private statements reasonably likely to be repeated publicly) on, or discuss the circumstances surrounding, this Agreement or the consulting agreement attached hereto as Exhibit C, except as mutually agreed or as required by applicable law.</w:t>
      </w:r>
    </w:p>
    <w:p>
      <w:pPr>
        <w:spacing w:after="0" w:line="17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Noncompetition, Noninterference and Nonsolicitation.</w:t>
      </w:r>
    </w:p>
    <w:p>
      <w:pPr>
        <w:spacing w:after="0" w:line="174" w:lineRule="exact"/>
        <w:rPr>
          <w:sz w:val="20"/>
          <w:szCs w:val="20"/>
          <w:color w:val="auto"/>
        </w:rPr>
      </w:pPr>
    </w:p>
    <w:p>
      <w:pPr>
        <w:ind w:right="3119" w:firstLine="790"/>
        <w:spacing w:after="0"/>
        <w:tabs>
          <w:tab w:leader="none" w:pos="1154"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geographic limitation of Section 12(b) hereof, the Executive during the Term of Employment and for a period of two (2) years following termination of employment in accordance with this Agreement shall not, directly or indirectly, on his behalf or on behalf of any other person, firm, corporation, association or other entity, as an employee or otherwise, engage in, or in any way be concerned with or negotiate for, or acquire or maintain any ownership interest in any business or activity which is the same as or competitive with that conducted by the Company at the termination of his employment, or which was engaged in or developed by the Company at any time during the Term of Employment for specific implementation in the immediate future by the Company.</w:t>
      </w:r>
    </w:p>
    <w:p>
      <w:pPr>
        <w:spacing w:after="0" w:line="178"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acknowledges that the Company is engaged in business throughout the United States and in various foreign countries and that the Company intends to expand the geographic scope of its activities. Accordingly and in view of the nature of his position and responsibilities, the Executive agrees that the provisions of this Section shall be applicable to each state and each foreign country, possession or territory in which the Company may be engaged in business during the Term of Employment, or, with respect to the Executive's</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337" w:name="page338"/>
    <w:bookmarkEnd w:id="337"/>
    <w:p>
      <w:pPr>
        <w:ind w:right="3119"/>
        <w:spacing w:after="0" w:line="239" w:lineRule="auto"/>
        <w:rPr>
          <w:sz w:val="20"/>
          <w:szCs w:val="20"/>
          <w:color w:val="auto"/>
        </w:rPr>
      </w:pPr>
      <w:r>
        <w:rPr>
          <w:rFonts w:ascii="Courier New" w:cs="Courier New" w:eastAsia="Courier New" w:hAnsi="Courier New"/>
          <w:sz w:val="15"/>
          <w:szCs w:val="15"/>
          <w:color w:val="auto"/>
        </w:rPr>
        <w:t>obligations following termination of his employment, at the termination of his employment or at any time within the twelve-month period following the effective date of his termination of employment.</w:t>
      </w:r>
    </w:p>
    <w:p>
      <w:pPr>
        <w:spacing w:after="0" w:line="175" w:lineRule="exact"/>
        <w:rPr>
          <w:sz w:val="20"/>
          <w:szCs w:val="20"/>
          <w:color w:val="auto"/>
        </w:rPr>
      </w:pPr>
    </w:p>
    <w:p>
      <w:pPr>
        <w:ind w:right="3119" w:firstLine="790"/>
        <w:spacing w:after="0"/>
        <w:tabs>
          <w:tab w:leader="none" w:pos="1154"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a period of two (2) years following termination of employment in accordance with this Agreement, the Executive will not, directly or indirectly, for himself or on behalf of any third party at any time in any manner, request or cause any of the Company's customers to cancel or terminate any existing or continuing business relationship with the Company; solicit, entice, persuade, induce, request or otherwise cause any employee, officer or agent of the Company (other than clerical employees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 supplier to decline to do business with any businesses of the Company as such businesses are constituted immediately prior to the termination of employment.</w:t>
      </w:r>
    </w:p>
    <w:p>
      <w:pPr>
        <w:spacing w:after="0" w:line="181"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a period of two (2) years following his termination of employment in accordance with this Agreement, the Executive will not directly or indirectly, for himself or on behalf of any third party, solicit for business in competition with the business of the Company, accept any business in competition with the business of the Company from or otherwise do, or contract to do, business in competition with the business of the Company with any person or entity who, at the time of, or any time during the twelve (12) months preceding such termination, was an active customer or was actively solicited by the Company according to the books and records of the Company and within the knowledge, actual or constructive of the Executive.</w:t>
      </w:r>
    </w:p>
    <w:p>
      <w:pPr>
        <w:spacing w:after="0" w:line="178"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12, the prohibitions and agreements contained in subsections 12(a), 12(c), and 12(d) shall terminate immediately upon any termination of Executive's employment hereunder following a Change in Control.</w:t>
      </w:r>
    </w:p>
    <w:p>
      <w:pPr>
        <w:spacing w:after="0" w:line="176" w:lineRule="exact"/>
        <w:rPr>
          <w:rFonts w:ascii="Courier New" w:cs="Courier New" w:eastAsia="Courier New" w:hAnsi="Courier New"/>
          <w:sz w:val="15"/>
          <w:szCs w:val="15"/>
          <w:color w:val="auto"/>
        </w:rPr>
      </w:pPr>
    </w:p>
    <w:p>
      <w:pPr>
        <w:ind w:right="3219" w:firstLine="790"/>
        <w:spacing w:after="0"/>
        <w:tabs>
          <w:tab w:leader="none" w:pos="1154"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12 shall prohibit the Executive from being a passive owner of not more than one percent of the outstanding common stock, capital stock and equity of any firm, corporation, or enterprise so long as the Executive has no active participation in the management of the business of such firm, corporation or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0" w:right="1440" w:bottom="1440" w:gutter="0" w:footer="0" w:header="0"/>
        </w:sectPr>
      </w:pPr>
    </w:p>
    <w:bookmarkStart w:id="338" w:name="page339"/>
    <w:bookmarkEnd w:id="338"/>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Equitable Remedies.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Executive acknowledges that his compliance with the covenants in Sections 11 and 12 of this Agreement is necessary to protect the good will and other proprietary interests of the Company and that, in the event of any violation by the Executive of the provisions of Section 11 or 12 of this Agreement, the Company will sustain serious, irreparable and substantial harm to its business, the extent of which will be difficult to determine and impossible to remedy by an action at law for money damages. Accordingly, the Executive agrees that, in the event of such violation or threatened violation by the Executive, the Company shall be entitled to any injunction before trial from any court of competent jurisdiction as a matter of course and upon the posting of not more than a nominal bond in addition to all such other legal and equitable remedies as may be available to the Company. The Executive further agrees that, in the event any of the provisions of Sections 11 and 12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18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Resolution of Disputes.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Except as provided in Section 13, any disputes arising under or in connection with this Agreement shall be resolved by third party mediation of the dispute and, failing that, by binding arbitration, to be held in a location mutually agreed to by the Parties, in accordance with the rules and procedures of the American Arbitration Association. Judgment upon the award rendered by the arbitrator(s) may be entered in any court having jurisdiction thereof. Each Party shall bear his or its own costs of the mediation, arbitration or litigation, except that the Company shall bear all such costs if the Executive prevails in such mediation, arbitration or litigation on any material issue.</w:t>
      </w:r>
    </w:p>
    <w:p>
      <w:pPr>
        <w:spacing w:after="0" w:line="16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right="3119" w:firstLine="790"/>
        <w:spacing w:after="0"/>
        <w:tabs>
          <w:tab w:leader="none" w:pos="1154"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 the Executive is made a party, or is threatened to be made a party, to any action, suit or proceeding, whether civil, criminal, administrative or investigative (a "Proceeding"), by reason of the fact that he is or was a director, officer or employee of the Company or is or was serving at the request of the Company as a director, officer, member, employee or agent of another corporation, partnership, joint venture, trust or other enterprise, including service with respect to employee benefit plans, whether or not the basis of such Proceeding is the Executive's alleged action in an official capacity while serving as a director, officer, member, employee or agent, the Executive shall be indemnified and held harmless by the Company to the fullest extent legally permitted or authorized by the Company's certificate of incorporation or bylaws</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339" w:name="page340"/>
    <w:bookmarkEnd w:id="339"/>
    <w:p>
      <w:pPr>
        <w:ind w:right="3119"/>
        <w:spacing w:after="0"/>
        <w:rPr>
          <w:sz w:val="20"/>
          <w:szCs w:val="20"/>
          <w:color w:val="auto"/>
        </w:rPr>
      </w:pPr>
      <w:r>
        <w:rPr>
          <w:rFonts w:ascii="Courier New" w:cs="Courier New" w:eastAsia="Courier New" w:hAnsi="Courier New"/>
          <w:sz w:val="15"/>
          <w:szCs w:val="15"/>
          <w:color w:val="auto"/>
        </w:rPr>
        <w:t>or resolutions of the Company's Board of Directors or, if greater, by the laws of the Commonwealth of Pennsylvania, against all cost, expense, liability and loss (including, without limitation, attorney's fees, judgments, fines, ERISA excise taxes or other liabilities or penalties and amounts paid or to be paid in settlement) reasonably incurred or suffered by the Executive in connection therewith, and such indemnification shall continue as to the Executive even if he has ceased to be a director, member, employee or agent of the Company or other entity and shall inure to the benefit of the Executive's heirs, executors and administrators. The Company shall advance to the Executive all reasonable costs and expenses incurred by him in connection with a Proceeding within 20 calendar days after receipt by the Company of a written request for such advance. Such request shall include an undertaking by the Executive to repay the amount of such advance if it shall ultimately be determined that he is not entitled to be indemnified against such costs and expenses.</w:t>
      </w:r>
    </w:p>
    <w:p>
      <w:pPr>
        <w:spacing w:after="0" w:line="181" w:lineRule="exact"/>
        <w:rPr>
          <w:sz w:val="20"/>
          <w:szCs w:val="20"/>
          <w:color w:val="auto"/>
        </w:rPr>
      </w:pPr>
    </w:p>
    <w:p>
      <w:pPr>
        <w:ind w:right="3219" w:firstLine="790"/>
        <w:spacing w:after="0"/>
        <w:tabs>
          <w:tab w:leader="none" w:pos="1154"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failure of the Company (including its board of directors, independent legal counsel or shareholders) to have made a determination prior to the commencement of any Proceeding concerning payment of amounts claimed by the Executive under Section 15(a) above that indemnification of the Executive is proper because he has met the applicable standard of conduct, nor a determination by the Company (including its board of directors, independent legal counsel or shareholders) that the Executive has not met such applicable standard of conduct, shall create a presumption that the Executive has not met the applicable standard of conduct.</w:t>
      </w:r>
    </w:p>
    <w:p>
      <w:pPr>
        <w:spacing w:after="0" w:line="177" w:lineRule="exact"/>
        <w:rPr>
          <w:rFonts w:ascii="Courier New" w:cs="Courier New" w:eastAsia="Courier New" w:hAnsi="Courier New"/>
          <w:sz w:val="15"/>
          <w:szCs w:val="15"/>
          <w:color w:val="auto"/>
        </w:rPr>
      </w:pPr>
    </w:p>
    <w:p>
      <w:pPr>
        <w:ind w:right="3479" w:firstLine="790"/>
        <w:spacing w:after="0" w:line="264" w:lineRule="auto"/>
        <w:tabs>
          <w:tab w:leader="none" w:pos="1154"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continue and maintain a directors' and officers' liability insurance policy covering the Executive which is no less favorable than the policy covering other senior officers of the Company.</w:t>
      </w:r>
    </w:p>
    <w:p>
      <w:pPr>
        <w:spacing w:after="0" w:line="157"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Assignability; Binding Nature.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Agreement shall be binding upon and inure to the benefit of the Parties and their respective successors, heirs (in the case of the Executive) and assigns. Rights or obligations of the Company under this Agreement may be assigned or transferred by the Company pursuant to a merger or consolidation in which the Company is not the continuing entity, or the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further agrees that, in the event of a sale of assets or liquidation as described in the preceding sentence, it shall take whatever action it reasonably can in order to cause such assignee or transferee to expressly assume the liabilities, obligations and duties of the Company hereunder. No rights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0" w:right="1440" w:bottom="1440" w:gutter="0" w:footer="0" w:header="0"/>
        </w:sectPr>
      </w:pPr>
    </w:p>
    <w:bookmarkStart w:id="340" w:name="page341"/>
    <w:bookmarkEnd w:id="340"/>
    <w:p>
      <w:pPr>
        <w:ind w:right="3119"/>
        <w:spacing w:after="0" w:line="239" w:lineRule="auto"/>
        <w:rPr>
          <w:sz w:val="20"/>
          <w:szCs w:val="20"/>
          <w:color w:val="auto"/>
        </w:rPr>
      </w:pPr>
      <w:r>
        <w:rPr>
          <w:rFonts w:ascii="Courier New" w:cs="Courier New" w:eastAsia="Courier New" w:hAnsi="Courier New"/>
          <w:sz w:val="15"/>
          <w:szCs w:val="15"/>
          <w:color w:val="auto"/>
        </w:rPr>
        <w:t>obligations of the Executive under this Agreement may be assigned or transferred by the Executive other than his rights to compensation and benefits, which may be transferred only by will or operation of law.</w:t>
      </w:r>
    </w:p>
    <w:p>
      <w:pPr>
        <w:spacing w:after="0" w:line="17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Representation.</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Company represents and warrants that it is fully authorized and empowered to enter into this Agreement and that the performance of its obligations under this Agreement will not violate any agreement between it and any other person, firm or organization. The Executive represents that the performance of his obligations under this Agreement will not violate any agreement between him and any other person, firm or organization that would be violated by the performance of his obligations under this Agreement.</w:t>
      </w:r>
    </w:p>
    <w:p>
      <w:pPr>
        <w:spacing w:after="0" w:line="17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4"/>
          <w:szCs w:val="14"/>
          <w:color w:val="auto"/>
        </w:rPr>
        <w:t>Entire Agreement.</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w:t>
      </w:r>
    </w:p>
    <w:p>
      <w:pPr>
        <w:spacing w:after="0" w:line="17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Amendment or Waiver.</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7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4"/>
          <w:szCs w:val="14"/>
          <w:color w:val="auto"/>
        </w:rPr>
        <w:t>Severability.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7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Survivorship.</w:t>
      </w:r>
    </w:p>
    <w:p>
      <w:pPr>
        <w:spacing w:after="0" w:line="174" w:lineRule="exact"/>
        <w:rPr>
          <w:sz w:val="20"/>
          <w:szCs w:val="20"/>
          <w:color w:val="auto"/>
        </w:rPr>
      </w:pPr>
    </w:p>
    <w:p>
      <w:pPr>
        <w:ind w:right="3759" w:firstLine="799"/>
        <w:spacing w:after="0" w:line="239" w:lineRule="auto"/>
        <w:rPr>
          <w:sz w:val="20"/>
          <w:szCs w:val="20"/>
          <w:color w:val="auto"/>
        </w:rPr>
      </w:pPr>
      <w:r>
        <w:rPr>
          <w:rFonts w:ascii="Courier New" w:cs="Courier New" w:eastAsia="Courier New" w:hAnsi="Courier New"/>
          <w:sz w:val="15"/>
          <w:szCs w:val="15"/>
          <w:color w:val="auto"/>
        </w:rPr>
        <w:t>Except as otherwise expressly set forth in this Agreement, the respective rights and obligations of the Parties hereunder, including the covenants and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0" w:right="1440" w:bottom="1440" w:gutter="0" w:footer="0" w:header="0"/>
        </w:sectPr>
      </w:pPr>
    </w:p>
    <w:bookmarkStart w:id="341" w:name="page342"/>
    <w:bookmarkEnd w:id="341"/>
    <w:p>
      <w:pPr>
        <w:ind w:right="3299"/>
        <w:spacing w:after="0" w:line="239" w:lineRule="auto"/>
        <w:rPr>
          <w:sz w:val="20"/>
          <w:szCs w:val="20"/>
          <w:color w:val="auto"/>
        </w:rPr>
      </w:pPr>
      <w:r>
        <w:rPr>
          <w:rFonts w:ascii="Courier New" w:cs="Courier New" w:eastAsia="Courier New" w:hAnsi="Courier New"/>
          <w:sz w:val="15"/>
          <w:szCs w:val="15"/>
          <w:color w:val="auto"/>
        </w:rPr>
        <w:t>agreements of Executive set forth in Sections 11, 12 and 13, shall survive any termination of the Executive's employment. This Agreement itself (as distinguished from the Executive's employment) may not be terminated by either Party without the written consent of the other Party.</w:t>
      </w:r>
    </w:p>
    <w:p>
      <w:pPr>
        <w:spacing w:after="0" w:line="17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References.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17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Governing Law/Jurisdiction.</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This Agreement shall be governed in accordance with the laws of the State of New York without reference to principles of conflict of laws.</w:t>
      </w:r>
    </w:p>
    <w:p>
      <w:pPr>
        <w:spacing w:after="0" w:line="17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24.</w:t>
        <w:tab/>
        <w:t>Notices.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All notices and other communications required or permitted hereunder shall be in writing and shall be deemed given when (a) delivered personally, (b) sent by certified or registered mail, postage prepaid, return receipt requested or (c) delivered by overnight courier (provided that a written acknowledgment of receipt is obtained by the overnight courier) to the Party concerned at the address indicated below or to such changed address as such Party may subsequently give such notice 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the Company: AT&amp;T Comcast Corporation</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Attention: General Counsel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Executive: Mr. C. Michael Armstrong</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 AT&amp;T Comcast Corporation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1114 Avenue of the Americas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New York, New York 10036</w:t>
      </w:r>
    </w:p>
    <w:p>
      <w:pPr>
        <w:spacing w:after="0" w:line="171"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Headings.</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headings of the sections contained in this Agreement are for convenience only and shall not be deemed to control or affect the meaning or construction of any provision of this Agreement.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342" w:name="page343"/>
    <w:bookmarkEnd w:id="342"/>
    <w:p>
      <w:pPr>
        <w:spacing w:after="0"/>
        <w:tabs>
          <w:tab w:leader="none" w:pos="114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Counterparts.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may be executed in two or more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439"/>
          </w:cols>
          <w:pgMar w:left="1020" w:top="628" w:right="1440" w:bottom="1440" w:gutter="0" w:footer="0" w:header="0"/>
        </w:sectPr>
      </w:pPr>
    </w:p>
    <w:bookmarkStart w:id="343" w:name="page344"/>
    <w:bookmarkEnd w:id="343"/>
    <w:p>
      <w:pPr>
        <w:ind w:right="3119" w:firstLine="799"/>
        <w:spacing w:after="0" w:line="238" w:lineRule="auto"/>
        <w:rPr>
          <w:sz w:val="20"/>
          <w:szCs w:val="20"/>
          <w:color w:val="auto"/>
        </w:rPr>
      </w:pPr>
      <w:r>
        <w:rPr>
          <w:rFonts w:ascii="Courier New" w:cs="Courier New" w:eastAsia="Courier New" w:hAnsi="Courier New"/>
          <w:sz w:val="15"/>
          <w:szCs w:val="15"/>
          <w:color w:val="auto"/>
        </w:rPr>
        <w:t>IN WITNESS WHEREOF, the undersigned have executed this Agreement on November 18, 2002 as of the date first written above.</w:t>
      </w:r>
    </w:p>
    <w:p>
      <w:pPr>
        <w:spacing w:after="0" w:line="17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AT&amp;T Comcast Corporation</w:t>
      </w:r>
    </w:p>
    <w:p>
      <w:pPr>
        <w:spacing w:after="0" w:line="34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By: --------------------------------</w:t>
      </w:r>
    </w:p>
    <w:p>
      <w:pPr>
        <w:spacing w:after="0" w:line="18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By: --------------------------------</w:t>
      </w:r>
    </w:p>
    <w:p>
      <w:pPr>
        <w:spacing w:after="0" w:line="180"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C. Michael Armstrong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72" w:right="1440" w:bottom="1440" w:gutter="0" w:footer="0" w:header="0"/>
        </w:sectPr>
      </w:pPr>
    </w:p>
    <w:bookmarkStart w:id="344" w:name="page345"/>
    <w:bookmarkEnd w:id="344"/>
    <w:p>
      <w:pPr>
        <w:ind w:left="5680"/>
        <w:spacing w:after="0"/>
        <w:rPr>
          <w:sz w:val="20"/>
          <w:szCs w:val="20"/>
          <w:color w:val="auto"/>
        </w:rPr>
      </w:pPr>
      <w:r>
        <w:rPr>
          <w:rFonts w:ascii="Courier New" w:cs="Courier New" w:eastAsia="Courier New" w:hAnsi="Courier New"/>
          <w:sz w:val="15"/>
          <w:szCs w:val="15"/>
          <w:color w:val="auto"/>
        </w:rPr>
        <w:t>EXHIBIT A</w:t>
      </w:r>
    </w:p>
    <w:p>
      <w:pPr>
        <w:spacing w:after="0" w:line="3"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DIRECTORSHIPS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TBG (private company, Supervisory Board)</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28" w:right="1440" w:bottom="1440" w:gutter="0" w:footer="0" w:header="0"/>
        </w:sectPr>
      </w:pPr>
    </w:p>
    <w:bookmarkStart w:id="345" w:name="page346"/>
    <w:bookmarkEnd w:id="345"/>
    <w:p>
      <w:pPr>
        <w:ind w:left="4900"/>
        <w:spacing w:after="0"/>
        <w:rPr>
          <w:sz w:val="20"/>
          <w:szCs w:val="20"/>
          <w:color w:val="auto"/>
        </w:rPr>
      </w:pPr>
      <w:r>
        <w:rPr>
          <w:rFonts w:ascii="Courier New" w:cs="Courier New" w:eastAsia="Courier New" w:hAnsi="Courier New"/>
          <w:sz w:val="15"/>
          <w:szCs w:val="15"/>
          <w:color w:val="auto"/>
        </w:rPr>
        <w:t>EXHIBIT B</w:t>
      </w:r>
    </w:p>
    <w:p>
      <w:pPr>
        <w:spacing w:after="0" w:line="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EXISTING PERFORMANCE AWARDS</w:t>
      </w:r>
    </w:p>
    <w:p>
      <w:pPr>
        <w:spacing w:after="0" w:line="171" w:lineRule="exact"/>
        <w:rPr>
          <w:sz w:val="20"/>
          <w:szCs w:val="20"/>
          <w:color w:val="auto"/>
        </w:rPr>
      </w:pPr>
    </w:p>
    <w:p>
      <w:pPr>
        <w:ind w:left="460" w:hanging="273"/>
        <w:spacing w:after="0"/>
        <w:tabs>
          <w:tab w:leader="none" w:pos="460"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w:t>
      </w:r>
    </w:p>
    <w:p>
      <w:pPr>
        <w:spacing w:after="0" w:line="174" w:lineRule="exact"/>
        <w:rPr>
          <w:rFonts w:ascii="Courier New" w:cs="Courier New" w:eastAsia="Courier New" w:hAnsi="Courier New"/>
          <w:sz w:val="15"/>
          <w:szCs w:val="15"/>
          <w:color w:val="auto"/>
        </w:rPr>
      </w:pPr>
    </w:p>
    <w:p>
      <w:pPr>
        <w:ind w:left="100" w:right="3119" w:firstLine="531"/>
        <w:spacing w:after="0" w:line="260" w:lineRule="auto"/>
        <w:tabs>
          <w:tab w:leader="none" w:pos="988" w:val="left"/>
        </w:tabs>
        <w:numPr>
          <w:ilvl w:val="1"/>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receive (i) an award under the Broadband Adjustment Plan (as defined in the EBA) for a certain number of Broadband performance shares and (ii) an award under the Broadband Adjustment Plan for a certain number of stock units (valued with respect to AT&amp;T common stock), as described in the EBA. Such Broadband performance shares shall be converted automatically into equivalent awards based upon shares of Stock ("Company Performance Shares").</w:t>
      </w:r>
    </w:p>
    <w:p>
      <w:pPr>
        <w:spacing w:after="0" w:line="162" w:lineRule="exact"/>
        <w:rPr>
          <w:rFonts w:ascii="Courier New" w:cs="Courier New" w:eastAsia="Courier New" w:hAnsi="Courier New"/>
          <w:sz w:val="14"/>
          <w:szCs w:val="14"/>
          <w:color w:val="auto"/>
        </w:rPr>
      </w:pPr>
    </w:p>
    <w:p>
      <w:pPr>
        <w:ind w:left="100" w:right="3119" w:firstLine="531"/>
        <w:spacing w:after="0"/>
        <w:tabs>
          <w:tab w:leader="none" w:pos="988" w:val="left"/>
        </w:tabs>
        <w:numPr>
          <w:ilvl w:val="1"/>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and 2001 Grants: Pursuant to the terms of the Broadband Adjustment Plan, the outstanding performance shares for the 2000 and 2001 performance cycles shall vest in full as of the Effective Date and shall be considered to be earned and payable in full as of the Effective Date. In accordance with the resolution of the Board of Directors of AT&amp;T dated October 22, 2000, the payout with respect to these performance shares shall be as follows:</w:t>
      </w:r>
    </w:p>
    <w:p>
      <w:pPr>
        <w:spacing w:after="0" w:line="175" w:lineRule="exact"/>
        <w:rPr>
          <w:rFonts w:ascii="Courier New" w:cs="Courier New" w:eastAsia="Courier New" w:hAnsi="Courier New"/>
          <w:sz w:val="15"/>
          <w:szCs w:val="15"/>
          <w:color w:val="auto"/>
        </w:rPr>
      </w:pPr>
    </w:p>
    <w:p>
      <w:pPr>
        <w:jc w:val="both"/>
        <w:ind w:left="800" w:right="3119" w:firstLine="452"/>
        <w:spacing w:after="0" w:line="262" w:lineRule="auto"/>
        <w:tabs>
          <w:tab w:leader="none" w:pos="1599" w:val="left"/>
        </w:tabs>
        <w:numPr>
          <w:ilvl w:val="2"/>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a share of AT&amp;T common stock on the date of grant of the performance share award (adjusted to reflect stock splits, etc.) or on November 15, 2002 (the day prior to the Effective Date), whichever is greater; times</w:t>
      </w:r>
    </w:p>
    <w:p>
      <w:pPr>
        <w:spacing w:after="0" w:line="160" w:lineRule="exact"/>
        <w:rPr>
          <w:rFonts w:ascii="Courier New" w:cs="Courier New" w:eastAsia="Courier New" w:hAnsi="Courier New"/>
          <w:sz w:val="14"/>
          <w:szCs w:val="14"/>
          <w:color w:val="auto"/>
        </w:rPr>
      </w:pPr>
    </w:p>
    <w:p>
      <w:pPr>
        <w:jc w:val="both"/>
        <w:ind w:left="800" w:right="3119" w:firstLine="363"/>
        <w:spacing w:after="0" w:line="239" w:lineRule="auto"/>
        <w:tabs>
          <w:tab w:leader="none" w:pos="1599" w:val="left"/>
        </w:tabs>
        <w:numPr>
          <w:ilvl w:val="2"/>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target number of performance shares or the number of performance shares based on the performance factor to date.</w:t>
      </w:r>
    </w:p>
    <w:p>
      <w:pPr>
        <w:spacing w:after="0" w:line="175"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The payout shall be at least 50% in cash, and the remainder shall be in the form of Stock, valued on the Effective Date.</w:t>
      </w:r>
    </w:p>
    <w:p>
      <w:pPr>
        <w:spacing w:after="0" w:line="175" w:lineRule="exact"/>
        <w:rPr>
          <w:sz w:val="20"/>
          <w:szCs w:val="20"/>
          <w:color w:val="auto"/>
        </w:rPr>
      </w:pPr>
    </w:p>
    <w:p>
      <w:pPr>
        <w:ind w:left="100" w:right="3119" w:firstLine="531"/>
        <w:spacing w:after="0" w:line="258" w:lineRule="auto"/>
        <w:tabs>
          <w:tab w:leader="none" w:pos="988"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Grant: The performance shares for the 2002-2004 performance cycle shall not vest upon the Effective Date. Company Performance Shares and AT&amp;T stock units will vest on December 31, 2004. Company Performance Shares will be paid out at target in January</w:t>
      </w:r>
    </w:p>
    <w:p>
      <w:pPr>
        <w:ind w:left="10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2005. The form of payout will be at least 50% in cash, based on the Fair Market Value of Stock on the first trading day in 2005, and the remaining portion of the payment will be in Stock. AT&amp;T stock units will be paid out in cash based on the Fair Market Value of AT&amp;T common stock on the first trading day in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9439"/>
          </w:cols>
          <w:pgMar w:left="1020" w:top="628" w:right="1440" w:bottom="1440" w:gutter="0" w:footer="0" w:header="0"/>
        </w:sectPr>
      </w:pPr>
    </w:p>
    <w:bookmarkStart w:id="346" w:name="page347"/>
    <w:bookmarkEnd w:id="346"/>
    <w:p>
      <w:pPr>
        <w:ind w:left="273" w:hanging="273"/>
        <w:spacing w:after="0"/>
        <w:tabs>
          <w:tab w:leader="none" w:pos="273"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Units ("RSUs")</w:t>
      </w:r>
    </w:p>
    <w:p>
      <w:pPr>
        <w:spacing w:after="0" w:line="174" w:lineRule="exact"/>
        <w:rPr>
          <w:rFonts w:ascii="Courier New" w:cs="Courier New" w:eastAsia="Courier New" w:hAnsi="Courier New"/>
          <w:sz w:val="15"/>
          <w:szCs w:val="15"/>
          <w:color w:val="auto"/>
        </w:rPr>
      </w:pPr>
    </w:p>
    <w:p>
      <w:pPr>
        <w:ind w:left="-87" w:right="3119" w:firstLine="531"/>
        <w:spacing w:after="0"/>
        <w:tabs>
          <w:tab w:leader="none" w:pos="800"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receive (i) an award under the Broadband Adjustment Plan for a certain number of Broadband RSUs (valued with respect to Broadband common stock) and (ii) an award under the Broadband Adjustment Plan for a certain number of stock units (valued with respect to AT&amp;T common stock), as described in the EBA. Such Broadband RSUs shall be converted automatically into equivalent awards based upon shares of Stock ("Company RSUs"), as described in the Merger Agreement.</w:t>
      </w:r>
    </w:p>
    <w:p>
      <w:pPr>
        <w:spacing w:after="0" w:line="173" w:lineRule="exact"/>
        <w:rPr>
          <w:rFonts w:ascii="Courier New" w:cs="Courier New" w:eastAsia="Courier New" w:hAnsi="Courier New"/>
          <w:sz w:val="15"/>
          <w:szCs w:val="15"/>
          <w:color w:val="auto"/>
        </w:rPr>
      </w:pPr>
    </w:p>
    <w:p>
      <w:pPr>
        <w:ind w:left="793" w:hanging="349"/>
        <w:spacing w:after="0"/>
        <w:tabs>
          <w:tab w:leader="none" w:pos="793"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1997 Grant:</w:t>
      </w:r>
    </w:p>
    <w:p>
      <w:pPr>
        <w:spacing w:after="0" w:line="174" w:lineRule="exact"/>
        <w:rPr>
          <w:rFonts w:ascii="Courier New" w:cs="Courier New" w:eastAsia="Courier New" w:hAnsi="Courier New"/>
          <w:sz w:val="15"/>
          <w:szCs w:val="15"/>
          <w:color w:val="auto"/>
        </w:rPr>
      </w:pPr>
    </w:p>
    <w:p>
      <w:pPr>
        <w:jc w:val="both"/>
        <w:ind w:left="613" w:right="3219" w:firstLine="452"/>
        <w:spacing w:after="0" w:line="239" w:lineRule="auto"/>
        <w:tabs>
          <w:tab w:leader="none" w:pos="1412" w:val="left"/>
        </w:tabs>
        <w:numPr>
          <w:ilvl w:val="2"/>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RSUs and AT&amp;T stock units shall vest and be paid out on the earlier of (1) the date that the Executive becomes Non-Executive Chairman of the Board or (2) October 1, 2003 (as applicable, the "Payment Date").</w:t>
      </w:r>
    </w:p>
    <w:p>
      <w:pPr>
        <w:spacing w:after="0" w:line="176" w:lineRule="exact"/>
        <w:rPr>
          <w:rFonts w:ascii="Courier New" w:cs="Courier New" w:eastAsia="Courier New" w:hAnsi="Courier New"/>
          <w:sz w:val="15"/>
          <w:szCs w:val="15"/>
          <w:color w:val="auto"/>
        </w:rPr>
      </w:pPr>
    </w:p>
    <w:p>
      <w:pPr>
        <w:ind w:left="613" w:right="3119" w:firstLine="452"/>
        <w:spacing w:after="0" w:line="262" w:lineRule="auto"/>
        <w:tabs>
          <w:tab w:leader="none" w:pos="1500" w:val="left"/>
        </w:tabs>
        <w:numPr>
          <w:ilvl w:val="2"/>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of payout will be Stock in respect of the Company RSUs and cash in respect of the AT&amp;T stock units, based, in the latter case, on the Fair Market Value of AT&amp;T common stock on the day immediately prior to the Payment Date.</w:t>
      </w:r>
    </w:p>
    <w:p>
      <w:pPr>
        <w:spacing w:after="0" w:line="160" w:lineRule="exact"/>
        <w:rPr>
          <w:rFonts w:ascii="Courier New" w:cs="Courier New" w:eastAsia="Courier New" w:hAnsi="Courier New"/>
          <w:sz w:val="14"/>
          <w:szCs w:val="14"/>
          <w:color w:val="auto"/>
        </w:rPr>
      </w:pPr>
    </w:p>
    <w:p>
      <w:pPr>
        <w:ind w:left="613" w:right="3219" w:firstLine="452"/>
        <w:spacing w:after="0"/>
        <w:tabs>
          <w:tab w:leader="none" w:pos="1589" w:val="left"/>
        </w:tabs>
        <w:numPr>
          <w:ilvl w:val="2"/>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dollar value of the payment (determined by adding the cash payment in respect of the AT&amp;T stock units to the Fair Market Value, on the day immediately prior to the Payment Date, of the Stock paid with respect to the Company RSUs) is less than $10,000,000, then the Executive will receive in cash the excess of $10,000,000 over such dollar value; provided that the calculation of Fair Market Value shall not include any amounts attributable to dividends paid with respect to such stock.</w:t>
      </w:r>
    </w:p>
    <w:p>
      <w:pPr>
        <w:spacing w:after="0" w:line="177" w:lineRule="exact"/>
        <w:rPr>
          <w:rFonts w:ascii="Courier New" w:cs="Courier New" w:eastAsia="Courier New" w:hAnsi="Courier New"/>
          <w:sz w:val="15"/>
          <w:szCs w:val="15"/>
          <w:color w:val="auto"/>
        </w:rPr>
      </w:pPr>
    </w:p>
    <w:p>
      <w:pPr>
        <w:ind w:left="-87" w:right="3219" w:firstLine="531"/>
        <w:spacing w:after="0"/>
        <w:tabs>
          <w:tab w:leader="none" w:pos="800"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Grant: Pursuant to the terms of the Broadband Adjustment Plan, the 2001 grant shall vest in full and become payable as of the Effective Date. The form of payout will be Stock in respect of the Company RSUs, and cash in respect of the AT&amp;T stock units, based, in the latter case, on the Fair Market Value of AT&amp;T common stock on November 15, 2002.</w:t>
      </w:r>
    </w:p>
    <w:p>
      <w:pPr>
        <w:spacing w:after="0" w:line="172" w:lineRule="exact"/>
        <w:rPr>
          <w:rFonts w:ascii="Courier New" w:cs="Courier New" w:eastAsia="Courier New" w:hAnsi="Courier New"/>
          <w:sz w:val="15"/>
          <w:szCs w:val="15"/>
          <w:color w:val="auto"/>
        </w:rPr>
      </w:pPr>
    </w:p>
    <w:p>
      <w:pPr>
        <w:ind w:left="453" w:hanging="453"/>
        <w:spacing w:after="0"/>
        <w:tabs>
          <w:tab w:leader="none" w:pos="453"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4" w:lineRule="exact"/>
        <w:rPr>
          <w:rFonts w:ascii="Courier New" w:cs="Courier New" w:eastAsia="Courier New" w:hAnsi="Courier New"/>
          <w:sz w:val="15"/>
          <w:szCs w:val="15"/>
          <w:color w:val="auto"/>
        </w:rPr>
      </w:pPr>
    </w:p>
    <w:p>
      <w:pPr>
        <w:ind w:left="-87" w:right="3219" w:firstLine="531"/>
        <w:spacing w:after="0" w:line="264" w:lineRule="auto"/>
        <w:tabs>
          <w:tab w:leader="none" w:pos="800"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receive an award under the Broadband Adjustment Plan for a certain number of options to purchase Broadband common stock, which shall be converted automatically into options to</w:t>
      </w:r>
    </w:p>
    <w:p>
      <w:pPr>
        <w:spacing w:after="0" w:line="200" w:lineRule="exact"/>
        <w:rPr>
          <w:sz w:val="20"/>
          <w:szCs w:val="20"/>
          <w:color w:val="auto"/>
        </w:rPr>
      </w:pPr>
    </w:p>
    <w:p>
      <w:pPr>
        <w:spacing w:after="0" w:line="298" w:lineRule="exact"/>
        <w:rPr>
          <w:sz w:val="20"/>
          <w:szCs w:val="20"/>
          <w:color w:val="auto"/>
        </w:rPr>
      </w:pPr>
    </w:p>
    <w:p>
      <w:pPr>
        <w:ind w:left="2493"/>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252"/>
          </w:cols>
          <w:pgMar w:left="1207" w:top="628" w:right="1440" w:bottom="1440" w:gutter="0" w:footer="0" w:header="0"/>
        </w:sectPr>
      </w:pPr>
    </w:p>
    <w:bookmarkStart w:id="347" w:name="page348"/>
    <w:bookmarkEnd w:id="347"/>
    <w:p>
      <w:pPr>
        <w:ind w:left="780" w:right="3759"/>
        <w:spacing w:after="0" w:line="238" w:lineRule="auto"/>
        <w:rPr>
          <w:sz w:val="20"/>
          <w:szCs w:val="20"/>
          <w:color w:val="auto"/>
        </w:rPr>
      </w:pPr>
      <w:r>
        <w:rPr>
          <w:rFonts w:ascii="Courier New" w:cs="Courier New" w:eastAsia="Courier New" w:hAnsi="Courier New"/>
          <w:sz w:val="15"/>
          <w:szCs w:val="15"/>
          <w:color w:val="auto"/>
        </w:rPr>
        <w:t>purchase shares of Stock, as described in the EBA and the Merger Agreement.</w:t>
      </w:r>
    </w:p>
    <w:p>
      <w:pPr>
        <w:spacing w:after="0" w:line="175" w:lineRule="exact"/>
        <w:rPr>
          <w:sz w:val="20"/>
          <w:szCs w:val="20"/>
          <w:color w:val="auto"/>
        </w:rPr>
      </w:pPr>
    </w:p>
    <w:p>
      <w:pPr>
        <w:ind w:left="880" w:right="3119" w:firstLine="531"/>
        <w:spacing w:after="0" w:line="239" w:lineRule="auto"/>
        <w:tabs>
          <w:tab w:leader="none" w:pos="1768" w:val="left"/>
        </w:tabs>
        <w:numPr>
          <w:ilvl w:val="1"/>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Merger Agreement, options granted prior to December 19, 2001 shall vest in full as of the Effective Date and shall remain exercisable for the remainder of their original terms.</w:t>
      </w:r>
    </w:p>
    <w:p>
      <w:pPr>
        <w:spacing w:after="0" w:line="176" w:lineRule="exact"/>
        <w:rPr>
          <w:rFonts w:ascii="Courier New" w:cs="Courier New" w:eastAsia="Courier New" w:hAnsi="Courier New"/>
          <w:sz w:val="15"/>
          <w:szCs w:val="15"/>
          <w:color w:val="auto"/>
        </w:rPr>
      </w:pPr>
    </w:p>
    <w:p>
      <w:pPr>
        <w:ind w:left="880" w:right="3579" w:firstLine="531"/>
        <w:spacing w:after="0" w:line="239" w:lineRule="auto"/>
        <w:tabs>
          <w:tab w:leader="none" w:pos="1768" w:val="left"/>
        </w:tabs>
        <w:numPr>
          <w:ilvl w:val="1"/>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Merger Agreement, options granted on or after December 19, 2001 shall not vest as of the Effective Date and shall remain subject to their original vesting terms.</w:t>
      </w:r>
    </w:p>
    <w:p>
      <w:pPr>
        <w:spacing w:after="0" w:line="173" w:lineRule="exact"/>
        <w:rPr>
          <w:rFonts w:ascii="Courier New" w:cs="Courier New" w:eastAsia="Courier New" w:hAnsi="Courier New"/>
          <w:sz w:val="15"/>
          <w:szCs w:val="15"/>
          <w:color w:val="auto"/>
        </w:rPr>
      </w:pPr>
    </w:p>
    <w:p>
      <w:pPr>
        <w:ind w:left="1420" w:hanging="453"/>
        <w:spacing w:after="0"/>
        <w:tabs>
          <w:tab w:leader="none" w:pos="1420"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If an award described in Exhibit B of this Agreement is to be determined by reference to AT&amp;T shares, then such award shall vest and become exercisable and be paid out, as the case may be, upon a Change in Control of AT&amp;T (substituting "AT&amp;T" for the "Company" in the definition of Change in Control). If an award described in Exhibit B of this Agreement is to be determined by reference to Company shares, then such award shall vest and be paid out upon a change in control of the Company, as such term is defined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30" w:right="1440" w:bottom="1440" w:gutter="0" w:footer="0" w:header="0"/>
        </w:sectPr>
      </w:pPr>
    </w:p>
    <w:bookmarkStart w:id="348" w:name="page349"/>
    <w:bookmarkEnd w:id="348"/>
    <w:p>
      <w:pPr>
        <w:ind w:left="4480"/>
        <w:spacing w:after="0"/>
        <w:rPr>
          <w:sz w:val="20"/>
          <w:szCs w:val="20"/>
          <w:color w:val="auto"/>
        </w:rPr>
      </w:pPr>
      <w:r>
        <w:rPr>
          <w:rFonts w:ascii="Courier New" w:cs="Courier New" w:eastAsia="Courier New" w:hAnsi="Courier New"/>
          <w:sz w:val="15"/>
          <w:szCs w:val="15"/>
          <w:color w:val="auto"/>
        </w:rPr>
        <w:t>EXHIBIT C</w:t>
      </w:r>
    </w:p>
    <w:p>
      <w:pPr>
        <w:spacing w:after="0" w:line="1"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[FORM OF CONSULTING AGREEMENT]</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9019"/>
          </w:cols>
          <w:pgMar w:left="1440" w:top="627" w:right="1440" w:bottom="1440" w:gutter="0" w:footer="0" w:header="0"/>
        </w:sectPr>
      </w:pPr>
    </w:p>
    <w:bookmarkStart w:id="349" w:name="page350"/>
    <w:bookmarkEnd w:id="349"/>
    <w:p>
      <w:pPr>
        <w:jc w:val="right"/>
        <w:ind w:right="3119"/>
        <w:spacing w:after="0"/>
        <w:rPr>
          <w:sz w:val="20"/>
          <w:szCs w:val="20"/>
          <w:color w:val="auto"/>
        </w:rPr>
      </w:pPr>
      <w:r>
        <w:rPr>
          <w:rFonts w:ascii="Courier New" w:cs="Courier New" w:eastAsia="Courier New" w:hAnsi="Courier New"/>
          <w:sz w:val="15"/>
          <w:szCs w:val="15"/>
          <w:color w:val="auto"/>
        </w:rPr>
        <w:t>Exhibit 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CONSULTING AGREEMENT</w:t>
      </w:r>
    </w:p>
    <w:p>
      <w:pPr>
        <w:spacing w:after="0" w:line="200" w:lineRule="exact"/>
        <w:rPr>
          <w:sz w:val="20"/>
          <w:szCs w:val="20"/>
          <w:color w:val="auto"/>
        </w:rPr>
      </w:pPr>
    </w:p>
    <w:p>
      <w:pPr>
        <w:spacing w:after="0" w:line="31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CONSULTING AGREEMENT ("Agreement"), made as of [ ], 2004, by and between Comcast Corporation, a Pennsylvania corporation (together with its successors and assigns permitted under this Agreement, the "Company"), and C. Michael Armstrong (the "Consultant").</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WHEREAS, the Consultant is employed by the Company pursuant to the Employment Agreement (as defined herein); and</w:t>
      </w:r>
    </w:p>
    <w:p>
      <w:pPr>
        <w:spacing w:after="0" w:line="17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WHEREAS, the Consultant has elected to retire from his position as Non-Executive Chairman of the Board and to retire from employment with the Company, effective [ ], 2004; and</w:t>
      </w:r>
    </w:p>
    <w:p>
      <w:pPr>
        <w:spacing w:after="0" w:line="17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WHEREAS, the Company desires to retain the benefit of the Consultant's knowledge and experience by retaining the Consultant, and the Consultant desires to accept such position, for the term and upon the other conditions hereinafter set forth; and</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WHEREAS, in connection with Consultant's retirement from his position as Non-Executive Chairman of the Board and retirement from employment with the Company, the parties desire to supersede and replace the Employment Agreement with this Agreement;</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mutual promises and agreements contained herein and for other good and valuable consideration, the receipt of which is mutually acknowledged, the Company and the Consultant (individually a "Party" and together the "Parties") agree as follows:</w:t>
      </w:r>
    </w:p>
    <w:p>
      <w:pPr>
        <w:spacing w:after="0" w:line="174"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ind w:right="3119" w:firstLine="1056"/>
        <w:spacing w:after="0" w:line="239" w:lineRule="auto"/>
        <w:tabs>
          <w:tab w:leader="none" w:pos="14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of a person or other entity shall mean a person or other entity that directly or indirectly controls, is controlled by, or is under common control with the person or other entity specified.</w:t>
      </w:r>
    </w:p>
    <w:p>
      <w:pPr>
        <w:spacing w:after="0" w:line="172" w:lineRule="exact"/>
        <w:rPr>
          <w:rFonts w:ascii="Courier New" w:cs="Courier New" w:eastAsia="Courier New" w:hAnsi="Courier New"/>
          <w:sz w:val="15"/>
          <w:szCs w:val="15"/>
          <w:color w:val="auto"/>
        </w:rPr>
      </w:pPr>
    </w:p>
    <w:p>
      <w:pPr>
        <w:ind w:left="1420" w:hanging="364"/>
        <w:spacing w:after="0"/>
        <w:tabs>
          <w:tab w:leader="none" w:pos="14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mean AT&amp;T Corp., a New York corporation.</w:t>
      </w:r>
    </w:p>
    <w:p>
      <w:pPr>
        <w:spacing w:after="0" w:line="171" w:lineRule="exact"/>
        <w:rPr>
          <w:rFonts w:ascii="Courier New" w:cs="Courier New" w:eastAsia="Courier New" w:hAnsi="Courier New"/>
          <w:sz w:val="15"/>
          <w:szCs w:val="15"/>
          <w:color w:val="auto"/>
        </w:rPr>
      </w:pPr>
    </w:p>
    <w:p>
      <w:pPr>
        <w:ind w:left="1420" w:hanging="364"/>
        <w:spacing w:after="0"/>
        <w:tabs>
          <w:tab w:leader="none" w:pos="14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ectPr>
          <w:pgSz w:w="11900" w:h="16838" w:orient="portrait"/>
          <w:cols w:equalWidth="0" w:num="1">
            <w:col w:w="10219"/>
          </w:cols>
          <w:pgMar w:left="240" w:top="457" w:right="1440" w:bottom="1440" w:gutter="0" w:footer="0" w:header="0"/>
        </w:sectPr>
      </w:pPr>
    </w:p>
    <w:bookmarkStart w:id="350" w:name="page351"/>
    <w:bookmarkEnd w:id="350"/>
    <w:p>
      <w:pPr>
        <w:ind w:left="1060"/>
        <w:spacing w:after="0"/>
        <w:rPr>
          <w:sz w:val="20"/>
          <w:szCs w:val="20"/>
          <w:color w:val="auto"/>
        </w:rPr>
      </w:pPr>
      <w:r>
        <w:rPr>
          <w:rFonts w:ascii="Courier New" w:cs="Courier New" w:eastAsia="Courier New" w:hAnsi="Courier New"/>
          <w:sz w:val="15"/>
          <w:szCs w:val="15"/>
          <w:color w:val="auto"/>
        </w:rPr>
        <w:t>(d) "Broadband" shall mean AT&amp;T Broadband Corp., a 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71" w:lineRule="exact"/>
        <w:rPr>
          <w:sz w:val="20"/>
          <w:szCs w:val="20"/>
          <w:color w:val="auto"/>
        </w:rPr>
      </w:pPr>
    </w:p>
    <w:p>
      <w:pPr>
        <w:ind w:left="1420" w:hanging="364"/>
        <w:spacing w:after="0"/>
        <w:tabs>
          <w:tab w:leader="none" w:pos="1420" w:val="left"/>
        </w:tabs>
        <w:numPr>
          <w:ilvl w:val="1"/>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shall mean:</w:t>
      </w:r>
    </w:p>
    <w:p>
      <w:pPr>
        <w:spacing w:after="0" w:line="174" w:lineRule="exact"/>
        <w:rPr>
          <w:rFonts w:ascii="Courier New" w:cs="Courier New" w:eastAsia="Courier New" w:hAnsi="Courier New"/>
          <w:sz w:val="15"/>
          <w:szCs w:val="15"/>
          <w:color w:val="auto"/>
        </w:rPr>
      </w:pPr>
    </w:p>
    <w:p>
      <w:pPr>
        <w:ind w:left="880" w:right="3759" w:firstLine="531"/>
        <w:spacing w:after="0" w:line="238" w:lineRule="auto"/>
        <w:tabs>
          <w:tab w:leader="none" w:pos="1768" w:val="left"/>
        </w:tabs>
        <w:numPr>
          <w:ilvl w:val="2"/>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is convicted of a felony involving the Consultant's moral turpitude; or</w:t>
      </w:r>
    </w:p>
    <w:p>
      <w:pPr>
        <w:spacing w:after="0" w:line="174" w:lineRule="exact"/>
        <w:rPr>
          <w:rFonts w:ascii="Courier New" w:cs="Courier New" w:eastAsia="Courier New" w:hAnsi="Courier New"/>
          <w:sz w:val="15"/>
          <w:szCs w:val="15"/>
          <w:color w:val="auto"/>
        </w:rPr>
      </w:pPr>
    </w:p>
    <w:p>
      <w:pPr>
        <w:ind w:left="880" w:right="3119" w:firstLine="531"/>
        <w:spacing w:after="0"/>
        <w:tabs>
          <w:tab w:leader="none" w:pos="1856" w:val="left"/>
        </w:tabs>
        <w:numPr>
          <w:ilvl w:val="2"/>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is guilty of willful gross neglect or willful gross misconduct in carrying out his duties under this Agreement, resulting, in either case, in material economic harm to the Company, unless the Consultant believed in good faith that such act or nonact was in the best interests of the Company.</w:t>
      </w:r>
    </w:p>
    <w:p>
      <w:pPr>
        <w:spacing w:after="0" w:line="174" w:lineRule="exact"/>
        <w:rPr>
          <w:rFonts w:ascii="Courier New" w:cs="Courier New" w:eastAsia="Courier New" w:hAnsi="Courier New"/>
          <w:sz w:val="15"/>
          <w:szCs w:val="15"/>
          <w:color w:val="auto"/>
        </w:rPr>
      </w:pPr>
    </w:p>
    <w:p>
      <w:pPr>
        <w:ind w:right="3579" w:firstLine="1056"/>
        <w:spacing w:after="0" w:line="238" w:lineRule="auto"/>
        <w:tabs>
          <w:tab w:leader="none" w:pos="1420" w:val="left"/>
        </w:tabs>
        <w:numPr>
          <w:ilvl w:val="1"/>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the occurrence of any of the following events:</w:t>
      </w:r>
    </w:p>
    <w:p>
      <w:pPr>
        <w:spacing w:after="0" w:line="174" w:lineRule="exact"/>
        <w:rPr>
          <w:rFonts w:ascii="Courier New" w:cs="Courier New" w:eastAsia="Courier New" w:hAnsi="Courier New"/>
          <w:sz w:val="15"/>
          <w:szCs w:val="15"/>
          <w:color w:val="auto"/>
        </w:rPr>
      </w:pPr>
    </w:p>
    <w:p>
      <w:pPr>
        <w:ind w:left="880" w:right="3119" w:firstLine="531"/>
        <w:spacing w:after="0" w:line="258" w:lineRule="auto"/>
        <w:tabs>
          <w:tab w:leader="none" w:pos="1768" w:val="left"/>
        </w:tabs>
        <w:numPr>
          <w:ilvl w:val="2"/>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by any individual, entity or group (within the meaning of Section 13(d)(3) or 14(d)(2) of the Securities Exchange Act of 1934 (the "Exchange Act")) (an "Entity") of beneficial ownership (within the meaning of Rule 13d-3 promulgated under the Exchange Act) of 20% or more of either (A) the then outstanding shares of common stock of the Company (the "Outstanding Company Stock") or</w:t>
      </w:r>
    </w:p>
    <w:p>
      <w:pPr>
        <w:spacing w:after="0" w:line="1" w:lineRule="exact"/>
        <w:rPr>
          <w:rFonts w:ascii="Courier New" w:cs="Courier New" w:eastAsia="Courier New" w:hAnsi="Courier New"/>
          <w:sz w:val="14"/>
          <w:szCs w:val="14"/>
          <w:color w:val="auto"/>
        </w:rPr>
      </w:pPr>
    </w:p>
    <w:p>
      <w:pPr>
        <w:ind w:left="880" w:right="3119" w:hanging="2"/>
        <w:spacing w:after="0" w:line="258" w:lineRule="auto"/>
        <w:tabs>
          <w:tab w:leader="none" w:pos="1235"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voting power of the then outstanding voting securities of the Company entitled to vote generally in the election of directors (the "Outstanding Company Voting Securities"); excluding, however, the following: (1) any acquisition directly from the Company, other than an acquisition by virtue of the exercise of a conversion privilege unless the security being so converted was itself acquired directly from the Company, (2) any acquisition by the Company, (3) any acquisition by any employee benefit plan (or related trust) sponsored or maintained by the Company or any corporation controlled by the Company, or (4) any acquisition by any corporation pursuant to a transaction which complies with clauses (A), (B) and (C) of subsection</w:t>
      </w:r>
    </w:p>
    <w:p>
      <w:pPr>
        <w:ind w:left="1420" w:hanging="542"/>
        <w:spacing w:after="0"/>
        <w:tabs>
          <w:tab w:leader="none" w:pos="1420" w:val="left"/>
        </w:tabs>
        <w:numPr>
          <w:ilvl w:val="1"/>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1(f);</w:t>
      </w:r>
    </w:p>
    <w:p>
      <w:pPr>
        <w:spacing w:after="0" w:line="174" w:lineRule="exact"/>
        <w:rPr>
          <w:rFonts w:ascii="Courier New" w:cs="Courier New" w:eastAsia="Courier New" w:hAnsi="Courier New"/>
          <w:sz w:val="15"/>
          <w:szCs w:val="15"/>
          <w:color w:val="auto"/>
        </w:rPr>
      </w:pPr>
    </w:p>
    <w:p>
      <w:pPr>
        <w:ind w:left="880" w:right="3119" w:firstLine="531"/>
        <w:spacing w:after="0"/>
        <w:tabs>
          <w:tab w:leader="none" w:pos="1856" w:val="left"/>
        </w:tabs>
        <w:numPr>
          <w:ilvl w:val="2"/>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such that the individuals who, as of the effective date of this Agreement, constitute the Board (such Board shall be hereinafter referred to as the "Incumbent Board") cease for any reason to constitute at least a majority of the Board; provided, however, that for purposes of this definition, any individual who becomes a member of the Board subsequent to the effective date of this Agreement, whose election, or nomination for election, by the Company's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8" w:right="1440" w:bottom="1440" w:gutter="0" w:footer="0" w:header="0"/>
        </w:sectPr>
      </w:pPr>
    </w:p>
    <w:bookmarkStart w:id="351" w:name="page352"/>
    <w:bookmarkEnd w:id="351"/>
    <w:p>
      <w:pPr>
        <w:ind w:right="3119"/>
        <w:spacing w:after="0"/>
        <w:rPr>
          <w:sz w:val="20"/>
          <w:szCs w:val="20"/>
          <w:color w:val="auto"/>
        </w:rPr>
      </w:pPr>
      <w:r>
        <w:rPr>
          <w:rFonts w:ascii="Courier New" w:cs="Courier New" w:eastAsia="Courier New" w:hAnsi="Courier New"/>
          <w:sz w:val="15"/>
          <w:szCs w:val="15"/>
          <w:color w:val="auto"/>
        </w:rPr>
        <w:t>shareholders was approved by a vote of at least a two-thirds majority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either an actual or threatened election contest (as such terms are used in Rule 14a-11 of Regulation 14A promulgated under the Exchange Act) or other actual or threatened solicitation of proxies or consents by or on behalf of an Entity other than the Board shall not be so considered as a member of the Incumbent Board;</w:t>
      </w:r>
    </w:p>
    <w:p>
      <w:pPr>
        <w:spacing w:after="0" w:line="179" w:lineRule="exact"/>
        <w:rPr>
          <w:sz w:val="20"/>
          <w:szCs w:val="20"/>
          <w:color w:val="auto"/>
        </w:rPr>
      </w:pPr>
    </w:p>
    <w:p>
      <w:pPr>
        <w:ind w:right="3119" w:firstLine="531"/>
        <w:spacing w:after="0"/>
        <w:tabs>
          <w:tab w:leader="none" w:pos="888"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reorganization or consolidation to which the Company is a party or a sale or other disposition of all or substantially all of the assets of the Company (each, a "Corporate Transaction"); excluding however, such a Corporate Transaction pursuant to which (A) all or substantially all of the individuals and entities who are the beneficial owners, respectively, of the Outstanding Company Stock and Outstanding Company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or other person which as a result of such transaction owns the Company or all or substantially all of the Company's assets either directly or through one or more subsidiaries (a "Parent Company")) in substantially the same proportions as their ownership, immediately prior to such Corporate Transaction, of the Outstanding Company Stock and Outstanding Company Voting Securities, as the case may be, (B) no Entity (other than the Company, any employee benefit plan (or related trust) of the Company, such corporation resulting from such Corporate Transaction (or, if reference was made to equity ownership of any Parent Company for purposes of determining whether clause (A) above is satisfied in connection with the applicable Corporate Transaction, such Parent Company) will beneficially own, directly or indirectly, 20% or more of, respectively, the outstanding shares of common stock of the corporation resulting from such Corporate Transaction (or, if reference was made to equity ownership of any Parent Company for purposes of determining whether clause (A) above is satisfied in connection with the applicable Corporate Transaction, such Parent Company) or the combined voting power of the outstanding voting securities of such corporation entitled to vote generally in the election of directors unless such ownership resulted</w:t>
      </w:r>
    </w:p>
    <w:p>
      <w:pPr>
        <w:spacing w:after="0" w:line="3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39"/>
          </w:cols>
          <w:pgMar w:left="1120" w:top="630" w:right="1440" w:bottom="1440" w:gutter="0" w:footer="0" w:header="0"/>
        </w:sectPr>
      </w:pPr>
    </w:p>
    <w:bookmarkStart w:id="352" w:name="page353"/>
    <w:bookmarkEnd w:id="352"/>
    <w:p>
      <w:pPr>
        <w:ind w:left="100" w:right="3119"/>
        <w:spacing w:after="0"/>
        <w:rPr>
          <w:sz w:val="20"/>
          <w:szCs w:val="20"/>
          <w:color w:val="auto"/>
        </w:rPr>
      </w:pPr>
      <w:r>
        <w:rPr>
          <w:rFonts w:ascii="Courier New" w:cs="Courier New" w:eastAsia="Courier New" w:hAnsi="Courier New"/>
          <w:sz w:val="15"/>
          <w:szCs w:val="15"/>
          <w:color w:val="auto"/>
        </w:rPr>
        <w:t>solely from ownership of securities of the Company prior to the Corporate Transaction, and (C) individuals who were members of the Incumbent Board will immediately after the consummation of the Corporate Transaction constitute at least a two-thirds majority of the members of the board of directors of the corporation resulting from such Corporate Transaction (or, if reference was made to equity ownership of any Parent Company for purposes of determining whether clause (A) above is satisfied in connection with the applicable Corporate Transaction, of the Parent Company); or</w:t>
      </w:r>
    </w:p>
    <w:p>
      <w:pPr>
        <w:spacing w:after="0" w:line="177" w:lineRule="exact"/>
        <w:rPr>
          <w:sz w:val="20"/>
          <w:szCs w:val="20"/>
          <w:color w:val="auto"/>
        </w:rPr>
      </w:pPr>
    </w:p>
    <w:p>
      <w:pPr>
        <w:ind w:left="100" w:right="3299" w:firstLine="531"/>
        <w:spacing w:after="0" w:line="238" w:lineRule="auto"/>
        <w:tabs>
          <w:tab w:leader="none" w:pos="1076" w:val="left"/>
        </w:tabs>
        <w:numPr>
          <w:ilvl w:val="1"/>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shareholders of the Company of a plan of complete liquidation or dissolution of the Company.</w:t>
      </w:r>
    </w:p>
    <w:p>
      <w:pPr>
        <w:spacing w:after="0" w:line="174" w:lineRule="exact"/>
        <w:rPr>
          <w:rFonts w:ascii="Courier New" w:cs="Courier New" w:eastAsia="Courier New" w:hAnsi="Courier New"/>
          <w:sz w:val="15"/>
          <w:szCs w:val="15"/>
          <w:color w:val="auto"/>
        </w:rPr>
      </w:pPr>
    </w:p>
    <w:p>
      <w:pPr>
        <w:ind w:left="640" w:hanging="364"/>
        <w:spacing w:after="0"/>
        <w:tabs>
          <w:tab w:leader="none" w:pos="64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82" w:lineRule="exact"/>
        <w:rPr>
          <w:rFonts w:ascii="Courier New" w:cs="Courier New" w:eastAsia="Courier New" w:hAnsi="Courier New"/>
          <w:sz w:val="14"/>
          <w:szCs w:val="14"/>
          <w:color w:val="auto"/>
        </w:rPr>
      </w:pPr>
    </w:p>
    <w:p>
      <w:pPr>
        <w:ind w:left="-780" w:right="3219" w:firstLine="1056"/>
        <w:spacing w:after="0" w:line="239" w:lineRule="auto"/>
        <w:tabs>
          <w:tab w:leader="none" w:pos="640"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Without Cause" shall mean termination by the Consultant of his service at his initiative following the occurrence of any of the following events without his consent:</w:t>
      </w:r>
    </w:p>
    <w:p>
      <w:pPr>
        <w:spacing w:after="0" w:line="175" w:lineRule="exact"/>
        <w:rPr>
          <w:rFonts w:ascii="Courier New" w:cs="Courier New" w:eastAsia="Courier New" w:hAnsi="Courier New"/>
          <w:sz w:val="15"/>
          <w:szCs w:val="15"/>
          <w:color w:val="auto"/>
        </w:rPr>
      </w:pPr>
    </w:p>
    <w:p>
      <w:pPr>
        <w:ind w:left="100" w:right="3119" w:firstLine="531"/>
        <w:spacing w:after="0" w:line="239" w:lineRule="auto"/>
        <w:tabs>
          <w:tab w:leader="none" w:pos="988"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Consultancy Fee or the termination or material reduction of any benefits provided under this Agreement (other than as part of an across-the-board reduction applicable to all executive officers of the Company);</w:t>
      </w:r>
    </w:p>
    <w:p>
      <w:pPr>
        <w:spacing w:after="0" w:line="176" w:lineRule="exact"/>
        <w:rPr>
          <w:rFonts w:ascii="Courier New" w:cs="Courier New" w:eastAsia="Courier New" w:hAnsi="Courier New"/>
          <w:sz w:val="15"/>
          <w:szCs w:val="15"/>
          <w:color w:val="auto"/>
        </w:rPr>
      </w:pPr>
    </w:p>
    <w:p>
      <w:pPr>
        <w:ind w:left="100" w:right="3299" w:firstLine="531"/>
        <w:spacing w:after="0" w:line="239" w:lineRule="auto"/>
        <w:tabs>
          <w:tab w:leader="none" w:pos="1076"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2005 Annual Meeting, the failure to elect or reelect the Consultant to the Board or the removal of him from the Board;</w:t>
      </w:r>
    </w:p>
    <w:p>
      <w:pPr>
        <w:spacing w:after="0" w:line="175" w:lineRule="exact"/>
        <w:rPr>
          <w:rFonts w:ascii="Courier New" w:cs="Courier New" w:eastAsia="Courier New" w:hAnsi="Courier New"/>
          <w:sz w:val="15"/>
          <w:szCs w:val="15"/>
          <w:color w:val="auto"/>
        </w:rPr>
      </w:pPr>
    </w:p>
    <w:p>
      <w:pPr>
        <w:ind w:left="100" w:right="3399" w:firstLine="531"/>
        <w:spacing w:after="0" w:line="238" w:lineRule="auto"/>
        <w:tabs>
          <w:tab w:leader="none" w:pos="1165"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of the Consultant's own principal office from its location in the Grace Building;</w:t>
      </w:r>
    </w:p>
    <w:p>
      <w:pPr>
        <w:spacing w:after="0" w:line="174" w:lineRule="exact"/>
        <w:rPr>
          <w:rFonts w:ascii="Courier New" w:cs="Courier New" w:eastAsia="Courier New" w:hAnsi="Courier New"/>
          <w:sz w:val="15"/>
          <w:szCs w:val="15"/>
          <w:color w:val="auto"/>
        </w:rPr>
      </w:pPr>
    </w:p>
    <w:p>
      <w:pPr>
        <w:ind w:left="100" w:right="3299" w:firstLine="531"/>
        <w:spacing w:after="0"/>
        <w:tabs>
          <w:tab w:leader="none" w:pos="1076"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obtain the assumption in writing of its obligation to perform this Agreement by any successor to all or substantially all of the assets of the Company within 15 calendar days after a merger, consolidation, sale or similar transaction; or</w:t>
      </w:r>
    </w:p>
    <w:p>
      <w:pPr>
        <w:spacing w:after="0" w:line="171" w:lineRule="exact"/>
        <w:rPr>
          <w:rFonts w:ascii="Courier New" w:cs="Courier New" w:eastAsia="Courier New" w:hAnsi="Courier New"/>
          <w:sz w:val="15"/>
          <w:szCs w:val="15"/>
          <w:color w:val="auto"/>
        </w:rPr>
      </w:pPr>
    </w:p>
    <w:p>
      <w:pPr>
        <w:ind w:left="980" w:hanging="349"/>
        <w:spacing w:after="0"/>
        <w:tabs>
          <w:tab w:leader="none" w:pos="980"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this Agreement by the Company.</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Following written notice from the Consultant, as described above, the Company shall have 15 calendar days in which to cure. If the Company fails to cure, the Consultant's termination shall become effective on the 16th calendar day following the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30" w:right="1440" w:bottom="1440" w:gutter="0" w:footer="0" w:header="0"/>
        </w:sectPr>
      </w:pPr>
    </w:p>
    <w:bookmarkStart w:id="353" w:name="page354"/>
    <w:bookmarkEnd w:id="353"/>
    <w:p>
      <w:pPr>
        <w:ind w:left="-967" w:right="3119" w:firstLine="967"/>
        <w:spacing w:after="0" w:line="260" w:lineRule="auto"/>
        <w:tabs>
          <w:tab w:leader="none" w:pos="364"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the Consultant's inability, due to physical or mental incapacity, to substantially perform his duties and responsibilities under this Agreement as determined by a medical doctor selected by the Company and the Consultant. If the Parties cannot agree on a medical doctor, each Party shall select a medical doctor and the two doctors shall select a third who shall be the approved medical doctor for this purpose.</w:t>
      </w:r>
    </w:p>
    <w:p>
      <w:pPr>
        <w:spacing w:after="0" w:line="163" w:lineRule="exact"/>
        <w:rPr>
          <w:rFonts w:ascii="Courier New" w:cs="Courier New" w:eastAsia="Courier New" w:hAnsi="Courier New"/>
          <w:sz w:val="14"/>
          <w:szCs w:val="14"/>
          <w:color w:val="auto"/>
        </w:rPr>
      </w:pPr>
    </w:p>
    <w:p>
      <w:pPr>
        <w:ind w:left="-967" w:right="3299" w:firstLine="967"/>
        <w:spacing w:after="0" w:line="238"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"EBA" shall mean the Employee Benefits Agreement by and between AT&amp;T and Broadband dated as of December 19, 2001.</w:t>
      </w:r>
    </w:p>
    <w:p>
      <w:pPr>
        <w:spacing w:after="0" w:line="174" w:lineRule="exact"/>
        <w:rPr>
          <w:rFonts w:ascii="Courier New" w:cs="Courier New" w:eastAsia="Courier New" w:hAnsi="Courier New"/>
          <w:sz w:val="15"/>
          <w:szCs w:val="15"/>
          <w:color w:val="auto"/>
        </w:rPr>
      </w:pPr>
    </w:p>
    <w:p>
      <w:pPr>
        <w:ind w:left="-967" w:right="3759" w:firstLine="967"/>
        <w:spacing w:after="0" w:line="239"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shall mean the Employment Agreement entered into as of November 18, 2002 by and between the Company and the Consultant.</w:t>
      </w:r>
    </w:p>
    <w:p>
      <w:pPr>
        <w:spacing w:after="0" w:line="175" w:lineRule="exact"/>
        <w:rPr>
          <w:rFonts w:ascii="Courier New" w:cs="Courier New" w:eastAsia="Courier New" w:hAnsi="Courier New"/>
          <w:sz w:val="15"/>
          <w:szCs w:val="15"/>
          <w:color w:val="auto"/>
        </w:rPr>
      </w:pPr>
    </w:p>
    <w:p>
      <w:pPr>
        <w:jc w:val="both"/>
        <w:ind w:left="-967" w:right="3119" w:firstLine="967"/>
        <w:spacing w:after="0" w:line="239"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the value of a share of Stock or a share of AT&amp;T stock, as the case may be, as traded on the Nasdaq Stock Market or the New York Stock Exchange, as the case may be, on the date in question, based on the respective closing prices.</w:t>
      </w:r>
    </w:p>
    <w:p>
      <w:pPr>
        <w:spacing w:after="0" w:line="176" w:lineRule="exact"/>
        <w:rPr>
          <w:rFonts w:ascii="Courier New" w:cs="Courier New" w:eastAsia="Courier New" w:hAnsi="Courier New"/>
          <w:sz w:val="15"/>
          <w:szCs w:val="15"/>
          <w:color w:val="auto"/>
        </w:rPr>
      </w:pPr>
    </w:p>
    <w:p>
      <w:pPr>
        <w:ind w:left="-967" w:right="3219" w:firstLine="967"/>
        <w:spacing w:after="0" w:line="239"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"Grace Building" shall mean the W.R. Grace Building at 1114 Avenue of the Americas (and 41 West 42nd Street), New York, New York or any other building of comparable stature maintained by the Company as its principal place of business in the borough of Manhattan in New York City.</w:t>
      </w:r>
    </w:p>
    <w:p>
      <w:pPr>
        <w:spacing w:after="0" w:line="176" w:lineRule="exact"/>
        <w:rPr>
          <w:rFonts w:ascii="Courier New" w:cs="Courier New" w:eastAsia="Courier New" w:hAnsi="Courier New"/>
          <w:sz w:val="15"/>
          <w:szCs w:val="15"/>
          <w:color w:val="auto"/>
        </w:rPr>
      </w:pPr>
    </w:p>
    <w:p>
      <w:pPr>
        <w:ind w:left="-967" w:right="3119" w:firstLine="967"/>
        <w:spacing w:after="0" w:line="239"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Agreement" shall mean the Agreement and Plan of Merger dated as of December 19, 2001, as amended, by and among AT&amp;T, Broadband, Comcast Corporation, AT&amp;T Broadband Acquisition Corp., Comcast Acquisition Corp. and the Company.</w:t>
      </w:r>
    </w:p>
    <w:p>
      <w:pPr>
        <w:spacing w:after="0" w:line="173" w:lineRule="exact"/>
        <w:rPr>
          <w:rFonts w:ascii="Courier New" w:cs="Courier New" w:eastAsia="Courier New" w:hAnsi="Courier New"/>
          <w:sz w:val="15"/>
          <w:szCs w:val="15"/>
          <w:color w:val="auto"/>
        </w:rPr>
      </w:pPr>
    </w:p>
    <w:p>
      <w:pPr>
        <w:ind w:left="353" w:hanging="353"/>
        <w:spacing w:after="0"/>
        <w:tabs>
          <w:tab w:leader="none" w:pos="353"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shall mean Class A Common Stock of the Company.</w:t>
      </w:r>
    </w:p>
    <w:p>
      <w:pPr>
        <w:spacing w:after="0" w:line="171" w:lineRule="exact"/>
        <w:rPr>
          <w:rFonts w:ascii="Courier New" w:cs="Courier New" w:eastAsia="Courier New" w:hAnsi="Courier New"/>
          <w:sz w:val="15"/>
          <w:szCs w:val="15"/>
          <w:color w:val="auto"/>
        </w:rPr>
      </w:pPr>
    </w:p>
    <w:p>
      <w:pPr>
        <w:ind w:left="353" w:hanging="353"/>
        <w:spacing w:after="0"/>
        <w:tabs>
          <w:tab w:leader="none" w:pos="353"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shall mean the period specified in Section 3 below.</w:t>
      </w:r>
    </w:p>
    <w:p>
      <w:pPr>
        <w:spacing w:after="0" w:line="174" w:lineRule="exact"/>
        <w:rPr>
          <w:rFonts w:ascii="Courier New" w:cs="Courier New" w:eastAsia="Courier New" w:hAnsi="Courier New"/>
          <w:sz w:val="15"/>
          <w:szCs w:val="15"/>
          <w:color w:val="auto"/>
        </w:rPr>
      </w:pPr>
    </w:p>
    <w:p>
      <w:pPr>
        <w:ind w:left="-967" w:right="3119" w:firstLine="967"/>
        <w:spacing w:after="0" w:line="238"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shall mean the date that is one year after the 2005 Annual Meeting.</w:t>
      </w:r>
    </w:p>
    <w:p>
      <w:pPr>
        <w:spacing w:after="0" w:line="174" w:lineRule="exact"/>
        <w:rPr>
          <w:rFonts w:ascii="Courier New" w:cs="Courier New" w:eastAsia="Courier New" w:hAnsi="Courier New"/>
          <w:sz w:val="15"/>
          <w:szCs w:val="15"/>
          <w:color w:val="auto"/>
        </w:rPr>
      </w:pPr>
    </w:p>
    <w:p>
      <w:pPr>
        <w:ind w:left="-967" w:right="3479" w:firstLine="967"/>
        <w:spacing w:after="0" w:line="238"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"2004 Annual Meeting" shall mean the regularly scheduled 2004 annual meeting of the shareholders of the Company.</w:t>
      </w:r>
    </w:p>
    <w:p>
      <w:pPr>
        <w:spacing w:after="0" w:line="174" w:lineRule="exact"/>
        <w:rPr>
          <w:rFonts w:ascii="Courier New" w:cs="Courier New" w:eastAsia="Courier New" w:hAnsi="Courier New"/>
          <w:sz w:val="15"/>
          <w:szCs w:val="15"/>
          <w:color w:val="auto"/>
        </w:rPr>
      </w:pPr>
    </w:p>
    <w:p>
      <w:pPr>
        <w:ind w:left="-967" w:right="3479" w:firstLine="967"/>
        <w:spacing w:after="0" w:line="238" w:lineRule="auto"/>
        <w:tabs>
          <w:tab w:leader="none" w:pos="364"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 Annual Meeting" shall mean the regularly scheduled 2005 annual meeting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57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252"/>
          </w:cols>
          <w:pgMar w:left="1207" w:top="801" w:right="1440" w:bottom="1440" w:gutter="0" w:footer="0" w:header="0"/>
        </w:sectPr>
      </w:pPr>
    </w:p>
    <w:bookmarkStart w:id="354" w:name="page355"/>
    <w:bookmarkEnd w:id="354"/>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Retirement as Chairman.</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Consultant hereby retires from employment with the Company and from his position as Non-Executive Chairman of the Board effective as of the close of business on [ ], 2004 (the "Effective Date").</w:t>
      </w:r>
    </w:p>
    <w:p>
      <w:pPr>
        <w:spacing w:after="0" w:line="172"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Term.</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Term shall begin on the Effective Date and end on the Termination Date. Notwithstanding the foregoing, after the Effective Date, the Term may be earlier terminated by either Party in accordance with the provisions of Section 8.</w:t>
      </w:r>
    </w:p>
    <w:p>
      <w:pPr>
        <w:spacing w:after="0" w:line="174"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Positions, Duties and Responsibilities.</w:t>
      </w:r>
    </w:p>
    <w:p>
      <w:pPr>
        <w:spacing w:after="0" w:line="174" w:lineRule="exact"/>
        <w:rPr>
          <w:sz w:val="20"/>
          <w:szCs w:val="20"/>
          <w:color w:val="auto"/>
        </w:rPr>
      </w:pPr>
    </w:p>
    <w:p>
      <w:pPr>
        <w:ind w:right="3299" w:firstLine="1056"/>
        <w:spacing w:after="0"/>
        <w:tabs>
          <w:tab w:leader="none" w:pos="142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Consultant shall be a senior advisor and consultant to the Company and, upon reasonable request of the Chief Executive Officer, or an Executive Vice President of the Company mutually designated by the Chief Executive Officer and the Consultant, make himself available to perform consulting and advisory services with respect to strategic issues concerning the Company. Such consulting and advisory services shall be related to such matters as the Chief Executive Officer of the Company, or an Executive Vice President of the Company so mutually designated, and Consultant may mutually agree. During the Term, the Consultant shall accommodate reasonable requests for the Consultant's consulting and advisory services, by making himself reasonably available, by phone or otherwise, to perform such services, but in no event shall Consultant be required to devote more than eighty hours per month to his services hereunder. Notwithstanding the foregoing, during the time that the Consultant serves as a director of the Company, he shall devote such time as is necessary to satisfy his fiduciary duties as a director. In addition, the Company shall use its reasonable best efforts to ensure that the Consultant shall serve as a director of the Company through the 2005 Annual Meeting.</w:t>
      </w:r>
    </w:p>
    <w:p>
      <w:pPr>
        <w:spacing w:after="0" w:line="184"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preclude the Consultant from (i) serving on the boards of directors of a reasonable number of other corporations subject to the approval of the Board in each case (which approval has been given as to the boards listed in Exhibit A attached hereto), which approval shall not be unreasonably withheld, (ii) serving on the boards of a reasonable number of trade associations and/or charitable organizations, (iii) engaging in any charitable or business activities and community affairs, and (iv) managing his personal investments and affairs, provided that such activities set forth in this Section 4(b) do not materially interfere with the proper performance of his duties and responsibilities under Sections 4(a).</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355" w:name="page356"/>
    <w:bookmarkEnd w:id="355"/>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Compensation.</w:t>
      </w:r>
    </w:p>
    <w:p>
      <w:pPr>
        <w:spacing w:after="0" w:line="174" w:lineRule="exact"/>
        <w:rPr>
          <w:sz w:val="20"/>
          <w:szCs w:val="20"/>
          <w:color w:val="auto"/>
        </w:rPr>
      </w:pPr>
    </w:p>
    <w:p>
      <w:pPr>
        <w:ind w:right="3119" w:firstLine="1056"/>
        <w:spacing w:after="0" w:line="259" w:lineRule="auto"/>
        <w:tabs>
          <w:tab w:leader="none" w:pos="1420"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Date, in recognition of the Consultant's retirement from employment with the Company and from his position as Non-Executive Chairman of the Board, the Company shall pay to the Consultant an amount in cash equal to the sum of (a) the base salary under the Employment Agreement as in effect immediately prior to the Effective Date, payable from the Effective Date through April 15, 2005, which shall not be less than one year's base salary, (b) the Target Bonus under the Employment Agreement for calendar year 2004, and (c) a pro-rata portion of the Target Bonus under the Employment Agreement for calendar year 2005, equal to such Target Bonus, multiplied by a fraction, the numerator of which is the number of days from January 1, 2005 until April 15, 2005 and the denominator of which is 365.</w:t>
      </w:r>
    </w:p>
    <w:p>
      <w:pPr>
        <w:spacing w:after="0" w:line="165" w:lineRule="exact"/>
        <w:rPr>
          <w:rFonts w:ascii="Courier New" w:cs="Courier New" w:eastAsia="Courier New" w:hAnsi="Courier New"/>
          <w:sz w:val="14"/>
          <w:szCs w:val="14"/>
          <w:color w:val="auto"/>
        </w:rPr>
      </w:pPr>
    </w:p>
    <w:p>
      <w:pPr>
        <w:ind w:right="3119" w:firstLine="1056"/>
        <w:spacing w:after="0" w:line="239" w:lineRule="auto"/>
        <w:tabs>
          <w:tab w:leader="none" w:pos="1420"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the Consultant shall be paid consultancy fees at the rate of $900,000 per year (the "Consultancy Fee"). The Consultancy Fee shall be paid in equal monthly installments on the last day of each month. In no event shall the Consultancy Fee be decreased.</w:t>
      </w:r>
    </w:p>
    <w:p>
      <w:pPr>
        <w:spacing w:after="0" w:line="174"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Outstanding Long-term Incentive Awards.</w:t>
      </w:r>
    </w:p>
    <w:p>
      <w:pPr>
        <w:spacing w:after="0" w:line="174" w:lineRule="exact"/>
        <w:rPr>
          <w:sz w:val="20"/>
          <w:szCs w:val="20"/>
          <w:color w:val="auto"/>
        </w:rPr>
      </w:pPr>
    </w:p>
    <w:p>
      <w:pPr>
        <w:ind w:right="3479" w:firstLine="1056"/>
        <w:spacing w:after="0" w:line="264" w:lineRule="auto"/>
        <w:tabs>
          <w:tab w:leader="none" w:pos="1420"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Performance Awards. Subject to the provisions of Section 8, Exhibit B attached hereto sets forth the treatment of outstanding equity-based awards held by the Consultant as of the Effective Date.</w:t>
      </w:r>
    </w:p>
    <w:p>
      <w:pPr>
        <w:spacing w:after="0" w:line="159" w:lineRule="exact"/>
        <w:rPr>
          <w:rFonts w:ascii="Courier New" w:cs="Courier New" w:eastAsia="Courier New" w:hAnsi="Courier New"/>
          <w:sz w:val="14"/>
          <w:szCs w:val="14"/>
          <w:color w:val="auto"/>
        </w:rPr>
      </w:pPr>
    </w:p>
    <w:p>
      <w:pPr>
        <w:ind w:right="3119" w:firstLine="1056"/>
        <w:spacing w:after="0"/>
        <w:tabs>
          <w:tab w:leader="none" w:pos="1420"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Except as otherwise provided in Exhibit B, all options held by the Consultant as of the Effective Time shall continue to vest during the Term as if he had remained employed by the Company. On the Termination Date, all options held by the Consultant shall become fully vested and shall remain exercisable for the remainder of their original ten-year terms.</w:t>
      </w:r>
    </w:p>
    <w:p>
      <w:pPr>
        <w:spacing w:after="0" w:line="172"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Benefit Programs; Reimbursement of Business and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4" w:lineRule="exact"/>
        <w:rPr>
          <w:sz w:val="20"/>
          <w:szCs w:val="20"/>
          <w:color w:val="auto"/>
        </w:rPr>
      </w:pPr>
    </w:p>
    <w:p>
      <w:pPr>
        <w:ind w:right="3219" w:firstLine="1056"/>
        <w:spacing w:after="0" w:line="239" w:lineRule="auto"/>
        <w:tabs>
          <w:tab w:leader="none" w:pos="142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shall not be entitled to participate in any employee benefit plans or other benefits or conditions of employment available to the employees of the Company, except as provided in Section 6 , Section 7 or elsewhere in this Agreement.</w:t>
      </w:r>
    </w:p>
    <w:p>
      <w:pPr>
        <w:spacing w:after="0" w:line="176" w:lineRule="exact"/>
        <w:rPr>
          <w:rFonts w:ascii="Courier New" w:cs="Courier New" w:eastAsia="Courier New" w:hAnsi="Courier New"/>
          <w:sz w:val="15"/>
          <w:szCs w:val="15"/>
          <w:color w:val="auto"/>
        </w:rPr>
      </w:pPr>
    </w:p>
    <w:p>
      <w:pPr>
        <w:ind w:right="3219" w:firstLine="1056"/>
        <w:spacing w:after="0"/>
        <w:tabs>
          <w:tab w:leader="none" w:pos="1420"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the Consultant's principal office shall be the office the Consultant occupied as an executive of the Company in the Grace Building. The Company shall provide full-time secretarial support for the Consultant's principal office, as selected by the Consultant in his sole discretion.</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1440" w:gutter="0" w:footer="0" w:header="0"/>
        </w:sectPr>
      </w:pPr>
    </w:p>
    <w:bookmarkStart w:id="356" w:name="page357"/>
    <w:bookmarkEnd w:id="356"/>
    <w:p>
      <w:pPr>
        <w:ind w:left="-780" w:right="3219" w:firstLine="1056"/>
        <w:spacing w:after="0"/>
        <w:tabs>
          <w:tab w:leader="none" w:pos="64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Effective Date until the 2005 Annual Meeting, the Consultant shall be entitled to participate in each of the Company's executive services in accordance with the terms and conditions of such arrangements as they are in effect from time to time for the Company's Chief Executive Officer (except for the executive services as set forth below). During the Term, the Consultant shall be entitled to (a) primary personal use of an airplane on the same economic terms as the Chief Executive Officer of the Company and (b) tax preparation and financial counseling services (plus a gross-up for applicable taxes payable in connection with the provisions of such services, but only if such gross-up is provided to a senior executive of the Company). In addition, the Company shall pay the dues for the Consultant's membership in each of the Business Roundtable, the G-100 and the Business Council through the 2004 Annual Meeting.</w:t>
      </w:r>
    </w:p>
    <w:p>
      <w:pPr>
        <w:spacing w:after="0" w:line="180" w:lineRule="exact"/>
        <w:rPr>
          <w:rFonts w:ascii="Courier New" w:cs="Courier New" w:eastAsia="Courier New" w:hAnsi="Courier New"/>
          <w:sz w:val="15"/>
          <w:szCs w:val="15"/>
          <w:color w:val="auto"/>
        </w:rPr>
      </w:pPr>
    </w:p>
    <w:p>
      <w:pPr>
        <w:jc w:val="both"/>
        <w:ind w:left="-780" w:right="3119" w:firstLine="1056"/>
        <w:spacing w:after="0" w:line="239" w:lineRule="auto"/>
        <w:tabs>
          <w:tab w:leader="none" w:pos="64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the Company shall pay when due the premiums for the Consultant's Senior Management Universal Life Insurance Policy (as in effect as of the Effective Date), and a gross-up for all federal taxes payable by the Consultant in connection with the payment of such premiums.</w:t>
      </w:r>
    </w:p>
    <w:p>
      <w:pPr>
        <w:spacing w:after="0" w:line="176" w:lineRule="exact"/>
        <w:rPr>
          <w:rFonts w:ascii="Courier New" w:cs="Courier New" w:eastAsia="Courier New" w:hAnsi="Courier New"/>
          <w:sz w:val="15"/>
          <w:szCs w:val="15"/>
          <w:color w:val="auto"/>
        </w:rPr>
      </w:pPr>
    </w:p>
    <w:p>
      <w:pPr>
        <w:ind w:left="-780" w:right="3479" w:firstLine="1056"/>
        <w:spacing w:after="0"/>
        <w:tabs>
          <w:tab w:leader="none" w:pos="640"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is authorized to incur reasonable expenses in carrying out his duties and responsibilities under this Agreement and the Company shall promptly reimburse him for all business expenses incurred in connection with carrying out the business of the Company, subject to documentation in accordance with the Company's policy.</w:t>
      </w:r>
    </w:p>
    <w:p>
      <w:pPr>
        <w:spacing w:after="0" w:line="17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Termination.</w:t>
      </w:r>
    </w:p>
    <w:p>
      <w:pPr>
        <w:spacing w:after="0" w:line="174" w:lineRule="exact"/>
        <w:rPr>
          <w:sz w:val="20"/>
          <w:szCs w:val="20"/>
          <w:color w:val="auto"/>
        </w:rPr>
      </w:pPr>
    </w:p>
    <w:p>
      <w:pPr>
        <w:ind w:left="-780" w:right="3119" w:firstLine="1056"/>
        <w:spacing w:after="0" w:line="239" w:lineRule="auto"/>
        <w:tabs>
          <w:tab w:leader="none" w:pos="640"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Death. In the event that the Consultant's performance of consulting services is terminated due to his death, his estate or his beneficiaries, as the case may be, shall be entitled to the following benefits:</w:t>
      </w:r>
    </w:p>
    <w:p>
      <w:pPr>
        <w:spacing w:after="0" w:line="176" w:lineRule="exact"/>
        <w:rPr>
          <w:rFonts w:ascii="Courier New" w:cs="Courier New" w:eastAsia="Courier New" w:hAnsi="Courier New"/>
          <w:sz w:val="15"/>
          <w:szCs w:val="15"/>
          <w:color w:val="auto"/>
        </w:rPr>
      </w:pPr>
    </w:p>
    <w:p>
      <w:pPr>
        <w:ind w:left="100" w:right="3399" w:firstLine="531"/>
        <w:spacing w:after="0" w:line="238" w:lineRule="auto"/>
        <w:tabs>
          <w:tab w:leader="none" w:pos="988"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Consultancy Fee through the end of the month in which his death occurs;</w:t>
      </w:r>
    </w:p>
    <w:p>
      <w:pPr>
        <w:spacing w:after="0" w:line="174" w:lineRule="exact"/>
        <w:rPr>
          <w:rFonts w:ascii="Courier New" w:cs="Courier New" w:eastAsia="Courier New" w:hAnsi="Courier New"/>
          <w:sz w:val="15"/>
          <w:szCs w:val="15"/>
          <w:color w:val="auto"/>
        </w:rPr>
      </w:pPr>
    </w:p>
    <w:p>
      <w:pPr>
        <w:ind w:left="100" w:right="3119" w:firstLine="531"/>
        <w:spacing w:after="0" w:line="239" w:lineRule="auto"/>
        <w:tabs>
          <w:tab w:leader="none" w:pos="1076" w:val="left"/>
        </w:tabs>
        <w:numPr>
          <w:ilvl w:val="1"/>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 and</w:t>
      </w:r>
    </w:p>
    <w:p>
      <w:pPr>
        <w:spacing w:after="0" w:line="175" w:lineRule="exact"/>
        <w:rPr>
          <w:rFonts w:ascii="Courier New" w:cs="Courier New" w:eastAsia="Courier New" w:hAnsi="Courier New"/>
          <w:sz w:val="15"/>
          <w:szCs w:val="15"/>
          <w:color w:val="auto"/>
        </w:rPr>
      </w:pPr>
    </w:p>
    <w:p>
      <w:pPr>
        <w:ind w:left="100" w:right="3219" w:firstLine="531"/>
        <w:spacing w:after="0" w:line="264" w:lineRule="auto"/>
        <w:tabs>
          <w:tab w:leader="none" w:pos="1165" w:val="left"/>
        </w:tabs>
        <w:numPr>
          <w:ilvl w:val="1"/>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performance shares and other equity-based awards shall vest and be paid out (at target, with respect to the performance shares) in a single installment promptly after his death.</w:t>
      </w:r>
    </w:p>
    <w:p>
      <w:pPr>
        <w:spacing w:after="0" w:line="200" w:lineRule="exact"/>
        <w:rPr>
          <w:sz w:val="20"/>
          <w:szCs w:val="20"/>
          <w:color w:val="auto"/>
        </w:rPr>
      </w:pPr>
    </w:p>
    <w:p>
      <w:pPr>
        <w:spacing w:after="0" w:line="29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630" w:right="1440" w:bottom="1440" w:gutter="0" w:footer="0" w:header="0"/>
        </w:sectPr>
      </w:pPr>
    </w:p>
    <w:bookmarkStart w:id="357" w:name="page358"/>
    <w:bookmarkEnd w:id="357"/>
    <w:p>
      <w:pPr>
        <w:ind w:right="3299" w:firstLine="1056"/>
        <w:spacing w:after="0" w:line="239" w:lineRule="auto"/>
        <w:tabs>
          <w:tab w:leader="none" w:pos="1420"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Disability. In the event that the Consultant's service is terminated due to his Disability, he shall be entitled to the following benefits:</w:t>
      </w:r>
    </w:p>
    <w:p>
      <w:pPr>
        <w:spacing w:after="0" w:line="175" w:lineRule="exact"/>
        <w:rPr>
          <w:rFonts w:ascii="Courier New" w:cs="Courier New" w:eastAsia="Courier New" w:hAnsi="Courier New"/>
          <w:sz w:val="15"/>
          <w:szCs w:val="15"/>
          <w:color w:val="auto"/>
        </w:rPr>
      </w:pPr>
    </w:p>
    <w:p>
      <w:pPr>
        <w:ind w:left="880" w:right="3399" w:firstLine="531"/>
        <w:spacing w:after="0" w:line="238" w:lineRule="auto"/>
        <w:tabs>
          <w:tab w:leader="none" w:pos="1768"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Consultancy Fee through the end of the month in which disability benefits commence;</w:t>
      </w:r>
    </w:p>
    <w:p>
      <w:pPr>
        <w:spacing w:after="0" w:line="174" w:lineRule="exact"/>
        <w:rPr>
          <w:rFonts w:ascii="Courier New" w:cs="Courier New" w:eastAsia="Courier New" w:hAnsi="Courier New"/>
          <w:sz w:val="15"/>
          <w:szCs w:val="15"/>
          <w:color w:val="auto"/>
        </w:rPr>
      </w:pPr>
    </w:p>
    <w:p>
      <w:pPr>
        <w:ind w:left="880" w:right="3119" w:firstLine="531"/>
        <w:spacing w:after="0" w:line="239" w:lineRule="auto"/>
        <w:tabs>
          <w:tab w:leader="none" w:pos="1856"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 and</w:t>
      </w:r>
    </w:p>
    <w:p>
      <w:pPr>
        <w:spacing w:after="0" w:line="175" w:lineRule="exact"/>
        <w:rPr>
          <w:rFonts w:ascii="Courier New" w:cs="Courier New" w:eastAsia="Courier New" w:hAnsi="Courier New"/>
          <w:sz w:val="15"/>
          <w:szCs w:val="15"/>
          <w:color w:val="auto"/>
        </w:rPr>
      </w:pPr>
    </w:p>
    <w:p>
      <w:pPr>
        <w:ind w:left="880" w:right="3219" w:firstLine="531"/>
        <w:spacing w:after="0" w:line="239" w:lineRule="auto"/>
        <w:tabs>
          <w:tab w:leader="none" w:pos="1945"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performance shares and other equity-based awards shall vest and be paid out (at target, with respect to the performance shares) in a single installment promptly after his termination.</w:t>
      </w:r>
    </w:p>
    <w:p>
      <w:pPr>
        <w:spacing w:after="0" w:line="176"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 no event shall a termination of the Consultant's service for Disability occur until the Party terminating his service gives written notice to the other Party in accordance with Section 23 below.</w:t>
      </w:r>
    </w:p>
    <w:p>
      <w:pPr>
        <w:spacing w:after="0" w:line="172" w:lineRule="exact"/>
        <w:rPr>
          <w:sz w:val="20"/>
          <w:szCs w:val="20"/>
          <w:color w:val="auto"/>
        </w:rPr>
      </w:pPr>
    </w:p>
    <w:p>
      <w:pPr>
        <w:ind w:left="1580" w:hanging="524"/>
        <w:spacing w:after="0"/>
        <w:tabs>
          <w:tab w:leader="none" w:pos="1580"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w:t>
      </w:r>
    </w:p>
    <w:p>
      <w:pPr>
        <w:spacing w:after="0" w:line="174" w:lineRule="exact"/>
        <w:rPr>
          <w:rFonts w:ascii="Courier New" w:cs="Courier New" w:eastAsia="Courier New" w:hAnsi="Courier New"/>
          <w:sz w:val="15"/>
          <w:szCs w:val="15"/>
          <w:color w:val="auto"/>
        </w:rPr>
      </w:pPr>
    </w:p>
    <w:p>
      <w:pPr>
        <w:ind w:left="880" w:right="3119" w:firstLine="531"/>
        <w:spacing w:after="0"/>
        <w:tabs>
          <w:tab w:leader="none" w:pos="1768" w:val="left"/>
        </w:tabs>
        <w:numPr>
          <w:ilvl w:val="1"/>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for Cause shall not take effect unless the provisions of this paragraph (i) are complied with. The Consultant shall be given written notice by the Board, authorized by a vote of no less than 75% of the Board, of the intention to terminate him for Cause, such notice (A) to state in detail the particular act or acts or failure or failures to act that constitute the grounds on which the proposed termination for Cause is based and (B) to be given within six months of the Board learning of such act or acts or failure or failures to act. The Consultant shall have ten calendar days after the date that such written notice has been given to the Consultant in which to cure such conduct, to the extent such cure is possible. If he fails to cure such conduct, the Consultant shall then be entitled to a hearing before the Board. Such hearing shall be held within 15 calendar days of such notice to the Consultant, provided he requests such hearing within ten calendar days of the written notice from the Board of the intention to terminate him for Cause. If, within five calendar days following such hearing, the Consultant is furnished written notice by the Board confirming that, in its judgment, grounds for Cause on the basis of the original notice exist, he shall thereupon be terminated for Cause.</w:t>
      </w:r>
    </w:p>
    <w:p>
      <w:pPr>
        <w:spacing w:after="0" w:line="185" w:lineRule="exact"/>
        <w:rPr>
          <w:rFonts w:ascii="Courier New" w:cs="Courier New" w:eastAsia="Courier New" w:hAnsi="Courier New"/>
          <w:sz w:val="15"/>
          <w:szCs w:val="15"/>
          <w:color w:val="auto"/>
        </w:rPr>
      </w:pPr>
    </w:p>
    <w:p>
      <w:pPr>
        <w:ind w:left="880" w:right="3759" w:firstLine="531"/>
        <w:spacing w:after="0" w:line="238" w:lineRule="auto"/>
        <w:tabs>
          <w:tab w:leader="none" w:pos="1856" w:val="left"/>
        </w:tabs>
        <w:numPr>
          <w:ilvl w:val="1"/>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terminates the Consultant's service for Cause: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358" w:name="page359"/>
    <w:bookmarkEnd w:id="358"/>
    <w:p>
      <w:pPr>
        <w:ind w:left="524" w:right="3119" w:firstLine="452"/>
        <w:spacing w:after="0" w:line="238" w:lineRule="auto"/>
        <w:tabs>
          <w:tab w:leader="none" w:pos="1323" w:val="left"/>
        </w:tabs>
        <w:numPr>
          <w:ilvl w:val="2"/>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shall be entitled to the Consultancy Fee through the date of the termination; and</w:t>
      </w:r>
    </w:p>
    <w:p>
      <w:pPr>
        <w:spacing w:after="0" w:line="174" w:lineRule="exact"/>
        <w:rPr>
          <w:rFonts w:ascii="Courier New" w:cs="Courier New" w:eastAsia="Courier New" w:hAnsi="Courier New"/>
          <w:sz w:val="15"/>
          <w:szCs w:val="15"/>
          <w:color w:val="auto"/>
        </w:rPr>
      </w:pPr>
    </w:p>
    <w:p>
      <w:pPr>
        <w:ind w:left="524" w:right="3299" w:firstLine="452"/>
        <w:spacing w:after="0" w:line="261" w:lineRule="auto"/>
        <w:tabs>
          <w:tab w:leader="none" w:pos="1323" w:val="left"/>
        </w:tabs>
        <w:numPr>
          <w:ilvl w:val="2"/>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options which are not exercisable shall be forfeited; exercisable options shall remain exercisable until the earlier of the ninetieth day after the date of termination or the originally scheduled expiration date of the options unless the Board determines otherwise.</w:t>
      </w:r>
    </w:p>
    <w:p>
      <w:pPr>
        <w:spacing w:after="0" w:line="161" w:lineRule="exact"/>
        <w:rPr>
          <w:rFonts w:ascii="Courier New" w:cs="Courier New" w:eastAsia="Courier New" w:hAnsi="Courier New"/>
          <w:sz w:val="14"/>
          <w:szCs w:val="14"/>
          <w:color w:val="auto"/>
        </w:rPr>
      </w:pPr>
    </w:p>
    <w:p>
      <w:pPr>
        <w:ind w:left="-1056" w:right="3119" w:firstLine="1056"/>
        <w:spacing w:after="0"/>
        <w:tabs>
          <w:tab w:leader="none" w:pos="364"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or Constructive Termination without Cause. In the event the Consultant's service is terminated by the Company without Cause, other than due to Disability or death, or in the event there is a Constructive Termination without Cause, the Consultant shall be entitled to the following benefits:</w:t>
      </w:r>
    </w:p>
    <w:p>
      <w:pPr>
        <w:spacing w:after="0" w:line="171" w:lineRule="exact"/>
        <w:rPr>
          <w:rFonts w:ascii="Courier New" w:cs="Courier New" w:eastAsia="Courier New" w:hAnsi="Courier New"/>
          <w:sz w:val="15"/>
          <w:szCs w:val="15"/>
          <w:color w:val="auto"/>
        </w:rPr>
      </w:pPr>
    </w:p>
    <w:p>
      <w:pPr>
        <w:ind w:left="704" w:hanging="349"/>
        <w:spacing w:after="0"/>
        <w:tabs>
          <w:tab w:leader="none" w:pos="704"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Consultancy Fee through the date of termination;</w:t>
      </w:r>
    </w:p>
    <w:p>
      <w:pPr>
        <w:spacing w:after="0" w:line="174" w:lineRule="exact"/>
        <w:rPr>
          <w:rFonts w:ascii="Courier New" w:cs="Courier New" w:eastAsia="Courier New" w:hAnsi="Courier New"/>
          <w:sz w:val="15"/>
          <w:szCs w:val="15"/>
          <w:color w:val="auto"/>
        </w:rPr>
      </w:pPr>
    </w:p>
    <w:p>
      <w:pPr>
        <w:ind w:left="-176" w:right="4019" w:firstLine="531"/>
        <w:spacing w:after="0" w:line="238" w:lineRule="auto"/>
        <w:tabs>
          <w:tab w:leader="none" w:pos="800"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payment of $1,800,000, payable in a single installment promptly after his termination;</w:t>
      </w:r>
    </w:p>
    <w:p>
      <w:pPr>
        <w:spacing w:after="0" w:line="174" w:lineRule="exact"/>
        <w:rPr>
          <w:rFonts w:ascii="Courier New" w:cs="Courier New" w:eastAsia="Courier New" w:hAnsi="Courier New"/>
          <w:sz w:val="15"/>
          <w:szCs w:val="15"/>
          <w:color w:val="auto"/>
        </w:rPr>
      </w:pPr>
    </w:p>
    <w:p>
      <w:pPr>
        <w:ind w:left="-176" w:right="3119" w:firstLine="531"/>
        <w:spacing w:after="0" w:line="239" w:lineRule="auto"/>
        <w:tabs>
          <w:tab w:leader="none" w:pos="889"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whether or not then exercisable, shall become exercisable and shall remain exercisable until the end of their originally scheduled ten-year terms;</w:t>
      </w:r>
    </w:p>
    <w:p>
      <w:pPr>
        <w:spacing w:after="0" w:line="175" w:lineRule="exact"/>
        <w:rPr>
          <w:rFonts w:ascii="Courier New" w:cs="Courier New" w:eastAsia="Courier New" w:hAnsi="Courier New"/>
          <w:sz w:val="15"/>
          <w:szCs w:val="15"/>
          <w:color w:val="auto"/>
        </w:rPr>
      </w:pPr>
    </w:p>
    <w:p>
      <w:pPr>
        <w:ind w:left="-176" w:right="3299" w:firstLine="531"/>
        <w:spacing w:after="0" w:line="239" w:lineRule="auto"/>
        <w:tabs>
          <w:tab w:leader="none" w:pos="800"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performance shares and other equity-based awards shall vest and be paid out (at target, with respect to the performance shares) in a single installment promptly after his termination; and</w:t>
      </w:r>
    </w:p>
    <w:p>
      <w:pPr>
        <w:spacing w:after="0" w:line="176" w:lineRule="exact"/>
        <w:rPr>
          <w:rFonts w:ascii="Courier New" w:cs="Courier New" w:eastAsia="Courier New" w:hAnsi="Courier New"/>
          <w:sz w:val="15"/>
          <w:szCs w:val="15"/>
          <w:color w:val="auto"/>
        </w:rPr>
      </w:pPr>
    </w:p>
    <w:p>
      <w:pPr>
        <w:ind w:left="-176" w:right="3119" w:firstLine="531"/>
        <w:spacing w:after="0"/>
        <w:tabs>
          <w:tab w:leader="none" w:pos="712" w:val="left"/>
        </w:tabs>
        <w:numPr>
          <w:ilvl w:val="1"/>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termination occurs on or prior to the second anniversary of the effective date of the Employment Agreement, the Consultant shall be entitled to receive a lump sum cash amount equal to the greater of (A) (X) the product of three multiplied by the sum of (I) the Base Salary (as defined in the Employment Agreement), (II) the annual incentive award, equal to the target bonus established by AT&amp;T for 2002, which was 150% of such Base Salary, and (III) the long-term performance share award, equal to the performance share target set by AT&amp;T for 2002 and (B) the product of four multiplied by the sum of Base Salary (as defined in the Employment Agreement), at the annualized rate in effect on the date of termination of employment under the Employment Agreement, and the Target Bonus (as defined in the Employment Agreement) for the year in which the termination of employment under the Employment Agreement occurs. If such termination occurs after the second anniversary</w:t>
      </w:r>
    </w:p>
    <w:p>
      <w:pPr>
        <w:spacing w:after="0" w:line="350"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163"/>
          </w:cols>
          <w:pgMar w:left="1296" w:top="631" w:right="1440" w:bottom="1440" w:gutter="0" w:footer="0" w:header="0"/>
        </w:sectPr>
      </w:pPr>
    </w:p>
    <w:bookmarkStart w:id="359" w:name="page360"/>
    <w:bookmarkEnd w:id="359"/>
    <w:p>
      <w:pPr>
        <w:ind w:left="2" w:right="3399"/>
        <w:spacing w:after="0" w:line="239" w:lineRule="auto"/>
        <w:rPr>
          <w:sz w:val="20"/>
          <w:szCs w:val="20"/>
          <w:color w:val="auto"/>
        </w:rPr>
      </w:pPr>
      <w:r>
        <w:rPr>
          <w:rFonts w:ascii="Courier New" w:cs="Courier New" w:eastAsia="Courier New" w:hAnsi="Courier New"/>
          <w:sz w:val="15"/>
          <w:szCs w:val="15"/>
          <w:color w:val="auto"/>
        </w:rPr>
        <w:t>of the effective date of the Employment Agreement, the Consultant shall be entitled to receive the payment set forth in clause (B) of this Section 8(d)(v).</w:t>
      </w:r>
    </w:p>
    <w:p>
      <w:pPr>
        <w:spacing w:after="0" w:line="172" w:lineRule="exact"/>
        <w:rPr>
          <w:sz w:val="20"/>
          <w:szCs w:val="20"/>
          <w:color w:val="auto"/>
        </w:rPr>
      </w:pPr>
    </w:p>
    <w:p>
      <w:pPr>
        <w:ind w:left="362" w:hanging="362"/>
        <w:spacing w:after="0"/>
        <w:tabs>
          <w:tab w:leader="none" w:pos="362"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Gross-up Payment.</w:t>
      </w:r>
    </w:p>
    <w:p>
      <w:pPr>
        <w:spacing w:after="0" w:line="174" w:lineRule="exact"/>
        <w:rPr>
          <w:rFonts w:ascii="Courier New" w:cs="Courier New" w:eastAsia="Courier New" w:hAnsi="Courier New"/>
          <w:sz w:val="15"/>
          <w:szCs w:val="15"/>
          <w:color w:val="auto"/>
        </w:rPr>
      </w:pPr>
    </w:p>
    <w:p>
      <w:pPr>
        <w:ind w:left="2" w:right="3119" w:firstLine="531"/>
        <w:spacing w:after="0"/>
        <w:tabs>
          <w:tab w:leader="none" w:pos="889"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of all payments or benefits made or provided to the Consultant under this Agreement and under all other plans and programs of the Company (the "Aggregate Payment") is determined to constitute a Parachute Payment within the meaning of Section 280G(b)(2) of the Code, the Company shall pay to the Consultant, prior to the time any excise tax imposed by Section 4999 of the Code ("Excise Tax") is payable with respect to such Aggregate Payment, an additional amount (the "Gross-Up Payment") which, after the imposition of all income, employment, excise and other taxes thereon, is equal to the Excise Tax on the Aggregate Payment. The determination of whether the Aggregate Payment constitutes a Parachute Payment and, if so, the amount to be paid to the Consultant and the time of payment pursuant to this Section 8(e)(i) shall be made by an independent auditor (the "Auditor") selected by the Parties and paid by the Company. The Auditor shall be a nationally recognized United States public accounting firm which has not, during the two years preceding the date of its selection, acted in any way on behalf of the Company or any Affiliate thereof. If the Consultant and the Company cannot agree on the firm to serve as the Auditor, then the Consultant and the Company shall each designate one accounting firm and those two firms shall jointly select the accounting firm to serve as the Auditor. All fees and expenses of the Auditor shall be borne solely by the Company. Any Gross- Up Payment shall be paid by the Company to the Consultant within five calendar days of the receipt of the Auditor's determination. Any determination by the Auditor shall be binding upon the Company and the Consultant.</w:t>
      </w:r>
    </w:p>
    <w:p>
      <w:pPr>
        <w:spacing w:after="0" w:line="190" w:lineRule="exact"/>
        <w:rPr>
          <w:rFonts w:ascii="Courier New" w:cs="Courier New" w:eastAsia="Courier New" w:hAnsi="Courier New"/>
          <w:sz w:val="15"/>
          <w:szCs w:val="15"/>
          <w:color w:val="auto"/>
        </w:rPr>
      </w:pPr>
    </w:p>
    <w:p>
      <w:pPr>
        <w:ind w:left="2" w:right="3219" w:firstLine="531"/>
        <w:spacing w:after="0"/>
        <w:tabs>
          <w:tab w:leader="none" w:pos="978" w:val="left"/>
        </w:tabs>
        <w:numPr>
          <w:ilvl w:val="1"/>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uncertainty in the application of Sections 280G and 4999 of the Code at the time of the initial determination by the Auditor hereunder, it is possible that the Gross-Up Payment made will have been an amount more than the Company should have paid pursuant to Section 8(e)(i) (the "Overpayment") or that the Gross-Up Payment made will have been an amount less than the Company should have paid pursuant to Section 8(e)(i) (the "Underpayment"). In the event that there is a final determination by the Internal Revenue Service, or a final determination by a court of competent jurisdiction, that an Overpayment has been made, any such Overpayment shall be treated for all purposes as a loan to the Consultant which the Consultant shall repay to the Company</w:t>
      </w:r>
    </w:p>
    <w:p>
      <w:pPr>
        <w:spacing w:after="0" w:line="200" w:lineRule="exact"/>
        <w:rPr>
          <w:sz w:val="20"/>
          <w:szCs w:val="20"/>
          <w:color w:val="auto"/>
        </w:rPr>
      </w:pPr>
    </w:p>
    <w:p>
      <w:pPr>
        <w:spacing w:after="0" w:line="318" w:lineRule="exact"/>
        <w:rPr>
          <w:sz w:val="20"/>
          <w:szCs w:val="20"/>
          <w:color w:val="auto"/>
        </w:rPr>
      </w:pPr>
    </w:p>
    <w:p>
      <w:pPr>
        <w:ind w:left="2582"/>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341"/>
          </w:cols>
          <w:pgMar w:left="1118" w:top="631" w:right="1440" w:bottom="1440" w:gutter="0" w:footer="0" w:header="0"/>
        </w:sectPr>
      </w:pPr>
    </w:p>
    <w:bookmarkStart w:id="360" w:name="page361"/>
    <w:bookmarkEnd w:id="360"/>
    <w:p>
      <w:pPr>
        <w:ind w:left="880" w:right="3119"/>
        <w:spacing w:after="0"/>
        <w:rPr>
          <w:sz w:val="20"/>
          <w:szCs w:val="20"/>
          <w:color w:val="auto"/>
        </w:rPr>
      </w:pPr>
      <w:r>
        <w:rPr>
          <w:rFonts w:ascii="Courier New" w:cs="Courier New" w:eastAsia="Courier New" w:hAnsi="Courier New"/>
          <w:sz w:val="15"/>
          <w:szCs w:val="15"/>
          <w:color w:val="auto"/>
        </w:rPr>
        <w:t>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Agreement, any such Underpayment shall be promptly paid by the Company to or for the benefit of the Consultant together with interest at the applicable Federal rate provided for in Section 7872(f)(2) of the Code.</w:t>
      </w:r>
    </w:p>
    <w:p>
      <w:pPr>
        <w:spacing w:after="0" w:line="177" w:lineRule="exact"/>
        <w:rPr>
          <w:sz w:val="20"/>
          <w:szCs w:val="20"/>
          <w:color w:val="auto"/>
        </w:rPr>
      </w:pPr>
    </w:p>
    <w:p>
      <w:pPr>
        <w:ind w:left="880" w:right="3119" w:firstLine="531"/>
        <w:spacing w:after="0"/>
        <w:tabs>
          <w:tab w:leader="none" w:pos="1945"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shall notify the Company in writing of any claim by the Internal Revenue Service that, if successful, would result in an Underpayment and would require the payment by the Company of an additional Gross-Up Payment. Such notification shall be given as soon as practicable but no later than 10 business days after the Consultant is informed in writing of such claim and shall apprise the Company of the nature of such claim and the date on which such claim is requested to be paid. The Consultant shall not pay such claim prior to the expiration of the 30 calendar day period following the date on which the Consultant gives such notice to the Company (or such shorter period ending on the date that any payment of taxes with respect to such claim is due). If the Company notifies the Consultant in writing prior to the expiration of such period that it desires to contest such claim, the Consultant shall:</w:t>
      </w:r>
    </w:p>
    <w:p>
      <w:pPr>
        <w:spacing w:after="0" w:line="181" w:lineRule="exact"/>
        <w:rPr>
          <w:rFonts w:ascii="Courier New" w:cs="Courier New" w:eastAsia="Courier New" w:hAnsi="Courier New"/>
          <w:sz w:val="15"/>
          <w:szCs w:val="15"/>
          <w:color w:val="auto"/>
        </w:rPr>
      </w:pPr>
    </w:p>
    <w:p>
      <w:pPr>
        <w:ind w:left="1580" w:right="3119" w:firstLine="452"/>
        <w:spacing w:after="0" w:line="238" w:lineRule="auto"/>
        <w:tabs>
          <w:tab w:leader="none" w:pos="2379"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4" w:lineRule="exact"/>
        <w:rPr>
          <w:rFonts w:ascii="Courier New" w:cs="Courier New" w:eastAsia="Courier New" w:hAnsi="Courier New"/>
          <w:sz w:val="15"/>
          <w:szCs w:val="15"/>
          <w:color w:val="auto"/>
        </w:rPr>
      </w:pPr>
    </w:p>
    <w:p>
      <w:pPr>
        <w:ind w:left="1580" w:right="3219" w:firstLine="452"/>
        <w:spacing w:after="0"/>
        <w:tabs>
          <w:tab w:leader="none" w:pos="2379"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74" w:lineRule="exact"/>
        <w:rPr>
          <w:rFonts w:ascii="Courier New" w:cs="Courier New" w:eastAsia="Courier New" w:hAnsi="Courier New"/>
          <w:sz w:val="15"/>
          <w:szCs w:val="15"/>
          <w:color w:val="auto"/>
        </w:rPr>
      </w:pPr>
    </w:p>
    <w:p>
      <w:pPr>
        <w:ind w:left="1580" w:right="3479" w:firstLine="452"/>
        <w:spacing w:after="0" w:line="238" w:lineRule="auto"/>
        <w:tabs>
          <w:tab w:leader="none" w:pos="2379"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4" w:lineRule="exact"/>
        <w:rPr>
          <w:rFonts w:ascii="Courier New" w:cs="Courier New" w:eastAsia="Courier New" w:hAnsi="Courier New"/>
          <w:sz w:val="15"/>
          <w:szCs w:val="15"/>
          <w:color w:val="auto"/>
        </w:rPr>
      </w:pPr>
    </w:p>
    <w:p>
      <w:pPr>
        <w:ind w:left="1580" w:right="3299" w:firstLine="452"/>
        <w:spacing w:after="0" w:line="238" w:lineRule="auto"/>
        <w:tabs>
          <w:tab w:leader="none" w:pos="2379"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 relating to such claim;</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provided, however, that the Company shall bear and pay directly all costs and expenses (including additional interest and penalties) incurred in connection with such contest and shall indemnify and hold the Consultant harmless, on an after-tax basis, for any Excise Tax or income or employment tax (including interest and penalties with respect thereto) imposed as a result of such proceeding and</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1" w:right="1440" w:bottom="1440" w:gutter="0" w:footer="0" w:header="0"/>
        </w:sectPr>
      </w:pPr>
    </w:p>
    <w:bookmarkStart w:id="361" w:name="page362"/>
    <w:bookmarkEnd w:id="361"/>
    <w:p>
      <w:pPr>
        <w:ind w:right="3119"/>
        <w:spacing w:after="0"/>
        <w:rPr>
          <w:sz w:val="20"/>
          <w:szCs w:val="20"/>
          <w:color w:val="auto"/>
        </w:rPr>
      </w:pPr>
      <w:r>
        <w:rPr>
          <w:rFonts w:ascii="Courier New" w:cs="Courier New" w:eastAsia="Courier New" w:hAnsi="Courier New"/>
          <w:sz w:val="15"/>
          <w:szCs w:val="15"/>
          <w:color w:val="auto"/>
        </w:rPr>
        <w:t>payment of costs and expenses. Without limitation on the foregoing provisions of this Section 8(e), the Company shall control all proceedings taken in connection with such contest, provided that the Company's control of the contest shall be limited to issues with respect to which a Gross-Up Payment would be payable hereunder and Consultant shall be entitled to settle or contest, as the case may be, any other issue raised by the Internal Revenue Service or any other taxing authority.</w:t>
      </w:r>
    </w:p>
    <w:p>
      <w:pPr>
        <w:spacing w:after="0" w:line="176" w:lineRule="exact"/>
        <w:rPr>
          <w:sz w:val="20"/>
          <w:szCs w:val="20"/>
          <w:color w:val="auto"/>
        </w:rPr>
      </w:pPr>
    </w:p>
    <w:p>
      <w:pPr>
        <w:ind w:right="3219" w:firstLine="1056"/>
        <w:spacing w:after="0" w:line="271" w:lineRule="auto"/>
        <w:tabs>
          <w:tab w:leader="none" w:pos="1420"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Termination Benefits. In the case of any of the foregoing terminations the Consultant or his estate shall also be entitled to:</w:t>
      </w:r>
    </w:p>
    <w:p>
      <w:pPr>
        <w:spacing w:after="0" w:line="153" w:lineRule="exact"/>
        <w:rPr>
          <w:rFonts w:ascii="Courier New" w:cs="Courier New" w:eastAsia="Courier New" w:hAnsi="Courier New"/>
          <w:sz w:val="14"/>
          <w:szCs w:val="14"/>
          <w:color w:val="auto"/>
        </w:rPr>
      </w:pPr>
    </w:p>
    <w:p>
      <w:pPr>
        <w:ind w:left="880" w:right="3299" w:firstLine="531"/>
        <w:spacing w:after="0" w:line="271" w:lineRule="auto"/>
        <w:tabs>
          <w:tab w:leader="none" w:pos="1768" w:val="left"/>
        </w:tabs>
        <w:numPr>
          <w:ilvl w:val="1"/>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of any incentive awards due for performance periods which have been completed, but which have not yet been paid;</w:t>
      </w:r>
    </w:p>
    <w:p>
      <w:pPr>
        <w:spacing w:after="0" w:line="151" w:lineRule="exact"/>
        <w:rPr>
          <w:rFonts w:ascii="Courier New" w:cs="Courier New" w:eastAsia="Courier New" w:hAnsi="Courier New"/>
          <w:sz w:val="14"/>
          <w:szCs w:val="14"/>
          <w:color w:val="auto"/>
        </w:rPr>
      </w:pPr>
    </w:p>
    <w:p>
      <w:pPr>
        <w:ind w:left="1860" w:hanging="449"/>
        <w:spacing w:after="0"/>
        <w:tabs>
          <w:tab w:leader="none" w:pos="1860" w:val="left"/>
        </w:tabs>
        <w:numPr>
          <w:ilvl w:val="1"/>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expense reimbursements due the Consultant;</w:t>
      </w:r>
    </w:p>
    <w:p>
      <w:pPr>
        <w:spacing w:after="0" w:line="174" w:lineRule="exact"/>
        <w:rPr>
          <w:rFonts w:ascii="Courier New" w:cs="Courier New" w:eastAsia="Courier New" w:hAnsi="Courier New"/>
          <w:sz w:val="15"/>
          <w:szCs w:val="15"/>
          <w:color w:val="auto"/>
        </w:rPr>
      </w:pPr>
    </w:p>
    <w:p>
      <w:pPr>
        <w:ind w:left="880" w:right="3119" w:firstLine="531"/>
        <w:spacing w:after="0" w:line="258" w:lineRule="auto"/>
        <w:tabs>
          <w:tab w:leader="none" w:pos="1945" w:val="left"/>
        </w:tabs>
        <w:numPr>
          <w:ilvl w:val="1"/>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Consultant only, (i) tax preparation and financial counseling services for the period beginning on the date of termination and ending on the Termination Date (plus a gross-up for all applicable taxes payable in connection with the provisions of such services, but only if such gross-up is provided to a senior executive of the Company); (ii) primary personal use of the Company airplane, on the economic terms set forth in Section 7(c), for the period beginning on the date of termination and ending on the Termination Date; and</w:t>
      </w:r>
    </w:p>
    <w:p>
      <w:pPr>
        <w:spacing w:after="0" w:line="1" w:lineRule="exact"/>
        <w:rPr>
          <w:rFonts w:ascii="Courier New" w:cs="Courier New" w:eastAsia="Courier New" w:hAnsi="Courier New"/>
          <w:sz w:val="14"/>
          <w:szCs w:val="14"/>
          <w:color w:val="auto"/>
        </w:rPr>
      </w:pPr>
    </w:p>
    <w:p>
      <w:pPr>
        <w:ind w:left="880" w:right="3299" w:hanging="2"/>
        <w:spacing w:after="0"/>
        <w:tabs>
          <w:tab w:leader="none" w:pos="1413"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payment by the Company when due of the premiums for the Senior Management Universal Life Insurance Policy provided under Section 7 of this Agreement, and a gross-up for all federal taxes payable in connection with the payment of such premiums, for the period beginning on the date of termination and ending on the Termination Date;</w:t>
      </w:r>
    </w:p>
    <w:p>
      <w:pPr>
        <w:spacing w:after="0" w:line="175" w:lineRule="exact"/>
        <w:rPr>
          <w:rFonts w:ascii="Courier New" w:cs="Courier New" w:eastAsia="Courier New" w:hAnsi="Courier New"/>
          <w:sz w:val="15"/>
          <w:szCs w:val="15"/>
          <w:color w:val="auto"/>
        </w:rPr>
      </w:pPr>
    </w:p>
    <w:p>
      <w:pPr>
        <w:ind w:left="880" w:right="3219" w:firstLine="531"/>
        <w:spacing w:after="0"/>
        <w:tabs>
          <w:tab w:leader="none" w:pos="1856" w:val="left"/>
        </w:tabs>
        <w:numPr>
          <w:ilvl w:val="1"/>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Consultant only, use of his office in the Grace Building until the Termination Date and then, at the Company's option, use of his office in the Grace Building or a comparable office, as determined by the Company in its sole discretion, in the borough of Manhattan in New York City for the two-year period commencing on the Termination Date. The Company shall provide full-time secretarial support for the Consultant's principal office, as selected by the Consultant in his sole discretion. The Company shall use its reasonable efforts to maintain the Grace Building office for the Consultant's use during this latter period; and</w:t>
      </w:r>
    </w:p>
    <w:p>
      <w:pPr>
        <w:spacing w:after="0" w:line="178" w:lineRule="exact"/>
        <w:rPr>
          <w:rFonts w:ascii="Courier New" w:cs="Courier New" w:eastAsia="Courier New" w:hAnsi="Courier New"/>
          <w:sz w:val="15"/>
          <w:szCs w:val="15"/>
          <w:color w:val="auto"/>
        </w:rPr>
      </w:pPr>
    </w:p>
    <w:p>
      <w:pPr>
        <w:ind w:left="880" w:right="3219" w:firstLine="531"/>
        <w:spacing w:after="0" w:line="238" w:lineRule="auto"/>
        <w:tabs>
          <w:tab w:leader="none" w:pos="1768" w:val="left"/>
        </w:tabs>
        <w:numPr>
          <w:ilvl w:val="1"/>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if any, in accordance with applicable plans and programs of the Company and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362" w:name="page363"/>
    <w:bookmarkEnd w:id="362"/>
    <w:p>
      <w:pPr>
        <w:ind w:left="9" w:right="3299" w:firstLine="1056"/>
        <w:spacing w:after="0"/>
        <w:tabs>
          <w:tab w:leader="none" w:pos="1429"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Offset. In the event of any termination of service under this Section 8, the Consultant shall be under no obligation to seek other employment and there shall be no offset against amounts due the Consultant under this Agreement on account of any remuneration attributable to any subsequent employment that he may obtain.</w:t>
      </w:r>
    </w:p>
    <w:p>
      <w:pPr>
        <w:spacing w:after="0" w:line="174" w:lineRule="exact"/>
        <w:rPr>
          <w:rFonts w:ascii="Courier New" w:cs="Courier New" w:eastAsia="Courier New" w:hAnsi="Courier New"/>
          <w:sz w:val="15"/>
          <w:szCs w:val="15"/>
          <w:color w:val="auto"/>
        </w:rPr>
      </w:pPr>
    </w:p>
    <w:p>
      <w:pPr>
        <w:jc w:val="both"/>
        <w:ind w:left="9" w:right="3219" w:firstLine="1056"/>
        <w:spacing w:after="0" w:line="239" w:lineRule="auto"/>
        <w:tabs>
          <w:tab w:leader="none" w:pos="1429"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Payments. Any amounts due under this Section 8 are in the nature of severance payments considered to be reasonable by the Company and are not in the nature of a penalty.</w:t>
      </w:r>
    </w:p>
    <w:p>
      <w:pPr>
        <w:spacing w:after="0" w:line="175" w:lineRule="exact"/>
        <w:rPr>
          <w:sz w:val="20"/>
          <w:szCs w:val="20"/>
          <w:color w:val="auto"/>
        </w:rPr>
      </w:pPr>
    </w:p>
    <w:p>
      <w:pPr>
        <w:ind w:left="9" w:right="3479" w:firstLine="799"/>
        <w:spacing w:after="0" w:line="238" w:lineRule="auto"/>
        <w:rPr>
          <w:sz w:val="20"/>
          <w:szCs w:val="20"/>
          <w:color w:val="auto"/>
        </w:rPr>
      </w:pPr>
      <w:r>
        <w:rPr>
          <w:rFonts w:ascii="Courier New" w:cs="Courier New" w:eastAsia="Courier New" w:hAnsi="Courier New"/>
          <w:sz w:val="15"/>
          <w:szCs w:val="15"/>
          <w:color w:val="auto"/>
        </w:rPr>
        <w:t>SECTION 9. Confidential Information; Prohibited Public Statements; Publicity.</w:t>
      </w:r>
    </w:p>
    <w:p>
      <w:pPr>
        <w:spacing w:after="0" w:line="175" w:lineRule="exact"/>
        <w:rPr>
          <w:sz w:val="20"/>
          <w:szCs w:val="20"/>
          <w:color w:val="auto"/>
        </w:rPr>
      </w:pPr>
    </w:p>
    <w:p>
      <w:pPr>
        <w:ind w:left="9" w:right="3119" w:firstLine="1056"/>
        <w:spacing w:after="0" w:line="258" w:lineRule="auto"/>
        <w:tabs>
          <w:tab w:leader="none" w:pos="1429" w:val="left"/>
        </w:tabs>
        <w:numPr>
          <w:ilvl w:val="1"/>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 hereinafter specially defined for purposes of Sections 9 through 11 hereof), pursuant to the Consultant's performance of consulting services hereunder, provides the Consultant access to and confides in him business methods and systems, techniques and methods of operation developed at great expense by the Company ("Trade Secrets") and which the Consultant recognizes to be unique assets of the Company's business. The Consultant shall not, during or at any time after the Term, directly or indirectly, in any manner utilize or disclose to any person, firm, corporation, association or other entity, except (i) where required by law, (ii) to directors, consultants or employees of the Company in the ordinary course of his duties or (iii) during his performance of consulting services as a consultant or serving as a member of the Board for such use and disclosure as he shall reasonably determine to be in the best interest of the Company: (A) any such Trade Secrets, (B) any sales prospects, customer lists, products, research or data of any kind, or (C) any information relating to strategic plans, sales, costs, profits or the financial condition of the Company or any of its customers or prospective customers, which are not generally known to the public or recognized as standard practice in the industry in which the Company shall be engaged. The Consultant further covenants and agrees that he will promptly deliver to the Company all tangible evidence of the knowledge and information described in (A), (B) and (C), above, prior to or at the termination of the Consultant's service. For purposes of Sections 9, 10 and 11 hereof the term "Company" shall mean Comcast Corporation ("Comcast") as well as (I) each of its more than fifty percent (50%) owned subsidiaries and</w:t>
      </w:r>
    </w:p>
    <w:p>
      <w:pPr>
        <w:spacing w:after="0" w:line="3" w:lineRule="exact"/>
        <w:rPr>
          <w:rFonts w:ascii="Courier New" w:cs="Courier New" w:eastAsia="Courier New" w:hAnsi="Courier New"/>
          <w:sz w:val="14"/>
          <w:szCs w:val="14"/>
          <w:color w:val="auto"/>
        </w:rPr>
      </w:pPr>
    </w:p>
    <w:p>
      <w:pPr>
        <w:ind w:left="9" w:right="3219" w:hanging="9"/>
        <w:spacing w:after="0"/>
        <w:tabs>
          <w:tab w:leader="none" w:pos="453"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entity in which Comcast directly or indirectly has a greater than ten percent (10%) equity interest, the fair market value of which interest is in excess of $50,000,000. In determining Comcast's equity interest for purposes of this definition, any equity interest which Comcast has an option to purchase shall be considered as owned by Comcast.</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0" w:right="1440" w:bottom="1440" w:gutter="0" w:footer="0" w:header="0"/>
        </w:sectPr>
      </w:pPr>
    </w:p>
    <w:bookmarkStart w:id="363" w:name="page364"/>
    <w:bookmarkEnd w:id="363"/>
    <w:p>
      <w:pPr>
        <w:ind w:left="-780" w:right="3119" w:firstLine="1056"/>
        <w:spacing w:after="0"/>
        <w:tabs>
          <w:tab w:leader="none" w:pos="6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Consultant nor the Company, its officers or directors (collectively, the "Company Affiliated Entities") shall, either during or at any time after the Term, directly or indirectly make any public statement (including a private statement reasonably likely to be repeated publicly) reflecting adversely on the Company Affiliated Entities or the Consultant, as the case may be, or the business prospects of the Company, except for (a) such statements which the Consultant may be required to make in the ordinary course of his position as senior consultant to the Company or (b) with respect to each of the Consultant and the Company Affiliated Entities, as otherwise required by applicable law.</w:t>
      </w:r>
    </w:p>
    <w:p>
      <w:pPr>
        <w:spacing w:after="0" w:line="178" w:lineRule="exact"/>
        <w:rPr>
          <w:rFonts w:ascii="Courier New" w:cs="Courier New" w:eastAsia="Courier New" w:hAnsi="Courier New"/>
          <w:sz w:val="15"/>
          <w:szCs w:val="15"/>
          <w:color w:val="auto"/>
        </w:rPr>
      </w:pPr>
    </w:p>
    <w:p>
      <w:pPr>
        <w:jc w:val="both"/>
        <w:ind w:left="-780" w:right="3119" w:firstLine="1056"/>
        <w:spacing w:after="0" w:line="239" w:lineRule="auto"/>
        <w:tabs>
          <w:tab w:leader="none" w:pos="6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Consultant nor the Company Affiliated Entities shall comment (including private statements reasonably likely to be repeated publicly) on, or discuss the circumstances surrounding, this Agreement, except as mutually agreed or as required by applicable law.</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Noncompetition, Noninterference and Nonsolicitation.</w:t>
      </w:r>
    </w:p>
    <w:p>
      <w:pPr>
        <w:spacing w:after="0" w:line="174" w:lineRule="exact"/>
        <w:rPr>
          <w:sz w:val="20"/>
          <w:szCs w:val="20"/>
          <w:color w:val="auto"/>
        </w:rPr>
      </w:pPr>
    </w:p>
    <w:p>
      <w:pPr>
        <w:ind w:left="-780" w:right="3119" w:firstLine="1056"/>
        <w:spacing w:after="0"/>
        <w:tabs>
          <w:tab w:leader="none" w:pos="6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geographic limitation of Section 10(b) hereof, the Consultant, for the period beginning on the Effective Date and ending on the Termination Date, shall not, directly or indirectly, on his behalf or on behalf of any other person, firm, corporation, association or other entity, as an employee or otherwise, engage in, or in any way be concerned with or negotiate for, or acquire or maintain any ownership interest in any business or activity which is the same as or competitive with that conducted by the Company at the termination of his employment, or which was engaged in or developed by the Company at any time during the term of the Employment Agreement for specific implementation in the immediate future by the Company.</w:t>
      </w:r>
    </w:p>
    <w:p>
      <w:pPr>
        <w:spacing w:after="0" w:line="178" w:lineRule="exact"/>
        <w:rPr>
          <w:rFonts w:ascii="Courier New" w:cs="Courier New" w:eastAsia="Courier New" w:hAnsi="Courier New"/>
          <w:sz w:val="15"/>
          <w:szCs w:val="15"/>
          <w:color w:val="auto"/>
        </w:rPr>
      </w:pPr>
    </w:p>
    <w:p>
      <w:pPr>
        <w:ind w:left="-780" w:right="3119" w:firstLine="1056"/>
        <w:spacing w:after="0" w:line="259" w:lineRule="auto"/>
        <w:tabs>
          <w:tab w:leader="none" w:pos="64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Consultant acknowledges that the Company is engaged in business throughout the United States and in various foreign countries and that the Company intends to expand the geographic scope of its activities. Accordingly and in view of the nature of his position and responsibilities, the Consultant agrees that the provisions of this Section shall be applicable to each state and each foreign country, possession or territory in which the Company may be engaged in business during the Term or the term of the Employment Agreement, or, with respect to the Consultant's obligations following termination of his employment under the Employment Agreement, at the termination of his service or at any time within the twelve-month period following the effective date of his termination of employment under the Employment Agreement.</w:t>
      </w:r>
    </w:p>
    <w:p>
      <w:pPr>
        <w:spacing w:after="0" w:line="165" w:lineRule="exact"/>
        <w:rPr>
          <w:rFonts w:ascii="Courier New" w:cs="Courier New" w:eastAsia="Courier New" w:hAnsi="Courier New"/>
          <w:sz w:val="14"/>
          <w:szCs w:val="14"/>
          <w:color w:val="auto"/>
        </w:rPr>
      </w:pPr>
    </w:p>
    <w:p>
      <w:pPr>
        <w:jc w:val="both"/>
        <w:ind w:left="-780" w:right="3219" w:firstLine="1056"/>
        <w:spacing w:after="0" w:line="239" w:lineRule="auto"/>
        <w:tabs>
          <w:tab w:leader="none" w:pos="6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agrees that, for the period beginning on the Effective Date and ending on the Termination Date, the Consultant will not, directly or indirectly, for himself or on behalf of any third party at any time in any manner,</w:t>
      </w:r>
    </w:p>
    <w:p>
      <w:pPr>
        <w:spacing w:after="0" w:line="200" w:lineRule="exact"/>
        <w:rPr>
          <w:sz w:val="20"/>
          <w:szCs w:val="20"/>
          <w:color w:val="auto"/>
        </w:rPr>
      </w:pPr>
    </w:p>
    <w:p>
      <w:pPr>
        <w:spacing w:after="0" w:line="31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30" w:right="1440" w:bottom="1440" w:gutter="0" w:footer="0" w:header="0"/>
        </w:sectPr>
      </w:pPr>
    </w:p>
    <w:bookmarkStart w:id="364" w:name="page365"/>
    <w:bookmarkEnd w:id="364"/>
    <w:p>
      <w:pPr>
        <w:ind w:right="3219"/>
        <w:spacing w:after="0" w:line="259" w:lineRule="auto"/>
        <w:rPr>
          <w:sz w:val="20"/>
          <w:szCs w:val="20"/>
          <w:color w:val="auto"/>
        </w:rPr>
      </w:pPr>
      <w:r>
        <w:rPr>
          <w:rFonts w:ascii="Courier New" w:cs="Courier New" w:eastAsia="Courier New" w:hAnsi="Courier New"/>
          <w:sz w:val="14"/>
          <w:szCs w:val="14"/>
          <w:color w:val="auto"/>
        </w:rPr>
        <w:t>request or cause any of the Company's customers to cancel or terminate any existing or continuing business relationship with the Company; solicit, entice, persuade, induce, request or otherwise cause any employee, officer or agent of the Company (other than clerical employees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 supplier to decline to do business with any businesses of the Company as such businesses are constituted immediately prior to the termination of employment under the Employment Agreement.</w:t>
      </w:r>
    </w:p>
    <w:p>
      <w:pPr>
        <w:spacing w:after="0" w:line="165" w:lineRule="exact"/>
        <w:rPr>
          <w:sz w:val="20"/>
          <w:szCs w:val="20"/>
          <w:color w:val="auto"/>
        </w:rPr>
      </w:pPr>
    </w:p>
    <w:p>
      <w:pPr>
        <w:ind w:right="3119" w:firstLine="1056"/>
        <w:spacing w:after="0"/>
        <w:tabs>
          <w:tab w:leader="none" w:pos="1420"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Consultant agrees that, for the period beginning on the Effective Date and ending on the Termination Date, the Consultant will not directly or indirectly, for himself or on behalf of any third party, solicit for business in competition with the business of the Company, accept any business in competition with the business of the Company from or otherwise do, or contract to do, business in competition with the business of the Company with any person or entity who, at the time of, or any time during the twelve (12) months preceding such termination, was an active customer or was actively solicited by the Company according to the books and records of the Company and within the knowledge, actual or constructive, of the Consultant.</w:t>
      </w:r>
    </w:p>
    <w:p>
      <w:pPr>
        <w:spacing w:after="0" w:line="178" w:lineRule="exact"/>
        <w:rPr>
          <w:rFonts w:ascii="Courier New" w:cs="Courier New" w:eastAsia="Courier New" w:hAnsi="Courier New"/>
          <w:sz w:val="15"/>
          <w:szCs w:val="15"/>
          <w:color w:val="auto"/>
        </w:rPr>
      </w:pPr>
    </w:p>
    <w:p>
      <w:pPr>
        <w:ind w:right="3119" w:firstLine="1056"/>
        <w:spacing w:after="0" w:line="239" w:lineRule="auto"/>
        <w:tabs>
          <w:tab w:leader="none" w:pos="1420"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10, the prohibitions and agreements contained in subsections 10(a), 10(c), and 10(d) shall terminate immediately upon any termination of Consultant's service hereunder following a Change in Control.</w:t>
      </w:r>
    </w:p>
    <w:p>
      <w:pPr>
        <w:spacing w:after="0" w:line="176" w:lineRule="exact"/>
        <w:rPr>
          <w:rFonts w:ascii="Courier New" w:cs="Courier New" w:eastAsia="Courier New" w:hAnsi="Courier New"/>
          <w:sz w:val="15"/>
          <w:szCs w:val="15"/>
          <w:color w:val="auto"/>
        </w:rPr>
      </w:pPr>
    </w:p>
    <w:p>
      <w:pPr>
        <w:ind w:right="3219" w:firstLine="1056"/>
        <w:spacing w:after="0" w:line="262" w:lineRule="auto"/>
        <w:tabs>
          <w:tab w:leader="none" w:pos="1420"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following the Term, the Consultant engages in any behavior that would be prohibited under this Section, as determined by the Company in its sole discretion, the Company shall be relieved of its obligations under Section 8(f)(iv) of this Agreement.</w:t>
      </w:r>
    </w:p>
    <w:p>
      <w:pPr>
        <w:spacing w:after="0" w:line="160" w:lineRule="exact"/>
        <w:rPr>
          <w:rFonts w:ascii="Courier New" w:cs="Courier New" w:eastAsia="Courier New" w:hAnsi="Courier New"/>
          <w:sz w:val="14"/>
          <w:szCs w:val="14"/>
          <w:color w:val="auto"/>
        </w:rPr>
      </w:pPr>
    </w:p>
    <w:p>
      <w:pPr>
        <w:ind w:right="3219" w:firstLine="1056"/>
        <w:spacing w:after="0"/>
        <w:tabs>
          <w:tab w:leader="none" w:pos="1420"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10 shall prohibit the Consultant from being a passive owner of not more than one percent of the outstanding common stock, capital stock and equity of any firm, corporation, or enterprise so long as the Consultant has no active participation in the management of the business of such firm, corporation or enterprise.</w:t>
      </w:r>
    </w:p>
    <w:p>
      <w:pPr>
        <w:spacing w:after="0" w:line="172"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Equitable Remedies.</w:t>
      </w:r>
    </w:p>
    <w:p>
      <w:pPr>
        <w:spacing w:after="0" w:line="174" w:lineRule="exact"/>
        <w:rPr>
          <w:sz w:val="20"/>
          <w:szCs w:val="20"/>
          <w:color w:val="auto"/>
        </w:rPr>
      </w:pPr>
    </w:p>
    <w:p>
      <w:pPr>
        <w:ind w:right="3299" w:firstLine="799"/>
        <w:spacing w:after="0" w:line="271" w:lineRule="auto"/>
        <w:rPr>
          <w:sz w:val="20"/>
          <w:szCs w:val="20"/>
          <w:color w:val="auto"/>
        </w:rPr>
      </w:pPr>
      <w:r>
        <w:rPr>
          <w:rFonts w:ascii="Courier New" w:cs="Courier New" w:eastAsia="Courier New" w:hAnsi="Courier New"/>
          <w:sz w:val="14"/>
          <w:szCs w:val="14"/>
          <w:color w:val="auto"/>
        </w:rPr>
        <w:t>The Consultant acknowledges that his compliance with the covenants in Sections 9 and 10 of this Agreement is necessary to protect the good will and</w:t>
      </w: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0" w:right="1440" w:bottom="1440" w:gutter="0" w:footer="0" w:header="0"/>
        </w:sectPr>
      </w:pPr>
    </w:p>
    <w:bookmarkStart w:id="365" w:name="page366"/>
    <w:bookmarkEnd w:id="365"/>
    <w:p>
      <w:pPr>
        <w:ind w:right="3119"/>
        <w:spacing w:after="0"/>
        <w:rPr>
          <w:sz w:val="20"/>
          <w:szCs w:val="20"/>
          <w:color w:val="auto"/>
        </w:rPr>
      </w:pPr>
      <w:r>
        <w:rPr>
          <w:rFonts w:ascii="Courier New" w:cs="Courier New" w:eastAsia="Courier New" w:hAnsi="Courier New"/>
          <w:sz w:val="15"/>
          <w:szCs w:val="15"/>
          <w:color w:val="auto"/>
        </w:rPr>
        <w:t>other proprietary interests of the Company and that, in the event of any violation by the Consultant of the provisions of Section 9 or 10 of this Agreement, the Company will sustain serious, irreparable and substantial harm to its business, the extent of which will be difficult to determine and impossible to remedy by an action at law for money damages. Accordingly, the Consultant agrees that, in the event of such violation or threatened violation by the Consultant, the Company shall be entitled to any injunction before trial from any court of competent jurisdiction as a matter of course and upon the posting of not more than a nominal bond in addition to all such other legal and equitable remedies as may be available to the Company. The Consultant further agrees that, in the event any of the provisions of Sections 9 and 10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179"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Resolution of Disputes.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Except as provided in Section 11, any disputes arising under or in connection with this Agreement shall be resolved by third party mediation of the dispute and, failing that, by binding arbitration, to be held in a location mutually agreed to by the Parties, in accordance with the rules and procedures of the American Arbitration Association. Judgment upon the award rendered by the arbitrator(s) may be entered in any court having jurisdiction thereof. Each Party shall bear his or its own costs of the mediation, arbitration or litigation, except that the Company shall bear all such costs if the Consultant prevails in such mediation, arbitration or litigation on any material issue.</w:t>
      </w:r>
    </w:p>
    <w:p>
      <w:pPr>
        <w:spacing w:after="0" w:line="164"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right="3119" w:firstLine="1056"/>
        <w:spacing w:after="0"/>
        <w:tabs>
          <w:tab w:leader="none" w:pos="1420"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 the Consultant is made a party, or is threatened to be made a party, to any action, suit or proceeding, whether civil, criminal, administrative or investigative (a "Proceeding"), by reason of the fact that he is or was a director, officer or employee of the Company or is or was serving at the request of the Company as a director, officer, member, employee or agent of another corporation, partnership, joint venture, trust or other enterprise, including service with respect to employee benefit plans, whether or not the basis of such Proceeding is the Consultant's alleged action in an official capacity while serving as a director, officer, member, employee or agent, the Consultant shall be indemnified and held harmless by the Company to the fullest extent legally permitted or authorized by the Company's certificate of incorporation or bylaws or resolutions of the Board or, if greater, by the laws of the Commonwealth of Pennsylvania, against all cost, expense, liability and loss (including, without limitation, attorney's fees, judgments, fines, ERISA excise taxes or other</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366" w:name="page367"/>
    <w:bookmarkEnd w:id="366"/>
    <w:p>
      <w:pPr>
        <w:ind w:right="3119"/>
        <w:spacing w:after="0"/>
        <w:rPr>
          <w:sz w:val="20"/>
          <w:szCs w:val="20"/>
          <w:color w:val="auto"/>
        </w:rPr>
      </w:pPr>
      <w:r>
        <w:rPr>
          <w:rFonts w:ascii="Courier New" w:cs="Courier New" w:eastAsia="Courier New" w:hAnsi="Courier New"/>
          <w:sz w:val="15"/>
          <w:szCs w:val="15"/>
          <w:color w:val="auto"/>
        </w:rPr>
        <w:t>liabilities or penalties and amounts paid or to be paid in settlement) reasonably incurred or suffered by the Consultant in connection therewith, and such indemnification shall continue as to the Consultant even if he has ceased to be a director, member, employee or agent of the Company or other entity and shall inure to the benefit of the Consultant's heirs, executors and administrators. The Company shall advance to the Consultant all reasonable costs and expenses incurred by him in connection with a Proceeding within 20 calendar days after receipt by the Company of a written request for such advance. Such request shall include an undertaking by the Consultant to repay the amount of such advance if it shall ultimately be determined that he is not entitled to be indemnified against such costs and expenses.</w:t>
      </w:r>
    </w:p>
    <w:p>
      <w:pPr>
        <w:spacing w:after="0" w:line="179" w:lineRule="exact"/>
        <w:rPr>
          <w:sz w:val="20"/>
          <w:szCs w:val="20"/>
          <w:color w:val="auto"/>
        </w:rPr>
      </w:pPr>
    </w:p>
    <w:p>
      <w:pPr>
        <w:ind w:right="3119" w:firstLine="1056"/>
        <w:spacing w:after="0"/>
        <w:tabs>
          <w:tab w:leader="none" w:pos="142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failure of the Company (including its board of directors, independent legal counsel or shareholders) to have made a determination prior to the commencement of any Proceeding concerning payment of amounts claimed by the Consultant under Section 13(a) above that indemnification of the Consultant is proper because he has met the applicable standard of conduct, nor a determination by the Company (including its board of directors, independent legal counsel or shareholders) that the Consultant has not met such applicable standard of conduct, shall create a presumption that the Consultant has not met the applicable standard of conduct.</w:t>
      </w:r>
    </w:p>
    <w:p>
      <w:pPr>
        <w:spacing w:after="0" w:line="177" w:lineRule="exact"/>
        <w:rPr>
          <w:rFonts w:ascii="Courier New" w:cs="Courier New" w:eastAsia="Courier New" w:hAnsi="Courier New"/>
          <w:sz w:val="15"/>
          <w:szCs w:val="15"/>
          <w:color w:val="auto"/>
        </w:rPr>
      </w:pPr>
    </w:p>
    <w:p>
      <w:pPr>
        <w:ind w:right="3399" w:firstLine="1056"/>
        <w:spacing w:after="0" w:line="239" w:lineRule="auto"/>
        <w:tabs>
          <w:tab w:leader="none" w:pos="1420"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continue and maintain a directors' and officers' liability insurance policy covering the Consultant which is no less favorable than the policy covering senior officers of the Company.</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14. Assignability; Binding Nature. This Agreement shall be binding upon and inure to the benefit of the Parties and their respective successors, heirs (in the case of the Consultant) and assigns. Rights or obligations of the Company under this Agreement may be assigned or transferred by the Company pursuant to a merger or consolidation in which the Company is not the continuing entity, or the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further agrees that, in the event of a sale of assets or liquidation as described in the preceding sentence, it shall take whatever action it reasonably can in order to cause such assignee or transferee to expressly assume the liabilities, obligations and duties of the Company hereunder. No rights or obligations of the Consultant under this Agreement may be assigned or transferred by the Consultant other than his rights to compensation and benefits, which may be transferred only by will or operation of law.</w:t>
      </w:r>
    </w:p>
    <w:p>
      <w:pPr>
        <w:spacing w:after="0" w:line="200" w:lineRule="exact"/>
        <w:rPr>
          <w:sz w:val="20"/>
          <w:szCs w:val="20"/>
          <w:color w:val="auto"/>
        </w:rPr>
      </w:pP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367" w:name="page368"/>
    <w:bookmarkEnd w:id="367"/>
    <w:p>
      <w:pPr>
        <w:ind w:left="780"/>
        <w:spacing w:after="0"/>
        <w:tabs>
          <w:tab w:leader="none" w:pos="19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The Consultant's Independence and Discretion.</w:t>
      </w:r>
    </w:p>
    <w:p>
      <w:pPr>
        <w:spacing w:after="0" w:line="174" w:lineRule="exact"/>
        <w:rPr>
          <w:sz w:val="20"/>
          <w:szCs w:val="20"/>
          <w:color w:val="auto"/>
        </w:rPr>
      </w:pPr>
    </w:p>
    <w:p>
      <w:pPr>
        <w:ind w:right="3119" w:firstLine="1056"/>
        <w:spacing w:after="0"/>
        <w:tabs>
          <w:tab w:leader="none" w:pos="1420"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contained shall be construed to constitute the Parties hereto as partners or as joint venturers, or either as agent of the order, or as employer and employee. By virtue of the relationship described herein the Consultant's relationship to the Company during the Term shall only be that of an independent contractor and the Consultant shall perform all services pursuant to this Agreement as an independent contractor. The Consultant shall not provide any services under the Company's business name, except as requested hereunder, and shall not present himself as an employee of the Company.</w:t>
      </w:r>
    </w:p>
    <w:p>
      <w:pPr>
        <w:spacing w:after="0" w:line="177" w:lineRule="exact"/>
        <w:rPr>
          <w:rFonts w:ascii="Courier New" w:cs="Courier New" w:eastAsia="Courier New" w:hAnsi="Courier New"/>
          <w:sz w:val="15"/>
          <w:szCs w:val="15"/>
          <w:color w:val="auto"/>
        </w:rPr>
      </w:pPr>
    </w:p>
    <w:p>
      <w:pPr>
        <w:ind w:right="3299" w:firstLine="1056"/>
        <w:spacing w:after="0"/>
        <w:tabs>
          <w:tab w:leader="none" w:pos="1420"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only to such specific limitations as are contained in this Agreement, the manner, means, details or methods by which the Consultant performs his obligations under this Agreement shall be solely within the discretion of the Consultant. The Company shall not have the authority to, nor shall it, supervise, direct or control the manner, means, details or methods utilized by the Consultant to perform his obligations under this Agreement and nothing in this Agreement shall be construed to grant the Company any such authority.</w:t>
      </w:r>
    </w:p>
    <w:p>
      <w:pPr>
        <w:spacing w:after="0" w:line="176" w:lineRule="exact"/>
        <w:rPr>
          <w:rFonts w:ascii="Courier New" w:cs="Courier New" w:eastAsia="Courier New" w:hAnsi="Courier New"/>
          <w:sz w:val="15"/>
          <w:szCs w:val="15"/>
          <w:color w:val="auto"/>
        </w:rPr>
      </w:pPr>
    </w:p>
    <w:p>
      <w:pPr>
        <w:ind w:right="3299" w:firstLine="1056"/>
        <w:spacing w:after="0"/>
        <w:tabs>
          <w:tab w:leader="none" w:pos="1420"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consistent with applicable law, the Company will not withhold any amounts as federal income tax withholding from wages or as employee contributions under the Federal Insurance Contributions Act or any other state or federal laws. The Consultant shall be solely responsible for payment of any required employment taxes or contributions.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16. Representation. The Company represents and warrants that it is fully authorized and empowered to enter into this Agreement and that the performance of its obligations under this Agreement will not violate any agreement between it and any other person, firm or organization. The Consultant represents that the performance of his obligations under this Agreement will not violate any agreement between him and any other person, firm or organization that would be violated by the performance of his obligations under this Agreement.</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17. Entire Agreement. This Agreement contains the entire understanding and agreement between the Parties concerning the subject matter hereof and supersedes all prior agreements, understandings, discussions, negotiations and undertakings, whether written or oral, between the Parties with respect thereto, except, without duplication, for those provisions of the Employment Agreement that would otherwise survive the termination of such Employment Agreement. The Consultant acknowledges that, except as provided herein, he shall not be entitled to any other payment, benefits or prerequisites from the Company or any of its subsidiaries on account of his former employment by, or his retirement from, the Company, except that the Consultant shall be entitled</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8" w:right="1440" w:bottom="1440" w:gutter="0" w:footer="0" w:header="0"/>
        </w:sectPr>
      </w:pPr>
    </w:p>
    <w:bookmarkStart w:id="368" w:name="page369"/>
    <w:bookmarkEnd w:id="368"/>
    <w:p>
      <w:pPr>
        <w:ind w:right="3399"/>
        <w:spacing w:after="0" w:line="238" w:lineRule="auto"/>
        <w:rPr>
          <w:sz w:val="20"/>
          <w:szCs w:val="20"/>
          <w:color w:val="auto"/>
        </w:rPr>
      </w:pPr>
      <w:r>
        <w:rPr>
          <w:rFonts w:ascii="Courier New" w:cs="Courier New" w:eastAsia="Courier New" w:hAnsi="Courier New"/>
          <w:sz w:val="15"/>
          <w:szCs w:val="15"/>
          <w:color w:val="auto"/>
        </w:rPr>
        <w:t>to any benefits due to him as a retired employee under the Company's employee benefit plans.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18. Amendment or Waiver. No provision in this Agreement may be amended unless such amendment is agreed to in writing and signed by the Consultant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Consultant or an authorized officer of the Company, as the case may be.</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19. Severability. 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20. Survivorship. Except as otherwise expressly set forth in this Agreement, the respective rights and obligations of the Parties hereunder shall survive any termination of the Consultant's service. This Agreement itself (as distinguished from the Consultant's service) may not be terminated by either Party without the written consent of the other Party.</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21. References. In the event of the Consultant's death or a judicial determination of his incompetence, reference in this Agreement to the Consultant shall be deemed, where appropriate, to refer to his beneficiary, estate or other legal representative.</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22. Governing Law; Jurisdiction. This Agreement shall be governed in accordance with the laws of the State of New York without reference to principles of conflict of laws.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23. Notices. All notices and other communications required or permitted hereunder shall be in writing and shall be deemed given when (a) delivered personally, (b) sent by certified or registered mail, postage prepaid, return receipt requested or (c) delivered by overnight courier (provided that a written acknowledgment of receipt is obtained by the overnight courier) to the Party concerned at the address indicated below or to such changed address as such Party may subsequently give such notice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369" w:name="page370"/>
    <w:bookmarkEnd w:id="369"/>
    <w:tbl>
      <w:tblPr>
        <w:tblLayout w:type="fixed"/>
        <w:tblInd w:w="78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23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Comcast Corporation</w:t>
            </w:r>
          </w:p>
        </w:tc>
        <w:tc>
          <w:tcPr>
            <w:tcW w:w="720" w:type="dxa"/>
            <w:vAlign w:val="bottom"/>
          </w:tcPr>
          <w:p>
            <w:pPr>
              <w:spacing w:after="0"/>
              <w:rPr>
                <w:sz w:val="14"/>
                <w:szCs w:val="14"/>
                <w:color w:val="auto"/>
              </w:rPr>
            </w:pPr>
          </w:p>
        </w:tc>
      </w:tr>
      <w:tr>
        <w:trPr>
          <w:trHeight w:val="171"/>
        </w:trPr>
        <w:tc>
          <w:tcPr>
            <w:tcW w:w="2500" w:type="dxa"/>
            <w:vAlign w:val="bottom"/>
          </w:tcPr>
          <w:p>
            <w:pPr>
              <w:spacing w:after="0"/>
              <w:rPr>
                <w:sz w:val="14"/>
                <w:szCs w:val="14"/>
                <w:color w:val="auto"/>
              </w:rPr>
            </w:pPr>
          </w:p>
        </w:tc>
        <w:tc>
          <w:tcPr>
            <w:tcW w:w="1640" w:type="dxa"/>
            <w:vAlign w:val="bottom"/>
          </w:tcPr>
          <w:p>
            <w:pPr>
              <w:ind w:left="620"/>
              <w:spacing w:after="0"/>
              <w:rPr>
                <w:sz w:val="20"/>
                <w:szCs w:val="20"/>
                <w:color w:val="auto"/>
              </w:rPr>
            </w:pPr>
            <w:r>
              <w:rPr>
                <w:rFonts w:ascii="Courier New" w:cs="Courier New" w:eastAsia="Courier New" w:hAnsi="Courier New"/>
                <w:sz w:val="15"/>
                <w:szCs w:val="15"/>
                <w:color w:val="auto"/>
              </w:rPr>
              <w:t>1500 Market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c>
          <w:tcPr>
            <w:tcW w:w="720" w:type="dxa"/>
            <w:vAlign w:val="bottom"/>
          </w:tcPr>
          <w:p>
            <w:pPr>
              <w:spacing w:after="0"/>
              <w:rPr>
                <w:sz w:val="14"/>
                <w:szCs w:val="14"/>
                <w:color w:val="auto"/>
              </w:rPr>
            </w:pPr>
          </w:p>
        </w:tc>
      </w:tr>
      <w:tr>
        <w:trPr>
          <w:trHeight w:val="171"/>
        </w:trPr>
        <w:tc>
          <w:tcPr>
            <w:tcW w:w="2500" w:type="dxa"/>
            <w:vAlign w:val="bottom"/>
          </w:tcPr>
          <w:p>
            <w:pPr>
              <w:spacing w:after="0"/>
              <w:rPr>
                <w:sz w:val="14"/>
                <w:szCs w:val="14"/>
                <w:color w:val="auto"/>
              </w:rPr>
            </w:pPr>
          </w:p>
        </w:tc>
        <w:tc>
          <w:tcPr>
            <w:tcW w:w="302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Philadelphia, PA 19102</w:t>
            </w:r>
          </w:p>
        </w:tc>
      </w:tr>
      <w:tr>
        <w:trPr>
          <w:trHeight w:val="171"/>
        </w:trPr>
        <w:tc>
          <w:tcPr>
            <w:tcW w:w="2500" w:type="dxa"/>
            <w:vAlign w:val="bottom"/>
          </w:tcPr>
          <w:p>
            <w:pPr>
              <w:spacing w:after="0"/>
              <w:rPr>
                <w:sz w:val="14"/>
                <w:szCs w:val="14"/>
                <w:color w:val="auto"/>
              </w:rPr>
            </w:pPr>
          </w:p>
        </w:tc>
        <w:tc>
          <w:tcPr>
            <w:tcW w:w="23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Attention: General</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Counsel</w:t>
            </w:r>
          </w:p>
        </w:tc>
      </w:tr>
      <w:tr>
        <w:trPr>
          <w:trHeight w:val="341"/>
        </w:trPr>
        <w:tc>
          <w:tcPr>
            <w:tcW w:w="2500" w:type="dxa"/>
            <w:vAlign w:val="bottom"/>
          </w:tcPr>
          <w:p>
            <w:pPr>
              <w:spacing w:after="0"/>
              <w:rPr>
                <w:sz w:val="20"/>
                <w:szCs w:val="20"/>
                <w:color w:val="auto"/>
              </w:rPr>
            </w:pPr>
            <w:r>
              <w:rPr>
                <w:rFonts w:ascii="Courier New" w:cs="Courier New" w:eastAsia="Courier New" w:hAnsi="Courier New"/>
                <w:sz w:val="15"/>
                <w:szCs w:val="15"/>
                <w:color w:val="auto"/>
              </w:rPr>
              <w:t>If to the Consultant:</w:t>
            </w:r>
          </w:p>
        </w:tc>
        <w:tc>
          <w:tcPr>
            <w:tcW w:w="302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Mr. C. Michael Armstrong</w:t>
            </w:r>
          </w:p>
        </w:tc>
      </w:tr>
      <w:tr>
        <w:trPr>
          <w:trHeight w:val="171"/>
        </w:trPr>
        <w:tc>
          <w:tcPr>
            <w:tcW w:w="2500" w:type="dxa"/>
            <w:vAlign w:val="bottom"/>
          </w:tcPr>
          <w:p>
            <w:pPr>
              <w:spacing w:after="0"/>
              <w:rPr>
                <w:sz w:val="14"/>
                <w:szCs w:val="14"/>
                <w:color w:val="auto"/>
              </w:rPr>
            </w:pPr>
          </w:p>
        </w:tc>
        <w:tc>
          <w:tcPr>
            <w:tcW w:w="1640" w:type="dxa"/>
            <w:vAlign w:val="bottom"/>
          </w:tcPr>
          <w:p>
            <w:pPr>
              <w:ind w:left="620"/>
              <w:spacing w:after="0"/>
              <w:rPr>
                <w:sz w:val="20"/>
                <w:szCs w:val="20"/>
                <w:color w:val="auto"/>
              </w:rPr>
            </w:pPr>
            <w:r>
              <w:rPr>
                <w:rFonts w:ascii="Courier New" w:cs="Courier New" w:eastAsia="Courier New" w:hAnsi="Courier New"/>
                <w:sz w:val="15"/>
                <w:szCs w:val="15"/>
                <w:color w:val="auto"/>
              </w:rPr>
              <w:t>c/o Comcast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2500" w:type="dxa"/>
            <w:vAlign w:val="bottom"/>
          </w:tcPr>
          <w:p>
            <w:pPr>
              <w:spacing w:after="0"/>
              <w:rPr>
                <w:sz w:val="14"/>
                <w:szCs w:val="14"/>
                <w:color w:val="auto"/>
              </w:rPr>
            </w:pPr>
          </w:p>
        </w:tc>
        <w:tc>
          <w:tcPr>
            <w:tcW w:w="1640" w:type="dxa"/>
            <w:vAlign w:val="bottom"/>
          </w:tcPr>
          <w:p>
            <w:pPr>
              <w:ind w:left="620"/>
              <w:spacing w:after="0"/>
              <w:rPr>
                <w:sz w:val="20"/>
                <w:szCs w:val="20"/>
                <w:color w:val="auto"/>
              </w:rPr>
            </w:pPr>
            <w:r>
              <w:rPr>
                <w:rFonts w:ascii="Courier New" w:cs="Courier New" w:eastAsia="Courier New" w:hAnsi="Courier New"/>
                <w:sz w:val="15"/>
                <w:szCs w:val="15"/>
                <w:color w:val="auto"/>
              </w:rPr>
              <w:t>1114 Avenue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Americas</w:t>
            </w:r>
          </w:p>
        </w:tc>
      </w:tr>
      <w:tr>
        <w:trPr>
          <w:trHeight w:val="171"/>
        </w:trPr>
        <w:tc>
          <w:tcPr>
            <w:tcW w:w="2500" w:type="dxa"/>
            <w:vAlign w:val="bottom"/>
          </w:tcPr>
          <w:p>
            <w:pPr>
              <w:spacing w:after="0"/>
              <w:rPr>
                <w:sz w:val="14"/>
                <w:szCs w:val="14"/>
                <w:color w:val="auto"/>
              </w:rPr>
            </w:pPr>
          </w:p>
        </w:tc>
        <w:tc>
          <w:tcPr>
            <w:tcW w:w="23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New York, NY 10036</w:t>
            </w:r>
          </w:p>
        </w:tc>
        <w:tc>
          <w:tcPr>
            <w:tcW w:w="720" w:type="dxa"/>
            <w:vAlign w:val="bottom"/>
          </w:tcPr>
          <w:p>
            <w:pPr>
              <w:spacing w:after="0"/>
              <w:rPr>
                <w:sz w:val="14"/>
                <w:szCs w:val="14"/>
                <w:color w:val="auto"/>
              </w:rPr>
            </w:pPr>
          </w:p>
        </w:tc>
      </w:tr>
    </w:tbl>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24. Headings. The headings of the sections contained in this Agreement are for convenience only and shall not be deemed to control or affect the meaning or construction of any provision of this Agreement.</w:t>
      </w:r>
    </w:p>
    <w:p>
      <w:pPr>
        <w:spacing w:after="0" w:line="175" w:lineRule="exact"/>
        <w:rPr>
          <w:sz w:val="20"/>
          <w:szCs w:val="20"/>
          <w:color w:val="auto"/>
        </w:rPr>
      </w:pPr>
    </w:p>
    <w:p>
      <w:pPr>
        <w:ind w:right="4199" w:firstLine="799"/>
        <w:spacing w:after="0" w:line="238" w:lineRule="auto"/>
        <w:rPr>
          <w:sz w:val="20"/>
          <w:szCs w:val="20"/>
          <w:color w:val="auto"/>
        </w:rPr>
      </w:pPr>
      <w:r>
        <w:rPr>
          <w:rFonts w:ascii="Courier New" w:cs="Courier New" w:eastAsia="Courier New" w:hAnsi="Courier New"/>
          <w:sz w:val="15"/>
          <w:szCs w:val="15"/>
          <w:color w:val="auto"/>
        </w:rPr>
        <w:t>SECTION 25. Counterparts. This Agreement may be executed in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370" w:name="page371"/>
    <w:bookmarkEnd w:id="370"/>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w:t>
      </w:r>
    </w:p>
    <w:p>
      <w:pPr>
        <w:spacing w:after="0" w:line="20" w:lineRule="exact"/>
        <w:rPr>
          <w:sz w:val="20"/>
          <w:szCs w:val="20"/>
          <w:color w:val="auto"/>
        </w:rPr>
      </w:pPr>
      <w:r>
        <w:rPr>
          <w:sz w:val="20"/>
          <w:szCs w:val="20"/>
          <w:color w:val="auto"/>
        </w:rPr>
        <w:br w:type="column"/>
      </w:r>
    </w:p>
    <w:p>
      <w:pPr>
        <w:ind w:right="3579" w:hanging="531"/>
        <w:spacing w:after="0" w:line="238" w:lineRule="auto"/>
        <w:rPr>
          <w:sz w:val="20"/>
          <w:szCs w:val="20"/>
          <w:color w:val="auto"/>
        </w:rPr>
      </w:pPr>
      <w:r>
        <w:rPr>
          <w:rFonts w:ascii="Courier New" w:cs="Courier New" w:eastAsia="Courier New" w:hAnsi="Courier New"/>
          <w:sz w:val="15"/>
          <w:szCs w:val="15"/>
          <w:color w:val="auto"/>
        </w:rPr>
        <w:t>IN WITNESS</w:t>
      </w:r>
      <w:r>
        <w:rPr>
          <w:sz w:val="20"/>
          <w:szCs w:val="20"/>
          <w:color w:val="auto"/>
        </w:rPr>
        <w:t xml:space="preserve"> </w:t>
      </w:r>
      <w:r>
        <w:rPr>
          <w:rFonts w:ascii="Courier New" w:cs="Courier New" w:eastAsia="Courier New" w:hAnsi="Courier New"/>
          <w:sz w:val="15"/>
          <w:szCs w:val="15"/>
          <w:color w:val="auto"/>
        </w:rPr>
        <w:t>WHEREOF, the undersigned have executed this Agreement ], 2004 as of the date first written above.</w:t>
      </w:r>
    </w:p>
    <w:p>
      <w:pPr>
        <w:spacing w:after="0" w:line="200" w:lineRule="exact"/>
        <w:rPr>
          <w:sz w:val="20"/>
          <w:szCs w:val="20"/>
          <w:color w:val="auto"/>
        </w:rPr>
      </w:pPr>
    </w:p>
    <w:p>
      <w:pPr>
        <w:sectPr>
          <w:pgSz w:w="11900" w:h="16838" w:orient="portrait"/>
          <w:cols w:equalWidth="0" w:num="2">
            <w:col w:w="600" w:space="720"/>
            <w:col w:w="8899"/>
          </w:cols>
          <w:pgMar w:left="240" w:top="631" w:right="1440" w:bottom="1440" w:gutter="0" w:footer="0" w:header="0"/>
        </w:sectPr>
      </w:pPr>
    </w:p>
    <w:p>
      <w:pPr>
        <w:spacing w:after="0" w:line="31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Comcast Corporation</w:t>
      </w:r>
    </w:p>
    <w:p>
      <w:pPr>
        <w:sectPr>
          <w:pgSz w:w="11900" w:h="16838" w:orient="portrait"/>
          <w:cols w:equalWidth="0" w:num="1">
            <w:col w:w="10219"/>
          </w:cols>
          <w:pgMar w:left="240" w:top="631" w:right="1440" w:bottom="1440" w:gutter="0" w:footer="0" w:header="0"/>
          <w:type w:val="continuous"/>
        </w:sectPr>
      </w:pPr>
    </w:p>
    <w:p>
      <w:pPr>
        <w:spacing w:after="0" w:line="35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3460" w:space="160"/>
            <w:col w:w="6599"/>
          </w:cols>
          <w:pgMar w:left="240" w:top="631" w:right="1440" w:bottom="1440" w:gutter="0" w:footer="0" w:header="0"/>
          <w:type w:val="continuous"/>
        </w:sectPr>
      </w:pPr>
    </w:p>
    <w:p>
      <w:pPr>
        <w:spacing w:after="0" w:line="1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Michael Armstrong</w:t>
      </w:r>
    </w:p>
    <w:p>
      <w:pPr>
        <w:spacing w:after="0" w:line="200" w:lineRule="exact"/>
        <w:rPr>
          <w:sz w:val="20"/>
          <w:szCs w:val="20"/>
          <w:color w:val="auto"/>
        </w:rPr>
      </w:pPr>
    </w:p>
    <w:p>
      <w:pPr>
        <w:sectPr>
          <w:pgSz w:w="11900" w:h="16838" w:orient="portrait"/>
          <w:cols w:equalWidth="0" w:num="2">
            <w:col w:w="3460" w:space="160"/>
            <w:col w:w="6599"/>
          </w:cols>
          <w:pgMar w:left="240" w:top="6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19"/>
          </w:cols>
          <w:pgMar w:left="240" w:top="631" w:right="1440" w:bottom="1440" w:gutter="0" w:footer="0" w:header="0"/>
          <w:type w:val="continuous"/>
        </w:sectPr>
      </w:pPr>
    </w:p>
    <w:bookmarkStart w:id="371" w:name="page372"/>
    <w:bookmarkEnd w:id="371"/>
    <w:p>
      <w:pPr>
        <w:ind w:left="5680"/>
        <w:spacing w:after="0"/>
        <w:rPr>
          <w:sz w:val="20"/>
          <w:szCs w:val="20"/>
          <w:color w:val="auto"/>
        </w:rPr>
      </w:pPr>
      <w:r>
        <w:rPr>
          <w:rFonts w:ascii="Courier New" w:cs="Courier New" w:eastAsia="Courier New" w:hAnsi="Courier New"/>
          <w:sz w:val="15"/>
          <w:szCs w:val="15"/>
          <w:color w:val="auto"/>
        </w:rPr>
        <w:t>EXHIBIT A</w:t>
      </w:r>
    </w:p>
    <w:p>
      <w:pPr>
        <w:spacing w:after="0" w:line="3"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DIRECTORSHIPS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Citigroup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TBG (private company,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8" w:right="1440" w:bottom="1440" w:gutter="0" w:footer="0" w:header="0"/>
        </w:sectPr>
      </w:pPr>
    </w:p>
    <w:bookmarkStart w:id="372" w:name="page373"/>
    <w:bookmarkEnd w:id="372"/>
    <w:p>
      <w:pPr>
        <w:ind w:left="5423"/>
        <w:spacing w:after="0"/>
        <w:rPr>
          <w:sz w:val="20"/>
          <w:szCs w:val="20"/>
          <w:color w:val="auto"/>
        </w:rPr>
      </w:pPr>
      <w:r>
        <w:rPr>
          <w:rFonts w:ascii="Courier New" w:cs="Courier New" w:eastAsia="Courier New" w:hAnsi="Courier New"/>
          <w:sz w:val="15"/>
          <w:szCs w:val="15"/>
          <w:color w:val="auto"/>
        </w:rPr>
        <w:t>EXHIBIT B</w:t>
      </w:r>
    </w:p>
    <w:p>
      <w:pPr>
        <w:spacing w:after="0" w:line="1" w:lineRule="exact"/>
        <w:rPr>
          <w:sz w:val="20"/>
          <w:szCs w:val="20"/>
          <w:color w:val="auto"/>
        </w:rPr>
      </w:pPr>
    </w:p>
    <w:p>
      <w:pPr>
        <w:ind w:left="5423"/>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63" w:hanging="263"/>
        <w:spacing w:after="0"/>
        <w:tabs>
          <w:tab w:leader="none" w:pos="263"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 The 2002 grant of performance shares was</w:t>
      </w:r>
    </w:p>
    <w:p>
      <w:pPr>
        <w:spacing w:after="0" w:line="3" w:lineRule="exact"/>
        <w:rPr>
          <w:rFonts w:ascii="Courier New" w:cs="Courier New" w:eastAsia="Courier New" w:hAnsi="Courier New"/>
          <w:sz w:val="15"/>
          <w:szCs w:val="15"/>
          <w:color w:val="auto"/>
        </w:rPr>
      </w:pPr>
    </w:p>
    <w:p>
      <w:pPr>
        <w:ind w:left="263"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converted into Company performance shares and AT&amp;T stock units, pursuant to the terms of the EBA and the Merger Agreement. Company performance shares and AT&amp;T stock units will vest on the Effective Date. Company performance shares will be paid out at target as soon as practicable after the Effective Date. The form of payout will be at least 50% in cash, based on the Fair Market Value of Stock on the day immediately preceding the Effective Date, and the remaining portion of the payment will be in Stock. The AT&amp;T stock unit portion of the award will be paid out in cash based on the Fair Market Value of AT&amp;T common stock on the day immediately preceding the Effective Date.</w:t>
      </w:r>
    </w:p>
    <w:p>
      <w:pPr>
        <w:spacing w:after="0" w:line="175"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Unvested options granted to the Consultant</w:t>
      </w:r>
    </w:p>
    <w:p>
      <w:pPr>
        <w:spacing w:after="0" w:line="3" w:lineRule="exact"/>
        <w:rPr>
          <w:rFonts w:ascii="Courier New" w:cs="Courier New" w:eastAsia="Courier New" w:hAnsi="Courier New"/>
          <w:sz w:val="15"/>
          <w:szCs w:val="15"/>
          <w:color w:val="auto"/>
        </w:rPr>
      </w:pPr>
    </w:p>
    <w:p>
      <w:pPr>
        <w:jc w:val="both"/>
        <w:ind w:left="263" w:right="33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prior to November 18, 2002 shall vest in full on the Effective Date and all options granted prior to November 18, 2002 shall remain exercisable until the end of their originally scheduled ten-year terms.</w:t>
      </w:r>
    </w:p>
    <w:p>
      <w:pPr>
        <w:spacing w:after="0" w:line="159" w:lineRule="exact"/>
        <w:rPr>
          <w:rFonts w:ascii="Courier New" w:cs="Courier New" w:eastAsia="Courier New" w:hAnsi="Courier New"/>
          <w:sz w:val="15"/>
          <w:szCs w:val="15"/>
          <w:color w:val="auto"/>
        </w:rPr>
      </w:pPr>
    </w:p>
    <w:p>
      <w:pPr>
        <w:ind w:left="263" w:right="4379" w:hanging="263"/>
        <w:spacing w:after="0" w:line="271" w:lineRule="auto"/>
        <w:tabs>
          <w:tab w:leader="none" w:pos="263"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Options granted to the Consultant on or after November 18, 2002 shall vest upon a Change in Control.</w:t>
      </w:r>
    </w:p>
    <w:p>
      <w:pPr>
        <w:sectPr>
          <w:pgSz w:w="11900" w:h="16838" w:orient="portrait"/>
          <w:cols w:equalWidth="0" w:num="1">
            <w:col w:w="9962"/>
          </w:cols>
          <w:pgMar w:left="497" w:top="628" w:right="1440" w:bottom="1440" w:gutter="0" w:footer="0" w:header="0"/>
        </w:sectPr>
      </w:pPr>
    </w:p>
    <w:bookmarkStart w:id="373" w:name="page374"/>
    <w:bookmarkEnd w:id="373"/>
    <w:p>
      <w:pPr>
        <w:jc w:val="right"/>
        <w:ind w:right="3119"/>
        <w:spacing w:after="0"/>
        <w:rPr>
          <w:sz w:val="20"/>
          <w:szCs w:val="20"/>
          <w:color w:val="auto"/>
        </w:rPr>
      </w:pPr>
      <w:r>
        <w:rPr>
          <w:rFonts w:ascii="Courier New" w:cs="Courier New" w:eastAsia="Courier New" w:hAnsi="Courier New"/>
          <w:sz w:val="15"/>
          <w:szCs w:val="15"/>
          <w:color w:val="auto"/>
        </w:rPr>
        <w:t>Exhibit 10.20</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AMENDMENT TO COMPENSATION AGREEMENT</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BETWEEN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COMCAST CORPORATION AND BRIAN L. ROBERTS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This Amendment is made as of this 18th day of November, 2002, by and between Comcast Corporation, a Pennsylvania corporation (the "Company"), and Brian L. Roberts ("Roberts"). RECITALS</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WHEREAS, Roberts and the Company entered into a Compensation Agreement dated as of June 16, 1998 (the "Agreement"); and</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WHEREAS, the Company desires to modify the provisions of the Agreement concerning the establishment of a trust as provided therein and other matters; and</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WHEREAS, Roberts is agreeable to accepting the Company's proposed modifications to the Agreement;</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NOW THEREFORE, in consideration of the foregoing and of the provisions set forth herein, the parties agree as follows:</w:t>
      </w:r>
    </w:p>
    <w:p>
      <w:pPr>
        <w:spacing w:after="0" w:line="175" w:lineRule="exact"/>
        <w:rPr>
          <w:sz w:val="20"/>
          <w:szCs w:val="20"/>
          <w:color w:val="auto"/>
        </w:rPr>
      </w:pPr>
    </w:p>
    <w:p>
      <w:pPr>
        <w:ind w:right="3119" w:firstLine="435"/>
        <w:spacing w:after="0" w:line="239" w:lineRule="auto"/>
        <w:tabs>
          <w:tab w:leader="none" w:pos="71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 of the Agreement is modified by replacing the phrase "June 30, 2003" therein with the phrase "the date of the Company's 2005 Annual Meeting of Shareholders".</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1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November 18, 2002, Roberts' Base Salary is increased to $2,000,000 per annum. Notwithstanding the provisions of the second sentence of Section 3(a) of the Agreement, the Base Salary shall not be subject to increase on January 1, 2003.</w:t>
      </w:r>
    </w:p>
    <w:p>
      <w:pPr>
        <w:spacing w:after="0" w:line="176"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the occurrence of the merger (the "Merger") between the Company and a subsidiary of AT&amp;T Comcast Corporation ("AT&amp;T Comcast") (which, effective immediately following the consummation of the Merger, is changing its name to "Comcast Corporation"), as contemplated by the Agreement and Plan of Merger, dated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December 19, 2001 (as amended from time to time, the "Merger Agreement"), among the Company, AT&amp;T Comcast, AT&amp;T Corp., and certain other related parties, will result in a Change of Control as defined in the Agreement. Pursuant to Section 3(j) of the Agreement, the Company is required, prior to the occurrence of a Change of Control, to establish the Trust (as defined in the Agreement), and is further required, upon and after the occurrence of a Change of Control, to contribute certain assets to the Trust. Roberts hereby waives the requirements that the Company so form and contribute assets to the Trust as a result of the Merger; provided that (a) Roberts may at any time, by notice to the Company, require the Company to form and contribute assets to the Trust and (b) if Roberts gives such notice, the Company, as promptly as practicable (and in any event within 30 days) thereafter, shall (i) form the Trust in accordance with Section 3(j) of the Agreement, (ii) contribute to the Trust the funds and other assets which the Company would be required to contribute pursuant to the Agreement if a Change of Control occurred on the date of such notice, and (iii) thereafter contribute such additional assets as may be required by the Agreement as if the waiver made hereby had not been made.</w:t>
      </w:r>
    </w:p>
    <w:p>
      <w:pPr>
        <w:spacing w:after="0" w:line="334" w:lineRule="exact"/>
        <w:rPr>
          <w:sz w:val="20"/>
          <w:szCs w:val="20"/>
          <w:color w:val="auto"/>
        </w:rPr>
      </w:pPr>
    </w:p>
    <w:p>
      <w:pPr>
        <w:ind w:right="4019" w:firstLine="435"/>
        <w:spacing w:after="0" w:line="271" w:lineRule="auto"/>
        <w:tabs>
          <w:tab w:leader="none" w:pos="71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4(c) of the Agreement is amended by deleting the words "two-thirds" and replacing them with the words "three-fourths."</w:t>
      </w:r>
    </w:p>
    <w:p>
      <w:pPr>
        <w:spacing w:after="0" w:line="153" w:lineRule="exact"/>
        <w:rPr>
          <w:rFonts w:ascii="Courier New" w:cs="Courier New" w:eastAsia="Courier New" w:hAnsi="Courier New"/>
          <w:sz w:val="14"/>
          <w:szCs w:val="14"/>
          <w:color w:val="auto"/>
        </w:rPr>
      </w:pPr>
    </w:p>
    <w:p>
      <w:pPr>
        <w:ind w:right="3119" w:firstLine="435"/>
        <w:spacing w:after="0" w:line="238" w:lineRule="auto"/>
        <w:tabs>
          <w:tab w:leader="none" w:pos="710"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10(c) of the Agreement is amended by adding the following at the end thereof:</w:t>
      </w:r>
    </w:p>
    <w:p>
      <w:pPr>
        <w:spacing w:after="0" w:line="17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In any case where this Agreement provides for a determination to be made or instruction to be given by Roberts, such determination or instruction made or given after his death shall be made or given by the foregoing persons as their interests may appear; provided that, if it is impractical to give effect to separate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9" w:right="1440" w:bottom="1440" w:gutter="0" w:footer="0" w:header="0"/>
        </w:sectPr>
      </w:pPr>
    </w:p>
    <w:bookmarkStart w:id="374" w:name="page375"/>
    <w:bookmarkEnd w:id="374"/>
    <w:p>
      <w:pPr>
        <w:ind w:left="5" w:right="3299"/>
        <w:spacing w:after="0" w:line="239" w:lineRule="auto"/>
        <w:rPr>
          <w:sz w:val="20"/>
          <w:szCs w:val="20"/>
          <w:color w:val="auto"/>
        </w:rPr>
      </w:pPr>
      <w:r>
        <w:rPr>
          <w:rFonts w:ascii="Courier New" w:cs="Courier New" w:eastAsia="Courier New" w:hAnsi="Courier New"/>
          <w:sz w:val="15"/>
          <w:szCs w:val="15"/>
          <w:color w:val="auto"/>
        </w:rPr>
        <w:t>determinations or instructions, the determination or instruction given by such of the foregoing as shall then have the greatest interest, as determined by the Company in its reasonable discretion, shall control.</w:t>
      </w:r>
    </w:p>
    <w:p>
      <w:pPr>
        <w:spacing w:after="0" w:line="175" w:lineRule="exact"/>
        <w:rPr>
          <w:sz w:val="20"/>
          <w:szCs w:val="20"/>
          <w:color w:val="auto"/>
        </w:rPr>
      </w:pPr>
    </w:p>
    <w:p>
      <w:pPr>
        <w:ind w:left="-435" w:right="3119" w:firstLine="435"/>
        <w:spacing w:after="0"/>
        <w:tabs>
          <w:tab w:leader="none" w:pos="275"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contemplated by Section 9.14 of the Merger Agreement, and pursuant to Section 10 of the Agreement, upon consummation of the Merger, AT&amp;T Comcast, as the successor to the Company, will be bound by the Agreement, amended hereby (together, the "Amended Agreement"), and will perform the Amended Agreement, in the same manner and to the same extent that the Company would be required to perform it if no such succession had taken place. To give effect thereto, and as further contemplated by Section 9.14 of the Merger Agreement, upon and following consummation of the Merger:</w:t>
      </w:r>
    </w:p>
    <w:p>
      <w:pPr>
        <w:spacing w:after="0" w:line="176" w:lineRule="exact"/>
        <w:rPr>
          <w:rFonts w:ascii="Courier New" w:cs="Courier New" w:eastAsia="Courier New" w:hAnsi="Courier New"/>
          <w:sz w:val="15"/>
          <w:szCs w:val="15"/>
          <w:color w:val="auto"/>
        </w:rPr>
      </w:pPr>
    </w:p>
    <w:p>
      <w:pPr>
        <w:ind w:left="5" w:right="3219" w:firstLine="438"/>
        <w:spacing w:after="0" w:line="271" w:lineRule="auto"/>
        <w:tabs>
          <w:tab w:leader="none" w:pos="804" w:val="left"/>
        </w:tabs>
        <w:numPr>
          <w:ilvl w:val="1"/>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the Amended Agreement to refer to a period or action to be taken or other event occurring after consummation of the Merger:</w:t>
      </w:r>
    </w:p>
    <w:p>
      <w:pPr>
        <w:spacing w:after="0" w:line="153" w:lineRule="exact"/>
        <w:rPr>
          <w:rFonts w:ascii="Courier New" w:cs="Courier New" w:eastAsia="Courier New" w:hAnsi="Courier New"/>
          <w:sz w:val="14"/>
          <w:szCs w:val="14"/>
          <w:color w:val="auto"/>
        </w:rPr>
      </w:pPr>
    </w:p>
    <w:p>
      <w:pPr>
        <w:ind w:left="445" w:right="3299" w:firstLine="442"/>
        <w:spacing w:after="0" w:line="239" w:lineRule="auto"/>
        <w:tabs>
          <w:tab w:leader="none" w:pos="1244" w:val="left"/>
        </w:tabs>
        <w:numPr>
          <w:ilvl w:val="2"/>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"Company" shall be deemed to refer to AT&amp;T Comcast (which shall include, for all purposes of this Section 3, its successors as provided in Section 10 of the Amended Agreement);</w:t>
      </w:r>
    </w:p>
    <w:p>
      <w:pPr>
        <w:spacing w:after="0" w:line="175" w:lineRule="exact"/>
        <w:rPr>
          <w:rFonts w:ascii="Courier New" w:cs="Courier New" w:eastAsia="Courier New" w:hAnsi="Courier New"/>
          <w:sz w:val="15"/>
          <w:szCs w:val="15"/>
          <w:color w:val="auto"/>
        </w:rPr>
      </w:pPr>
    </w:p>
    <w:p>
      <w:pPr>
        <w:ind w:left="445" w:right="3219" w:firstLine="442"/>
        <w:spacing w:after="0" w:line="239" w:lineRule="auto"/>
        <w:tabs>
          <w:tab w:leader="none" w:pos="1333" w:val="left"/>
        </w:tabs>
        <w:numPr>
          <w:ilvl w:val="2"/>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"Board" and "Committee" shall be deemed to refer, respectively, to the Board of Directors of AT&amp;T Comcast and the Compensation Committee of such Board;</w:t>
      </w:r>
    </w:p>
    <w:p>
      <w:pPr>
        <w:spacing w:after="0" w:line="175" w:lineRule="exact"/>
        <w:rPr>
          <w:rFonts w:ascii="Courier New" w:cs="Courier New" w:eastAsia="Courier New" w:hAnsi="Courier New"/>
          <w:sz w:val="15"/>
          <w:szCs w:val="15"/>
          <w:color w:val="auto"/>
        </w:rPr>
      </w:pPr>
    </w:p>
    <w:p>
      <w:pPr>
        <w:ind w:left="445" w:right="3219" w:firstLine="442"/>
        <w:spacing w:after="0"/>
        <w:tabs>
          <w:tab w:leader="none" w:pos="1421" w:val="left"/>
        </w:tabs>
        <w:numPr>
          <w:ilvl w:val="2"/>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"Subcommittee" shall be deemed to refer to the Subcommittee on Performance-Based Compensation of the Compensation Committee, if such Subcommittee exists, or, if such Subcommittee does not exist, such other subcommittee of the Compensation Committee as shall perform the</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4"/>
          </w:cols>
          <w:pgMar w:left="675" w:top="630" w:right="1440" w:bottom="1440" w:gutter="0" w:footer="0" w:header="0"/>
        </w:sectPr>
      </w:pPr>
    </w:p>
    <w:bookmarkStart w:id="375" w:name="page376"/>
    <w:bookmarkEnd w:id="375"/>
    <w:p>
      <w:pPr>
        <w:ind w:left="880" w:right="3759"/>
        <w:spacing w:after="0" w:line="239" w:lineRule="auto"/>
        <w:rPr>
          <w:sz w:val="20"/>
          <w:szCs w:val="20"/>
          <w:color w:val="auto"/>
        </w:rPr>
      </w:pPr>
      <w:r>
        <w:rPr>
          <w:rFonts w:ascii="Courier New" w:cs="Courier New" w:eastAsia="Courier New" w:hAnsi="Courier New"/>
          <w:sz w:val="15"/>
          <w:szCs w:val="15"/>
          <w:color w:val="auto"/>
        </w:rPr>
        <w:t>functions heretofore performed by the Subcommittee on Performance-Based Compensation of the Company's Compensation Committee, or, if there is no such other subcommittee, the full Compensation Committee; and</w:t>
      </w:r>
    </w:p>
    <w:p>
      <w:pPr>
        <w:spacing w:after="0" w:line="176" w:lineRule="exact"/>
        <w:rPr>
          <w:sz w:val="20"/>
          <w:szCs w:val="20"/>
          <w:color w:val="auto"/>
        </w:rPr>
      </w:pPr>
    </w:p>
    <w:p>
      <w:pPr>
        <w:ind w:left="880" w:right="3219" w:firstLine="442"/>
        <w:spacing w:after="0" w:line="239" w:lineRule="auto"/>
        <w:tabs>
          <w:tab w:leader="none" w:pos="1768" w:val="left"/>
        </w:tabs>
        <w:numPr>
          <w:ilvl w:val="2"/>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this Amendment where indicated below, AT&amp;T Comcast hereby assumes the Company's obligations to Roberts under the Amended Agreement.</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1"/>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 "Comcast Corporation" in Section 10(b) of the Amended Agreement is replaced with the phrase "AT&amp;T Comcast Corporation (which, effective immediately following the consummation of the merger between Comcast Corporation and a subsidiary of AT&amp;T Comcast Corporation, is changing its name to "Comcast Corporation")".</w:t>
      </w:r>
    </w:p>
    <w:p>
      <w:pPr>
        <w:spacing w:after="0" w:line="171"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the Agreement remains in full force and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Amendment as of the date first above written.</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Brian L. Roberts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Agreed to and acknowledged by:</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AT&amp;T Comcast Corporation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0" w:right="1440" w:bottom="1440" w:gutter="0" w:footer="0" w:header="0"/>
        </w:sectPr>
      </w:pPr>
    </w:p>
    <w:bookmarkStart w:id="376" w:name="page377"/>
    <w:bookmarkEnd w:id="376"/>
    <w:p>
      <w:pPr>
        <w:jc w:val="right"/>
        <w:ind w:right="3119"/>
        <w:spacing w:after="0"/>
        <w:rPr>
          <w:sz w:val="20"/>
          <w:szCs w:val="20"/>
          <w:color w:val="auto"/>
        </w:rPr>
      </w:pPr>
      <w:r>
        <w:rPr>
          <w:rFonts w:ascii="Courier New" w:cs="Courier New" w:eastAsia="Courier New" w:hAnsi="Courier New"/>
          <w:sz w:val="15"/>
          <w:szCs w:val="15"/>
          <w:color w:val="auto"/>
        </w:rPr>
        <w:t>Exhibit 10.21</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CERTIFICATE OF INTEREST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OF JULIAN BRODSKY UNDER</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COMCAST CORPORATION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UNFUNDED PLAN OF DEFERRED COMPENSATION</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Comcast Corporation, a Pennsylvania corporation (the "Company"), has established an unfunded plan of deferred compensation (the "Plan") pursuant to which certain future benefits will be provided for Julian Brodsky (the "Participant") should he remain in the employ of the Company, as herein-after set forth.</w:t>
      </w:r>
    </w:p>
    <w:p>
      <w:pPr>
        <w:spacing w:after="0" w:line="172" w:lineRule="exact"/>
        <w:rPr>
          <w:sz w:val="20"/>
          <w:szCs w:val="20"/>
          <w:color w:val="auto"/>
        </w:rPr>
      </w:pPr>
    </w:p>
    <w:p>
      <w:pPr>
        <w:ind w:left="780" w:hanging="345"/>
        <w:spacing w:after="0"/>
        <w:tabs>
          <w:tab w:leader="none" w:pos="780"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BENEFITS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(a)(1) If Participant remains without interruption in the employ of the Company as a full-time employee from the Effective Date of the Plan until attainment of age 65, he shall be entitled to a benefit hereunder, commencing upon his termination of employment at or after attaining age 65, in the amount of $3O,OOO per year for a period of 15 years.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(2)In the event of the death of Participant during the 15 year period in which the benefit described in the preceding Section 1(a) (1) is payable, the remaining benefit payments to which the Participant was entitled shall be paid to his designated beneficiary or beneficiaries for the remainder of said 15 year period on</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same basis as that on which the payments were made to participant prior to his death.</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(b)(1) In the event Participant leaves the employ of the Company (other than by reason of a termination of employment entitling the Participant to a benefit pursuant to Section 1(a) of the Plan), whether voluntarily or involuntari1y (including, for this purpose, the death of Participant), after having completed at least three Full years of Uninterrupted Future Service (as defined in Section 1(b)(6)),he shall be entitled to receive a benefit, commencing upon his attainment of age 65, computed by</w:t>
      </w:r>
    </w:p>
    <w:p>
      <w:pPr>
        <w:spacing w:after="0" w:line="176" w:lineRule="exact"/>
        <w:rPr>
          <w:sz w:val="20"/>
          <w:szCs w:val="20"/>
          <w:color w:val="auto"/>
        </w:rPr>
      </w:pPr>
    </w:p>
    <w:p>
      <w:pPr>
        <w:ind w:right="3399" w:firstLine="1331"/>
        <w:spacing w:after="0" w:line="239" w:lineRule="auto"/>
        <w:rPr>
          <w:sz w:val="20"/>
          <w:szCs w:val="20"/>
          <w:color w:val="auto"/>
        </w:rPr>
      </w:pPr>
      <w:r>
        <w:rPr>
          <w:rFonts w:ascii="Courier New" w:cs="Courier New" w:eastAsia="Courier New" w:hAnsi="Courier New"/>
          <w:sz w:val="15"/>
          <w:szCs w:val="15"/>
          <w:color w:val="auto"/>
        </w:rPr>
        <w:t>(A)multiplying his Vesting Percentage (as determined under the Vesting Schedule of Section 1(b) (4)) as of the date of his termination of employment, by</w:t>
      </w:r>
    </w:p>
    <w:p>
      <w:pPr>
        <w:spacing w:after="0" w:line="175" w:lineRule="exact"/>
        <w:rPr>
          <w:sz w:val="20"/>
          <w:szCs w:val="20"/>
          <w:color w:val="auto"/>
        </w:rPr>
      </w:pPr>
    </w:p>
    <w:p>
      <w:pPr>
        <w:ind w:right="3219" w:firstLine="1331"/>
        <w:spacing w:after="0" w:line="271" w:lineRule="auto"/>
        <w:rPr>
          <w:sz w:val="20"/>
          <w:szCs w:val="20"/>
          <w:color w:val="auto"/>
        </w:rPr>
      </w:pPr>
      <w:r>
        <w:rPr>
          <w:rFonts w:ascii="Courier New" w:cs="Courier New" w:eastAsia="Courier New" w:hAnsi="Courier New"/>
          <w:sz w:val="14"/>
          <w:szCs w:val="14"/>
          <w:color w:val="auto"/>
        </w:rPr>
        <w:t>(B)his Accrued Benefit (determined in accordance with the provisions of Section 1(b)(5)) as of the date of his termination of employment,</w:t>
      </w:r>
    </w:p>
    <w:p>
      <w:pPr>
        <w:spacing w:after="0" w:line="154" w:lineRule="exact"/>
        <w:rPr>
          <w:sz w:val="20"/>
          <w:szCs w:val="20"/>
          <w:color w:val="auto"/>
        </w:rPr>
      </w:pPr>
    </w:p>
    <w:p>
      <w:pPr>
        <w:ind w:right="3479" w:firstLine="1331"/>
        <w:spacing w:after="0" w:line="239" w:lineRule="auto"/>
        <w:rPr>
          <w:sz w:val="20"/>
          <w:szCs w:val="20"/>
          <w:color w:val="auto"/>
        </w:rPr>
      </w:pPr>
      <w:r>
        <w:rPr>
          <w:rFonts w:ascii="Courier New" w:cs="Courier New" w:eastAsia="Courier New" w:hAnsi="Courier New"/>
          <w:sz w:val="15"/>
          <w:szCs w:val="15"/>
          <w:color w:val="auto"/>
        </w:rPr>
        <w:t>(C)which product of (A) and (B) shall then be credited with interest compounded annually at the rate of 6% per year from the date of termination of employment until the day before the first benefit installment payment is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so computed under Sections 1(b)(1)(A)-(C) shall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8" w:right="1440" w:bottom="1440" w:gutter="0" w:footer="0" w:header="0"/>
        </w:sectPr>
      </w:pPr>
    </w:p>
    <w:bookmarkStart w:id="377" w:name="page378"/>
    <w:bookmarkEnd w:id="377"/>
    <w:p>
      <w:pPr>
        <w:ind w:right="3399"/>
        <w:spacing w:after="0" w:line="239" w:lineRule="auto"/>
        <w:rPr>
          <w:sz w:val="20"/>
          <w:szCs w:val="20"/>
          <w:color w:val="auto"/>
        </w:rPr>
      </w:pPr>
      <w:r>
        <w:rPr>
          <w:rFonts w:ascii="Courier New" w:cs="Courier New" w:eastAsia="Courier New" w:hAnsi="Courier New"/>
          <w:sz w:val="15"/>
          <w:szCs w:val="15"/>
          <w:color w:val="auto"/>
        </w:rPr>
        <w:t>be paid over a 15 year period in equal installments of principal and interest with interest compounded annually at the rate of 6% per year on the unpaid balance.</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(2)If Participant dies prior to attaining age 65, otherwise entitled to receive a benefit under Section 1(b), the beneficiary or beneficiaries designated by the Participant shall receive said benefit, computed in the manner prescribed by Section 1(b) (1). The payment of his benefit shall commence not later than 90 days after the date of Participant's death. The benefit described in this Section 1(b)(2) shall be paid over a 15 year period in equal installments of principal and interest, with interest compounded annually at the rate of 6% per year on the unpaid balance; provided, however, that the Executive Committee of the Company's Board of Directors may, upon request by a beneficiary but in its sole discretion, direct that said benefit be paid in the form of a lump sum.</w:t>
      </w:r>
    </w:p>
    <w:p>
      <w:pPr>
        <w:spacing w:after="0" w:line="179"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(3)In the event of the death of Participant during the 15 year period in which a benefit described in Section 1(b)(1) is payable, the remaining benefit installment payments to which the Participant was entitled pursuant to Section 1(b)(1) shall be paid to his designated beneficiary or beneficiaries for the remainder of said 15 year period on the same basis as that on which the benefit installment payments were made to Participant prior to his death.</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78" w:name="page379"/>
    <w:bookmarkEnd w:id="378"/>
    <w:p>
      <w:pPr>
        <w:ind w:right="3579" w:firstLine="444"/>
        <w:spacing w:after="0" w:line="238" w:lineRule="auto"/>
        <w:rPr>
          <w:sz w:val="20"/>
          <w:szCs w:val="20"/>
          <w:color w:val="auto"/>
        </w:rPr>
      </w:pPr>
      <w:r>
        <w:rPr>
          <w:rFonts w:ascii="Courier New" w:cs="Courier New" w:eastAsia="Courier New" w:hAnsi="Courier New"/>
          <w:sz w:val="15"/>
          <w:szCs w:val="15"/>
          <w:color w:val="auto"/>
        </w:rPr>
        <w:t>(4)For purposes of Section 1(b), the Vesting Percentage of Participant shall be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FULL YEARS OF UNINTERRUPTED</w:t>
            </w:r>
          </w:p>
        </w:tc>
        <w:tc>
          <w:tcPr>
            <w:tcW w:w="2440" w:type="dxa"/>
            <w:vAlign w:val="bottom"/>
          </w:tcPr>
          <w:p>
            <w:pPr>
              <w:ind w:left="1560"/>
              <w:spacing w:after="0"/>
              <w:rPr>
                <w:sz w:val="20"/>
                <w:szCs w:val="20"/>
                <w:color w:val="auto"/>
              </w:rPr>
            </w:pPr>
            <w:r>
              <w:rPr>
                <w:rFonts w:ascii="Courier New" w:cs="Courier New" w:eastAsia="Courier New" w:hAnsi="Courier New"/>
                <w:sz w:val="15"/>
                <w:szCs w:val="15"/>
                <w:color w:val="auto"/>
              </w:rPr>
              <w:t>VESTING</w:t>
            </w:r>
          </w:p>
        </w:tc>
      </w:tr>
      <w:tr>
        <w:trPr>
          <w:trHeight w:val="17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FUTURE SERVICE</w:t>
            </w:r>
          </w:p>
        </w:tc>
        <w:tc>
          <w:tcPr>
            <w:tcW w:w="2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ind w:left="156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Less than 3 Years</w:t>
            </w:r>
          </w:p>
        </w:tc>
        <w:tc>
          <w:tcPr>
            <w:tcW w:w="2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6-9</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r>
      <w:tr>
        <w:trPr>
          <w:trHeight w:val="17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10 Years or More</w:t>
            </w:r>
          </w:p>
        </w:tc>
        <w:tc>
          <w:tcPr>
            <w:tcW w:w="2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w:t>
            </w:r>
          </w:p>
        </w:tc>
      </w:tr>
    </w:tbl>
    <w:p>
      <w:pPr>
        <w:spacing w:after="0" w:line="174" w:lineRule="exact"/>
        <w:rPr>
          <w:sz w:val="20"/>
          <w:szCs w:val="20"/>
          <w:color w:val="auto"/>
        </w:rPr>
      </w:pPr>
    </w:p>
    <w:p>
      <w:pPr>
        <w:ind w:right="3119" w:firstLine="435"/>
        <w:spacing w:after="0"/>
        <w:tabs>
          <w:tab w:leader="none" w:pos="799"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1(b), the Accrued benefit of Participant shall mean the total amount credited to the book account of Participant as of any date of reference, computed in accordance with the provisions of this Section 1 (b)(5). Participant's account shall be credited by book entry as of the last day of any Full Year of Uninterrupted Future Service of the Participant in the amount of $7,300. Each amount credited to the book account of Participant in accordance with the preceding sentence shall further be credited with interest compounded annually at the rate of 6% per year, commencing with the date as of which such amount is credited to Participant's account.</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1(b), the term "Full Year of Uninterrupted Future Service" means a twelve month period, measured from the Effective Date of the Plan and anniversaries thereof, during which Participant was employed on a full-time basis by the Company or one of its</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79" w:name="page380"/>
    <w:bookmarkEnd w:id="379"/>
    <w:p>
      <w:pPr>
        <w:ind w:right="3219"/>
        <w:spacing w:after="0" w:line="239" w:lineRule="auto"/>
        <w:rPr>
          <w:sz w:val="20"/>
          <w:szCs w:val="20"/>
          <w:color w:val="auto"/>
        </w:rPr>
      </w:pPr>
      <w:r>
        <w:rPr>
          <w:rFonts w:ascii="Courier New" w:cs="Courier New" w:eastAsia="Courier New" w:hAnsi="Courier New"/>
          <w:sz w:val="15"/>
          <w:szCs w:val="15"/>
          <w:color w:val="auto"/>
        </w:rPr>
        <w:t>subsidiaries; provided however, that employment by Participant after attaining age 65 shall not count as service hereunder. Temporary illness or an authorized leave of absence shall not be deemed to interrupt a Participant's Years of Uninterrupted Future Service.</w:t>
      </w:r>
    </w:p>
    <w:p>
      <w:pPr>
        <w:spacing w:after="0" w:line="176" w:lineRule="exact"/>
        <w:rPr>
          <w:sz w:val="20"/>
          <w:szCs w:val="20"/>
          <w:color w:val="auto"/>
        </w:rPr>
      </w:pPr>
    </w:p>
    <w:p>
      <w:pPr>
        <w:ind w:right="3119" w:firstLine="435"/>
        <w:spacing w:after="0"/>
        <w:tabs>
          <w:tab w:leader="none" w:pos="799"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have the right to designate one or more beneficiaries and contingent beneficiaries to receive any benefit to which Participant would otherwise be entitled hereunder but for his death prior to the complete distribution of such benefit, by filing a written designation with the Executive Committee of the Board of Directors of the Company on the form prescribed by the Executive Committee. Participant may thereafter designate different beneficiaries at any time by filing a new written designation with the Executive Committee. The consent of the beneficiary shall not be required for any revocation or change of designation of beneficiary.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d)Benefits payable under this Plan shall be paid on a monthly basis.</w:t>
      </w:r>
    </w:p>
    <w:p>
      <w:pPr>
        <w:spacing w:after="0" w:line="342" w:lineRule="exact"/>
        <w:rPr>
          <w:sz w:val="20"/>
          <w:szCs w:val="20"/>
          <w:color w:val="auto"/>
        </w:rPr>
      </w:pPr>
    </w:p>
    <w:p>
      <w:pPr>
        <w:ind w:left="780" w:hanging="345"/>
        <w:spacing w:after="0"/>
        <w:tabs>
          <w:tab w:leader="none" w:pos="780"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ACCOUNTS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firstLine="435"/>
        <w:spacing w:after="0" w:line="264" w:lineRule="auto"/>
        <w:tabs>
          <w:tab w:leader="none" w:pos="799" w:val="left"/>
        </w:tabs>
        <w:numPr>
          <w:ilvl w:val="0"/>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establish and maintain a book account in the name of Participant and shall credit such account by book entry with the amounts accruing to the benefit of Participant, as provided in Section 1(b)(5).</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0" w:right="1440" w:bottom="1440" w:gutter="0" w:footer="0" w:header="0"/>
        </w:sectPr>
      </w:pPr>
    </w:p>
    <w:bookmarkStart w:id="380" w:name="page381"/>
    <w:bookmarkEnd w:id="380"/>
    <w:p>
      <w:pPr>
        <w:ind w:right="3219"/>
        <w:spacing w:after="0" w:line="238" w:lineRule="auto"/>
        <w:rPr>
          <w:sz w:val="20"/>
          <w:szCs w:val="20"/>
          <w:color w:val="auto"/>
        </w:rPr>
      </w:pPr>
      <w:r>
        <w:rPr>
          <w:rFonts w:ascii="Courier New" w:cs="Courier New" w:eastAsia="Courier New" w:hAnsi="Courier New"/>
          <w:sz w:val="15"/>
          <w:szCs w:val="15"/>
          <w:color w:val="auto"/>
        </w:rPr>
        <w:t>No funds shall at any time be segregated into the account of Participant or set aside in any other manner whatsoever for his benefit.</w:t>
      </w:r>
    </w:p>
    <w:p>
      <w:pPr>
        <w:spacing w:after="0" w:line="175" w:lineRule="exact"/>
        <w:rPr>
          <w:sz w:val="20"/>
          <w:szCs w:val="20"/>
          <w:color w:val="auto"/>
        </w:rPr>
      </w:pPr>
    </w:p>
    <w:p>
      <w:pPr>
        <w:ind w:right="3219" w:firstLine="435"/>
        <w:spacing w:after="0"/>
        <w:tabs>
          <w:tab w:leader="none" w:pos="799"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the account of Participant shall merely represent a general obligation of the Company. Participant shall be a general creditor of the Company with respect to this obligation, and shall not have or be deemed to have a secured or otherwise preferred position with respect thereto. Nothing contained herein shall be deemed to create an escrow, trust, custodial account, fiduciary relationship, or funded arrangement of any kind.</w:t>
      </w:r>
    </w:p>
    <w:p>
      <w:pPr>
        <w:spacing w:after="0" w:line="172" w:lineRule="exact"/>
        <w:rPr>
          <w:sz w:val="20"/>
          <w:szCs w:val="20"/>
          <w:color w:val="auto"/>
        </w:rPr>
      </w:pPr>
    </w:p>
    <w:p>
      <w:pPr>
        <w:ind w:left="780" w:hanging="345"/>
        <w:spacing w:after="0"/>
        <w:tabs>
          <w:tab w:leader="none" w:pos="780"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35"/>
        <w:spacing w:after="0" w:line="262" w:lineRule="auto"/>
        <w:tabs>
          <w:tab w:leader="none" w:pos="799"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 (within the meaning of the Employee Retirement Income Security Act of 1974) shall file with the Secretary of Labor all notices and other information required under ERISA. The Administrator of this Plan shall be the Executive Committee of the Board of Directors of the Company.</w:t>
      </w:r>
    </w:p>
    <w:p>
      <w:pPr>
        <w:spacing w:after="0" w:line="160"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Committee (hereinafter referred to as the "Committee") shall have the authority to control and manage the operation and administration of the Plan, and shall be the agent of the Plan for purposes of receiving service of legal process.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381" w:name="page382"/>
    <w:bookmarkEnd w:id="381"/>
    <w:p>
      <w:pPr>
        <w:ind w:right="3119" w:firstLine="435"/>
        <w:spacing w:after="0" w:line="259" w:lineRule="auto"/>
        <w:tabs>
          <w:tab w:leader="none" w:pos="799"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keep complete records for the administration of the Plan, promulgate rules and regulations for administration of the Plan consistent with the terms and provisions of the Plan, interpret the Plan, determine any questions of fact arising under the Plan, and make all decisions required by the Plan. The construction thereof and any actions and decisions taken thereon in good faith by the Committee shall be final and conclusive. The Committee may correct any defect, or supply any omission, or reconcile any inconsistency in the Plan in such manner and to such extent as shall be expedient to carry the Plan into effect and shall be the sole judge of such expediency.</w:t>
      </w:r>
    </w:p>
    <w:p>
      <w:pPr>
        <w:spacing w:after="0" w:line="16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(d)If, pursuant to rules, regulations or other interpretations of the Plan, the Committee denies the claim of Participant or of a beneficiary for benefits under the Plan, the Committee shall provide written notice settinq forth in a manner calculated to be understood by the claimant:</w:t>
      </w:r>
    </w:p>
    <w:p>
      <w:pPr>
        <w:spacing w:after="0" w:line="17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(i)the specific reasons for such denial;</w:t>
      </w:r>
    </w:p>
    <w:p>
      <w:pPr>
        <w:spacing w:after="0" w:line="174" w:lineRule="exact"/>
        <w:rPr>
          <w:sz w:val="20"/>
          <w:szCs w:val="20"/>
          <w:color w:val="auto"/>
        </w:rPr>
      </w:pPr>
    </w:p>
    <w:p>
      <w:pPr>
        <w:ind w:right="3399" w:firstLine="1331"/>
        <w:spacing w:after="0" w:line="238" w:lineRule="auto"/>
        <w:rPr>
          <w:sz w:val="20"/>
          <w:szCs w:val="20"/>
          <w:color w:val="auto"/>
        </w:rPr>
      </w:pPr>
      <w:r>
        <w:rPr>
          <w:rFonts w:ascii="Courier New" w:cs="Courier New" w:eastAsia="Courier New" w:hAnsi="Courier New"/>
          <w:sz w:val="15"/>
          <w:szCs w:val="15"/>
          <w:color w:val="auto"/>
        </w:rPr>
        <w:t>(ii)the specific reference to the Plan provisions on which the denial is based;</w:t>
      </w:r>
    </w:p>
    <w:p>
      <w:pPr>
        <w:spacing w:after="0" w:line="175" w:lineRule="exact"/>
        <w:rPr>
          <w:sz w:val="20"/>
          <w:szCs w:val="20"/>
          <w:color w:val="auto"/>
        </w:rPr>
      </w:pPr>
    </w:p>
    <w:p>
      <w:pPr>
        <w:ind w:right="3479" w:firstLine="1322"/>
        <w:spacing w:after="0" w:line="239" w:lineRule="auto"/>
        <w:tabs>
          <w:tab w:leader="none" w:pos="1864"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to perfect the claim and an explanation of why such material or information is needed;</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 review procedure.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382" w:name="page383"/>
    <w:bookmarkEnd w:id="382"/>
    <w:p>
      <w:pPr>
        <w:ind w:right="3119"/>
        <w:spacing w:after="0"/>
        <w:rPr>
          <w:sz w:val="20"/>
          <w:szCs w:val="20"/>
          <w:color w:val="auto"/>
        </w:rPr>
      </w:pPr>
      <w:r>
        <w:rPr>
          <w:rFonts w:ascii="Courier New" w:cs="Courier New" w:eastAsia="Courier New" w:hAnsi="Courier New"/>
          <w:sz w:val="15"/>
          <w:szCs w:val="15"/>
          <w:color w:val="auto"/>
        </w:rPr>
        <w:t>If a claim for benefits by Participant or by a beneficiary has been denied, the Participant or beneficiary may request review by the Committee of the denied claim by notifying the Committee in writing within sixty days after receipt of the notification of claim denial. As part of said review procedure, the claimant or his authorized representative may review pertinent documents and submit issues and comments to the Committee in writing.</w:t>
      </w:r>
    </w:p>
    <w:p>
      <w:pPr>
        <w:spacing w:after="0" w:line="343" w:lineRule="exact"/>
        <w:rPr>
          <w:sz w:val="20"/>
          <w:szCs w:val="20"/>
          <w:color w:val="auto"/>
        </w:rPr>
      </w:pPr>
    </w:p>
    <w:p>
      <w:pPr>
        <w:ind w:left="780" w:hanging="345"/>
        <w:spacing w:after="0"/>
        <w:tabs>
          <w:tab w:leader="none" w:pos="780"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RIGHTS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Neither the establishment of the Plan, nor any modification thereof, nor the payment of any benefit shall be construed as giving Participant, beneficiary, or any person whomsoever, any legal or equitable right against the Company, its subsidiaries, or the Committee, unless such right shall be specifically provided for in the Plan or conferred by affirmative action of the Committee or the Company in accordance with the terms and provisions of the Plan; or as giving Participant the right to be retained in the service of the Company or its subsidiaries, and Participant shall remain subject to discharge to the same extent as if the Plan had never been adopted.</w:t>
      </w:r>
    </w:p>
    <w:p>
      <w:pPr>
        <w:spacing w:after="0" w:line="345" w:lineRule="exact"/>
        <w:rPr>
          <w:sz w:val="20"/>
          <w:szCs w:val="20"/>
          <w:color w:val="auto"/>
        </w:rPr>
      </w:pPr>
    </w:p>
    <w:p>
      <w:pPr>
        <w:ind w:left="780" w:hanging="345"/>
        <w:spacing w:after="0"/>
        <w:tabs>
          <w:tab w:leader="none" w:pos="780"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of the Plan shall be March 24, 1977.</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383" w:name="page384"/>
    <w:bookmarkEnd w:id="3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4" w:name="page385"/>
    <w:bookmarkEnd w:id="384"/>
    <w:p>
      <w:pPr>
        <w:jc w:val="right"/>
        <w:ind w:right="3119"/>
        <w:spacing w:after="0"/>
        <w:rPr>
          <w:sz w:val="20"/>
          <w:szCs w:val="20"/>
          <w:color w:val="auto"/>
        </w:rPr>
      </w:pPr>
      <w:r>
        <w:rPr>
          <w:rFonts w:ascii="Courier New" w:cs="Courier New" w:eastAsia="Courier New" w:hAnsi="Courier New"/>
          <w:sz w:val="15"/>
          <w:szCs w:val="15"/>
          <w:color w:val="auto"/>
        </w:rPr>
        <w:t>Exhibit 10.22</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This EMPLOYMENT AGREEMENT is entered into as of the 1st day of May, 2002 between COMCAST CORPORATION, a Pennsylvania corporation (the "Company") and JULIAN A. BRODSKY ("Employee").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BACKGROUND</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WHEREAS, Employee is currently employed by the Company as its Vice Chairman; and</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WHEREAS, the Company recognizes that Employee's contribution to the growth and success of the Company has been substantial; and</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WHEREAS, the Company desires to assure Employee's continued employment in an executive and non-executive capacity; and</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WHEREAS, Employee is willing to commit himself to serve the Company on the terms herein provided.</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hereby, agree as follows:</w:t>
      </w:r>
    </w:p>
    <w:p>
      <w:pPr>
        <w:spacing w:after="0" w:line="172" w:lineRule="exact"/>
        <w:rPr>
          <w:sz w:val="20"/>
          <w:szCs w:val="20"/>
          <w:color w:val="auto"/>
        </w:rPr>
      </w:pPr>
    </w:p>
    <w:p>
      <w:pPr>
        <w:ind w:left="700" w:hanging="265"/>
        <w:spacing w:after="0"/>
        <w:tabs>
          <w:tab w:leader="none" w:pos="700"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1.1 The Company shall continue to retain Employee and Employee shall continue to serve the Company as an employee, on the terms and conditions set forth herein, for a term (the "Service Period") commencing on May 1, 2002 and ending on the earlier of: (i) April 30, 2009; or (ii) the date Employee's employment terminates for any reason. The period between May 1, 2002 and April 30, 2009, as it may be extended by the agreement of the parties, is referred to as the "Seven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 Employee shall serve as an executive employee during the Service Period from May 1, 2002 until the earlier of: (i) April 30, 2004; or (ii) the effective date specified in Employee's written notice to the Company (if any), given at any time prior to April 30, 2004, electing to end his status of an executive employee and begin his status as a non-executive employee, provided the effective date shall not be less than 30 days from the date of notice (the "Executive Term"). The period of time during the Service Period from May 1, 2002 to April 30, 2004 is referred to as the "Base Period."</w:t>
      </w:r>
    </w:p>
    <w:p>
      <w:pPr>
        <w:spacing w:after="0" w:line="177"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1.3 Employee shall serve as a non-executive employee from the first day following the end of the Executive Term until the end of the Service Period (the "Non-Executive Term").</w:t>
      </w:r>
    </w:p>
    <w:p>
      <w:pPr>
        <w:spacing w:after="0" w:line="172" w:lineRule="exact"/>
        <w:rPr>
          <w:sz w:val="20"/>
          <w:szCs w:val="20"/>
          <w:color w:val="auto"/>
        </w:rPr>
      </w:pPr>
    </w:p>
    <w:p>
      <w:pPr>
        <w:ind w:left="620" w:hanging="274"/>
        <w:spacing w:after="0"/>
        <w:tabs>
          <w:tab w:leader="none" w:pos="620"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Office Space.</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 Until the first to occur of: (i) the closing (if it occurs) (the "Closing") of the Company's proposed transaction with AT&amp;T Corp. relating to AT&amp;T Broadband; and (ii) the end of the Executive Term, Employee shall continue to serve as Vice Chairman. If the Closing occurs, then for the balance of the Executive Term Employee shall serve in such other executive officer position as agreed to by the Company and Employee. In either such position, Employee shall have such duties as are consistent with Employee's present duties as Vice Chairman, but shall not have any specific duties which may be attendant to the office of Vice Chairman unless so determined by the Company. During the Non-Executive Term, Employee shall serve in a non-executive capacity without any officer position.</w:t>
      </w:r>
    </w:p>
    <w:p>
      <w:pPr>
        <w:spacing w:after="0" w:line="179"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2.2 During the Executive Term, Employee shall continue to devote substantially all of his working time and effort to the business and affairs of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9" w:right="1440" w:bottom="1440" w:gutter="0" w:footer="0" w:header="0"/>
        </w:sectPr>
      </w:pPr>
    </w:p>
    <w:bookmarkStart w:id="385" w:name="page386"/>
    <w:bookmarkEnd w:id="385"/>
    <w:p>
      <w:pPr>
        <w:ind w:left="9" w:right="3119"/>
        <w:spacing w:after="0" w:line="258" w:lineRule="auto"/>
        <w:rPr>
          <w:sz w:val="20"/>
          <w:szCs w:val="20"/>
          <w:color w:val="auto"/>
        </w:rPr>
      </w:pPr>
      <w:r>
        <w:rPr>
          <w:rFonts w:ascii="Courier New" w:cs="Courier New" w:eastAsia="Courier New" w:hAnsi="Courier New"/>
          <w:sz w:val="14"/>
          <w:szCs w:val="14"/>
          <w:color w:val="auto"/>
        </w:rPr>
        <w:t>Company. During the Non-Executive Term, Employee shall devote such time (which the Company acknowledges is not intended to be full-time) as is required for the performance of those duties which are reasonably requested by the Company and which are commensurate with Employee's professional and executive experience. Nothing contained herein shall preclude Employee from engaging in personal or business activities which are consistent with Employee's obligations to the Company hereunder, including the restrictions contained in Section 7, including being an employee of another entity during the Non-Executive Term. Without limiting the foregoing, the Company recognizes that Employee: (i) is Manager of CIC Venture Management, LLC, which is the general partner of CIC Partners, L.P., which in turn is the general partner of Comcast Interactive Partners, L.P., an investment partnership, and may become the manager of a similar entity with respect to a similar investment partnership (together, the "CIC Funds"); and</w:t>
      </w:r>
    </w:p>
    <w:p>
      <w:pPr>
        <w:spacing w:after="0" w:line="2" w:lineRule="exact"/>
        <w:rPr>
          <w:sz w:val="20"/>
          <w:szCs w:val="20"/>
          <w:color w:val="auto"/>
        </w:rPr>
      </w:pPr>
    </w:p>
    <w:p>
      <w:pPr>
        <w:ind w:left="9" w:right="3119" w:hanging="9"/>
        <w:spacing w:after="0" w:line="264" w:lineRule="auto"/>
        <w:tabs>
          <w:tab w:leader="none" w:pos="453"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serves and may serve as a director or trustee on the boards of other corporations and organizations; and that, subject to the restrictions of Section 7.3, Employee may continue to devote considerable time to such activities.</w:t>
      </w:r>
    </w:p>
    <w:p>
      <w:pPr>
        <w:spacing w:after="0" w:line="159"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2.3 During the Executive Term, an office and secretarial support will be provided to Employee in the Company's corporate headquarters executive offices floor. During the Non-Executive Term, an office and secretarial support will be provided to Employee in the Company's corporate headquarters, outside the executive offices floor.</w:t>
      </w:r>
    </w:p>
    <w:p>
      <w:pPr>
        <w:spacing w:after="0" w:line="172" w:lineRule="exact"/>
        <w:rPr>
          <w:sz w:val="20"/>
          <w:szCs w:val="20"/>
          <w:color w:val="auto"/>
        </w:rPr>
      </w:pPr>
    </w:p>
    <w:p>
      <w:pPr>
        <w:ind w:left="709" w:hanging="265"/>
        <w:spacing w:after="0"/>
        <w:tabs>
          <w:tab w:leader="none" w:pos="709"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99" w:firstLine="799"/>
        <w:spacing w:after="0" w:line="271" w:lineRule="auto"/>
        <w:rPr>
          <w:sz w:val="20"/>
          <w:szCs w:val="20"/>
          <w:color w:val="auto"/>
        </w:rPr>
      </w:pPr>
      <w:r>
        <w:rPr>
          <w:rFonts w:ascii="Courier New" w:cs="Courier New" w:eastAsia="Courier New" w:hAnsi="Courier New"/>
          <w:sz w:val="14"/>
          <w:szCs w:val="14"/>
          <w:color w:val="auto"/>
        </w:rPr>
        <w:t>3.1 Base Salary. The Company shall pay base salary to Employee during the Service Period as follows: From May 1, 2002 through December 31, 2002,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30" w:right="1440" w:bottom="1440" w:gutter="0" w:footer="0" w:header="0"/>
        </w:sectPr>
      </w:pPr>
    </w:p>
    <w:bookmarkStart w:id="386" w:name="page387"/>
    <w:bookmarkEnd w:id="386"/>
    <w:p>
      <w:pPr>
        <w:ind w:left="9" w:right="3299"/>
        <w:spacing w:after="0" w:line="258" w:lineRule="auto"/>
        <w:rPr>
          <w:sz w:val="20"/>
          <w:szCs w:val="20"/>
          <w:color w:val="auto"/>
        </w:rPr>
      </w:pPr>
      <w:r>
        <w:rPr>
          <w:rFonts w:ascii="Courier New" w:cs="Courier New" w:eastAsia="Courier New" w:hAnsi="Courier New"/>
          <w:sz w:val="14"/>
          <w:szCs w:val="14"/>
          <w:color w:val="auto"/>
        </w:rPr>
        <w:t>Company shall pay Employee a base salary at the per annum amount being paid to Employee as of April 30, 2002 (i.e., $837,560). On each of January 1, 2003 and January 1, 2004, the Company shall increase Employee's base salary per annum amount as of the prior December 31 by the greater of: (i) five percent (5%);</w:t>
      </w:r>
    </w:p>
    <w:p>
      <w:pPr>
        <w:spacing w:after="0" w:line="1" w:lineRule="exact"/>
        <w:rPr>
          <w:sz w:val="20"/>
          <w:szCs w:val="20"/>
          <w:color w:val="auto"/>
        </w:rPr>
      </w:pPr>
    </w:p>
    <w:p>
      <w:pPr>
        <w:jc w:val="both"/>
        <w:ind w:left="9" w:right="3219" w:hanging="9"/>
        <w:spacing w:after="0" w:line="258" w:lineRule="auto"/>
        <w:tabs>
          <w:tab w:leader="none" w:pos="453"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increase for the preceding year in the Consumer Price Index for all urban consumers published by the United States Department of Labor; and</w:t>
      </w:r>
    </w:p>
    <w:p>
      <w:pPr>
        <w:ind w:left="9" w:right="3399" w:hanging="9"/>
        <w:spacing w:after="0"/>
        <w:tabs>
          <w:tab w:leader="none" w:pos="541"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percentage increase in the base salary of the five (5) employees of the Company having the highest base salary (other than Employee) for the preceding year. From May 1, 2004 through April 30, 2009, the Company shall pay Employee a base salary at a per annum amount equal to six hundred thousand dollars ($600,000).</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3.2 Executive Cash Bonus Plan. Employee will be entitled to receive the maximum amount of his cash bonus (less any required withholdings) under the Company's Executive Cash Bonus Plan for 2002, 2003 and 2004 (pro-rated for the portion of 2004 during the Service Period), at the same time as the other participants therein, regardless of whether or not Employee remains employed on any particular date. Employee will not be entitled to participate in the Executive Cash Bonus Plan after 2004.</w:t>
      </w:r>
    </w:p>
    <w:p>
      <w:pPr>
        <w:spacing w:after="0" w:line="176"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3.3 Expenses. During the Service Period, Employee shall be entitled to receive prompt reimbursement for all reasonable expenses incurred by him (in accordance with current practices) in performing services hereunder, including attending conferences and conventions (limited to domestic locations following the Executive Term), provided that Employee properly accounts therefor in accordance with Company policy.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0" w:right="1440" w:bottom="1440" w:gutter="0" w:footer="0" w:header="0"/>
        </w:sectPr>
      </w:pPr>
    </w:p>
    <w:bookmarkStart w:id="387" w:name="page388"/>
    <w:bookmarkEnd w:id="387"/>
    <w:p>
      <w:pPr>
        <w:ind w:left="440"/>
        <w:spacing w:after="0"/>
        <w:rPr>
          <w:sz w:val="20"/>
          <w:szCs w:val="20"/>
          <w:color w:val="auto"/>
        </w:rPr>
      </w:pPr>
      <w:r>
        <w:rPr>
          <w:rFonts w:ascii="Courier New" w:cs="Courier New" w:eastAsia="Courier New" w:hAnsi="Courier New"/>
          <w:sz w:val="15"/>
          <w:szCs w:val="15"/>
          <w:color w:val="auto"/>
        </w:rPr>
        <w:t>3.4 Benefits.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3.4.1 Except as otherwise specifically provided herein, during the Service Period Employee shall continue to be eligible to participate in all employee benefit plans and arrangements generally available to all employees and those generally available to all senior executives (to the extent and on the terms on which they are then in effect), excluding the Company's Restricted Stock Plan, the Company's 1996 Cash Bonus Plan and any plan or arrangement relating to the AT&amp;T Broadband transaction, but including Employee's existing supplemental executive long-term disability insurance (subject to imputed income and tax gross-up bonus in connection therewith) and including directors and officers liability insurance coverage and indemnification rights. Except as otherwise specifically provided herein, following the Service Period Employee shall be eligible to participate in the Company's post-retirement health and welfare benefits plan for a number of years thereunder (the "Post-Retirement Period") based upon service years with the Company including the years during the Service Period (which benefits shall not be reduced on account of the health and welfare benefits provided pursuant to this Section 3.4). Following the Service Period, Employee may elect to continue his supplemental executive long-term disability policy by paying premiums himself. Employee may change health and welfare coverage types and options on the same basis as other employees. Except as otherwise provided herein or as required by law, the Company shall not make any changes in any employee benefit plans or arrangements which would adversely affect Employee's vested rights or vested benefits thereunder. Employee acknowledges that the Company's liability to Employee with respect to this Section 3.4 is limited to providing the specified benefits, and shall not</w:t>
      </w:r>
    </w:p>
    <w:p>
      <w:pPr>
        <w:spacing w:after="0" w:line="200" w:lineRule="exact"/>
        <w:rPr>
          <w:sz w:val="20"/>
          <w:szCs w:val="20"/>
          <w:color w:val="auto"/>
        </w:rPr>
      </w:pP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9" w:right="1440" w:bottom="1440" w:gutter="0" w:footer="0" w:header="0"/>
        </w:sectPr>
      </w:pPr>
    </w:p>
    <w:bookmarkStart w:id="388" w:name="page389"/>
    <w:bookmarkEnd w:id="388"/>
    <w:p>
      <w:pPr>
        <w:ind w:left="9" w:right="3759"/>
        <w:spacing w:after="0" w:line="238" w:lineRule="auto"/>
        <w:rPr>
          <w:sz w:val="20"/>
          <w:szCs w:val="20"/>
          <w:color w:val="auto"/>
        </w:rPr>
      </w:pPr>
      <w:r>
        <w:rPr>
          <w:rFonts w:ascii="Courier New" w:cs="Courier New" w:eastAsia="Courier New" w:hAnsi="Courier New"/>
          <w:sz w:val="15"/>
          <w:szCs w:val="15"/>
          <w:color w:val="auto"/>
        </w:rPr>
        <w:t>extend to cover any unspecified tax or other cost, if any, to Employee of receiving the same.</w:t>
      </w:r>
    </w:p>
    <w:p>
      <w:pPr>
        <w:spacing w:after="0" w:line="175" w:lineRule="exact"/>
        <w:rPr>
          <w:sz w:val="20"/>
          <w:szCs w:val="20"/>
          <w:color w:val="auto"/>
        </w:rPr>
      </w:pPr>
    </w:p>
    <w:p>
      <w:pPr>
        <w:ind w:left="9" w:right="3219" w:firstLine="1154"/>
        <w:spacing w:after="0" w:line="258" w:lineRule="auto"/>
        <w:rPr>
          <w:sz w:val="20"/>
          <w:szCs w:val="20"/>
          <w:color w:val="auto"/>
        </w:rPr>
      </w:pPr>
      <w:r>
        <w:rPr>
          <w:rFonts w:ascii="Courier New" w:cs="Courier New" w:eastAsia="Courier New" w:hAnsi="Courier New"/>
          <w:sz w:val="14"/>
          <w:szCs w:val="14"/>
          <w:color w:val="auto"/>
        </w:rPr>
        <w:t>3.4.2 Employee may at any time during the Service Period, in lieu of receiving the health and welfare benefits provided for under Section 3.4.1, elect that the following provisions will apply: (i) Employee and his wife will utilize at their expense Medicare Part A and Part B as each of their primary individual insurance coverage; (ii) the Company will make available to Employee and his wife a supplemental medical plan, Blue Cross Security - 65 Plan H (or its equivalent), as each of their secondary medical insurance coverage; and</w:t>
      </w:r>
    </w:p>
    <w:p>
      <w:pPr>
        <w:spacing w:after="0" w:line="1" w:lineRule="exact"/>
        <w:rPr>
          <w:sz w:val="20"/>
          <w:szCs w:val="20"/>
          <w:color w:val="auto"/>
        </w:rPr>
      </w:pPr>
    </w:p>
    <w:p>
      <w:pPr>
        <w:ind w:left="9" w:right="3119" w:hanging="9"/>
        <w:spacing w:after="0"/>
        <w:tabs>
          <w:tab w:leader="none" w:pos="541"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reimburse Employee and his wife (on a pre-tax basis only) for their out-of-pocket costs for amounts not paid for or reimbursed by Medicare or Blue Cross to provide health care benefits equivalent to those available to employees. Employee acknowledges that the value of benefits received from the Company in the event of this election will be includable in the taxable income of Employee or his wife, as applicable.</w:t>
      </w:r>
    </w:p>
    <w:p>
      <w:pPr>
        <w:spacing w:after="0" w:line="175" w:lineRule="exact"/>
        <w:rPr>
          <w:sz w:val="20"/>
          <w:szCs w:val="20"/>
          <w:color w:val="auto"/>
        </w:rPr>
      </w:pPr>
    </w:p>
    <w:p>
      <w:pPr>
        <w:ind w:left="9" w:right="3299" w:firstLine="1154"/>
        <w:spacing w:after="0" w:line="239" w:lineRule="auto"/>
        <w:rPr>
          <w:sz w:val="20"/>
          <w:szCs w:val="20"/>
          <w:color w:val="auto"/>
        </w:rPr>
      </w:pPr>
      <w:r>
        <w:rPr>
          <w:rFonts w:ascii="Courier New" w:cs="Courier New" w:eastAsia="Courier New" w:hAnsi="Courier New"/>
          <w:sz w:val="15"/>
          <w:szCs w:val="15"/>
          <w:color w:val="auto"/>
        </w:rPr>
        <w:t>3.4.3 Except as otherwise specifically provided for herein, following the Service Period and the Post-Retirement Period, Employee and his wife shall be entitled to the provisions of Section 3.4.2 for the remainder of their lives.</w:t>
      </w:r>
    </w:p>
    <w:p>
      <w:pPr>
        <w:spacing w:after="0" w:line="176"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3.5 Vacations and Holidays. Employee shall be entitled during the Service Period to not fewer than the same number of paid vacation, flex and personal days in each calendar year as to which he is currently entitled. Employee shall also be entitled during the Service Period to all paid holidays given by the Company to its employees.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3.6 Perquisites. Except as otherwise specifically provided herein,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0" w:right="1440" w:bottom="1440" w:gutter="0" w:footer="0" w:header="0"/>
        </w:sectPr>
      </w:pPr>
    </w:p>
    <w:bookmarkStart w:id="389" w:name="page390"/>
    <w:bookmarkEnd w:id="389"/>
    <w:p>
      <w:pPr>
        <w:ind w:right="3119"/>
        <w:spacing w:after="0"/>
        <w:rPr>
          <w:sz w:val="20"/>
          <w:szCs w:val="20"/>
          <w:color w:val="auto"/>
        </w:rPr>
      </w:pPr>
      <w:r>
        <w:rPr>
          <w:rFonts w:ascii="Courier New" w:cs="Courier New" w:eastAsia="Courier New" w:hAnsi="Courier New"/>
          <w:sz w:val="15"/>
          <w:szCs w:val="15"/>
          <w:color w:val="auto"/>
        </w:rPr>
        <w:t>during the Service Period, Employee shall be entitled to continue to receive his current perquisites ("Perquisites" ), including but not limited to: free cable and high speed data service on the same basis as made available to senior executives (provided Employee lives in a Company system); free monthly parking in the parking garage at 1500 Market Street (or any successor corporate headquarters location); a free parking space at the First Union Center (provided it is owned by the Company); and a free cellular phone and service for three phone numbers (on the type of account now provided); in all cases including any tax gross-up amounts on the same basis as is now made available to Employee, and subject to any income required to be imputed to Employee on account thereof in accordance with Company policy.</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3.7 Deferred Compensation.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3.7.1 The Company's 1977 Deferred Compensation Plan will remain in effect pursuant to its present terms. If not earlier terminated, Employee's employment with the Company for purposes of the 1977 Deferred Compensation Plan will be deemed to terminate at the end of the Base Period. At that time, a lump sum cash payment shall be made to Employee in an amount representing the present value (calculated using a discount rate equal to the then current yield to maturity on ten (10) year obligations of the Treasury of the United States (the "Discount Rate")) of the stream of payments then otherwise due thereunder. Employee may elect to defer receipt of this amount as a bonus under the Company's 1996 Deferred Compensation Plan.</w:t>
      </w:r>
    </w:p>
    <w:p>
      <w:pPr>
        <w:spacing w:after="0" w:line="178" w:lineRule="exact"/>
        <w:rPr>
          <w:sz w:val="20"/>
          <w:szCs w:val="20"/>
          <w:color w:val="auto"/>
        </w:rPr>
      </w:pPr>
    </w:p>
    <w:p>
      <w:pPr>
        <w:ind w:right="3299" w:firstLine="1154"/>
        <w:spacing w:after="0" w:line="239" w:lineRule="auto"/>
        <w:rPr>
          <w:sz w:val="20"/>
          <w:szCs w:val="20"/>
          <w:color w:val="auto"/>
        </w:rPr>
      </w:pPr>
      <w:r>
        <w:rPr>
          <w:rFonts w:ascii="Courier New" w:cs="Courier New" w:eastAsia="Courier New" w:hAnsi="Courier New"/>
          <w:sz w:val="15"/>
          <w:szCs w:val="15"/>
          <w:color w:val="auto"/>
        </w:rPr>
        <w:t>3.7.2. Employee shall be eligible to participate in the Company's 1996 Deferred Compensation Plan through the Service Period, pursuant to its terms (including any right under such Plan to make an election regarding the continued deferral</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390" w:name="page391"/>
    <w:bookmarkEnd w:id="390"/>
    <w:p>
      <w:pPr>
        <w:spacing w:after="0"/>
        <w:rPr>
          <w:sz w:val="20"/>
          <w:szCs w:val="20"/>
          <w:color w:val="auto"/>
        </w:rPr>
      </w:pPr>
      <w:r>
        <w:rPr>
          <w:rFonts w:ascii="Courier New" w:cs="Courier New" w:eastAsia="Courier New" w:hAnsi="Courier New"/>
          <w:sz w:val="15"/>
          <w:szCs w:val="15"/>
          <w:color w:val="auto"/>
        </w:rPr>
        <w:t>of Employee's account following the Service Period).</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3.8 Supplemental Executive Retirement Plan. The Company's 1989 Supplemental Executive Retirement Plan (the "SERP") will remain in effect pursuant to its present terms. If not earlier terminated, Employee's employment with the Company for purposes of the SERP will be deemed to terminate at the end of the Base Period.</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3.9 Trust.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3.9.1 Prior to the occurrence of a Change of Control (as defined in Section 3.9.3) during the Service Period, the Company shall establish a grantor trust (the "Trust"), the terms of which shall be consistent with the requirements applicable under the Internal Revenue Code of 1986, as amended, in order to avoid the constructive receipt of the assets held in the Trust. The trust document for the Trust shall be in a form that is mutually satisfactory to the Company and Employee, and may, but need not, be in substantially the same form as the model trust agreement published by the Internal Revenue Service in Revenue Procedure 92-64. The trustee of the Trust shall be such person or institution acceptable to the Company and Employee. Upon the occurrence of a Change of Control, the Trust, if not already irrevocable shall become irrevocable and the Company shall contribute to the Trust an amount in cash or such assets as it deems appropriate equal to the present value (calculated using the Discount Rate at that time) of:</w:t>
      </w:r>
    </w:p>
    <w:p>
      <w:pPr>
        <w:spacing w:after="0" w:line="181" w:lineRule="exact"/>
        <w:rPr>
          <w:sz w:val="20"/>
          <w:szCs w:val="20"/>
          <w:color w:val="auto"/>
        </w:rPr>
      </w:pPr>
    </w:p>
    <w:p>
      <w:pPr>
        <w:ind w:right="3119" w:firstLine="790"/>
        <w:spacing w:after="0"/>
        <w:tabs>
          <w:tab w:leader="none" w:pos="1154"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remaining premiums that the Company is obligated to pay until the death of the survivor of Employee and his spouse under each of the following life insurance policies: the 1987 Security Life of Denver policy, the 1992 Security Life of Denver policy, the 1994 John Hancock policy, the 1994 Mass Mutual policy and the 1994 Prudential policy (together with the related existing split-dollar</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391" w:name="page392"/>
    <w:bookmarkEnd w:id="391"/>
    <w:p>
      <w:pPr>
        <w:spacing w:after="0"/>
        <w:rPr>
          <w:sz w:val="20"/>
          <w:szCs w:val="20"/>
          <w:color w:val="auto"/>
        </w:rPr>
      </w:pPr>
      <w:r>
        <w:rPr>
          <w:rFonts w:ascii="Courier New" w:cs="Courier New" w:eastAsia="Courier New" w:hAnsi="Courier New"/>
          <w:sz w:val="15"/>
          <w:szCs w:val="15"/>
          <w:color w:val="auto"/>
        </w:rPr>
        <w:t>agreements, the "Split-Dollar Arrangements");</w:t>
      </w:r>
    </w:p>
    <w:p>
      <w:pPr>
        <w:spacing w:after="0" w:line="174" w:lineRule="exact"/>
        <w:rPr>
          <w:sz w:val="20"/>
          <w:szCs w:val="20"/>
          <w:color w:val="auto"/>
        </w:rPr>
      </w:pPr>
    </w:p>
    <w:p>
      <w:pPr>
        <w:ind w:right="3219" w:firstLine="790"/>
        <w:spacing w:after="0" w:line="239" w:lineRule="auto"/>
        <w:tabs>
          <w:tab w:leader="none" w:pos="1242"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bonuses and tax gross-up amounts (if any) that the Company is obligated to pay to Employee or his surviving spouse pursuant to the Split-Dollar Arrangements; and</w:t>
      </w:r>
    </w:p>
    <w:p>
      <w:pPr>
        <w:spacing w:after="0" w:line="175" w:lineRule="exact"/>
        <w:rPr>
          <w:rFonts w:ascii="Courier New" w:cs="Courier New" w:eastAsia="Courier New" w:hAnsi="Courier New"/>
          <w:sz w:val="15"/>
          <w:szCs w:val="15"/>
          <w:color w:val="auto"/>
        </w:rPr>
      </w:pPr>
    </w:p>
    <w:p>
      <w:pPr>
        <w:ind w:right="3119" w:firstLine="790"/>
        <w:spacing w:after="0"/>
        <w:tabs>
          <w:tab w:leader="none" w:pos="1331"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deferred compensation benefits payable to Employee under the 1977 Deferred Compensation Plan, the 1996 Deferred Compensation Plan, the Income Fund under the Deferred Stock Option Plan and the SERP, where for the purpose of the SERP the present value shall be calculated using the actuarial lives provided under standard mortality tables.</w:t>
      </w:r>
    </w:p>
    <w:p>
      <w:pPr>
        <w:spacing w:after="0" w:line="174"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3.9.2 In addition, the Company shall have the further obligation following a Change of Control to make such additional contributions to the Trust, from time to time (but determined no less than annually), as may become necessary to fully fund the benefits described above, determined in the same manner as the initial funding obligation is determined. The assets contributed to the Trust shall, except to the extent otherwise provided in the trust agreement in the case of the bankruptcy or insolvency of the Company, be used exclusively for the purpose of providing the benefits described in this Section 3.9 until all such benefits have been fully paid, at which time the Trust may be terminated and any remaining assets will revert back to the Company. Notwithstanding the foregoing, to the extent benefits are paid by the Company rather than out of assets held in the Trust, the trustee may reimburse the Company out of the Trust such amounts as have been properly paid as benefits by the Company, but only to the extent that such reimbursement does not cause the Trust to be less than fully funded, determined in the same manner as the initial funding obligation is determined.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392" w:name="page393"/>
    <w:bookmarkEnd w:id="392"/>
    <w:p>
      <w:pPr>
        <w:ind w:left="9" w:right="3219" w:firstLine="1154"/>
        <w:spacing w:after="0" w:line="261" w:lineRule="auto"/>
        <w:rPr>
          <w:sz w:val="20"/>
          <w:szCs w:val="20"/>
          <w:color w:val="auto"/>
        </w:rPr>
      </w:pPr>
      <w:r>
        <w:rPr>
          <w:rFonts w:ascii="Courier New" w:cs="Courier New" w:eastAsia="Courier New" w:hAnsi="Courier New"/>
          <w:sz w:val="14"/>
          <w:szCs w:val="14"/>
          <w:color w:val="auto"/>
        </w:rPr>
        <w:t>3.9.3 For purposes of this Agreement, a "Change of Control" shall be deemed to have occurred on the date that persons other than Brian L. Roberts and members of his immediate family (or trusts for their benefit) first acquire more than fifty percent (50%) of the voting power over all outstanding voting shares of the Company. The Closing will be a Change of Control.</w:t>
      </w:r>
    </w:p>
    <w:p>
      <w:pPr>
        <w:spacing w:after="0" w:line="162" w:lineRule="exact"/>
        <w:rPr>
          <w:sz w:val="20"/>
          <w:szCs w:val="20"/>
          <w:color w:val="auto"/>
        </w:rPr>
      </w:pPr>
    </w:p>
    <w:p>
      <w:pPr>
        <w:ind w:left="9" w:right="3219" w:firstLine="887"/>
        <w:spacing w:after="0"/>
        <w:rPr>
          <w:sz w:val="20"/>
          <w:szCs w:val="20"/>
          <w:color w:val="auto"/>
        </w:rPr>
      </w:pPr>
      <w:r>
        <w:rPr>
          <w:rFonts w:ascii="Courier New" w:cs="Courier New" w:eastAsia="Courier New" w:hAnsi="Courier New"/>
          <w:sz w:val="15"/>
          <w:szCs w:val="15"/>
          <w:color w:val="auto"/>
        </w:rPr>
        <w:t>3.10 Airplane Use. Subject to priority for business use by the Company's senior executives, Employee will be permitted personal use of Company aircraft during the Base Period for domestic travel, up to a maximum of 40 hours, on the same economic terms (including with respect to cost methodology, cost reimbursement and imputed income) as that made available to the Company's Chief Executive Officer.</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3.11 CIC Funds.</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3.11.1 Upon the earlier of: (i) the end of the Executive Term; or</w:t>
      </w:r>
    </w:p>
    <w:p>
      <w:pPr>
        <w:spacing w:after="0" w:line="3" w:lineRule="exact"/>
        <w:rPr>
          <w:sz w:val="20"/>
          <w:szCs w:val="20"/>
          <w:color w:val="auto"/>
        </w:rPr>
      </w:pPr>
    </w:p>
    <w:p>
      <w:pPr>
        <w:ind w:left="9" w:right="3119" w:hanging="9"/>
        <w:spacing w:after="0"/>
        <w:tabs>
          <w:tab w:leader="none" w:pos="453"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Employee's employment for any reason other than Cause (as defined in Section 4.3), the Company agrees that it, or any of its affiliates, shall purchase the general partnership interest of CIC Partners, LP (the "Partnership Interest") in Comcast Interactive Capital, LP (the "Partnership"), and Employee agrees to use his reasonable best efforts to cause CIC Partners, LP to sell the Partnership Interest to the Company or an affiliate. The sale of the Partnership Interest pursuant to Section 3.11 shall be consummated on the fifth business day following the determination of the fair market value of the Partnership Interest pursuant to Section 3.11.4. The earlier of the dates referred to in (i) and (ii) of the first sentence of this Section 3.11.1 is referred to as the "Termination Date."</w:t>
      </w:r>
    </w:p>
    <w:p>
      <w:pPr>
        <w:spacing w:after="0" w:line="176"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3.11.2 In the event that the Partnership Interest is sold pursuant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0" w:right="1440" w:bottom="1440" w:gutter="0" w:footer="0" w:header="0"/>
        </w:sectPr>
      </w:pPr>
    </w:p>
    <w:bookmarkStart w:id="393" w:name="page394"/>
    <w:bookmarkEnd w:id="393"/>
    <w:p>
      <w:pPr>
        <w:ind w:left="9" w:right="3119"/>
        <w:spacing w:after="0" w:line="259" w:lineRule="auto"/>
        <w:rPr>
          <w:sz w:val="20"/>
          <w:szCs w:val="20"/>
          <w:color w:val="auto"/>
        </w:rPr>
      </w:pPr>
      <w:r>
        <w:rPr>
          <w:rFonts w:ascii="Courier New" w:cs="Courier New" w:eastAsia="Courier New" w:hAnsi="Courier New"/>
          <w:sz w:val="14"/>
          <w:szCs w:val="14"/>
          <w:color w:val="auto"/>
        </w:rPr>
        <w:t>Section 3.11.1, the purchaser shall be admitted to the Partnership and shall replace CIC Partners, LP as the general partner of the Partnership and the Partnership shall not be dissolved as a result of the transfer of the Partnership Interest. Effective as of the date of the sale of the Partnership Interest, the purchaser shall accede to the Limited Partnership Agreement of the Partnership (the "LP Agreement") by executing an amendment to the LP Agreement that accounts for the sale of the Partnership Interest and the admission of the purchaser as the general partner of the Partnership. The purchaser shall make any necessary filings with the appropriate governmental authorities, including the filing of a certificate of amendment to the certificate of limited partnership of the Partnership previously filed with the Secretary of State of the State of Delaware, to reflect the withdrawal of CIC Partners, LP as the general partner of the Partnership in connection with the sale of its interest and the admission of the purchaser, and take such other actions as are necessary under applicable law to effectuate such admission.</w:t>
      </w:r>
    </w:p>
    <w:p>
      <w:pPr>
        <w:spacing w:after="0" w:line="334" w:lineRule="exact"/>
        <w:rPr>
          <w:sz w:val="20"/>
          <w:szCs w:val="20"/>
          <w:color w:val="auto"/>
        </w:rPr>
      </w:pPr>
    </w:p>
    <w:p>
      <w:pPr>
        <w:ind w:left="9" w:right="3119" w:firstLine="1154"/>
        <w:spacing w:after="0" w:line="258" w:lineRule="auto"/>
        <w:rPr>
          <w:sz w:val="20"/>
          <w:szCs w:val="20"/>
          <w:color w:val="auto"/>
        </w:rPr>
      </w:pPr>
      <w:r>
        <w:rPr>
          <w:rFonts w:ascii="Courier New" w:cs="Courier New" w:eastAsia="Courier New" w:hAnsi="Courier New"/>
          <w:sz w:val="14"/>
          <w:szCs w:val="14"/>
          <w:color w:val="auto"/>
        </w:rPr>
        <w:t>3.11.3 Upon the sale of the Partnership Interest pursuant to Section 3.11, CIC Partners, LP shall: (i) cease to be a partner of the Partnership and cease to have any obligations pursuant to the LP Agreement or as a partner of the Partnership, including, but not limited to, the obligation to make capital contributions pursuant to Section 6.1 of the LP Agreement, the obligation to return to the Partnership excess tax distributions pursuant to Section 7.3.3 of the LP Agreement, any obligation to return any amounts to the Partnership under Section 7.6 of the LP Agreement or the obligation to return certain amounts to the Partnership under Section 10.5.2 of the LP Agreement; and</w:t>
      </w:r>
    </w:p>
    <w:p>
      <w:pPr>
        <w:spacing w:after="0" w:line="2" w:lineRule="exact"/>
        <w:rPr>
          <w:sz w:val="20"/>
          <w:szCs w:val="20"/>
          <w:color w:val="auto"/>
        </w:rPr>
      </w:pPr>
    </w:p>
    <w:p>
      <w:pPr>
        <w:ind w:left="9" w:right="3219" w:hanging="9"/>
        <w:spacing w:after="0" w:line="239" w:lineRule="auto"/>
        <w:tabs>
          <w:tab w:leader="none" w:pos="453"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 rights or powers under the LP Agreement other than as specifically provided for in the LP Agreement, including, without limitation, the right to indemnification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31" w:right="1440" w:bottom="1440" w:gutter="0" w:footer="0" w:header="0"/>
        </w:sectPr>
      </w:pPr>
    </w:p>
    <w:bookmarkStart w:id="394" w:name="page395"/>
    <w:bookmarkEnd w:id="394"/>
    <w:p>
      <w:pPr>
        <w:ind w:right="3219"/>
        <w:spacing w:after="0" w:line="260" w:lineRule="auto"/>
        <w:rPr>
          <w:sz w:val="20"/>
          <w:szCs w:val="20"/>
          <w:color w:val="auto"/>
        </w:rPr>
      </w:pPr>
      <w:r>
        <w:rPr>
          <w:rFonts w:ascii="Courier New" w:cs="Courier New" w:eastAsia="Courier New" w:hAnsi="Courier New"/>
          <w:sz w:val="14"/>
          <w:szCs w:val="14"/>
          <w:color w:val="auto"/>
        </w:rPr>
        <w:t>advancement of expenses pursuant to Article 12 of the LP Agreement. The purchaser shall succeed to the obligations of the CIC Partners, LP pursuant to the LP Agreement, including, but not limited to, the obligation to make capital contributions pursuant to Section 6.1 of the LP Agreement, the obligation to return to the Partnership excess tax distributions pursuant to Section 7.3.3 of the LP Agreement and the obligations to return certain amounts to the Partnership pursuant to Section 7.6 and Section 10.5.2 of the LP Agreement.</w:t>
      </w:r>
    </w:p>
    <w:p>
      <w:pPr>
        <w:spacing w:after="0" w:line="163" w:lineRule="exact"/>
        <w:rPr>
          <w:sz w:val="20"/>
          <w:szCs w:val="20"/>
          <w:color w:val="auto"/>
        </w:rPr>
      </w:pPr>
    </w:p>
    <w:p>
      <w:pPr>
        <w:ind w:right="3119" w:firstLine="1154"/>
        <w:spacing w:after="0" w:line="259" w:lineRule="auto"/>
        <w:rPr>
          <w:sz w:val="20"/>
          <w:szCs w:val="20"/>
          <w:color w:val="auto"/>
        </w:rPr>
      </w:pPr>
      <w:r>
        <w:rPr>
          <w:rFonts w:ascii="Courier New" w:cs="Courier New" w:eastAsia="Courier New" w:hAnsi="Courier New"/>
          <w:sz w:val="14"/>
          <w:szCs w:val="14"/>
          <w:color w:val="auto"/>
        </w:rPr>
        <w:t>3.11.4 The purchase price payable to CIC Partners, LP in connection with any sale of the Partnership Interest pursuant to Section 3.11 shall be the fair market value of the Partnership Interest as of the Termination Date, as agreed to by CIC Partners, LP and the Company, which valuation may include a good faith estimate of the goodwill associated with the Partnership's assets, the name of the Partnership and CIC Partners, LP, the Partnership's office records, files and statistical data, and any intangible assets of the Partnership in the nature of or similar to goodwill, and which valuation shall be determined without regard to any costs, fees or expenses payable by the Partnership to any appraiser or appraisal firm pursuant to this Section 3.11; provided, however, that should the Company and CIC Partners, LP not agree on such a valuation within 15 days after the Termination Date, the valuation shall be done by a qualified appraisal firm or a qualified appraiser who has the Independent Chartered Financial Analyst designation and who is mutually agreed to by the Company and CIC Partners, LP; provided, further that should the Company and CIC Partners, LP not agree on such third party within 20 days subsequent to the Termination Date, then each of the Company and CIC Partners, LP shall put forth a nominee that is a qualified appraisal firm 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395" w:name="page396"/>
    <w:bookmarkEnd w:id="395"/>
    <w:p>
      <w:pPr>
        <w:ind w:right="3119"/>
        <w:spacing w:after="0" w:line="259" w:lineRule="auto"/>
        <w:rPr>
          <w:sz w:val="20"/>
          <w:szCs w:val="20"/>
          <w:color w:val="auto"/>
        </w:rPr>
      </w:pPr>
      <w:r>
        <w:rPr>
          <w:rFonts w:ascii="Courier New" w:cs="Courier New" w:eastAsia="Courier New" w:hAnsi="Courier New"/>
          <w:sz w:val="14"/>
          <w:szCs w:val="14"/>
          <w:color w:val="auto"/>
        </w:rPr>
        <w:t>qualified appraiser who has the Independent Chartered Financial Analyst designation, and each of such nominees shall then select a third qualified appraisal firm or qualified appraiser and such third qualified appraisal firm or qualified appraiser shall determine the valuation. No appraisal firm or appraiser determining the valuation pursuant to this Section 3.11 shall be bound by any valuation methodology set forth in Section 14.4 of the LP Agreement. If a qualified appraisal firm or qualified appraiser is used to make such valuation, the Company and CIC Partners, LP shall use commercially reasonable efforts to cause such person to complete such valuation within 45 days of the Termination Date. The cost of any appraisal firm or appraiser shall be paid by the Partnership. The payment of the purchase price to CIC Partners, LP pursuant to this Section 3.11 shall be made in immediately available funds at the time of the sale of the Partnership Interest. At the closing of the sale of the Partnership Interest, CIC Partners, LP and the purchaser of its interest shall execute such transfer documentation as may be reasonably requested in order to consummate the purchase and sale of the Partnership Interest contemplated by this Section 3.11. Upon the sale of the Partnership Interest, the purchaser shall succeed to the Subscription, Contribution and Capital Account of CIC Partners, LP (each as defined in the LP Agreement).</w:t>
      </w:r>
    </w:p>
    <w:p>
      <w:pPr>
        <w:spacing w:after="0" w:line="200" w:lineRule="exact"/>
        <w:rPr>
          <w:sz w:val="20"/>
          <w:szCs w:val="20"/>
          <w:color w:val="auto"/>
        </w:rPr>
      </w:pPr>
    </w:p>
    <w:p>
      <w:pPr>
        <w:spacing w:after="0" w:line="303"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3.11.5 For purposes of Section 3.11, the assets of the Partnership shall be determined as though each of CIC Partners, LP, the partners of CIC Partners, LP, the members of CIC Venture Management, LLC and CIC Development Corp. had remitted to the Partnership immediately prior to the Termination Date, the fees and other remuneration (whether in cash or securities) from portfolio companies of the Partnership</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396" w:name="page397"/>
    <w:bookmarkEnd w:id="396"/>
    <w:p>
      <w:pPr>
        <w:ind w:right="3219"/>
        <w:spacing w:after="0" w:line="238" w:lineRule="auto"/>
        <w:rPr>
          <w:sz w:val="20"/>
          <w:szCs w:val="20"/>
          <w:color w:val="auto"/>
        </w:rPr>
      </w:pPr>
      <w:r>
        <w:rPr>
          <w:rFonts w:ascii="Courier New" w:cs="Courier New" w:eastAsia="Courier New" w:hAnsi="Courier New"/>
          <w:sz w:val="15"/>
          <w:szCs w:val="15"/>
          <w:color w:val="auto"/>
        </w:rPr>
        <w:t>which such persons are obligated pursuant to Section 5.3 of the LP Agreement to remit to the Partnership.</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3.12 Stock Options.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1154"/>
        <w:spacing w:after="0" w:line="259" w:lineRule="auto"/>
        <w:rPr>
          <w:sz w:val="20"/>
          <w:szCs w:val="20"/>
          <w:color w:val="auto"/>
        </w:rPr>
      </w:pPr>
      <w:r>
        <w:rPr>
          <w:rFonts w:ascii="Courier New" w:cs="Courier New" w:eastAsia="Courier New" w:hAnsi="Courier New"/>
          <w:sz w:val="14"/>
          <w:szCs w:val="14"/>
          <w:color w:val="auto"/>
        </w:rPr>
        <w:t>3.12.1 Vesting of Employee's presently outstanding stock options with respect to the Company's Common Stock, as well as the stock option granted pursuant to Section 3.12.2 (collectively, the "Company Options"), and the Common Stock of QVC, Inc. ("QVC") (the "QVC Options," and together with the Company Options, the "Options"), will continue during the Service Period. Upon termination of employment for death or Disability (as such term is defined in Section 4.2), vesting of all of the Company Options will accelerate in full and all such options will remain exercisable for their remaining respective terms, per the Option Election Form of Employee dated September 25, 2001 made in connection with the existing agreement between the Company and Employee on this subject. Upon termination of employment at the end of the Seven Year Period, all of the Company Options will accelerate in full and all such options will remain exercisable for their remaining respective terms. Otherwise, the Options will vest, and remain exercisable with respect to vested shares, as set forth herein or in the existing option plans and grant documentation. Except as set forth in Section 3.12.2, Employee shall not be granted any additional Company Options. Employee shall not be granted any additional QVC Options, except pursuant to the "reload" of QVC Options with respect to shares of the Common Stock of QVC acquired upon option exercise and then redeemed during the Base Period.</w:t>
      </w:r>
    </w:p>
    <w:p>
      <w:pPr>
        <w:spacing w:after="0" w:line="333" w:lineRule="exact"/>
        <w:rPr>
          <w:sz w:val="20"/>
          <w:szCs w:val="20"/>
          <w:color w:val="auto"/>
        </w:rPr>
      </w:pPr>
    </w:p>
    <w:p>
      <w:pPr>
        <w:ind w:right="3119" w:firstLine="1154"/>
        <w:spacing w:after="0" w:line="239" w:lineRule="auto"/>
        <w:rPr>
          <w:sz w:val="20"/>
          <w:szCs w:val="20"/>
          <w:color w:val="auto"/>
        </w:rPr>
      </w:pPr>
      <w:r>
        <w:rPr>
          <w:rFonts w:ascii="Courier New" w:cs="Courier New" w:eastAsia="Courier New" w:hAnsi="Courier New"/>
          <w:sz w:val="15"/>
          <w:szCs w:val="15"/>
          <w:color w:val="auto"/>
        </w:rPr>
        <w:t>3.12.2 As soon as practicable after the date hereof, Employee shall be granted a non-qualified stock option to purchase 500,000 shares of the Company's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0" w:right="1440" w:bottom="1440" w:gutter="0" w:footer="0" w:header="0"/>
        </w:sectPr>
      </w:pPr>
    </w:p>
    <w:bookmarkStart w:id="397" w:name="page398"/>
    <w:bookmarkEnd w:id="397"/>
    <w:p>
      <w:pPr>
        <w:ind w:right="3219"/>
        <w:spacing w:after="0"/>
        <w:rPr>
          <w:sz w:val="20"/>
          <w:szCs w:val="20"/>
          <w:color w:val="auto"/>
        </w:rPr>
      </w:pPr>
      <w:r>
        <w:rPr>
          <w:rFonts w:ascii="Courier New" w:cs="Courier New" w:eastAsia="Courier New" w:hAnsi="Courier New"/>
          <w:sz w:val="15"/>
          <w:szCs w:val="15"/>
          <w:color w:val="auto"/>
        </w:rPr>
        <w:t>Class A Special Common Stock. Such options shall have a term of ten (10) years and shall vest and become exercisable as follows: 10% on the second anniversary date of the date of grant; 20% on each of the third to sixth anniversary dates of the date of grant; and 10% on the six year and six month anniversary date of the date of grant.</w:t>
      </w:r>
    </w:p>
    <w:p>
      <w:pPr>
        <w:spacing w:after="0" w:line="174"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3.13 Life Insurance. The Split-Dollar Arrangements will remain in effect pursuant to their present terms (including with respect to the payment of premiums, premiums bonuses and tax-gross ups (if any)), provided that the Company will use commercially reasonable efforts to cooperate with Employee's requests to restructure the Split-Dollar Arrangements to improve the terms thereof as they relate to Employee, provided further that the Company will have no obligation to effect any change thereto that will result in any additional net after-tax cost to or other additional obligation of the Company. Employee's reasonable out-of-pocket expenses incurred in connection with such restructuring (including counsel and consultant fees) will be paid by the Company.</w:t>
      </w:r>
    </w:p>
    <w:p>
      <w:pPr>
        <w:spacing w:after="0" w:line="336" w:lineRule="exact"/>
        <w:rPr>
          <w:sz w:val="20"/>
          <w:szCs w:val="20"/>
          <w:color w:val="auto"/>
        </w:rPr>
      </w:pPr>
    </w:p>
    <w:p>
      <w:pPr>
        <w:ind w:right="3299" w:firstLine="435"/>
        <w:spacing w:after="0" w:line="238" w:lineRule="auto"/>
        <w:tabs>
          <w:tab w:leader="none" w:pos="71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Employee's services hereunder may be terminated under the following circumstances:</w:t>
      </w:r>
    </w:p>
    <w:p>
      <w:pPr>
        <w:spacing w:after="0" w:line="175"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4.1 Death. Employee's services hereunder shall terminate automatically upon his death.</w:t>
      </w:r>
    </w:p>
    <w:p>
      <w:pPr>
        <w:spacing w:after="0" w:line="175"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4.2 Disability. In the event Employee becomes unable to perform Employee's duties hereunder due to partial or total disability or incapacity resulting from a mental or physical illness, injury or health-related cause ("Disability") for a period of nine (9) consecutive months or for a cumulative period of forty five (45) weeks, the Company may terminate Employee's services.</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4.3 Cause. The Company may terminate Employee's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398" w:name="page399"/>
    <w:bookmarkEnd w:id="398"/>
    <w:p>
      <w:pPr>
        <w:ind w:right="3119"/>
        <w:spacing w:after="0" w:line="259" w:lineRule="auto"/>
        <w:rPr>
          <w:sz w:val="20"/>
          <w:szCs w:val="20"/>
          <w:color w:val="auto"/>
        </w:rPr>
      </w:pPr>
      <w:r>
        <w:rPr>
          <w:rFonts w:ascii="Courier New" w:cs="Courier New" w:eastAsia="Courier New" w:hAnsi="Courier New"/>
          <w:sz w:val="14"/>
          <w:szCs w:val="14"/>
          <w:color w:val="auto"/>
        </w:rPr>
        <w:t>hereunder for Cause. For purposes of this Agreement, the Company shall have "Cause" to terminate Employee's services hereunder at any time upon: (i) either the willful and continued failure by Employee to substantially perform his duties hereunder or the willful failure of Employee to comply with the material provisions of the Company's Code of Ethics and Business Conduct (other than a failure resulting from Employee's incapacity due to physical or mental illness) for a period of sixty (60) days after written demand for substantial performance or compliance is delivered by the Company specifically identifying the manner in which the Company believes Employee has not substantially performed his duties or has not complied; (ii) the commission by Employee of an act of fraud or embezzlement against the Company; (iii) the willful breach by Employee of any material provision of this Agreement; or (iv) Employee's failure to resign as the manager of the CIC Funds upon the first to occur of: (A) Employee's termination of employment hereunder for any reason or (B) the end of the Executive Term. For purposes of this Section 4.3, no act, or failure to act, on Employee's part shall be considered "willful" if resulting from Employee's incapacity due to physical or mental illness or unless done, or omitted to be done, by him not in good faith and without reasonable belief that his action or omission was in the best interests of the Company.</w:t>
      </w:r>
    </w:p>
    <w:p>
      <w:pPr>
        <w:spacing w:after="0" w:line="333" w:lineRule="exact"/>
        <w:rPr>
          <w:sz w:val="20"/>
          <w:szCs w:val="20"/>
          <w:color w:val="auto"/>
        </w:rPr>
      </w:pPr>
    </w:p>
    <w:p>
      <w:pPr>
        <w:ind w:right="3119" w:firstLine="799"/>
        <w:spacing w:after="0" w:line="271" w:lineRule="auto"/>
        <w:rPr>
          <w:sz w:val="20"/>
          <w:szCs w:val="20"/>
          <w:color w:val="auto"/>
        </w:rPr>
      </w:pPr>
      <w:r>
        <w:rPr>
          <w:rFonts w:ascii="Courier New" w:cs="Courier New" w:eastAsia="Courier New" w:hAnsi="Courier New"/>
          <w:sz w:val="14"/>
          <w:szCs w:val="14"/>
          <w:color w:val="auto"/>
        </w:rPr>
        <w:t>4.4 Retirement. Employee may retire from employment hereunder by giving at least thirty (30) days of advance written notice thereof to the Company.</w:t>
      </w:r>
    </w:p>
    <w:p>
      <w:pPr>
        <w:spacing w:after="0" w:line="15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4.5 Without Cause. The Company may terminate Employee's employment without Cause hereunder by giving at least thirty (30) days of advance written notice thereof to Employee.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4.6 Notice of Termination. Any termination of Employee's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399" w:name="page400"/>
    <w:bookmarkEnd w:id="399"/>
    <w:p>
      <w:pPr>
        <w:ind w:right="3219"/>
        <w:spacing w:after="0" w:line="260" w:lineRule="auto"/>
        <w:rPr>
          <w:sz w:val="20"/>
          <w:szCs w:val="20"/>
          <w:color w:val="auto"/>
        </w:rPr>
      </w:pPr>
      <w:r>
        <w:rPr>
          <w:rFonts w:ascii="Courier New" w:cs="Courier New" w:eastAsia="Courier New" w:hAnsi="Courier New"/>
          <w:sz w:val="14"/>
          <w:szCs w:val="14"/>
          <w:color w:val="auto"/>
        </w:rPr>
        <w:t>employment by the Company (other than termination upon his death) shall be communicated by written Notice of Termination to Employee. For purposes of this Agreement, a "Notice of Termination" shall mean a notice which indicates the specific termination provision in this Agreement relied upon and sets forth in reasonable detail the facts and circumstances claimed to provide a basis for termination of Employee's employment under the provision so indicated.</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4.7 Date of Termination. "Date of Termination" shall mean: (i) if Employee's employment is terminated by his death or retirement, the date of his death or retirement; (ii) if Employee's employment is terminated without Cause, thirty (30) days after delivery of Notice of Termination from the Company; (iii) if Employee's employment is terminated for Disability pursuant to Section 4.2, thirty (30) days after delivery of Notice of Termination is given provided that Employee shall not have returned to the performance of his duties during such thirty (30) day period; or (iv) if Employee's employment is terminated for Cause pursuant to Section 4.3, the date specified in the Notice of Termination; provided that if within thirty (30) days after a Notice of Termination under subsection (iii) or (iv) is given, Employee notifies the Company that he disputes the termination, the Date of Termination shall be the date on which the dispute is finally determined, either by mutual written agreement of the parties, by a binding and final arbitration award or by a final judgment, order or decree of a court of competent jurisdiction (the time of appeal therefrom having expired and no appeal having been perfected).</w:t>
      </w:r>
    </w:p>
    <w:p>
      <w:pPr>
        <w:spacing w:after="0" w:line="180" w:lineRule="exact"/>
        <w:rPr>
          <w:sz w:val="20"/>
          <w:szCs w:val="20"/>
          <w:color w:val="auto"/>
        </w:rPr>
      </w:pPr>
    </w:p>
    <w:p>
      <w:pPr>
        <w:ind w:left="700" w:hanging="265"/>
        <w:spacing w:after="0"/>
        <w:tabs>
          <w:tab w:leader="none" w:pos="700"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Upon Termination.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5.1 If Employee's employment is terminated by reason of his death,</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0" w:right="1440" w:bottom="1440" w:gutter="0" w:footer="0" w:header="0"/>
        </w:sectPr>
      </w:pPr>
    </w:p>
    <w:bookmarkStart w:id="400" w:name="page401"/>
    <w:bookmarkEnd w:id="400"/>
    <w:p>
      <w:pPr>
        <w:ind w:right="3119"/>
        <w:spacing w:after="0"/>
        <w:rPr>
          <w:sz w:val="20"/>
          <w:szCs w:val="20"/>
          <w:color w:val="auto"/>
        </w:rPr>
      </w:pPr>
      <w:r>
        <w:rPr>
          <w:rFonts w:ascii="Courier New" w:cs="Courier New" w:eastAsia="Courier New" w:hAnsi="Courier New"/>
          <w:sz w:val="15"/>
          <w:szCs w:val="15"/>
          <w:color w:val="auto"/>
        </w:rPr>
        <w:t>the Company shall continue to pay to Employee's surviving spouse, if any, Employee's then current base salary per annum amount (without increase or decrease thereafter), on a monthly basis, less any required withholdings, for a period of five (5) years, provided that such payments to Employee's surviving spouse shall cease with the payment due immediately following her death. In addition, the Company shall be obligated to provide to Employee's spouse during her lifetime health care benefits on the basis set forth in Section 3.4.2. These death benefits shall be in addition to any other payments Employee's spouse, beneficiaries or estate may be entitled to receive under any of the Company's benefit plans or arrangements or pursuant to this Agreement, including pursuant to the Executive Cash Bonus Plan. The Company shall have no further obligations to Employee, other than pursuant to the terms of this Agreement, the requirements of law and vested rights under any of the Company's benefit plans or arrangements.</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5.2 During any period following Employee's failure to perform his duties hereunder as a result of his Disability but prior to any Date of Termination pursuant to Section 4.2, Employee shall continue to receive his base salary, as well as any other benefits and Perquisites he may be entitled to receive under any of the Company's benefit plans or arrangements or pursuant to this Agreement, including pursuant to the Executive Cash Bonus Plan. After the Date of Termination pursuant to Section 4.2: (i) the Company shall continue to pay Employee his then current base salary per annum amount (without increase or decrease thereafter), on a monthly basis, until the first to occur of: (A) a period of five (5) years; or (B) the end of the Seven Year Period (the "Disability Payment Period"); (ii) Employee will continue to receive the Perquisites</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0" w:right="1440" w:bottom="1440" w:gutter="0" w:footer="0" w:header="0"/>
        </w:sectPr>
      </w:pPr>
    </w:p>
    <w:bookmarkStart w:id="401" w:name="page402"/>
    <w:bookmarkEnd w:id="401"/>
    <w:p>
      <w:pPr>
        <w:ind w:right="3119"/>
        <w:spacing w:after="0" w:line="259" w:lineRule="auto"/>
        <w:rPr>
          <w:sz w:val="20"/>
          <w:szCs w:val="20"/>
          <w:color w:val="auto"/>
        </w:rPr>
      </w:pPr>
      <w:r>
        <w:rPr>
          <w:rFonts w:ascii="Courier New" w:cs="Courier New" w:eastAsia="Courier New" w:hAnsi="Courier New"/>
          <w:sz w:val="14"/>
          <w:szCs w:val="14"/>
          <w:color w:val="auto"/>
        </w:rPr>
        <w:t>through the remainder of the Disability Payment Period; (iii) Employee will be entitled to participate in the Company's post-retirement health and welfare benefit plan based upon service years with the Company through the Date of Termination; and (iv) the Company shall have no further obligations to Employee, other than pursuant to the terms of this Agreement, the requirements of law and vested rights under any of the Company's benefit plans or arrangements. In the event Employee dies before the end of the Disability Payment Period, his surviving spouse, if any, shall be entitled to receive: (1) such base salary payments for the period ending five (5) years after such termination, provided that these payments shall cease with the payment due immediately following her death; and (2) during her lifetime health care benefits on the basis set forth in Section 3.4.2. These death benefits shall be in addition to any other payments Employee's spouse, beneficiaries or estate may be entitled to receive under any of the Company's benefit plans or arrangements or pursuant to this Agreement, including pursuant to the Executive Cash Bonus Plan.</w:t>
      </w:r>
    </w:p>
    <w:p>
      <w:pPr>
        <w:spacing w:after="0" w:line="33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5.3 If Employee's employment is terminated for Cause, the Company shall pay Employee his then current base salary due through the Date of Termination and the Company shall have no further obligations to Employee, other than pursuant to the requirements of law and vested rights under any of the Company's benefit plans or arrangements.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5.4 If the Company terminates Employee's employment pursuant to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 (i.e., without Cause), then:</w:t>
      </w:r>
    </w:p>
    <w:p>
      <w:pPr>
        <w:spacing w:after="0" w:line="174" w:lineRule="exact"/>
        <w:rPr>
          <w:sz w:val="20"/>
          <w:szCs w:val="20"/>
          <w:color w:val="auto"/>
        </w:rPr>
      </w:pPr>
    </w:p>
    <w:p>
      <w:pPr>
        <w:ind w:right="3119" w:firstLine="1411"/>
        <w:spacing w:after="0" w:line="239" w:lineRule="auto"/>
        <w:tabs>
          <w:tab w:leader="none" w:pos="1775"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as severance pay to Employee, on a monthly basis (or, in the case of amounts payable under the Executive Cash Bonus Plan,</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0" w:right="1440" w:bottom="1440" w:gutter="0" w:footer="0" w:header="0"/>
        </w:sectPr>
      </w:pPr>
    </w:p>
    <w:bookmarkStart w:id="402" w:name="page403"/>
    <w:bookmarkEnd w:id="402"/>
    <w:p>
      <w:pPr>
        <w:ind w:right="3119"/>
        <w:spacing w:after="0"/>
        <w:rPr>
          <w:sz w:val="20"/>
          <w:szCs w:val="20"/>
          <w:color w:val="auto"/>
        </w:rPr>
      </w:pPr>
      <w:r>
        <w:rPr>
          <w:rFonts w:ascii="Courier New" w:cs="Courier New" w:eastAsia="Courier New" w:hAnsi="Courier New"/>
          <w:sz w:val="15"/>
          <w:szCs w:val="15"/>
          <w:color w:val="auto"/>
        </w:rPr>
        <w:t>on the basis provided in such Plan), for the remainder of the Seven Year Period, an annual amount equal to Employee's base salary at the highest per annum amount in effect at any time during the portion of the Service Period preceding the date of termination, and any amounts that otherwise would have been payable under the Executive Cash Bonus Plan; provided that should Employee die before the end of the Seven Year Period, Employee's surviving spouse shall be entitled to the death benefits provided in Section 5.1 as if Employee's employment had then been terminated by reason of his death;</w:t>
      </w:r>
    </w:p>
    <w:p>
      <w:pPr>
        <w:spacing w:after="0" w:line="177" w:lineRule="exact"/>
        <w:rPr>
          <w:sz w:val="20"/>
          <w:szCs w:val="20"/>
          <w:color w:val="auto"/>
        </w:rPr>
      </w:pPr>
    </w:p>
    <w:p>
      <w:pPr>
        <w:ind w:right="3119" w:firstLine="1411"/>
        <w:spacing w:after="0" w:line="260" w:lineRule="auto"/>
        <w:tabs>
          <w:tab w:leader="none" w:pos="1864"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for the remaining Seven Year Period health care benefits, at the election of Employee, on the basis set forth in Section 3.4.2 or by making available private health insurance providing health care benefits reasonably comparable to those available to employees to Employee and his wife; thereafter, Employee shall be entitled to participate in the Company's post-retirement health and welfare benefit plan based upon service years with the Company including the years during the Seven Year Period;</w:t>
      </w:r>
    </w:p>
    <w:p>
      <w:pPr>
        <w:spacing w:after="0" w:line="162" w:lineRule="exact"/>
        <w:rPr>
          <w:rFonts w:ascii="Courier New" w:cs="Courier New" w:eastAsia="Courier New" w:hAnsi="Courier New"/>
          <w:sz w:val="14"/>
          <w:szCs w:val="14"/>
          <w:color w:val="auto"/>
        </w:rPr>
      </w:pPr>
    </w:p>
    <w:p>
      <w:pPr>
        <w:ind w:right="3479" w:firstLine="1411"/>
        <w:spacing w:after="0" w:line="271" w:lineRule="auto"/>
        <w:tabs>
          <w:tab w:leader="none" w:pos="1952"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the Options will accelerate and the Options will remain outstanding for the remainder of their respective terms;</w:t>
      </w:r>
    </w:p>
    <w:p>
      <w:pPr>
        <w:spacing w:after="0" w:line="153" w:lineRule="exact"/>
        <w:rPr>
          <w:rFonts w:ascii="Courier New" w:cs="Courier New" w:eastAsia="Courier New" w:hAnsi="Courier New"/>
          <w:sz w:val="14"/>
          <w:szCs w:val="14"/>
          <w:color w:val="auto"/>
        </w:rPr>
      </w:pPr>
    </w:p>
    <w:p>
      <w:pPr>
        <w:ind w:right="3299" w:firstLine="1411"/>
        <w:spacing w:after="0" w:line="238" w:lineRule="auto"/>
        <w:tabs>
          <w:tab w:leader="none" w:pos="1864"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will continue to receive the Perquisites through the remainder of the Service Period;</w:t>
      </w:r>
    </w:p>
    <w:p>
      <w:pPr>
        <w:spacing w:after="0" w:line="174" w:lineRule="exact"/>
        <w:rPr>
          <w:rFonts w:ascii="Courier New" w:cs="Courier New" w:eastAsia="Courier New" w:hAnsi="Courier New"/>
          <w:sz w:val="15"/>
          <w:szCs w:val="15"/>
          <w:color w:val="auto"/>
        </w:rPr>
      </w:pPr>
    </w:p>
    <w:p>
      <w:pPr>
        <w:ind w:right="3119" w:firstLine="1411"/>
        <w:spacing w:after="0" w:line="239" w:lineRule="auto"/>
        <w:tabs>
          <w:tab w:leader="none" w:pos="1775"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reimburse Employee for the remaining Seven Year Period for the cost of obtaining office space and secretarial support comparable to that previously provided by the Company pursuant to Section 2.3; and</w:t>
      </w:r>
    </w:p>
    <w:p>
      <w:pPr>
        <w:spacing w:after="0" w:line="176" w:lineRule="exact"/>
        <w:rPr>
          <w:rFonts w:ascii="Courier New" w:cs="Courier New" w:eastAsia="Courier New" w:hAnsi="Courier New"/>
          <w:sz w:val="15"/>
          <w:szCs w:val="15"/>
          <w:color w:val="auto"/>
        </w:rPr>
      </w:pPr>
    </w:p>
    <w:p>
      <w:pPr>
        <w:ind w:right="3219" w:firstLine="1411"/>
        <w:spacing w:after="0" w:line="239" w:lineRule="auto"/>
        <w:tabs>
          <w:tab w:leader="none" w:pos="1864"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no further obligations to Employee other than pursuant to the terms of this Agreement, the requirements of law and vested</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0"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5"/>
          <w:szCs w:val="15"/>
          <w:color w:val="auto"/>
        </w:rPr>
        <w:t>rights under any of the Company's benefit plans or arrangements.</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5.5 If Employee terminates his employment as a result of retirement pursuant to Section 4.4, then:</w:t>
      </w:r>
    </w:p>
    <w:p>
      <w:pPr>
        <w:spacing w:after="0" w:line="175" w:lineRule="exact"/>
        <w:rPr>
          <w:sz w:val="20"/>
          <w:szCs w:val="20"/>
          <w:color w:val="auto"/>
        </w:rPr>
      </w:pPr>
    </w:p>
    <w:p>
      <w:pPr>
        <w:ind w:right="3299" w:firstLine="1411"/>
        <w:spacing w:after="0" w:line="239" w:lineRule="auto"/>
        <w:tabs>
          <w:tab w:leader="none" w:pos="1775"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be entitled to participate in the Company's post-retirement health and welfare benefit plan based upon service years with the Company through the date of termination of employment;</w:t>
      </w:r>
    </w:p>
    <w:p>
      <w:pPr>
        <w:spacing w:after="0" w:line="175" w:lineRule="exact"/>
        <w:rPr>
          <w:rFonts w:ascii="Courier New" w:cs="Courier New" w:eastAsia="Courier New" w:hAnsi="Courier New"/>
          <w:sz w:val="15"/>
          <w:szCs w:val="15"/>
          <w:color w:val="auto"/>
        </w:rPr>
      </w:pPr>
    </w:p>
    <w:p>
      <w:pPr>
        <w:ind w:right="3479" w:firstLine="1411"/>
        <w:spacing w:after="0" w:line="238" w:lineRule="auto"/>
        <w:tabs>
          <w:tab w:leader="none" w:pos="1864"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of Options will accelerate and the Options will remain outstanding for the remainder of their respective terms;</w:t>
      </w:r>
    </w:p>
    <w:p>
      <w:pPr>
        <w:spacing w:after="0" w:line="174" w:lineRule="exact"/>
        <w:rPr>
          <w:rFonts w:ascii="Courier New" w:cs="Courier New" w:eastAsia="Courier New" w:hAnsi="Courier New"/>
          <w:sz w:val="15"/>
          <w:szCs w:val="15"/>
          <w:color w:val="auto"/>
        </w:rPr>
      </w:pPr>
    </w:p>
    <w:p>
      <w:pPr>
        <w:ind w:right="3219" w:firstLine="1411"/>
        <w:spacing w:after="0" w:line="238" w:lineRule="auto"/>
        <w:tabs>
          <w:tab w:leader="none" w:pos="1952"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will continue to receive the Perquisites through the remainder of the Service Period; and</w:t>
      </w:r>
    </w:p>
    <w:p>
      <w:pPr>
        <w:spacing w:after="0" w:line="174" w:lineRule="exact"/>
        <w:rPr>
          <w:rFonts w:ascii="Courier New" w:cs="Courier New" w:eastAsia="Courier New" w:hAnsi="Courier New"/>
          <w:sz w:val="15"/>
          <w:szCs w:val="15"/>
          <w:color w:val="auto"/>
        </w:rPr>
      </w:pPr>
    </w:p>
    <w:p>
      <w:pPr>
        <w:ind w:right="3219" w:firstLine="1411"/>
        <w:spacing w:after="0" w:line="239" w:lineRule="auto"/>
        <w:tabs>
          <w:tab w:leader="none" w:pos="1864"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no further obligations to Employee other than pursuant to the terms of this Agreement, the requirements of law and vested rights under any of the Company's benefit plans or arrangements.</w:t>
      </w:r>
    </w:p>
    <w:p>
      <w:pPr>
        <w:spacing w:after="0" w:line="175"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5.6 Employee shall not be required to mitigate the amount of any payment provided for in this Section 5 by seeking other employment or otherwise, nor shall the amount of any payment provided for in this Section 5 be reduced by any income received by Employee from any other source after termination.</w:t>
      </w:r>
    </w:p>
    <w:p>
      <w:pPr>
        <w:spacing w:after="0" w:line="161" w:lineRule="exact"/>
        <w:rPr>
          <w:sz w:val="20"/>
          <w:szCs w:val="20"/>
          <w:color w:val="auto"/>
        </w:rPr>
      </w:pPr>
    </w:p>
    <w:p>
      <w:pPr>
        <w:ind w:right="3119" w:firstLine="435"/>
        <w:spacing w:after="0" w:line="261" w:lineRule="auto"/>
        <w:tabs>
          <w:tab w:leader="none" w:pos="710"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Statements. During or at any time after the Service Period during which Employee is receiving any benefits from the Company: (i) Employee shall use reasonable efforts to promote the goodwill of the Company in Employee's public statements; and (ii) the Company shall use reasonable efforts to promote the goodwill of Employee or his spouse in the Company's public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404" w:name="page405"/>
    <w:bookmarkEnd w:id="404"/>
    <w:p>
      <w:pPr>
        <w:ind w:left="700" w:hanging="265"/>
        <w:spacing w:after="0"/>
        <w:tabs>
          <w:tab w:leader="none" w:pos="70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Confidentiality.</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During the Service Period and for a period of two (2) years</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thereafter, Employee shall not, directly or indirectly, solicit, induce, encourage, or attempt to influence any client, customer, employee, consultant, independent contractor, subscriber, service provider, salesman or supplier of the Company to cease to do business or to terminate the employment or other relationship with the Company.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7.2 During the Service Period and for a period of two (2) years thereafter, Employee shall not, directly or indirectly, purchase (other than for personal use) goods, services or programming from material suppliers of Company similar to those purchased by Company if the effect of any such purchase shall cause the Company the denial of or delay in the receipt of such goods, services or programming.</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7.3 DURING THE SERVICE PERIOD AND, PROVIDED EMPLOYMENT WAS NOT TERMINATED BY THE COMPANY WITHOUT CAUSE, FOR A PERIOD OF TWO (2) YEARS THEREAFTER, EMPLOYEE SHALL NOT, DIRECTLY OR INDIRECTLY, ENGAGE IN (AS A PRINCIPAL, PARTNER, DIRECTOR, OFFICER, AGENT, EMPLOYEE, NON-EXECUTIVE, OWNER, INDEPENDENT CONTRACTOR, CONSULTANT OR OTHERWISE) OR BE FINANCIALLY INTERESTED IN ANY BUSINESS IN COMPETITION WITH THE BUSINESS ACTIVITIES CARRIED ON BY THE COMPANY IN ANY AREA, OR BEING PLANNED BY THE COMPANY (TO EMPLOYEE'S KNOWLEDGE) DURING OR AT THE TIME OF TERMINATION OF EMPLOYMENT. THE FOLLOWING WILL BE DEEMED TO BE BUSINESSES IN COMPETITION WITH THE COMPANY: THE DISTRIBUTION OF VIDEO PROGRAMMING TO</w:t>
      </w:r>
    </w:p>
    <w:p>
      <w:pPr>
        <w:spacing w:after="0" w:line="200" w:lineRule="exact"/>
        <w:rPr>
          <w:sz w:val="20"/>
          <w:szCs w:val="20"/>
          <w:color w:val="auto"/>
        </w:rPr>
      </w:pP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69" w:right="1440" w:bottom="1440" w:gutter="0" w:footer="0" w:header="0"/>
        </w:sectPr>
      </w:pPr>
    </w:p>
    <w:bookmarkStart w:id="405" w:name="page406"/>
    <w:bookmarkEnd w:id="405"/>
    <w:p>
      <w:pPr>
        <w:ind w:right="3219"/>
        <w:spacing w:after="0" w:line="260" w:lineRule="auto"/>
        <w:rPr>
          <w:sz w:val="20"/>
          <w:szCs w:val="20"/>
          <w:color w:val="auto"/>
        </w:rPr>
      </w:pPr>
      <w:r>
        <w:rPr>
          <w:rFonts w:ascii="Courier New" w:cs="Courier New" w:eastAsia="Courier New" w:hAnsi="Courier New"/>
          <w:sz w:val="14"/>
          <w:szCs w:val="14"/>
          <w:color w:val="auto"/>
        </w:rPr>
        <w:t>RESIDENTIAL OR COMMERICAL SUBSCRIBERS BY ANY TECHNOLOGY; THE TRANSPORT OF DATA TO AND/OR FROM RESIDENTIAL OR COMMERCIAL SUBSCRIBERS BY ANY TECHNOLOGY; AND THE PROVISION OF RESIDENTIAL OR COMMERICAL TELECOMMUNICATIONS SERVICES BY ANY TECHNOLOGY. NOTHING HEREIN SHALL PREVENT EMPLOYEE FROM OWNING FOR INVESTMENT UP TO FIVE PERCENT (5%) OF ANY CLASS OF EQUITY SECURITY OF AN ENTITY WHOSE SECURITIES ARE TRADED ON A NATIONAL SECURITIES EXCHANGE OR MARKET.</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7.4 During the Service Period and at all times thereafter, Employee shall not, directly or indirectly, use for Employee's personal benefit, or disclose, communicate or divulge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This confidential information includes, but is not limited to: business, marketing, legal or accounting methods, policies, plans, procedures, strategies or techniques; research or development projects or results; software and firmware; trade secrets or other knowledge or processes of or developed by the Company; names and addresses of employees, suppliers or customers; and any data on or relating to past, present or prospective customers, including customer lists. Employee confirms that such confidential information constitutes the exclusive property of the Company, and agrees that, immediately upon Employee's termination of employment for any reason, Employee shall deliver to the Company all correspondence, documents,</w:t>
      </w: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406" w:name="page407"/>
    <w:bookmarkEnd w:id="406"/>
    <w:p>
      <w:pPr>
        <w:ind w:left="9" w:right="3299"/>
        <w:spacing w:after="0"/>
        <w:rPr>
          <w:sz w:val="20"/>
          <w:szCs w:val="20"/>
          <w:color w:val="auto"/>
        </w:rPr>
      </w:pPr>
      <w:r>
        <w:rPr>
          <w:rFonts w:ascii="Courier New" w:cs="Courier New" w:eastAsia="Courier New" w:hAnsi="Courier New"/>
          <w:sz w:val="15"/>
          <w:szCs w:val="15"/>
          <w:color w:val="auto"/>
        </w:rPr>
        <w:t>books, records, lists and other materials relating to the Company's business, other than Employee's personal records, regardless of the medium in which such confidential information is maintained; and Employee shall retain no copies in any medium, regardless of where or by whom such confidential information was kept or prepared. Nothing herein shall prevent Employee from complying with a valid subpoena or other legal requirement for disclosure of information, provided that Employee shall notify the Company promptly and in advance of disclosure if Employee believes Employee is under a legal requirement to disclose confidential information.</w:t>
      </w:r>
    </w:p>
    <w:p>
      <w:pPr>
        <w:spacing w:after="0" w:line="177"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7.5 Employee acknowledges that the restrictions contained in this Section 7, in view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w:t>
      </w:r>
    </w:p>
    <w:p>
      <w:pPr>
        <w:spacing w:after="0" w:line="1" w:lineRule="exact"/>
        <w:rPr>
          <w:sz w:val="20"/>
          <w:szCs w:val="20"/>
          <w:color w:val="auto"/>
        </w:rPr>
      </w:pPr>
    </w:p>
    <w:p>
      <w:pPr>
        <w:ind w:left="9" w:right="3299" w:hanging="9"/>
        <w:spacing w:after="0"/>
        <w:tabs>
          <w:tab w:leader="none" w:pos="453"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damages from Employee;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74"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7.6 Employee agrees that if any portion of the restrictions contained in this Section 7, or the application thereof, is construed to be invalid or unenforceable, the remainder of such restriction or restrictions or the application thereof shall not be affected</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31" w:right="1440" w:bottom="1440" w:gutter="0" w:footer="0" w:header="0"/>
        </w:sectPr>
      </w:pPr>
    </w:p>
    <w:bookmarkStart w:id="407" w:name="page408"/>
    <w:bookmarkEnd w:id="407"/>
    <w:p>
      <w:pPr>
        <w:ind w:right="3119"/>
        <w:spacing w:after="0"/>
        <w:rPr>
          <w:sz w:val="20"/>
          <w:szCs w:val="20"/>
          <w:color w:val="auto"/>
        </w:rPr>
      </w:pPr>
      <w:r>
        <w:rPr>
          <w:rFonts w:ascii="Courier New" w:cs="Courier New" w:eastAsia="Courier New" w:hAnsi="Courier New"/>
          <w:sz w:val="15"/>
          <w:szCs w:val="15"/>
          <w:color w:val="auto"/>
        </w:rPr>
        <w:t>and the remaining restriction or restrictions will then be given full force and effect without regard to the invalid or unenforceable portions. If any restriction is held to be unenforceable because of the geographic area covered, the duration thereof or the scope thereof, Employee agrees that the court making such determination shall have the power to reduce the area and/or the duration, and/or limit the scope thereof, and the restriction shall then be enforceable in its reduced form. If Employee violates any such restrictions, the period of such violation (from the commencement of any such violation until such time as such violation shall be cured by Employee to the satisfaction of the Company) shall not count toward or be included in the restrictive period contained in the applicable subsection above.</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7.7 Any and all obligations of Employee under this Section 7 shall terminate immediately upon the Company's material breach of any provision of this Agreement, it being agreed that the Company's failure to comply with any of its economic obligations hereunder shall be deemed for this purpose to be a material breach.</w:t>
      </w:r>
    </w:p>
    <w:p>
      <w:pPr>
        <w:spacing w:after="0" w:line="172" w:lineRule="exact"/>
        <w:rPr>
          <w:sz w:val="20"/>
          <w:szCs w:val="20"/>
          <w:color w:val="auto"/>
        </w:rPr>
      </w:pPr>
    </w:p>
    <w:p>
      <w:pPr>
        <w:ind w:left="700" w:hanging="265"/>
        <w:spacing w:after="0"/>
        <w:tabs>
          <w:tab w:leader="none" w:pos="70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Related Companies; Binding Agreement.</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8.1 The Company will require any successor (whether direct or indirect, by purchase, merger, consolidation or otherwise) to all or substantially all of the business and/or assets of the Company, by written agreement, to expressly assume and agree to perform this Agreement in the same manner and to the same extent that the Company would be required to perform it if no such succession had taken place. In the event of the Closing, this Agreement will be assumed by AT&amp;T Comcast Corporation as the successor to the Company pursuant to the preceding sentence. Failure of the Company to obtain such agreement prior to the effectiveness of any such succession shall</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0" w:right="1440" w:bottom="1440" w:gutter="0" w:footer="0" w:header="0"/>
        </w:sectPr>
      </w:pPr>
    </w:p>
    <w:bookmarkStart w:id="408" w:name="page409"/>
    <w:bookmarkEnd w:id="408"/>
    <w:p>
      <w:pPr>
        <w:ind w:right="3119"/>
        <w:spacing w:after="0"/>
        <w:rPr>
          <w:sz w:val="20"/>
          <w:szCs w:val="20"/>
          <w:color w:val="auto"/>
        </w:rPr>
      </w:pPr>
      <w:r>
        <w:rPr>
          <w:rFonts w:ascii="Courier New" w:cs="Courier New" w:eastAsia="Courier New" w:hAnsi="Courier New"/>
          <w:sz w:val="15"/>
          <w:szCs w:val="15"/>
          <w:color w:val="auto"/>
        </w:rPr>
        <w:t>be a breach of this Agreement and shall entitle Employee to equitable relief against the Company as well as compensation, rights and benefits in the same amounts and on the same terms, as he would be entitled to pursuant to Section 5.4 (the date on which any such succession becomes effective being deemed the Date of Termination). As used in this Agreement, the term "the Company" shall mean the Company and any successor as aforesaid or which otherwise becomes bound by all the terms and provisions of this Agreement by operation of law.</w:t>
      </w:r>
    </w:p>
    <w:p>
      <w:pPr>
        <w:spacing w:after="0" w:line="176"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8.2 For purposes of Sections 6 and 7, the term "the Company" shall include the Company's subsidiaries and affiliates.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8.3 This Agreement and all rights of Employee hereunder shall inure to the benefit of and shall be binding upon Employee's personal or legal representatives, executors, administrators, successors, heirs, distributees, devisees and legatees. If Employee should die while any amounts would still be payable to him hereunder if he had continued to live, all such amounts, unless otherwise provided herein, shall be paid in accordance with the terms of this Agreement to Employee's devisee, legatee or other designee or, if there be no such designee, to Employee's estate.</w:t>
      </w:r>
    </w:p>
    <w:p>
      <w:pPr>
        <w:spacing w:after="0" w:line="177" w:lineRule="exact"/>
        <w:rPr>
          <w:sz w:val="20"/>
          <w:szCs w:val="20"/>
          <w:color w:val="auto"/>
        </w:rPr>
      </w:pPr>
    </w:p>
    <w:p>
      <w:pPr>
        <w:ind w:right="3119" w:firstLine="435"/>
        <w:spacing w:after="0"/>
        <w:tabs>
          <w:tab w:leader="none" w:pos="710"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full and complete understanding and agreement of the Company and Employee respecting the subject matter hereof, and supersedes all prior understandings and agreements, oral or written, express or implied, including the Noncompetition and Confidentiality Agreement between Company and Employee dated August 1, 1996. This Agreement may not be modified or amended orally but only by an agreement in writing, signed by the parties 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409" w:name="page410"/>
    <w:bookmarkEnd w:id="409"/>
    <w:p>
      <w:pPr>
        <w:ind w:right="3219" w:firstLine="435"/>
        <w:spacing w:after="0"/>
        <w:tabs>
          <w:tab w:leader="none" w:pos="799"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and Release. IN CONSIDERATION OF THE RIGHTS OF EMPLOYEE HEREUNDER, EXCEPT AS OTHERWISE EXPRESSLY SET FORTH HEREIN AND EXCEPT WITH RESPECT TO ANY VESTED RIGHTS, EMPLOYEE HEREBY WAIVES AND RELEASES THE COMPANY FROM ANY AND ALL CLAIMS, RIGHTS OR BENEFITS HE MAY HAVE AGAINST OR FROM THE COMPANY ON ACCOUNT OF EMPLOYEE BENEFITS, INSURANCE ARRANGEMENTS, EQUITY-BASED ARRANGEMENTS, CASH COMPENSATION OR OTHER BENEFIT PLANS, ARRANGEMENTS OR AMOUNTS WITH RESPECT TO EMPLOYEE'S EMPLOYMENT PRIOR TO MAY 1, 2002.</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of this Agreement are for convenience of reference only and are not to be considered in the interpretation of the terms and conditions of this Agreement.</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 Agreement shall be in writing and shall be deemed to have been given when sent by fax (confirmation received) or certified mail, postage prepaid, addressed as follows:</w:t>
      </w:r>
    </w:p>
    <w:p>
      <w:pPr>
        <w:spacing w:after="0" w:line="17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 if to the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0"/>
        <w:spacing w:after="0"/>
        <w:tabs>
          <w:tab w:leader="none" w:pos="4060" w:val="left"/>
        </w:tabs>
        <w:rPr>
          <w:sz w:val="20"/>
          <w:szCs w:val="20"/>
          <w:color w:val="auto"/>
        </w:rPr>
      </w:pPr>
      <w:r>
        <w:rPr>
          <w:rFonts w:ascii="Courier New" w:cs="Courier New" w:eastAsia="Courier New" w:hAnsi="Courier New"/>
          <w:sz w:val="15"/>
          <w:szCs w:val="15"/>
          <w:color w:val="auto"/>
        </w:rPr>
        <w:t>Philadelphia, Pennsylvania</w:t>
      </w:r>
      <w:r>
        <w:rPr>
          <w:sz w:val="20"/>
          <w:szCs w:val="20"/>
          <w:color w:val="auto"/>
        </w:rPr>
        <w:tab/>
      </w:r>
      <w:r>
        <w:rPr>
          <w:rFonts w:ascii="Courier New" w:cs="Courier New" w:eastAsia="Courier New" w:hAnsi="Courier New"/>
          <w:sz w:val="14"/>
          <w:szCs w:val="14"/>
          <w:color w:val="auto"/>
        </w:rPr>
        <w:t>19102-2148</w:t>
      </w:r>
    </w:p>
    <w:p>
      <w:pPr>
        <w:spacing w:after="0" w:line="1" w:lineRule="exact"/>
        <w:rPr>
          <w:sz w:val="20"/>
          <w:szCs w:val="20"/>
          <w:color w:val="auto"/>
        </w:rPr>
      </w:pPr>
    </w:p>
    <w:p>
      <w:pPr>
        <w:ind w:left="1580"/>
        <w:spacing w:after="0"/>
        <w:tabs>
          <w:tab w:leader="none" w:pos="26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 and</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(ii) if to Employee, at his last known personal residence.</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Either party may change the address to which notices or other communications are to be sent by giving written notice of such change to the other party in the manner provided herein for giving notice.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410" w:name="page411"/>
    <w:bookmarkEnd w:id="410"/>
    <w:p>
      <w:pPr>
        <w:ind w:left="-435" w:right="3119" w:firstLine="435"/>
        <w:spacing w:after="0"/>
        <w:tabs>
          <w:tab w:leader="none" w:pos="364"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Breach.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set forth in this Agreement. Moreover, the failure of either party to exercise any right hereunder shall not bar the later exercise thereof.</w:t>
      </w:r>
    </w:p>
    <w:p>
      <w:pPr>
        <w:spacing w:after="0" w:line="175"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Nonalienation. Employee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Section shall preclude Employee from designating a beneficiary to receive any benefit payable hereunder upon his death, or the executors, administrators or other legal representatives of Employee or his estate from assigning any rights hereunder to which they become entitled to the person or persons entitled thereto.</w:t>
      </w:r>
    </w:p>
    <w:p>
      <w:pPr>
        <w:spacing w:after="0" w:line="177" w:lineRule="exact"/>
        <w:rPr>
          <w:rFonts w:ascii="Courier New" w:cs="Courier New" w:eastAsia="Courier New" w:hAnsi="Courier New"/>
          <w:sz w:val="15"/>
          <w:szCs w:val="15"/>
          <w:color w:val="auto"/>
        </w:rPr>
      </w:pPr>
    </w:p>
    <w:p>
      <w:pPr>
        <w:ind w:left="-435" w:right="3119" w:firstLine="435"/>
        <w:spacing w:after="0" w:line="238" w:lineRule="auto"/>
        <w:tabs>
          <w:tab w:leader="none" w:pos="364"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is entered into and shall be construed in accordance with the internal laws of the Commonwealth of Pennsylvania.</w:t>
      </w:r>
    </w:p>
    <w:p>
      <w:pPr>
        <w:spacing w:after="0" w:line="174"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Invalidity or Unenforceability.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0" w:lineRule="exact"/>
        <w:rPr>
          <w:sz w:val="20"/>
          <w:szCs w:val="20"/>
          <w:color w:val="auto"/>
        </w:rPr>
      </w:pPr>
    </w:p>
    <w:p>
      <w:pPr>
        <w:spacing w:after="0" w:line="31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84"/>
          </w:cols>
          <w:pgMar w:left="675" w:top="631" w:right="1440" w:bottom="1440" w:gutter="0" w:footer="0" w:header="0"/>
        </w:sectPr>
      </w:pPr>
    </w:p>
    <w:bookmarkStart w:id="411" w:name="page412"/>
    <w:bookmarkEnd w:id="411"/>
    <w:p>
      <w:pPr>
        <w:ind w:right="3759" w:firstLine="799"/>
        <w:spacing w:after="0" w:line="238"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date set forth above.</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By:______________________</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_________________________</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Julian A. Brodsky</w:t>
      </w:r>
    </w:p>
    <w:p>
      <w:pPr>
        <w:sectPr>
          <w:pgSz w:w="11900" w:h="16838" w:orient="portrait"/>
          <w:cols w:equalWidth="0" w:num="1">
            <w:col w:w="10219"/>
          </w:cols>
          <w:pgMar w:left="240" w:top="801" w:right="1440" w:bottom="1440" w:gutter="0" w:footer="0" w:header="0"/>
        </w:sectPr>
      </w:pPr>
    </w:p>
    <w:bookmarkStart w:id="412" w:name="page413"/>
    <w:bookmarkEnd w:id="412"/>
    <w:p>
      <w:pPr>
        <w:jc w:val="right"/>
        <w:ind w:right="3119"/>
        <w:spacing w:after="0"/>
        <w:rPr>
          <w:sz w:val="20"/>
          <w:szCs w:val="20"/>
          <w:color w:val="auto"/>
        </w:rPr>
      </w:pPr>
      <w:r>
        <w:rPr>
          <w:rFonts w:ascii="Courier New" w:cs="Courier New" w:eastAsia="Courier New" w:hAnsi="Courier New"/>
          <w:sz w:val="15"/>
          <w:szCs w:val="15"/>
          <w:color w:val="auto"/>
        </w:rPr>
        <w:t>Exhibit 10.23</w:t>
      </w:r>
    </w:p>
    <w:p>
      <w:pPr>
        <w:spacing w:after="0" w:line="342"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AMENDMENT TO EMPLOYMENT AGREEMENT</w:t>
      </w:r>
    </w:p>
    <w:p>
      <w:pPr>
        <w:spacing w:after="0" w:line="1"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BETWEEN</w:t>
      </w:r>
    </w:p>
    <w:p>
      <w:pPr>
        <w:spacing w:after="0" w:line="3"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4"/>
          <w:szCs w:val="14"/>
          <w:color w:val="auto"/>
        </w:rPr>
        <w:t>COMCAST CORPORATION AND JULIAN A. BRODSKY</w:t>
      </w:r>
    </w:p>
    <w:p>
      <w:pPr>
        <w:spacing w:after="0" w:line="9"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139" w:right="1440" w:bottom="1440" w:gutter="0" w:footer="0" w:header="0"/>
        </w:sectPr>
      </w:pPr>
    </w:p>
    <w:p>
      <w:pPr>
        <w:spacing w:after="0" w:line="345" w:lineRule="exact"/>
        <w:rPr>
          <w:sz w:val="20"/>
          <w:szCs w:val="20"/>
          <w:color w:val="auto"/>
        </w:rPr>
      </w:pPr>
    </w:p>
    <w:p>
      <w:pPr>
        <w:ind w:left="9" w:firstLine="444"/>
        <w:spacing w:after="0" w:line="239" w:lineRule="auto"/>
        <w:rPr>
          <w:sz w:val="20"/>
          <w:szCs w:val="20"/>
          <w:color w:val="auto"/>
        </w:rPr>
      </w:pPr>
      <w:r>
        <w:rPr>
          <w:rFonts w:ascii="Courier New" w:cs="Courier New" w:eastAsia="Courier New" w:hAnsi="Courier New"/>
          <w:sz w:val="15"/>
          <w:szCs w:val="15"/>
          <w:color w:val="auto"/>
        </w:rPr>
        <w:t>This Amendment is made as of this 18th between Comcast Corporation, a Pennsylvania Julian A. Brodsky ("Brodsky").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tabs>
          <w:tab w:leader="none" w:pos="780" w:val="left"/>
          <w:tab w:leader="none" w:pos="1760" w:val="left"/>
          <w:tab w:leader="none" w:pos="2380" w:val="left"/>
        </w:tabs>
        <w:rPr>
          <w:sz w:val="20"/>
          <w:szCs w:val="20"/>
          <w:color w:val="auto"/>
        </w:rPr>
      </w:pPr>
      <w:r>
        <w:rPr>
          <w:rFonts w:ascii="Courier New" w:cs="Courier New" w:eastAsia="Courier New" w:hAnsi="Courier New"/>
          <w:sz w:val="15"/>
          <w:szCs w:val="15"/>
          <w:color w:val="auto"/>
        </w:rPr>
        <w:t>day of</w:t>
        <w:tab/>
        <w:t>November,</w:t>
        <w:tab/>
        <w:t>2002,</w:t>
      </w:r>
      <w:r>
        <w:rPr>
          <w:sz w:val="20"/>
          <w:szCs w:val="20"/>
          <w:color w:val="auto"/>
        </w:rPr>
        <w:tab/>
      </w:r>
      <w:r>
        <w:rPr>
          <w:rFonts w:ascii="Courier New" w:cs="Courier New" w:eastAsia="Courier New" w:hAnsi="Courier New"/>
          <w:sz w:val="14"/>
          <w:szCs w:val="14"/>
          <w:color w:val="auto"/>
        </w:rPr>
        <w:t>by and</w:t>
      </w:r>
    </w:p>
    <w:p>
      <w:pPr>
        <w:spacing w:after="0" w:line="1"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corporation (the "Company"),</w:t>
        <w:tab/>
        <w:t>and</w:t>
      </w:r>
    </w:p>
    <w:p>
      <w:pPr>
        <w:spacing w:after="0" w:line="341" w:lineRule="exact"/>
        <w:rPr>
          <w:sz w:val="20"/>
          <w:szCs w:val="20"/>
          <w:color w:val="auto"/>
        </w:rPr>
      </w:pPr>
    </w:p>
    <w:p>
      <w:pPr>
        <w:sectPr>
          <w:pgSz w:w="11900" w:h="16838" w:orient="portrait"/>
          <w:cols w:equalWidth="0" w:num="2">
            <w:col w:w="4089" w:space="80"/>
            <w:col w:w="6059"/>
          </w:cols>
          <w:pgMar w:left="231" w:top="139" w:right="1440" w:bottom="1440" w:gutter="0" w:footer="0" w:header="0"/>
          <w:type w:val="continuous"/>
        </w:sectPr>
      </w:pPr>
    </w:p>
    <w:p>
      <w:pPr>
        <w:ind w:left="3189"/>
        <w:spacing w:after="0"/>
        <w:rPr>
          <w:sz w:val="20"/>
          <w:szCs w:val="20"/>
          <w:color w:val="auto"/>
        </w:rPr>
      </w:pPr>
      <w:r>
        <w:rPr>
          <w:rFonts w:ascii="Courier New" w:cs="Courier New" w:eastAsia="Courier New" w:hAnsi="Courier New"/>
          <w:sz w:val="15"/>
          <w:szCs w:val="15"/>
          <w:color w:val="auto"/>
        </w:rPr>
        <w:t>RECITALS</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WHEREAS, Brodsky and the Company entered into an Employment Agreement dated as of May 1, 2002 (the "Agreement"); and</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WHEREAS, the Company desires to modify the provisions of the Agreement concerning the establishment of a trust as provided therein and other matters; and</w:t>
      </w:r>
    </w:p>
    <w:p>
      <w:pPr>
        <w:spacing w:after="0" w:line="175"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WHEREAS, Brodsky is agreeable to accepting the Company's proposed modifications to the Agreement;</w:t>
      </w:r>
    </w:p>
    <w:p>
      <w:pPr>
        <w:spacing w:after="0" w:line="175"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NOW THEREFORE, in consideration of the foregoing and of the provisions set forth herein, the parties agree as follows:</w:t>
      </w:r>
    </w:p>
    <w:p>
      <w:pPr>
        <w:spacing w:after="0" w:line="175" w:lineRule="exact"/>
        <w:rPr>
          <w:sz w:val="20"/>
          <w:szCs w:val="20"/>
          <w:color w:val="auto"/>
        </w:rPr>
      </w:pPr>
    </w:p>
    <w:p>
      <w:pPr>
        <w:ind w:left="9" w:right="3119" w:firstLine="435"/>
        <w:spacing w:after="0"/>
        <w:tabs>
          <w:tab w:leader="none" w:pos="719" w:val="left"/>
        </w:tabs>
        <w:numPr>
          <w:ilvl w:val="0"/>
          <w:numId w:val="5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the occurrence of the merger (the "Merger") between the Company and a subsidiary of AT&amp;T Comcast Corporation ("AT&amp;T Comcast") (which, effective immediately following the consummation of the Merger, is changing its name to "Comcast Corporation"), as contemplated by the Agreement and Plan of Merger, dated as of December 19, 2001 (as amended from time to time, the "Merger Agreement"), among the Company, AT&amp;T Comcast, AT&amp;T Corp., and certain other related parties, will result in a Change of Control as defined in the Agreement. Pursuant to Section 3.9 of the Agreement, the Company is required, prior to the occurrence of a Change of Control, to establish the Trust (as defined in the Agreement), and is further required, upon and after the occurrence of a 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Control, to contribute certain assets to the Trust. Brodsky hereby waives the requirements that the Company so form and contribute assets to the Trust as a result of the Merger; provided that (a) Brodsky may at any time, by notice to the Company, require the Company to form and contribute assets to the Trust and</w:t>
      </w:r>
    </w:p>
    <w:p>
      <w:pPr>
        <w:spacing w:after="0" w:line="1" w:lineRule="exact"/>
        <w:rPr>
          <w:sz w:val="20"/>
          <w:szCs w:val="20"/>
          <w:color w:val="auto"/>
        </w:rPr>
      </w:pPr>
    </w:p>
    <w:p>
      <w:pPr>
        <w:ind w:left="9" w:right="3219" w:hanging="9"/>
        <w:spacing w:after="0" w:line="260" w:lineRule="auto"/>
        <w:tabs>
          <w:tab w:leader="none" w:pos="364"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Brodsky gives such notice, the Company, as promptly as practicable (and in any event within 30 days) thereafter, shall (i) form the Trust in accordance with Section 3.9 of the Amended Agreement, (ii) contribute to the Trust the funds and other assets which the Company would be required to contribute pursuant to the Agreement if a Change of Control occurred on the date of such notice, and (iii) thereafter contribute such additional assets as may be required by the Agreement as if the waiver made hereby had not been made.</w:t>
      </w:r>
    </w:p>
    <w:p>
      <w:pPr>
        <w:spacing w:after="0" w:line="162" w:lineRule="exact"/>
        <w:rPr>
          <w:rFonts w:ascii="Courier New" w:cs="Courier New" w:eastAsia="Courier New" w:hAnsi="Courier New"/>
          <w:sz w:val="14"/>
          <w:szCs w:val="14"/>
          <w:color w:val="auto"/>
        </w:rPr>
      </w:pPr>
    </w:p>
    <w:p>
      <w:pPr>
        <w:ind w:left="9" w:right="3299" w:firstLine="435"/>
        <w:spacing w:after="0" w:line="238" w:lineRule="auto"/>
        <w:tabs>
          <w:tab w:leader="none" w:pos="719" w:val="left"/>
        </w:tabs>
        <w:numPr>
          <w:ilvl w:val="1"/>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8.3 of the Agreement is amended by adding the following at the end thereof:</w:t>
      </w:r>
    </w:p>
    <w:p>
      <w:pPr>
        <w:spacing w:after="0" w:line="175" w:lineRule="exact"/>
        <w:rPr>
          <w:sz w:val="20"/>
          <w:szCs w:val="20"/>
          <w:color w:val="auto"/>
        </w:rPr>
      </w:pPr>
    </w:p>
    <w:p>
      <w:pPr>
        <w:ind w:left="889" w:right="3119"/>
        <w:spacing w:after="0"/>
        <w:rPr>
          <w:sz w:val="20"/>
          <w:szCs w:val="20"/>
          <w:color w:val="auto"/>
        </w:rPr>
      </w:pPr>
      <w:r>
        <w:rPr>
          <w:rFonts w:ascii="Courier New" w:cs="Courier New" w:eastAsia="Courier New" w:hAnsi="Courier New"/>
          <w:sz w:val="15"/>
          <w:szCs w:val="15"/>
          <w:color w:val="auto"/>
        </w:rPr>
        <w:t>In any case where this Agreement provides for a determination to be made or instruction to be given by Brodsky, such determination or instruction made or given after his death shall be made or given by the foregoing persons as their interests may appear; provided that, if it is impractical to give effect to separate determinations or instructions, the determination or instruction given by such of the foregoing as shall then have the greatest interest, as determined by the Company in its reasonable discretion, shall control.</w:t>
      </w:r>
    </w:p>
    <w:p>
      <w:pPr>
        <w:spacing w:after="0" w:line="177" w:lineRule="exact"/>
        <w:rPr>
          <w:sz w:val="20"/>
          <w:szCs w:val="20"/>
          <w:color w:val="auto"/>
        </w:rPr>
      </w:pPr>
    </w:p>
    <w:p>
      <w:pPr>
        <w:ind w:left="9" w:right="3119" w:firstLine="435"/>
        <w:spacing w:after="0" w:line="239" w:lineRule="auto"/>
        <w:tabs>
          <w:tab w:leader="none" w:pos="719"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contemplated by Section 9.14 of the Merger Agreement, and pursuant to Section 8 of the Agreement, upon consummation of the Merger, AT&amp;T Comcast, as the successor to the Company, will be bound by the Agreement, as amended hereby (together, the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139" w:right="1440" w:bottom="1440" w:gutter="0" w:footer="0" w:header="0"/>
          <w:type w:val="continuous"/>
        </w:sectPr>
      </w:pPr>
    </w:p>
    <w:bookmarkStart w:id="413" w:name="page414"/>
    <w:bookmarkEnd w:id="413"/>
    <w:p>
      <w:pPr>
        <w:ind w:right="3119"/>
        <w:spacing w:after="0"/>
        <w:rPr>
          <w:sz w:val="20"/>
          <w:szCs w:val="20"/>
          <w:color w:val="auto"/>
        </w:rPr>
      </w:pPr>
      <w:r>
        <w:rPr>
          <w:rFonts w:ascii="Courier New" w:cs="Courier New" w:eastAsia="Courier New" w:hAnsi="Courier New"/>
          <w:sz w:val="15"/>
          <w:szCs w:val="15"/>
          <w:color w:val="auto"/>
        </w:rPr>
        <w:t>"Amended Agreement"), and will perform the Amended Agreement, in the same manner and to the same extent that the Company would be required to perform it if no such succession had taken place. To give effect thereto, and as further contemplated by Section 9.14 of the Merger Agreement, upon and following consummation of the Merger: When used in the Amended Agreement to refer to a period or action to be taken or other event occurring after consummation of the Merger,</w:t>
      </w:r>
    </w:p>
    <w:p>
      <w:pPr>
        <w:spacing w:after="0" w:line="176" w:lineRule="exact"/>
        <w:rPr>
          <w:sz w:val="20"/>
          <w:szCs w:val="20"/>
          <w:color w:val="auto"/>
        </w:rPr>
      </w:pPr>
    </w:p>
    <w:p>
      <w:pPr>
        <w:ind w:left="440" w:right="3119" w:firstLine="438"/>
        <w:spacing w:after="0" w:line="239" w:lineRule="auto"/>
        <w:tabs>
          <w:tab w:leader="none" w:pos="1239"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"Company" shall be deemed to refer to AT&amp;T Comcast (which shall include, for all purposes of this Section 3, its successors as provided in Section 8 of the Amended Agreement);</w:t>
      </w:r>
    </w:p>
    <w:p>
      <w:pPr>
        <w:spacing w:after="0" w:line="175" w:lineRule="exact"/>
        <w:rPr>
          <w:rFonts w:ascii="Courier New" w:cs="Courier New" w:eastAsia="Courier New" w:hAnsi="Courier New"/>
          <w:sz w:val="15"/>
          <w:szCs w:val="15"/>
          <w:color w:val="auto"/>
        </w:rPr>
      </w:pPr>
    </w:p>
    <w:p>
      <w:pPr>
        <w:ind w:left="440" w:right="3759" w:firstLine="438"/>
        <w:spacing w:after="0" w:line="239" w:lineRule="auto"/>
        <w:tabs>
          <w:tab w:leader="none" w:pos="1239"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"Board" and "Committee" shall be deemed to refer, respectively, to the Board of Directors of AT&amp;T Comcast and the Compensation Committee of such Board;</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"Subcommittee" shall be deemed to refer to the Subcommittee on Performance-Based Compensation of the Compensation Committee, if such Subcommittee exists, or, if such Subcommittee does not exist, such other subcommittee of the Compensation Committee as shall perform the functions heretofore performed by the Subcommittee on Performance-Based Compensation of the Company's Compensation Committee, or, if there is no such other subcommittee, the full Compensation Committee; and</w:t>
      </w:r>
    </w:p>
    <w:p>
      <w:pPr>
        <w:spacing w:after="0" w:line="176" w:lineRule="exact"/>
        <w:rPr>
          <w:rFonts w:ascii="Courier New" w:cs="Courier New" w:eastAsia="Courier New" w:hAnsi="Courier New"/>
          <w:sz w:val="15"/>
          <w:szCs w:val="15"/>
          <w:color w:val="auto"/>
        </w:rPr>
      </w:pPr>
    </w:p>
    <w:p>
      <w:pPr>
        <w:jc w:val="both"/>
        <w:ind w:left="440" w:right="3659" w:firstLine="438"/>
        <w:spacing w:after="0" w:line="239" w:lineRule="auto"/>
        <w:tabs>
          <w:tab w:leader="none" w:pos="1239"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this Amendment where indicated below AT&amp;T Comcast hereby assumes the Company's obligations to Brodsky under the Amended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0" w:right="1440" w:bottom="1440" w:gutter="0" w:footer="0" w:header="0"/>
        </w:sectPr>
      </w:pPr>
    </w:p>
    <w:bookmarkStart w:id="414" w:name="page415"/>
    <w:bookmarkEnd w:id="414"/>
    <w:p>
      <w:pPr>
        <w:ind w:right="3399" w:firstLine="435"/>
        <w:spacing w:after="0" w:line="238" w:lineRule="auto"/>
        <w:tabs>
          <w:tab w:leader="none" w:pos="710"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the Amended Agreement remains in full force and effect.</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Amendment as of the date first above written. Comcast Corporation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Julian A. Brodsky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Agreed to and acknowledged by: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AT&amp;T Comcast Corporation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0" w:right="1440" w:bottom="1440" w:gutter="0" w:footer="0" w:header="0"/>
        </w:sectPr>
      </w:pPr>
    </w:p>
    <w:bookmarkStart w:id="415" w:name="page416"/>
    <w:bookmarkEnd w:id="415"/>
    <w:p>
      <w:pPr>
        <w:jc w:val="right"/>
        <w:ind w:right="3119"/>
        <w:spacing w:after="0"/>
        <w:rPr>
          <w:sz w:val="20"/>
          <w:szCs w:val="20"/>
          <w:color w:val="auto"/>
        </w:rPr>
      </w:pPr>
      <w:r>
        <w:rPr>
          <w:rFonts w:ascii="Courier New" w:cs="Courier New" w:eastAsia="Courier New" w:hAnsi="Courier New"/>
          <w:sz w:val="15"/>
          <w:szCs w:val="15"/>
          <w:color w:val="auto"/>
        </w:rPr>
        <w:t>Exhibit 10.24</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EXECUTIVE EMPLOYMENT AGREEMENT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EXECUTIVE EMPLOYMENT AGREEMENT is made as of the ____ day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2000, between COMCAST CORPORATION, a Pennsylvania corporation</w:t>
      </w:r>
    </w:p>
    <w:p>
      <w:pPr>
        <w:spacing w:after="0" w:line="3"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(together with its subsidiaries and affiliates, collectively referred to as the "Company"), and STEPHEN B. BURKE, an individual residing in and working for the Company in Pennsylvania ("Employee").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Employee is currently employed as President of Comcast Cable Communications Inc. (the "Cable Division") and Executive Vice President of the Company pursuant to an Employment Agreement dated June 3, 1998, as amended September 26, 1999 (the "Prior Employment Agreement"). Employee has been advised by the Company that Employee may continue to be employed pursuant to the terms of the Prior Employment Agreement or may elect to be employed on the terms and conditions contained in this Agreement. Employee has elected to have Employee's relationship with the Company be governed by the terms and conditions of this Agreement, which include increases in Employee's compensation and other material changes and benefits favorable to the Employee. In return for such favorable material changes, Employee is agreeing to the terms and conditions contained in this Agreement which include other material changes favorable to the Company which impose additional material obligations on Employee. Employee, however, will retain all stock option, restricted stock and cash bonus plan grants made in connection with the Prior Employment Agreement or made at any other time prior to the date hereof.</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Intending to be legally bound, the Company and Employee agree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71" w:lineRule="exact"/>
        <w:rPr>
          <w:sz w:val="20"/>
          <w:szCs w:val="20"/>
          <w:color w:val="auto"/>
        </w:rPr>
      </w:pPr>
    </w:p>
    <w:p>
      <w:pPr>
        <w:ind w:left="1060" w:hanging="270"/>
        <w:spacing w:after="0"/>
        <w:tabs>
          <w:tab w:leader="none" w:pos="1060"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w:t>
      </w:r>
    </w:p>
    <w:p>
      <w:pPr>
        <w:spacing w:after="0" w:line="174" w:lineRule="exact"/>
        <w:rPr>
          <w:rFonts w:ascii="Courier New" w:cs="Courier New" w:eastAsia="Courier New" w:hAnsi="Courier New"/>
          <w:sz w:val="15"/>
          <w:szCs w:val="15"/>
          <w:color w:val="auto"/>
        </w:rPr>
      </w:pPr>
    </w:p>
    <w:p>
      <w:pPr>
        <w:ind w:right="3219" w:firstLine="1056"/>
        <w:spacing w:after="0"/>
        <w:tabs>
          <w:tab w:leader="none" w:pos="1420" w:val="left"/>
        </w:tabs>
        <w:numPr>
          <w:ilvl w:val="1"/>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serve and the Company shall employ Employee as President of the Cable Division and Executive Vice President of the Company. Employee shall report directly to Brian L. Roberts, the President of the Company, in Philadelphia, Pennsylvania. The specific duties of Employee are set forth on Schedule 1 attached hereto. The Company reserves the right to modify the duties and responsibilities of Employee from time to time (other than by making a substantial diminution therein).</w:t>
      </w:r>
    </w:p>
    <w:p>
      <w:pPr>
        <w:spacing w:after="0" w:line="346" w:lineRule="exact"/>
        <w:rPr>
          <w:rFonts w:ascii="Courier New" w:cs="Courier New" w:eastAsia="Courier New" w:hAnsi="Courier New"/>
          <w:sz w:val="15"/>
          <w:szCs w:val="15"/>
          <w:color w:val="auto"/>
        </w:rPr>
      </w:pPr>
    </w:p>
    <w:p>
      <w:pPr>
        <w:ind w:right="3219" w:firstLine="1056"/>
        <w:spacing w:after="0"/>
        <w:tabs>
          <w:tab w:leader="none" w:pos="1420" w:val="left"/>
        </w:tabs>
        <w:numPr>
          <w:ilvl w:val="1"/>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Agreement, throughout the Term (as defined in Paragraph 2), Employee shall work full time and devote Employee's best efforts to the affairs of the Company in a manner which will further the business and interests of the Company. Without the prior written consent of the Company, Employee shall not, directly or indirectly, do any work for or on behalf of any person or business, other than the Company, during the Term. Nothing herein shall restrict Employee from engaging in non-compensatory civic and charitable activities with the consent of the Company, which consent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unreasonably withheld. The Company, and its successors and assigns, in addition to receiving the benefit of all of Employee's services, shall be entitled to receive and own all of the results and proceeds of said services (including, without limitation, inventions, patent rights, copyrights, trademark rights, literary material and any other intellectual property) produced or created by Employee during the Term. Employee will, at the request of the Company, execute such assignments, certificates or other instruments as the Company may from time to time deem necessary or desirable to evidence, establish, maintain, protect, enforce or defend its right or title in or to any such material.</w:t>
      </w:r>
    </w:p>
    <w:p>
      <w:pPr>
        <w:spacing w:after="0" w:line="337" w:lineRule="exact"/>
        <w:rPr>
          <w:sz w:val="20"/>
          <w:szCs w:val="20"/>
          <w:color w:val="auto"/>
        </w:rPr>
      </w:pPr>
    </w:p>
    <w:p>
      <w:pPr>
        <w:ind w:right="3119" w:firstLine="790"/>
        <w:spacing w:after="0"/>
        <w:tabs>
          <w:tab w:leader="none" w:pos="1065"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this Agreement (the "Term") shall be from the date first-above written (the "Commencement Date") through the first to occur of: (i) the date this Agreement is terminated by the Company in accordance with Paragraph 7; (ii) employee's resignation from employment; or (iii) March 31, 2005. Notwithstanding the end of the Term, certain provisions of this Agreement, including, but not limited to, any payments to be made after the Term and the covenants contained in Paragraphs 8, 9 and 11, shall be enforceable after the end of the Term.</w:t>
      </w:r>
    </w:p>
    <w:p>
      <w:pPr>
        <w:spacing w:after="0" w:line="173"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right="3299" w:firstLine="1056"/>
        <w:spacing w:after="0" w:line="259" w:lineRule="auto"/>
        <w:tabs>
          <w:tab w:leader="none" w:pos="1420" w:val="left"/>
        </w:tabs>
        <w:numPr>
          <w:ilvl w:val="1"/>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Employee's salary from the Commencement Date through December 31, 2000 shall be at the annual rate of Eight Hundred Eighty Two Thousand Dollars ($882,000.00) ("Base Salary"). Base Salary, less normal deductions, shall be paid to Employee in accordance with the Company's regular executive payroll practices in effect from time to time. The Base Salary shall be increased for each calendar year in the Term subsequent to 2000 by the greater of (i) 5% of the previous year's Base Salary or (ii) the percentage increase during the previous year in the Consumer Price Index for all urban consumers published by the U.S. Department of Labor or (if such index is discontinued) the nearest equivalent index, up to a maximum of 10%.</w:t>
      </w:r>
    </w:p>
    <w:p>
      <w:pPr>
        <w:spacing w:after="0" w:line="333" w:lineRule="exact"/>
        <w:rPr>
          <w:rFonts w:ascii="Courier New" w:cs="Courier New" w:eastAsia="Courier New" w:hAnsi="Courier New"/>
          <w:sz w:val="14"/>
          <w:szCs w:val="14"/>
          <w:color w:val="auto"/>
        </w:rPr>
      </w:pPr>
    </w:p>
    <w:p>
      <w:pPr>
        <w:ind w:left="1420" w:hanging="364"/>
        <w:spacing w:after="0"/>
        <w:tabs>
          <w:tab w:leader="none" w:pos="1420" w:val="left"/>
        </w:tabs>
        <w:numPr>
          <w:ilvl w:val="1"/>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Cash Bonus.</w:t>
      </w:r>
    </w:p>
    <w:p>
      <w:pPr>
        <w:sectPr>
          <w:pgSz w:w="11900" w:h="16838" w:orient="portrait"/>
          <w:cols w:equalWidth="0" w:num="1">
            <w:col w:w="10219"/>
          </w:cols>
          <w:pgMar w:left="240" w:top="138" w:right="1440" w:bottom="0" w:gutter="0" w:footer="0" w:header="0"/>
        </w:sectPr>
      </w:pPr>
    </w:p>
    <w:bookmarkStart w:id="416" w:name="page417"/>
    <w:bookmarkEnd w:id="416"/>
    <w:p>
      <w:pPr>
        <w:ind w:left="-1200" w:right="3219" w:firstLine="1411"/>
        <w:spacing w:after="0"/>
        <w:tabs>
          <w:tab w:leader="none" w:pos="575"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be eligible to receive an annual performance bonus ("Executive Cash Bonus") of up to 50% of Employee's then Base Salary, payable in cash or in shares of the Company's Class A Special Common Stock in the discretion of the Subcommittee on Performance-Based Compensation of the Compensation Committee of the Board of Directors of the Company (the "Subcommittee"). The Executive Cash Bonus shall be determined annually by the Subcommittee based upon the performance of the Cable Division and Employee during each calendar year commencing for the year 2000 and through the year 2005. The Executive Cash Bonus shall be paid within ninety (90) days after the end of each applicable calendar year, except as provided in subparagraph (ii) below.</w:t>
      </w:r>
    </w:p>
    <w:p>
      <w:pPr>
        <w:spacing w:after="0" w:line="178" w:lineRule="exact"/>
        <w:rPr>
          <w:rFonts w:ascii="Courier New" w:cs="Courier New" w:eastAsia="Courier New" w:hAnsi="Courier New"/>
          <w:sz w:val="15"/>
          <w:szCs w:val="15"/>
          <w:color w:val="auto"/>
        </w:rPr>
      </w:pPr>
    </w:p>
    <w:p>
      <w:pPr>
        <w:ind w:left="-1200" w:right="3479" w:firstLine="1411"/>
        <w:spacing w:after="0" w:line="239" w:lineRule="auto"/>
        <w:tabs>
          <w:tab w:leader="none" w:pos="664"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part of the total compensation (including the Executive Cash Bonus and any Deferred Bonus as defined in this subparagraph) paid to Employee for the</w:t>
      </w:r>
    </w:p>
    <w:p>
      <w:pPr>
        <w:spacing w:after="0" w:line="17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417" w:name="page418"/>
    <w:bookmarkEnd w:id="417"/>
    <w:p>
      <w:pPr>
        <w:ind w:left="9" w:right="3119"/>
        <w:spacing w:after="0" w:line="258" w:lineRule="auto"/>
        <w:rPr>
          <w:sz w:val="20"/>
          <w:szCs w:val="20"/>
          <w:color w:val="auto"/>
        </w:rPr>
      </w:pPr>
      <w:r>
        <w:rPr>
          <w:rFonts w:ascii="Courier New" w:cs="Courier New" w:eastAsia="Courier New" w:hAnsi="Courier New"/>
          <w:sz w:val="14"/>
          <w:szCs w:val="14"/>
          <w:color w:val="auto"/>
        </w:rPr>
        <w:t>Company's taxable year in which such compensation would be paid would not be deductible by the Company for federal income tax purposes by reason of the limitation in Section 162(m) of the Internal Revenue Code of 1986, as amended, the compensation payable in such taxable year shall be paid only to the extent so deductible, assuming that it was the last compensation paid during such taxable year. The balance of the compensation shall be added to an unfunded account maintained on behalf of Employee substantially equivalent to those under the Company's Deferred Compensation Plan with respect to deferrals made into the Income Fund thereunder, to be paid to Employee in a subsequent tax year in accordance with the terms of the Deferred Compensation Plan (as if it were an account maintained thereunder) and this subparagraph (ii). As used herein "Deferred Bonus" means any amount so added to such account, and all interest earned thereon (as if it were an account maintained thereunder). The application or potential application of such Section 162(m) shall be determined in good faith by the Company based on available information prior to the date on which any compensation would otherwise be paid. The provisions of the subparagraph</w:t>
      </w:r>
    </w:p>
    <w:p>
      <w:pPr>
        <w:spacing w:after="0" w:line="3" w:lineRule="exact"/>
        <w:rPr>
          <w:sz w:val="20"/>
          <w:szCs w:val="20"/>
          <w:color w:val="auto"/>
        </w:rPr>
      </w:pPr>
    </w:p>
    <w:p>
      <w:pPr>
        <w:ind w:left="9" w:right="3759" w:hanging="9"/>
        <w:spacing w:after="0" w:line="238" w:lineRule="auto"/>
        <w:tabs>
          <w:tab w:leader="none" w:pos="453"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waived from time to time, in whole or in part, with the prior consent of the Company and the Subcommittee.</w:t>
      </w:r>
    </w:p>
    <w:p>
      <w:pPr>
        <w:spacing w:after="0" w:line="174" w:lineRule="exact"/>
        <w:rPr>
          <w:rFonts w:ascii="Courier New" w:cs="Courier New" w:eastAsia="Courier New" w:hAnsi="Courier New"/>
          <w:sz w:val="15"/>
          <w:szCs w:val="15"/>
          <w:color w:val="auto"/>
        </w:rPr>
      </w:pPr>
    </w:p>
    <w:p>
      <w:pPr>
        <w:ind w:left="9" w:right="3119" w:firstLine="1056"/>
        <w:spacing w:after="0"/>
        <w:tabs>
          <w:tab w:leader="none" w:pos="1429" w:val="left"/>
        </w:tabs>
        <w:numPr>
          <w:ilvl w:val="2"/>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As soon as practicable after the execution of this Employment Agreement, the Subcommittee shall grant a stock option to purchase 700,000 shares of the Company's Class A Special Common Stock under the Company's Stock Option Plan. Such options shall have a term of ten (10) years and shall vest and become exercisable as follows: 20% on the second anniversary date of the date of grant; 10% on each of the third to ninth anniversary dates of the date of grant; and 10% on the nine year and six month anniversary date of the date of grant.</w:t>
      </w:r>
    </w:p>
    <w:p>
      <w:pPr>
        <w:spacing w:after="0" w:line="176" w:lineRule="exact"/>
        <w:rPr>
          <w:rFonts w:ascii="Courier New" w:cs="Courier New" w:eastAsia="Courier New" w:hAnsi="Courier New"/>
          <w:sz w:val="15"/>
          <w:szCs w:val="15"/>
          <w:color w:val="auto"/>
        </w:rPr>
      </w:pPr>
    </w:p>
    <w:p>
      <w:pPr>
        <w:ind w:left="9" w:right="3119" w:firstLine="1056"/>
        <w:spacing w:after="0" w:line="238" w:lineRule="auto"/>
        <w:tabs>
          <w:tab w:leader="none" w:pos="1429" w:val="left"/>
        </w:tabs>
        <w:numPr>
          <w:ilvl w:val="2"/>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compensation under this Agreement is subject to applicable tax withholding requirements.</w:t>
      </w:r>
    </w:p>
    <w:p>
      <w:pPr>
        <w:spacing w:after="0" w:line="174" w:lineRule="exact"/>
        <w:rPr>
          <w:rFonts w:ascii="Courier New" w:cs="Courier New" w:eastAsia="Courier New" w:hAnsi="Courier New"/>
          <w:sz w:val="15"/>
          <w:szCs w:val="15"/>
          <w:color w:val="auto"/>
        </w:rPr>
      </w:pPr>
    </w:p>
    <w:p>
      <w:pPr>
        <w:ind w:left="9" w:right="3119" w:firstLine="790"/>
        <w:spacing w:after="0"/>
        <w:tabs>
          <w:tab w:leader="none" w:pos="1074" w:val="left"/>
        </w:tabs>
        <w:numPr>
          <w:ilvl w:val="1"/>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Employee shall be eligible to participate in the Company's group life, medical and other insurance plans on the same terms and at the same cost to the Company and Employee as the Company's other executives at Employee's level receive from time to time, in accordance with the terms of such plans and subject to the restrictions and limitations contained in the applicable insurance agreement or agreements. Nothing in this Agreement shall limit the Company's right to modify or discontinue any insurance coverages at any time.</w:t>
      </w:r>
    </w:p>
    <w:p>
      <w:pPr>
        <w:spacing w:after="0" w:line="176" w:lineRule="exact"/>
        <w:rPr>
          <w:rFonts w:ascii="Courier New" w:cs="Courier New" w:eastAsia="Courier New" w:hAnsi="Courier New"/>
          <w:sz w:val="15"/>
          <w:szCs w:val="15"/>
          <w:color w:val="auto"/>
        </w:rPr>
      </w:pPr>
    </w:p>
    <w:p>
      <w:pPr>
        <w:ind w:left="9" w:right="3119" w:firstLine="790"/>
        <w:spacing w:after="0"/>
        <w:tabs>
          <w:tab w:leader="none" w:pos="1074" w:val="left"/>
        </w:tabs>
        <w:numPr>
          <w:ilvl w:val="1"/>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Employee shall be entitled to participate in the Company's Deferred Compensation Plan, Deferred Stock Option Plan and other benefits and programs, on the same terms and at the same cost to the Company and Employee as the Company's other executives at Employee's level receive from time to time, in accordance with the terms of such programs and subject to the restrictions and limitations contained in the applicable program or programs. Nothing in this Agreement shall limit the Company's right to modify or discontinue any benefits or programs at any time. The provisions of this Paragraph 5 shall not apply to benefits and programs (including, without limitation, severance) addressed in this Agreement, in which case the applicable terms of this Agreement shall apply.</w:t>
      </w:r>
    </w:p>
    <w:p>
      <w:pPr>
        <w:spacing w:after="0" w:line="200" w:lineRule="exact"/>
        <w:rPr>
          <w:sz w:val="20"/>
          <w:szCs w:val="20"/>
          <w:color w:val="auto"/>
        </w:rPr>
      </w:pPr>
    </w:p>
    <w:p>
      <w:pPr>
        <w:spacing w:after="0" w:line="31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31" w:right="1440" w:bottom="1440" w:gutter="0" w:footer="0" w:header="0"/>
        </w:sectPr>
      </w:pPr>
    </w:p>
    <w:bookmarkStart w:id="418" w:name="page419"/>
    <w:bookmarkEnd w:id="418"/>
    <w:p>
      <w:pPr>
        <w:ind w:right="3219" w:firstLine="790"/>
        <w:spacing w:after="0"/>
        <w:tabs>
          <w:tab w:leader="none" w:pos="1065"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The Company shall pay or reimburse Employee for reasonable travel, entertainment and other expenses incurred by Employee in connection with the performance of Employee's duties under this Agreement upon receipt of vouchers therefor submitted to the Company on a timely basis and in accordance with the Company's regular reimbursement procedures and practices in effect from time to time.</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065"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The Company may terminate Employee's employment and the Company's obligations or liabilities under this Agreement, excluding any obligations the Company may have under Paragraph 8, in any of the following circumstances:</w:t>
      </w:r>
    </w:p>
    <w:p>
      <w:pPr>
        <w:spacing w:after="0" w:line="176" w:lineRule="exact"/>
        <w:rPr>
          <w:rFonts w:ascii="Courier New" w:cs="Courier New" w:eastAsia="Courier New" w:hAnsi="Courier New"/>
          <w:sz w:val="15"/>
          <w:szCs w:val="15"/>
          <w:color w:val="auto"/>
        </w:rPr>
      </w:pPr>
    </w:p>
    <w:p>
      <w:pPr>
        <w:ind w:right="3119" w:firstLine="1056"/>
        <w:spacing w:after="0"/>
        <w:tabs>
          <w:tab w:leader="none" w:pos="1420"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In the event Employee becomes unable to perform Employee's duties hereunder due to partial or total disability or incapacity resulting from a mental or physical illness, injury or health-related cause ("Disability") for a period of nine (9) consecutive months or for a cumulative period of forty-five (45) weeks during the term of this Agreement. Employee acknowledges that given Employee's role in the Company's operations, it would be an undue hardship for the Company to accommodate such a Disability for a longer period.</w:t>
      </w:r>
    </w:p>
    <w:p>
      <w:pPr>
        <w:spacing w:after="0" w:line="173" w:lineRule="exact"/>
        <w:rPr>
          <w:rFonts w:ascii="Courier New" w:cs="Courier New" w:eastAsia="Courier New" w:hAnsi="Courier New"/>
          <w:sz w:val="15"/>
          <w:szCs w:val="15"/>
          <w:color w:val="auto"/>
        </w:rPr>
      </w:pPr>
    </w:p>
    <w:p>
      <w:pPr>
        <w:ind w:left="1420" w:hanging="364"/>
        <w:spacing w:after="0"/>
        <w:tabs>
          <w:tab w:leader="none" w:pos="1420"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In the event of Employee's death.</w:t>
      </w:r>
    </w:p>
    <w:p>
      <w:pPr>
        <w:spacing w:after="0" w:line="171" w:lineRule="exact"/>
        <w:rPr>
          <w:rFonts w:ascii="Courier New" w:cs="Courier New" w:eastAsia="Courier New" w:hAnsi="Courier New"/>
          <w:sz w:val="15"/>
          <w:szCs w:val="15"/>
          <w:color w:val="auto"/>
        </w:rPr>
      </w:pPr>
    </w:p>
    <w:p>
      <w:pPr>
        <w:ind w:left="1420" w:hanging="364"/>
        <w:spacing w:after="0"/>
        <w:tabs>
          <w:tab w:leader="none" w:pos="1420"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 Cause. In the event of "cause," which shall</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Employee's willful misconduct; fraud; misappropriation; embezzlement; gross negligence in the management of Company business; self-dealing; dishonesty; misrepresentation; conviction of a crime of moral turpitude; material violation of any Company policy; material violation of the Company's Code of Ethics and Business Conduct as then in effect; or material breach of any provision of this Agreement (which material breach shall be deemed to have occurred, without limitation, in the event of: (i) failure by Employee to perform services consistent with this Agreement after notice of such failure by the Company to Employee and a reasonable opportunity, in light of the context of such failure, for Employee to cure or otherwise remedy such failure; (ii) acceptance of employment with another person or entity, or performing work or providing advice to another person or entity as an employee, consultant or in any other capacity, during the Term; or (iii) breach of the confidentiality provisions hereof) ("Discharge With Cause").</w:t>
      </w:r>
    </w:p>
    <w:p>
      <w:pPr>
        <w:spacing w:after="0" w:line="181" w:lineRule="exact"/>
        <w:rPr>
          <w:rFonts w:ascii="Courier New" w:cs="Courier New" w:eastAsia="Courier New" w:hAnsi="Courier New"/>
          <w:sz w:val="15"/>
          <w:szCs w:val="15"/>
          <w:color w:val="auto"/>
        </w:rPr>
      </w:pPr>
    </w:p>
    <w:p>
      <w:pPr>
        <w:ind w:right="4099" w:firstLine="1056"/>
        <w:spacing w:after="0" w:line="238" w:lineRule="auto"/>
        <w:tabs>
          <w:tab w:leader="none" w:pos="1420"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Without Cause. At any time, without "cause" ("Discharge Without Cause").</w:t>
      </w:r>
    </w:p>
    <w:p>
      <w:pPr>
        <w:spacing w:after="0" w:line="172"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Termination by the Company.</w:t>
      </w:r>
    </w:p>
    <w:p>
      <w:pPr>
        <w:spacing w:after="0" w:line="171" w:lineRule="exact"/>
        <w:rPr>
          <w:rFonts w:ascii="Courier New" w:cs="Courier New" w:eastAsia="Courier New" w:hAnsi="Courier New"/>
          <w:sz w:val="15"/>
          <w:szCs w:val="15"/>
          <w:color w:val="auto"/>
        </w:rPr>
      </w:pPr>
    </w:p>
    <w:p>
      <w:pPr>
        <w:ind w:left="1420" w:hanging="364"/>
        <w:spacing w:after="0"/>
        <w:tabs>
          <w:tab w:leader="none" w:pos="1420"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Without Cause. If Employee is Discharged Without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Cause: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1" w:right="1440" w:bottom="1440" w:gutter="0" w:footer="0" w:header="0"/>
        </w:sectPr>
      </w:pPr>
    </w:p>
    <w:bookmarkStart w:id="419" w:name="page420"/>
    <w:bookmarkEnd w:id="419"/>
    <w:p>
      <w:pPr>
        <w:ind w:left="-790" w:right="3219" w:firstLine="1411"/>
        <w:spacing w:after="0"/>
        <w:tabs>
          <w:tab w:leader="none" w:pos="985" w:val="left"/>
        </w:tabs>
        <w:numPr>
          <w:ilvl w:val="2"/>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continue to receive Employee's then-current Base Salary and all insurance, medical and other similar benefits for two years from the date of the Discharge Without Cause, in exchange for a release by Employee of the Company with respect to all matters relating to Employee's employment. Employee shall also receive any accrued but unused vacation time to the date of termination, and any amounts then due under the Deferred Compensation Plan (or Employee may elect to continue to participate in the Deferred Compensation Plan if such continued participation is authorized in accordance with the terms of the Deferred Compensation Plan).</w:t>
      </w:r>
    </w:p>
    <w:p>
      <w:pPr>
        <w:spacing w:after="0" w:line="177" w:lineRule="exact"/>
        <w:rPr>
          <w:rFonts w:ascii="Courier New" w:cs="Courier New" w:eastAsia="Courier New" w:hAnsi="Courier New"/>
          <w:sz w:val="15"/>
          <w:szCs w:val="15"/>
          <w:color w:val="auto"/>
        </w:rPr>
      </w:pPr>
    </w:p>
    <w:p>
      <w:pPr>
        <w:ind w:left="-790" w:right="3299" w:firstLine="1411"/>
        <w:spacing w:after="0" w:line="239" w:lineRule="auto"/>
        <w:tabs>
          <w:tab w:leader="none" w:pos="1074" w:val="left"/>
        </w:tabs>
        <w:numPr>
          <w:ilvl w:val="2"/>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that portion of the Executive Cash Bonus and Deferred Bonus (if any) which would have vested within a period of twelve (12) months from the date of Discharge Without Cause, had there been no termination of Employee's employment.</w:t>
      </w:r>
    </w:p>
    <w:p>
      <w:pPr>
        <w:spacing w:after="0" w:line="176" w:lineRule="exact"/>
        <w:rPr>
          <w:rFonts w:ascii="Courier New" w:cs="Courier New" w:eastAsia="Courier New" w:hAnsi="Courier New"/>
          <w:sz w:val="15"/>
          <w:szCs w:val="15"/>
          <w:color w:val="auto"/>
        </w:rPr>
      </w:pPr>
    </w:p>
    <w:p>
      <w:pPr>
        <w:ind w:left="-790" w:right="3119" w:firstLine="1411"/>
        <w:spacing w:after="0"/>
        <w:tabs>
          <w:tab w:leader="none" w:pos="1163" w:val="left"/>
        </w:tabs>
        <w:numPr>
          <w:ilvl w:val="2"/>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have no obligation to obtain employment during the period in which Employee receives post-termination payments from the Company under this Paragraph 8(a). However, the Company's obligation for Base Salary under subparagraph (i) above shall be offset by any compensation from employment earned by Employee with another employer during such period, and its obligation to continue insurance, medical and other similar benefits shall cease upon Employee's acceptance of other employment offering substantially similar benefits.</w:t>
      </w:r>
    </w:p>
    <w:p>
      <w:pPr>
        <w:spacing w:after="0" w:line="176" w:lineRule="exact"/>
        <w:rPr>
          <w:rFonts w:ascii="Courier New" w:cs="Courier New" w:eastAsia="Courier New" w:hAnsi="Courier New"/>
          <w:sz w:val="15"/>
          <w:szCs w:val="15"/>
          <w:color w:val="auto"/>
        </w:rPr>
      </w:pPr>
    </w:p>
    <w:p>
      <w:pPr>
        <w:ind w:left="-790" w:right="3119" w:firstLine="1056"/>
        <w:spacing w:after="0"/>
        <w:tabs>
          <w:tab w:leader="none" w:pos="630" w:val="left"/>
        </w:tabs>
        <w:numPr>
          <w:ilvl w:val="1"/>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Upon discharge due to death or Disability, Employee (or Employee's estate, as applicable) will be entitled to payment of Employee's then-current unpaid Base Salary for the period prior to termination and for the period of three (3) months thereafter, amounts payable on account of death or Disability under any insurance or benefit plans or policies maintained by the Company, any accrued but unused vacation time, and any amounts then due under the Deferred Compensation Plan.</w:t>
      </w:r>
    </w:p>
    <w:p>
      <w:pPr>
        <w:spacing w:after="0" w:line="175" w:lineRule="exact"/>
        <w:rPr>
          <w:rFonts w:ascii="Courier New" w:cs="Courier New" w:eastAsia="Courier New" w:hAnsi="Courier New"/>
          <w:sz w:val="15"/>
          <w:szCs w:val="15"/>
          <w:color w:val="auto"/>
        </w:rPr>
      </w:pPr>
    </w:p>
    <w:p>
      <w:pPr>
        <w:jc w:val="both"/>
        <w:ind w:left="-790" w:right="3299" w:firstLine="1056"/>
        <w:spacing w:after="0" w:line="262" w:lineRule="auto"/>
        <w:tabs>
          <w:tab w:leader="none" w:pos="630"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 With Cause. If Employee is Discharged With Cause, Employee's sole entitlement shall be the receipt of Employee's then-current unpaid Base Salary for any days worked through the date of termination and any amounts payable to Employee at such time under the Deferred Compensation Plan.</w:t>
      </w:r>
    </w:p>
    <w:p>
      <w:pPr>
        <w:spacing w:after="0" w:line="160" w:lineRule="exact"/>
        <w:rPr>
          <w:rFonts w:ascii="Courier New" w:cs="Courier New" w:eastAsia="Courier New" w:hAnsi="Courier New"/>
          <w:sz w:val="14"/>
          <w:szCs w:val="14"/>
          <w:color w:val="auto"/>
        </w:rPr>
      </w:pPr>
    </w:p>
    <w:p>
      <w:pPr>
        <w:ind w:left="-790" w:right="3299" w:firstLine="1056"/>
        <w:spacing w:after="0" w:line="239" w:lineRule="auto"/>
        <w:tabs>
          <w:tab w:leader="none" w:pos="630" w:val="left"/>
        </w:tabs>
        <w:numPr>
          <w:ilvl w:val="1"/>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Rights. Nothing herein shall constitute a waiver by Employee of "COBRA" rights under federal law in connection with termination of employment.</w:t>
      </w:r>
    </w:p>
    <w:p>
      <w:pPr>
        <w:spacing w:after="0" w:line="175" w:lineRule="exact"/>
        <w:rPr>
          <w:rFonts w:ascii="Courier New" w:cs="Courier New" w:eastAsia="Courier New" w:hAnsi="Courier New"/>
          <w:sz w:val="15"/>
          <w:szCs w:val="15"/>
          <w:color w:val="auto"/>
        </w:rPr>
      </w:pPr>
    </w:p>
    <w:p>
      <w:pPr>
        <w:ind w:left="-790" w:right="3219" w:firstLine="1056"/>
        <w:spacing w:after="0" w:line="239" w:lineRule="auto"/>
        <w:tabs>
          <w:tab w:leader="none" w:pos="630" w:val="left"/>
        </w:tabs>
        <w:numPr>
          <w:ilvl w:val="1"/>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Company shall not be liable for any payment under this Paragraph 8 in the event Employee breaches Employee's obligations under Paragraph 9.</w:t>
      </w:r>
    </w:p>
    <w:p>
      <w:pPr>
        <w:spacing w:after="0" w:line="172"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Confidentiality.</w:t>
      </w:r>
    </w:p>
    <w:p>
      <w:pPr>
        <w:spacing w:after="0" w:line="200" w:lineRule="exact"/>
        <w:rPr>
          <w:sz w:val="20"/>
          <w:szCs w:val="20"/>
          <w:color w:val="auto"/>
        </w:rPr>
      </w:pPr>
    </w:p>
    <w:p>
      <w:pPr>
        <w:spacing w:after="0" w:line="313"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29"/>
          </w:cols>
          <w:pgMar w:left="1030" w:top="630" w:right="1440" w:bottom="1440" w:gutter="0" w:footer="0" w:header="0"/>
        </w:sectPr>
      </w:pPr>
    </w:p>
    <w:bookmarkStart w:id="420" w:name="page421"/>
    <w:bookmarkEnd w:id="420"/>
    <w:p>
      <w:pPr>
        <w:ind w:left="-1056" w:right="3299" w:firstLine="1056"/>
        <w:spacing w:after="0"/>
        <w:tabs>
          <w:tab w:leader="none" w:pos="364"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solicit, induce, encourage, or attempt to influence any client, customer, employee, consultant, independent contractor, subscriber, service provider, salesman or supplier of Company to cease to do business or to terminate the employment or other relationship with the Company.</w:t>
      </w:r>
    </w:p>
    <w:p>
      <w:pPr>
        <w:spacing w:after="0" w:line="175" w:lineRule="exact"/>
        <w:rPr>
          <w:rFonts w:ascii="Courier New" w:cs="Courier New" w:eastAsia="Courier New" w:hAnsi="Courier New"/>
          <w:sz w:val="15"/>
          <w:szCs w:val="15"/>
          <w:color w:val="auto"/>
        </w:rPr>
      </w:pPr>
    </w:p>
    <w:p>
      <w:pPr>
        <w:ind w:left="-1056" w:right="3119" w:firstLine="1056"/>
        <w:spacing w:after="0"/>
        <w:tabs>
          <w:tab w:leader="none" w:pos="364"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purchase (other than for personal use) goods, services or programming from material suppliers of Company similar to those purchased by Company if the effect of any such purchase shall cause the Company the denial of or delay in the receipt of such goods, services or programming.</w:t>
      </w:r>
    </w:p>
    <w:p>
      <w:pPr>
        <w:spacing w:after="0" w:line="175" w:lineRule="exact"/>
        <w:rPr>
          <w:rFonts w:ascii="Courier New" w:cs="Courier New" w:eastAsia="Courier New" w:hAnsi="Courier New"/>
          <w:sz w:val="15"/>
          <w:szCs w:val="15"/>
          <w:color w:val="auto"/>
        </w:rPr>
      </w:pPr>
    </w:p>
    <w:p>
      <w:pPr>
        <w:ind w:left="-1056" w:right="3119" w:firstLine="1056"/>
        <w:spacing w:after="0"/>
        <w:tabs>
          <w:tab w:leader="none" w:pos="364"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ENGAGE IN (AS A PRINCIPAL, PARTNER, DIRECTOR, OFFICER, AGENT, EMPLOYEE, CONSULTANT, OWNER, INDEPENDENT CONTRACTOR OR OTHERWISE) OR BE FINANCIALLY INTERESTED IN: (i) ANY BUSINESS IN COMPETITION WITH THE BUSINESS ACTIVITIES CARRIED ON BY THE COMPANY IN ANY AREA, OR BEING PLANNED BY THE COMPANY (WITH EMPLOYEE'S KNOWLEDGE) AT THE TIME OF SUCH TERMINATION OF EMPLOYMENT; OR (ii) ANY BUSINESS DESCRIBED ON SCHEDULE 2 ATTACHED HERETO (SUBPARAGRAPHS (c)(i) AND (c)(ii) TOGETHER REFERRED TO AS "COMPETITIVE ACTIVITIES"); PROVIDED, HOWEVER, THAT IN THE EVENT TERMINATION OCCURS BY THE COMPANY PURSUANT TO PARAGRAPH 7(d) OR AS A RESULT OF THE EXPIRATION OF THE TERM ON MARCH 31, 2005, THEN SUBPARAGRAPH (c)(ii) SHALL NOT APPLY. NOTHING HEREIN SHALL PREVENT EMPLOYEE FROM OWNING FOR INVESTMENT UP TO FIVE PERCENT (5%) OF ANY CLASS OF EQUITY SECURITY OF AN ENTITY WHOSE SECURITIES ARE TRADED ON A NATIONAL SECURITIES EXCHANGE OR MARKET.</w:t>
      </w:r>
    </w:p>
    <w:p>
      <w:pPr>
        <w:spacing w:after="0" w:line="181" w:lineRule="exact"/>
        <w:rPr>
          <w:rFonts w:ascii="Courier New" w:cs="Courier New" w:eastAsia="Courier New" w:hAnsi="Courier New"/>
          <w:sz w:val="15"/>
          <w:szCs w:val="15"/>
          <w:color w:val="auto"/>
        </w:rPr>
      </w:pPr>
    </w:p>
    <w:p>
      <w:pPr>
        <w:ind w:left="-1056" w:right="3119" w:firstLine="1056"/>
        <w:spacing w:after="0"/>
        <w:tabs>
          <w:tab w:leader="none" w:pos="364"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use for Employee's personal benefit, or disclose, communicate or divulge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This confidential information includes, but is not limited to: business, marketing, legal or accounting methods, policies, plans, procedures, strategies or techniques; research or development projects or results; software and firmware; trade secrets or other knowledge or processes of or developed by the Company; names and addresses of employees, suppliers or customers; and any data on or relating to past, present or prospective customers, including customer lists. Employee confirms that such information is confidential and constitutes the exclusive property of the Company, and agrees that, immediately upon Employee's</w:t>
      </w:r>
    </w:p>
    <w:p>
      <w:pPr>
        <w:spacing w:after="0" w:line="200" w:lineRule="exact"/>
        <w:rPr>
          <w:sz w:val="20"/>
          <w:szCs w:val="20"/>
          <w:color w:val="auto"/>
        </w:rPr>
      </w:pPr>
    </w:p>
    <w:p>
      <w:pPr>
        <w:spacing w:after="0" w:line="321"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163"/>
          </w:cols>
          <w:pgMar w:left="1296" w:top="631" w:right="1440" w:bottom="1440" w:gutter="0" w:footer="0" w:header="0"/>
        </w:sectPr>
      </w:pPr>
    </w:p>
    <w:bookmarkStart w:id="421" w:name="page422"/>
    <w:bookmarkEnd w:id="421"/>
    <w:p>
      <w:pPr>
        <w:ind w:right="3119"/>
        <w:spacing w:after="0"/>
        <w:rPr>
          <w:sz w:val="20"/>
          <w:szCs w:val="20"/>
          <w:color w:val="auto"/>
        </w:rPr>
      </w:pPr>
      <w:r>
        <w:rPr>
          <w:rFonts w:ascii="Courier New" w:cs="Courier New" w:eastAsia="Courier New" w:hAnsi="Courier New"/>
          <w:sz w:val="15"/>
          <w:szCs w:val="15"/>
          <w:color w:val="auto"/>
        </w:rPr>
        <w:t>termination, whether such termination occurs by expiration of this Agreement, by a breach of this Agreement by Employee or by the Company, Employee shall deliver to the Company all correspondence, documents, books, records, lists and other materials relating to the Company's business, regardless of the medium in which such materials are maintained; and Employee shall retain no copies in any medium, regardless of where or by whom such materials were kept or prepared. Nothing herein shall prevent Employee from complying with a valid subpoena or other legal requirement for disclosure of information; provided that Employee shall notify the Company promptly and in advance of disclosure if Employee believes Employee is under a legal requirement to disclose confidential information.</w:t>
      </w:r>
    </w:p>
    <w:p>
      <w:pPr>
        <w:spacing w:after="0" w:line="179" w:lineRule="exact"/>
        <w:rPr>
          <w:sz w:val="20"/>
          <w:szCs w:val="20"/>
          <w:color w:val="auto"/>
        </w:rPr>
      </w:pPr>
    </w:p>
    <w:p>
      <w:pPr>
        <w:ind w:right="3219" w:firstLine="1056"/>
        <w:spacing w:after="0"/>
        <w:tabs>
          <w:tab w:leader="none" w:pos="1420" w:val="left"/>
        </w:tabs>
        <w:numPr>
          <w:ilvl w:val="1"/>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restrictions contained in this Paragraph 9, in view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obtain from any court of competent jurisdiction: (i) preliminary and permanent injunctive relief against Employee; (ii) damages from Employee; and (iii) an equitable accounting of all compensation, commissions, earnings, profits and other benefits to Employee arising from such violation (including legal fees and other costs and expenses of defending Employee in any legal proceedings relating to this Agreement ("Legal Fees")), all of which rights shall be cumulative and in addition to any other rights and remedies to which the Company may be entitled as set forth herein or as a matter of law.</w:t>
      </w:r>
    </w:p>
    <w:p>
      <w:pPr>
        <w:spacing w:after="0" w:line="181" w:lineRule="exact"/>
        <w:rPr>
          <w:rFonts w:ascii="Courier New" w:cs="Courier New" w:eastAsia="Courier New" w:hAnsi="Courier New"/>
          <w:sz w:val="15"/>
          <w:szCs w:val="15"/>
          <w:color w:val="auto"/>
        </w:rPr>
      </w:pPr>
    </w:p>
    <w:p>
      <w:pPr>
        <w:ind w:right="3119" w:firstLine="1056"/>
        <w:spacing w:after="0"/>
        <w:tabs>
          <w:tab w:leader="none" w:pos="1420" w:val="left"/>
        </w:tabs>
        <w:numPr>
          <w:ilvl w:val="1"/>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agrees that if any portion of the restrictions contained in this Paragraph 9, or the application thereof, is construed to be invalid or unenforceable, the remainder of such restriction or restrictions or the application thereof shall not be affected and the remaining restriction or restrictions will then be given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 If Employee violates any such restrictions, the period of such violation (from the commencement of any such violation until such time as such violation shall be cured by Employee to the satisfaction of the Company) shall not count toward or be included in the restrictive period contained in the applicable subparagraph above.</w:t>
      </w:r>
    </w:p>
    <w:p>
      <w:pPr>
        <w:spacing w:after="0" w:line="179"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Acknowledgements and Agreements.</w:t>
      </w:r>
    </w:p>
    <w:p>
      <w:pPr>
        <w:spacing w:after="0" w:line="171" w:lineRule="exact"/>
        <w:rPr>
          <w:rFonts w:ascii="Courier New" w:cs="Courier New" w:eastAsia="Courier New" w:hAnsi="Courier New"/>
          <w:sz w:val="15"/>
          <w:szCs w:val="15"/>
          <w:color w:val="auto"/>
        </w:rPr>
      </w:pPr>
    </w:p>
    <w:p>
      <w:pPr>
        <w:ind w:left="1500" w:hanging="355"/>
        <w:spacing w:after="0"/>
        <w:tabs>
          <w:tab w:leader="none" w:pos="1500" w:val="left"/>
        </w:tabs>
        <w:numPr>
          <w:ilvl w:val="2"/>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and agrees as follows: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422" w:name="page423"/>
    <w:bookmarkEnd w:id="422"/>
    <w:p>
      <w:pPr>
        <w:ind w:left="9" w:right="3299" w:firstLine="1411"/>
        <w:spacing w:after="0" w:line="239" w:lineRule="auto"/>
        <w:tabs>
          <w:tab w:leader="none" w:pos="1784" w:val="left"/>
        </w:tabs>
        <w:numPr>
          <w:ilvl w:val="3"/>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possesses sufficient knowledge, skill and experience to permit him to earn a living by working in an industry not described in Paragraph 9(c) and Schedule 2 for a period of one year as therein provided.</w:t>
      </w:r>
    </w:p>
    <w:p>
      <w:pPr>
        <w:spacing w:after="0" w:line="176" w:lineRule="exact"/>
        <w:rPr>
          <w:rFonts w:ascii="Courier New" w:cs="Courier New" w:eastAsia="Courier New" w:hAnsi="Courier New"/>
          <w:sz w:val="15"/>
          <w:szCs w:val="15"/>
          <w:color w:val="auto"/>
        </w:rPr>
      </w:pPr>
    </w:p>
    <w:p>
      <w:pPr>
        <w:ind w:left="9" w:right="3119" w:firstLine="1411"/>
        <w:spacing w:after="0" w:line="239" w:lineRule="auto"/>
        <w:tabs>
          <w:tab w:leader="none" w:pos="1873" w:val="left"/>
        </w:tabs>
        <w:numPr>
          <w:ilvl w:val="3"/>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level of skill and experience is rare and unique in the industries in which the Company participates, and that it would be difficult or impossible for the Company to replace Employee within a reasonable period of time.</w:t>
      </w:r>
    </w:p>
    <w:p>
      <w:pPr>
        <w:spacing w:after="0" w:line="176" w:lineRule="exact"/>
        <w:rPr>
          <w:rFonts w:ascii="Courier New" w:cs="Courier New" w:eastAsia="Courier New" w:hAnsi="Courier New"/>
          <w:sz w:val="15"/>
          <w:szCs w:val="15"/>
          <w:color w:val="auto"/>
        </w:rPr>
      </w:pPr>
    </w:p>
    <w:p>
      <w:pPr>
        <w:ind w:left="9" w:right="3299" w:firstLine="1411"/>
        <w:spacing w:after="0"/>
        <w:tabs>
          <w:tab w:leader="none" w:pos="1961" w:val="left"/>
        </w:tabs>
        <w:numPr>
          <w:ilvl w:val="3"/>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decision to work for or otherwise serve any other business in the industries in which Company participates would cause competitive and other harm and significant hardship to Company, and that to do so would be inconsistent with the benefits provided to Employee under this Agreement or in connection with its execution.</w:t>
      </w:r>
    </w:p>
    <w:p>
      <w:pPr>
        <w:spacing w:after="0" w:line="174" w:lineRule="exact"/>
        <w:rPr>
          <w:rFonts w:ascii="Courier New" w:cs="Courier New" w:eastAsia="Courier New" w:hAnsi="Courier New"/>
          <w:sz w:val="15"/>
          <w:szCs w:val="15"/>
          <w:color w:val="auto"/>
        </w:rPr>
      </w:pPr>
    </w:p>
    <w:p>
      <w:pPr>
        <w:ind w:left="9" w:right="3399" w:firstLine="1411"/>
        <w:spacing w:after="0" w:line="238" w:lineRule="auto"/>
        <w:tabs>
          <w:tab w:leader="none" w:pos="1873" w:val="left"/>
        </w:tabs>
        <w:numPr>
          <w:ilvl w:val="3"/>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compensation provided under this Agreement is fair compensation in consideration of the restrictions contained herein.</w:t>
      </w:r>
    </w:p>
    <w:p>
      <w:pPr>
        <w:spacing w:after="0" w:line="174" w:lineRule="exact"/>
        <w:rPr>
          <w:rFonts w:ascii="Courier New" w:cs="Courier New" w:eastAsia="Courier New" w:hAnsi="Courier New"/>
          <w:sz w:val="15"/>
          <w:szCs w:val="15"/>
          <w:color w:val="auto"/>
        </w:rPr>
      </w:pPr>
    </w:p>
    <w:p>
      <w:pPr>
        <w:ind w:left="9" w:right="3119" w:firstLine="1411"/>
        <w:spacing w:after="0"/>
        <w:tabs>
          <w:tab w:leader="none" w:pos="1784" w:val="left"/>
        </w:tabs>
        <w:numPr>
          <w:ilvl w:val="3"/>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RESIGNATION BY EMPLOYEE FROM EMPLOYMENT BY THE COMPANY (OTHER THAN IN CONNECTION WITH A BONA FIDE RETIREMENT AS AGREED WITH THE COMPANY) MAY BE TREATED BY THE COMPANY AS A MATERIAL BREACH OF THIS AGREEMENT AND, AS A CONSEQUENCE, THE COMPANY MAY AVAIL ITSELF OF ALL RIGHTS AND REMEDIES SET FORTH HEREIN OR AVAILABLE TO IT AS A MATTER OF LAW. In the event of such breach, the Company shall not be liable for any payments or benefits to Employee hereunder.</w:t>
      </w:r>
    </w:p>
    <w:p>
      <w:pPr>
        <w:spacing w:after="0" w:line="175" w:lineRule="exact"/>
        <w:rPr>
          <w:rFonts w:ascii="Courier New" w:cs="Courier New" w:eastAsia="Courier New" w:hAnsi="Courier New"/>
          <w:sz w:val="15"/>
          <w:szCs w:val="15"/>
          <w:color w:val="auto"/>
        </w:rPr>
      </w:pPr>
    </w:p>
    <w:p>
      <w:pPr>
        <w:ind w:left="9" w:right="3299" w:firstLine="1056"/>
        <w:spacing w:after="0" w:line="239" w:lineRule="auto"/>
        <w:tabs>
          <w:tab w:leader="none" w:pos="1429" w:val="left"/>
        </w:tabs>
        <w:numPr>
          <w:ilvl w:val="2"/>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Employee had the opportunity to retain and consult with legal counsel and tax advisors of Employee's choice regarding the terms of this Agreement. Employee represents that this Agreement is enforceable against Employee in accordance with its terms.</w:t>
      </w:r>
    </w:p>
    <w:p>
      <w:pPr>
        <w:spacing w:after="0" w:line="173" w:lineRule="exact"/>
        <w:rPr>
          <w:rFonts w:ascii="Courier New" w:cs="Courier New" w:eastAsia="Courier New" w:hAnsi="Courier New"/>
          <w:sz w:val="15"/>
          <w:szCs w:val="15"/>
          <w:color w:val="auto"/>
        </w:rPr>
      </w:pPr>
    </w:p>
    <w:p>
      <w:pPr>
        <w:ind w:left="1149" w:hanging="350"/>
        <w:spacing w:after="0"/>
        <w:tabs>
          <w:tab w:leader="none" w:pos="1149" w:val="left"/>
        </w:tabs>
        <w:numPr>
          <w:ilvl w:val="1"/>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Remedies.</w:t>
      </w:r>
    </w:p>
    <w:p>
      <w:pPr>
        <w:spacing w:after="0" w:line="344" w:lineRule="exact"/>
        <w:rPr>
          <w:rFonts w:ascii="Courier New" w:cs="Courier New" w:eastAsia="Courier New" w:hAnsi="Courier New"/>
          <w:sz w:val="15"/>
          <w:szCs w:val="15"/>
          <w:color w:val="auto"/>
        </w:rPr>
      </w:pPr>
    </w:p>
    <w:p>
      <w:pPr>
        <w:ind w:left="9" w:right="3219" w:firstLine="1056"/>
        <w:spacing w:after="0" w:line="258" w:lineRule="auto"/>
        <w:tabs>
          <w:tab w:leader="none" w:pos="1429" w:val="left"/>
        </w:tabs>
        <w:numPr>
          <w:ilvl w:val="2"/>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commits a material breach of this Agreement and such breach is not cured to Employee's satisfaction within thirty</w:t>
      </w:r>
    </w:p>
    <w:p>
      <w:pPr>
        <w:ind w:left="9" w:right="3119" w:hanging="9"/>
        <w:spacing w:after="0"/>
        <w:tabs>
          <w:tab w:leader="none" w:pos="453"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written demand for such cure, then Employee may terminate this Agreement, and such termination shall be construed as a Discharge Without Cause. A substantial diminution in Employee's duties and responsibilities shall constitute a material breach of this Agreement. In all such events, Employee's rights shall be as provided in Paragraph 8(a).</w:t>
      </w:r>
    </w:p>
    <w:p>
      <w:pPr>
        <w:spacing w:after="0" w:line="345" w:lineRule="exact"/>
        <w:rPr>
          <w:rFonts w:ascii="Courier New" w:cs="Courier New" w:eastAsia="Courier New" w:hAnsi="Courier New"/>
          <w:sz w:val="15"/>
          <w:szCs w:val="15"/>
          <w:color w:val="auto"/>
        </w:rPr>
      </w:pPr>
    </w:p>
    <w:p>
      <w:pPr>
        <w:ind w:left="9" w:right="3299" w:firstLine="1056"/>
        <w:spacing w:after="0"/>
        <w:tabs>
          <w:tab w:leader="none" w:pos="1429" w:val="left"/>
        </w:tabs>
        <w:numPr>
          <w:ilvl w:val="2"/>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following Employee's resignation from employment by the Company, Employee provides services or otherwise performs any work for or on behalf of any person or business engaged in Competitive Activities at any time through March 31, 2005, then Employee shall pay, or cause to be paid to the Company, on a current basis, all cash and non-</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423" w:name="page424"/>
    <w:bookmarkEnd w:id="423"/>
    <w:p>
      <w:pPr>
        <w:ind w:right="3119"/>
        <w:spacing w:after="0"/>
        <w:rPr>
          <w:sz w:val="20"/>
          <w:szCs w:val="20"/>
          <w:color w:val="auto"/>
        </w:rPr>
      </w:pPr>
      <w:r>
        <w:rPr>
          <w:rFonts w:ascii="Courier New" w:cs="Courier New" w:eastAsia="Courier New" w:hAnsi="Courier New"/>
          <w:sz w:val="15"/>
          <w:szCs w:val="15"/>
          <w:color w:val="auto"/>
        </w:rPr>
        <w:t>cash compensation, bonuses, commissions, earnings, profits and other benefits of Employee received, vested or earned through such date (including Legal Fees but excluding any health and welfare benefits available generally to all employees of such person or business), to the extent the value of the total amount thereof exceeds the amount Employee would have received from the Company as Base Salary through such date had Employee not so resigned.</w:t>
      </w:r>
    </w:p>
    <w:p>
      <w:pPr>
        <w:spacing w:after="0" w:line="175" w:lineRule="exact"/>
        <w:rPr>
          <w:sz w:val="20"/>
          <w:szCs w:val="20"/>
          <w:color w:val="auto"/>
        </w:rPr>
      </w:pPr>
    </w:p>
    <w:p>
      <w:pPr>
        <w:ind w:right="3119" w:firstLine="1056"/>
        <w:spacing w:after="0"/>
        <w:tabs>
          <w:tab w:leader="none" w:pos="1420" w:val="left"/>
        </w:tabs>
        <w:numPr>
          <w:ilvl w:val="1"/>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Employee's agreement to the terms of Paragraph 9 is necessary consideration for the stock option grants, Executive Cash Bonus, Deferred Bonus and other benefits granted to or received by Employee in connection with the execution of this Agreement and during the Term (collectively, the "Additional Compensation"). In the event Employee commits a breach of Paragraph 9, and such breach is not promptly cured to the Company's satisfaction within ten (10) days after demand for such cure, then the Company may rescind any such Additional Compensation paid to Employee within three (3) months prior to the first day on which such breach occurred. Upon Company's demand therefore, Employee shall: (i) return to the Company (properly endorsed for transfer to the Company to the extent represented by certificates) all shares of stock issued upon exercise of any such options (or the same number of shares of such stock if such shares are not then owned by Employee), within such three-month period (in each case together with all shares of stock or other securities issued with respect to such shares in any dividend or recapitalization subsequent to such exercise), and upon receipt thereof the Company shall repay to Employee the exercise price paid in connection with the exercise of any such option; and (ii) repay to the Company the amount of any other Additional Compensation received by Employee within such three-month period. Employee acknowledges that this Paragraph 11(c) may cause shares of stock received upon exercise of an option to be "substantially nonvested" within the meaning of Section 83 of the Internal Revenue Code of 1986, as amended, and that Employee may be required to file an election under Section 83(b) at the time of exercise of any such option in order to avoid potential adverse tax consequences. The remedies provided by this Paragraph 11(c) are in addition to and not in limitation of any other remedies available to the Company under this Agreement or applicable law.</w:t>
      </w:r>
    </w:p>
    <w:p>
      <w:pPr>
        <w:spacing w:after="0" w:line="188"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w:t>
      </w:r>
    </w:p>
    <w:p>
      <w:pPr>
        <w:spacing w:after="0" w:line="174" w:lineRule="exact"/>
        <w:rPr>
          <w:rFonts w:ascii="Courier New" w:cs="Courier New" w:eastAsia="Courier New" w:hAnsi="Courier New"/>
          <w:sz w:val="15"/>
          <w:szCs w:val="15"/>
          <w:color w:val="auto"/>
        </w:rPr>
      </w:pPr>
    </w:p>
    <w:p>
      <w:pPr>
        <w:ind w:right="3119" w:firstLine="1056"/>
        <w:spacing w:after="0" w:line="259" w:lineRule="auto"/>
        <w:tabs>
          <w:tab w:leader="none" w:pos="1420" w:val="left"/>
        </w:tabs>
        <w:numPr>
          <w:ilvl w:val="1"/>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Employee at least thirty (30) days' notice (or, if not practicable, such shorter notice as may be reasonably practicable) prior to the anticipated date of the consummation of an Acceleration Event (as defined in subparagraph (ii) below). Upon receipt of such notice, all stock options of Employee shall become immediately exercisable in full, and until the day before such anticipated date of consummation (or such shorter period as the Company shall reasonably determine and so notify Employee), Employee shall be permitted to exercise all options with respect to up to the entire number of shares of the Company's Class A Special Common Stock covered thereby; provided that the shares received from the exercise of any options so accelerated (and any shares, cash or other proceeds received in exchange therefor in connection with the consummation of the Acceleration Event), shall be held in escrow by the Company or its successor and shall be delivered to Employee only in the event Employee remains in the employ of the Company or its successor through the six-month anniversary of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424" w:name="page425"/>
    <w:bookmarkEnd w:id="424"/>
    <w:p>
      <w:pPr>
        <w:ind w:right="3119"/>
        <w:spacing w:after="0"/>
        <w:rPr>
          <w:sz w:val="20"/>
          <w:szCs w:val="20"/>
          <w:color w:val="auto"/>
        </w:rPr>
      </w:pPr>
      <w:r>
        <w:rPr>
          <w:rFonts w:ascii="Courier New" w:cs="Courier New" w:eastAsia="Courier New" w:hAnsi="Courier New"/>
          <w:sz w:val="15"/>
          <w:szCs w:val="15"/>
          <w:color w:val="auto"/>
        </w:rPr>
        <w:t>date of consummation of the Acceleration Event. The Company may in such notice require that upon the close of the period described above during which an option may be so exercised such option shall terminate to the extent that it has not theretofore been exercised. Notwithstanding the foregoing, in the event the Acceleration Event which was the subject of such notice is not consummated, options which were exercised shall be deemed not to have been exercised and shall be exercisable thereafter (disregarding any acceleration of vesting as provided for above, which shall then be of no effect) to the same extent they would have been exercisable if no such notice had been given.</w:t>
      </w:r>
    </w:p>
    <w:p>
      <w:pPr>
        <w:spacing w:after="0" w:line="177" w:lineRule="exact"/>
        <w:rPr>
          <w:sz w:val="20"/>
          <w:szCs w:val="20"/>
          <w:color w:val="auto"/>
        </w:rPr>
      </w:pPr>
    </w:p>
    <w:p>
      <w:pPr>
        <w:ind w:right="3119" w:firstLine="1056"/>
        <w:spacing w:after="0"/>
        <w:tabs>
          <w:tab w:leader="none" w:pos="1420" w:val="left"/>
        </w:tabs>
        <w:numPr>
          <w:ilvl w:val="1"/>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 means any of the following events: (i) the liquidation of the Company; or (ii) a Change of Control. "Change of Control" means any transaction or series of transactions as a result of which any natural person (other than a member or members of the Roberts Family) beneficially owns securities of the Company or its successor as a result of such transaction(s) or the entity which is the controlling entity of its successor as a result of such transaction(s) having more than 50 percent of the voting power in the election of directors or members of a similar body of the Company, such successor or such other entity. "Roberts Family" means (i) Brian L. Roberts; (ii) a lineal descendant of Brian L. Roberts; and (iii) a trust established for the benefit of any of Brian L. Roberts and/or a lineal descendant or descendants of Brian L. Roberts.</w:t>
      </w:r>
    </w:p>
    <w:p>
      <w:pPr>
        <w:spacing w:after="0" w:line="179" w:lineRule="exact"/>
        <w:rPr>
          <w:rFonts w:ascii="Courier New" w:cs="Courier New" w:eastAsia="Courier New" w:hAnsi="Courier New"/>
          <w:sz w:val="15"/>
          <w:szCs w:val="15"/>
          <w:color w:val="auto"/>
        </w:rPr>
      </w:pPr>
    </w:p>
    <w:p>
      <w:pPr>
        <w:ind w:right="3659" w:firstLine="790"/>
        <w:spacing w:after="0" w:line="239" w:lineRule="auto"/>
        <w:tabs>
          <w:tab w:leader="none" w:pos="1154"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Separable. No provision of this Agreement shall be affected or rendered invalid or unenforceable if for any reason any other provision(s) may be invalid or unenforceable in whole or in part.</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Etc.</w:t>
      </w:r>
    </w:p>
    <w:p>
      <w:pPr>
        <w:spacing w:after="0" w:line="174" w:lineRule="exact"/>
        <w:rPr>
          <w:rFonts w:ascii="Courier New" w:cs="Courier New" w:eastAsia="Courier New" w:hAnsi="Courier New"/>
          <w:sz w:val="15"/>
          <w:szCs w:val="15"/>
          <w:color w:val="auto"/>
        </w:rPr>
      </w:pPr>
    </w:p>
    <w:p>
      <w:pPr>
        <w:ind w:right="3399" w:firstLine="1056"/>
        <w:spacing w:after="0"/>
        <w:tabs>
          <w:tab w:leader="none" w:pos="1420" w:val="left"/>
        </w:tabs>
        <w:numPr>
          <w:ilvl w:val="1"/>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merges with, or transfers all or substantially all of its assets to, another entity, such other entity shall be deemed to be the successor to the Company hereunder, and the term "Company" as used herein shall mean such other entity as is appropriate, and this Agreement shall continue in full force and effect.</w:t>
      </w:r>
    </w:p>
    <w:p>
      <w:pPr>
        <w:spacing w:after="0" w:line="174" w:lineRule="exact"/>
        <w:rPr>
          <w:rFonts w:ascii="Courier New" w:cs="Courier New" w:eastAsia="Courier New" w:hAnsi="Courier New"/>
          <w:sz w:val="15"/>
          <w:szCs w:val="15"/>
          <w:color w:val="auto"/>
        </w:rPr>
      </w:pPr>
    </w:p>
    <w:p>
      <w:pPr>
        <w:ind w:right="3119" w:firstLine="1056"/>
        <w:spacing w:after="0"/>
        <w:tabs>
          <w:tab w:leader="none" w:pos="1420" w:val="left"/>
        </w:tabs>
        <w:numPr>
          <w:ilvl w:val="1"/>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as is appropriate, and this Agreement shall continue in full force and effect. In addition, Paragraph 9 shall apply separately to Employee's employment with such other entity and with the Company, and such other entity shall separately have the rights of the "Company" under Paragraph 9, with respect to Employee's employment with it without affecting or diminishing the rights of the Company hereunder. Notwithstanding the foregoing, the Company shall not be restricted from competing with any such entity.</w:t>
      </w:r>
    </w:p>
    <w:p>
      <w:pPr>
        <w:spacing w:after="0" w:line="200" w:lineRule="exact"/>
        <w:rPr>
          <w:sz w:val="20"/>
          <w:szCs w:val="20"/>
          <w:color w:val="auto"/>
        </w:rPr>
      </w:pPr>
    </w:p>
    <w:p>
      <w:pPr>
        <w:spacing w:after="0" w:line="32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425" w:name="page426"/>
    <w:bookmarkEnd w:id="425"/>
    <w:p>
      <w:pPr>
        <w:ind w:left="-790" w:right="3299" w:firstLine="790"/>
        <w:spacing w:after="0" w:line="239" w:lineRule="auto"/>
        <w:tabs>
          <w:tab w:leader="none" w:pos="364"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Rights. Nothing in this Agreement shall constitute a waiver by Employee of any rights Employee may have to indemnification or the advancement of litigation expenses under any applicable bylaws or insurance policies of the Company or any applicable statute.</w:t>
      </w:r>
    </w:p>
    <w:p>
      <w:pPr>
        <w:spacing w:after="0" w:line="176" w:lineRule="exact"/>
        <w:rPr>
          <w:rFonts w:ascii="Courier New" w:cs="Courier New" w:eastAsia="Courier New" w:hAnsi="Courier New"/>
          <w:sz w:val="15"/>
          <w:szCs w:val="15"/>
          <w:color w:val="auto"/>
        </w:rPr>
      </w:pPr>
    </w:p>
    <w:p>
      <w:pPr>
        <w:ind w:left="-790" w:right="3219" w:firstLine="790"/>
        <w:spacing w:after="0" w:line="259" w:lineRule="auto"/>
        <w:tabs>
          <w:tab w:leader="none" w:pos="364"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 Governing Law. Litigation concerning this Agreement, if initiated by or on behalf of Employee, shall be brought only in a state or federal court in the Eastern District of Pennsylvania, or, if initiated by the Company, in such jurisdiction or in the jurisdiction in which Employee then resides or works. Employee consents to jurisdiction in the Eastern District of Pennsylvania without regard to Employee's residence or place of business. Employee and the Company irrevocably waive any objection, including any objection to the laying of venue or based on the grounds of forum non conveniens, which Employee either may now or hereafter have to the bringing of any action or proceeding in such jurisdiction in respect of this Agreement or any transaction related hereto. Employee and the Company acknowledge and agree that any service of legal process by mail constitutes proper legal service of process under applicable law in any action or proceeding under or in respect of this Agreement. This Agreement shall be interpreted and enforced in accordance with the substantive law of the Commonwealth of Pennsylvania, without regard to any choice-of-law doctrine.</w:t>
      </w:r>
    </w:p>
    <w:p>
      <w:pPr>
        <w:spacing w:after="0" w:line="334" w:lineRule="exact"/>
        <w:rPr>
          <w:rFonts w:ascii="Courier New" w:cs="Courier New" w:eastAsia="Courier New" w:hAnsi="Courier New"/>
          <w:sz w:val="14"/>
          <w:szCs w:val="14"/>
          <w:color w:val="auto"/>
        </w:rPr>
      </w:pPr>
    </w:p>
    <w:p>
      <w:pPr>
        <w:ind w:left="-790" w:right="3119" w:firstLine="790"/>
        <w:spacing w:after="0"/>
        <w:tabs>
          <w:tab w:leader="none" w:pos="364"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referred to in this Agreement shall be made in writing and shall be effective: (a) if given by facsimile, when transmitted to the telecopy number specified in this subparagraph and the appropriate facsimile confirmation is received; or (b) if given by any other means, when delivered at the following address:</w:t>
      </w:r>
    </w:p>
    <w:p>
      <w:pPr>
        <w:spacing w:after="0" w:line="172"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If to Company to:</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790"/>
        <w:spacing w:after="0"/>
        <w:tabs>
          <w:tab w:leader="none" w:pos="237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w:t>
      </w:r>
    </w:p>
    <w:p>
      <w:pPr>
        <w:spacing w:after="0" w:line="1" w:lineRule="exact"/>
        <w:rPr>
          <w:sz w:val="20"/>
          <w:szCs w:val="20"/>
          <w:color w:val="auto"/>
        </w:rPr>
      </w:pPr>
    </w:p>
    <w:p>
      <w:pPr>
        <w:ind w:left="790"/>
        <w:spacing w:after="0"/>
        <w:tabs>
          <w:tab w:leader="none" w:pos="185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1" w:lineRule="exact"/>
        <w:rPr>
          <w:sz w:val="20"/>
          <w:szCs w:val="20"/>
          <w:color w:val="auto"/>
        </w:rPr>
      </w:pPr>
    </w:p>
    <w:p>
      <w:pPr>
        <w:ind w:left="790"/>
        <w:spacing w:after="0"/>
        <w:tabs>
          <w:tab w:leader="none" w:pos="157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(215) 981-7794</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If to Employee to:</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251 Cheswold Lane</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Haverford, PA 19041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29"/>
          </w:cols>
          <w:pgMar w:left="1030" w:top="630" w:right="1440" w:bottom="1440" w:gutter="0" w:footer="0" w:header="0"/>
        </w:sectPr>
      </w:pPr>
    </w:p>
    <w:bookmarkStart w:id="426" w:name="page427"/>
    <w:bookmarkEnd w:id="426"/>
    <w:p>
      <w:pPr>
        <w:ind w:right="3399" w:firstLine="532"/>
        <w:spacing w:after="0" w:line="238" w:lineRule="auto"/>
        <w:rPr>
          <w:sz w:val="20"/>
          <w:szCs w:val="20"/>
          <w:color w:val="auto"/>
        </w:rPr>
      </w:pPr>
      <w:r>
        <w:rPr>
          <w:rFonts w:ascii="Courier New" w:cs="Courier New" w:eastAsia="Courier New" w:hAnsi="Courier New"/>
          <w:sz w:val="15"/>
          <w:szCs w:val="15"/>
          <w:color w:val="auto"/>
        </w:rPr>
        <w:t>IN WITNESS WHEREOF, the parties hereto have duly executed and delivered this Agreement, in Philadelphia, Pennsylvania.</w:t>
      </w:r>
    </w:p>
    <w:p>
      <w:pPr>
        <w:spacing w:after="0" w:line="34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COMCAST CORPORATION</w:t>
      </w:r>
    </w:p>
    <w:p>
      <w:pPr>
        <w:spacing w:after="0" w:line="345"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By:___________________________</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EMPLOYEE:</w:t>
      </w:r>
    </w:p>
    <w:p>
      <w:pPr>
        <w:spacing w:after="0" w:line="345"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Stephen B. Burke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0" w:right="1440" w:bottom="1440" w:gutter="0" w:footer="0" w:header="0"/>
        </w:sectPr>
      </w:pPr>
    </w:p>
    <w:bookmarkStart w:id="427" w:name="page428"/>
    <w:bookmarkEnd w:id="427"/>
    <w:p>
      <w:pPr>
        <w:ind w:left="2310"/>
        <w:spacing w:after="0"/>
        <w:rPr>
          <w:sz w:val="20"/>
          <w:szCs w:val="20"/>
          <w:color w:val="auto"/>
        </w:rPr>
      </w:pPr>
      <w:r>
        <w:rPr>
          <w:rFonts w:ascii="Courier New" w:cs="Courier New" w:eastAsia="Courier New" w:hAnsi="Courier New"/>
          <w:sz w:val="15"/>
          <w:szCs w:val="15"/>
          <w:color w:val="auto"/>
        </w:rPr>
        <w:t>SCHEDULE 1</w:t>
      </w:r>
    </w:p>
    <w:p>
      <w:pPr>
        <w:spacing w:after="0" w:line="1" w:lineRule="exact"/>
        <w:rPr>
          <w:sz w:val="20"/>
          <w:szCs w:val="20"/>
          <w:color w:val="auto"/>
        </w:rPr>
      </w:pPr>
    </w:p>
    <w:p>
      <w:pPr>
        <w:ind w:left="231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50"/>
        <w:spacing w:after="0"/>
        <w:rPr>
          <w:sz w:val="20"/>
          <w:szCs w:val="20"/>
          <w:color w:val="auto"/>
        </w:rPr>
      </w:pPr>
      <w:r>
        <w:rPr>
          <w:rFonts w:ascii="Courier New" w:cs="Courier New" w:eastAsia="Courier New" w:hAnsi="Courier New"/>
          <w:sz w:val="15"/>
          <w:szCs w:val="15"/>
          <w:color w:val="auto"/>
        </w:rPr>
        <w:t>DUTIES OF EMPLOYEE</w:t>
      </w:r>
    </w:p>
    <w:p>
      <w:pPr>
        <w:spacing w:after="0" w:line="1" w:lineRule="exact"/>
        <w:rPr>
          <w:sz w:val="20"/>
          <w:szCs w:val="20"/>
          <w:color w:val="auto"/>
        </w:rPr>
      </w:pPr>
    </w:p>
    <w:p>
      <w:pPr>
        <w:ind w:left="19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90" w:right="4019" w:hanging="790"/>
        <w:spacing w:after="0" w:line="239" w:lineRule="auto"/>
        <w:tabs>
          <w:tab w:leader="none" w:pos="790"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of the Cable Division, responsible for the development, management and growth of the cable communications, data communications and telephony communications businesses.</w:t>
      </w:r>
    </w:p>
    <w:p>
      <w:pPr>
        <w:spacing w:after="0" w:line="17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Advisor to the President of the Company with respect to:</w:t>
      </w:r>
    </w:p>
    <w:p>
      <w:pPr>
        <w:spacing w:after="0" w:line="180" w:lineRule="exact"/>
        <w:rPr>
          <w:rFonts w:ascii="Courier New" w:cs="Courier New" w:eastAsia="Courier New" w:hAnsi="Courier New"/>
          <w:sz w:val="14"/>
          <w:szCs w:val="14"/>
          <w:color w:val="auto"/>
        </w:rPr>
      </w:pPr>
    </w:p>
    <w:p>
      <w:pPr>
        <w:ind w:left="1150" w:hanging="352"/>
        <w:spacing w:after="0"/>
        <w:tabs>
          <w:tab w:leader="none" w:pos="1150"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of existing businesses;</w:t>
      </w:r>
    </w:p>
    <w:p>
      <w:pPr>
        <w:spacing w:after="0" w:line="171" w:lineRule="exact"/>
        <w:rPr>
          <w:rFonts w:ascii="Courier New" w:cs="Courier New" w:eastAsia="Courier New" w:hAnsi="Courier New"/>
          <w:sz w:val="15"/>
          <w:szCs w:val="15"/>
          <w:color w:val="auto"/>
        </w:rPr>
      </w:pPr>
    </w:p>
    <w:p>
      <w:pPr>
        <w:ind w:left="1150" w:hanging="352"/>
        <w:spacing w:after="0"/>
        <w:tabs>
          <w:tab w:leader="none" w:pos="1150"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 opportunities;</w:t>
      </w:r>
    </w:p>
    <w:p>
      <w:pPr>
        <w:spacing w:after="0" w:line="171" w:lineRule="exact"/>
        <w:rPr>
          <w:rFonts w:ascii="Courier New" w:cs="Courier New" w:eastAsia="Courier New" w:hAnsi="Courier New"/>
          <w:sz w:val="15"/>
          <w:szCs w:val="15"/>
          <w:color w:val="auto"/>
        </w:rPr>
      </w:pPr>
    </w:p>
    <w:p>
      <w:pPr>
        <w:ind w:left="1150" w:hanging="352"/>
        <w:spacing w:after="0"/>
        <w:tabs>
          <w:tab w:leader="none" w:pos="1150"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video programming opportunities, and</w:t>
      </w:r>
    </w:p>
    <w:p>
      <w:pPr>
        <w:spacing w:after="0" w:line="171" w:lineRule="exact"/>
        <w:rPr>
          <w:rFonts w:ascii="Courier New" w:cs="Courier New" w:eastAsia="Courier New" w:hAnsi="Courier New"/>
          <w:sz w:val="15"/>
          <w:szCs w:val="15"/>
          <w:color w:val="auto"/>
        </w:rPr>
      </w:pPr>
    </w:p>
    <w:p>
      <w:pPr>
        <w:ind w:left="1150" w:hanging="352"/>
        <w:spacing w:after="0"/>
        <w:tabs>
          <w:tab w:leader="none" w:pos="1150" w:val="left"/>
        </w:tabs>
        <w:numPr>
          <w:ilvl w:val="1"/>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internet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29"/>
          </w:cols>
          <w:pgMar w:left="1030" w:top="969" w:right="1440" w:bottom="1440" w:gutter="0" w:footer="0" w:header="0"/>
        </w:sectPr>
      </w:pPr>
    </w:p>
    <w:bookmarkStart w:id="428" w:name="page429"/>
    <w:bookmarkEnd w:id="428"/>
    <w:p>
      <w:pPr>
        <w:ind w:left="3109"/>
        <w:spacing w:after="0"/>
        <w:rPr>
          <w:sz w:val="20"/>
          <w:szCs w:val="20"/>
          <w:color w:val="auto"/>
        </w:rPr>
      </w:pPr>
      <w:r>
        <w:rPr>
          <w:rFonts w:ascii="Courier New" w:cs="Courier New" w:eastAsia="Courier New" w:hAnsi="Courier New"/>
          <w:sz w:val="15"/>
          <w:szCs w:val="15"/>
          <w:color w:val="auto"/>
        </w:rPr>
        <w:t>SCHEDULE 2</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COMPETITIVE ACTIVITIES *</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449" w:right="3119" w:hanging="449"/>
        <w:spacing w:after="0"/>
        <w:tabs>
          <w:tab w:leader="none" w:pos="449"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video programming to residential or commercial subscribers by any technology, including, but not limited to, coaxial or fiber optic cable, digital subscriber line, SMATV, satellite or wireless distribution systems. The following companies and their successors and assigns are deemed to be competitive video programming distributors engaged in Competitive Activities: AT&amp;T Corp. (AT&amp;T Broadband Services); Time Warner, Inc. (Time Warner Cable Division; Time Warner Entertainment Company, L.P.; Time Warner Entertainment-Advance Newhouse Partnership); Charter Communications, Inc. (Charter Cable TV); Adelphia Communications Corporation; Cox Communications, Inc.; Hughes Electronics Corporation (DirectTV, Inc.); Echostar Communications Corporation; RCN Corporation; Knology Holdings, Inc.; and SBC Communications Inc. (Ameritech New Media, Inc., d/b/a Americast). Other distributors of video programming either providing services in areas (1) served by the Company or (2) serving in excess of 20,000 subscribers in the aggregate, are similarly deemed to be engaged in Competitive Activities.</w:t>
      </w:r>
    </w:p>
    <w:p>
      <w:pPr>
        <w:spacing w:after="0" w:line="182"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transport of data to and/or from residential or commercial subscribers by any technology, including, but not limited to, high speed cable modem, digital subscriber line, wireless or satellite system. The following companies and their successors and assigns are deemed to be competitive data transport providers engaged in Competitive Activities: Regional Bell Operating Companies; Northpoint Communications Group, Inc.; Covad Communications Group, Inc.; Hughes Electronics Corporation (DirectTV, Inc.); Echostar Communications Corporation; Global Crossing Ltd.; Sprint Corporation (Sprint PCS Group); MCI WorldCom, Inc.; At Home Corporation; ServiceCo LLC d/b/a Road Runner. Other providers of data transport services providing services in areas (1) served by the Company or (2) serving in excess of 25,000 subscribers in the aggregate, are similarly deemed to be engaged in Competitive Activities.</w:t>
      </w:r>
    </w:p>
    <w:p>
      <w:pPr>
        <w:spacing w:after="0" w:line="180"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production of video programming for utilization by the technologies set forth in Section A above, for exhibition at movie theaters, for use on the internet, or for purchase by consumers for home viewing. A company which is engaged in such production shall be deemed to be engaged in Competitive Activities if greater than 10% of its gross revenues are derived from such production activities.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969" w:right="1440" w:bottom="1440" w:gutter="0" w:footer="0" w:header="0"/>
        </w:sectPr>
      </w:pPr>
    </w:p>
    <w:bookmarkStart w:id="429" w:name="page430"/>
    <w:bookmarkEnd w:id="429"/>
    <w:p>
      <w:pPr>
        <w:ind w:left="2569"/>
        <w:spacing w:after="0"/>
        <w:rPr>
          <w:sz w:val="20"/>
          <w:szCs w:val="20"/>
          <w:color w:val="auto"/>
        </w:rPr>
      </w:pPr>
      <w:r>
        <w:rPr>
          <w:rFonts w:ascii="Courier New" w:cs="Courier New" w:eastAsia="Courier New" w:hAnsi="Courier New"/>
          <w:sz w:val="15"/>
          <w:szCs w:val="15"/>
          <w:color w:val="auto"/>
        </w:rPr>
        <w:t>SCHEDULE 2 (continued)</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449" w:right="3219" w:hanging="449"/>
        <w:spacing w:after="0"/>
        <w:tabs>
          <w:tab w:leader="none" w:pos="449"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residential or commercial local exchange, toll or long distance telecommunications services; the provision of competitive access, point-to-point and primary line services; and the delivery of wide area municipal area and dark fiber network services. A company that is engaged in any of these ventures shall be deemed to be engaged in Competitive Activities if greater than 5% of its gross revenues are derived from such activities.</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9" w:right="3299" w:hanging="449"/>
        <w:spacing w:after="0" w:line="239" w:lineRule="auto"/>
        <w:tabs>
          <w:tab w:leader="none" w:pos="449"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business or specific company listed on Schedule 2 may also be deemed to be engaged in Competitive Activities under Paragraph 9(c)(i) if such business or company is providing competitive products or services in any area where the company is providing products or services.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969" w:right="1440" w:bottom="1440" w:gutter="0" w:footer="0" w:header="0"/>
        </w:sectPr>
      </w:pPr>
    </w:p>
    <w:bookmarkStart w:id="430" w:name="page431"/>
    <w:bookmarkEnd w:id="430"/>
    <w:p>
      <w:pPr>
        <w:jc w:val="right"/>
        <w:ind w:right="3119"/>
        <w:spacing w:after="0"/>
        <w:rPr>
          <w:sz w:val="20"/>
          <w:szCs w:val="20"/>
          <w:color w:val="auto"/>
        </w:rPr>
      </w:pPr>
      <w:r>
        <w:rPr>
          <w:rFonts w:ascii="Courier New" w:cs="Courier New" w:eastAsia="Courier New" w:hAnsi="Courier New"/>
          <w:sz w:val="15"/>
          <w:szCs w:val="15"/>
          <w:color w:val="auto"/>
        </w:rPr>
        <w:t>Exhibit 10.25</w:t>
      </w:r>
    </w:p>
    <w:p>
      <w:pPr>
        <w:spacing w:after="0" w:line="34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FIRST AMENDMENT TO</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EXECUTIVE EMPLOYMENT AGREEMENT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both"/>
        <w:ind w:left="9" w:right="3119" w:firstLine="799"/>
        <w:spacing w:after="0" w:line="239" w:lineRule="auto"/>
        <w:rPr>
          <w:sz w:val="20"/>
          <w:szCs w:val="20"/>
          <w:color w:val="auto"/>
        </w:rPr>
      </w:pPr>
      <w:r>
        <w:rPr>
          <w:rFonts w:ascii="Courier New" w:cs="Courier New" w:eastAsia="Courier New" w:hAnsi="Courier New"/>
          <w:sz w:val="15"/>
          <w:szCs w:val="15"/>
          <w:color w:val="auto"/>
        </w:rPr>
        <w:t>This First Amendment to Executive Employment Agreement dated the 31st day of May, 2000, between Comcast Corporation ("Company") and Stephen B. Burke ("Employee"), is made on this 30th day of July, 2001.</w:t>
      </w:r>
    </w:p>
    <w:p>
      <w:pPr>
        <w:spacing w:after="0" w:line="17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BACKGROUND</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799"/>
        <w:spacing w:after="0" w:line="239" w:lineRule="auto"/>
        <w:rPr>
          <w:sz w:val="20"/>
          <w:szCs w:val="20"/>
          <w:color w:val="auto"/>
        </w:rPr>
      </w:pPr>
      <w:r>
        <w:rPr>
          <w:rFonts w:ascii="Courier New" w:cs="Courier New" w:eastAsia="Courier New" w:hAnsi="Courier New"/>
          <w:sz w:val="15"/>
          <w:szCs w:val="15"/>
          <w:color w:val="auto"/>
        </w:rPr>
        <w:t>Employee and Company have agreed to amend the Executive Employment Agreement to extend its term and to provide additional compensation to Employee in consideration thereof.</w:t>
      </w:r>
    </w:p>
    <w:p>
      <w:pPr>
        <w:spacing w:after="0" w:line="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949" w:val="left"/>
          <w:tab w:leader="none" w:pos="2289" w:val="left"/>
          <w:tab w:leader="none" w:pos="2989" w:val="left"/>
          <w:tab w:leader="none" w:pos="3449" w:val="left"/>
          <w:tab w:leader="none" w:pos="4249" w:val="left"/>
          <w:tab w:leader="none" w:pos="4689" w:val="left"/>
          <w:tab w:leader="none" w:pos="5569" w:val="left"/>
        </w:tabs>
        <w:rPr>
          <w:sz w:val="20"/>
          <w:szCs w:val="20"/>
          <w:color w:val="auto"/>
        </w:rPr>
      </w:pPr>
      <w:r>
        <w:rPr>
          <w:rFonts w:ascii="Courier New" w:cs="Courier New" w:eastAsia="Courier New" w:hAnsi="Courier New"/>
          <w:sz w:val="15"/>
          <w:szCs w:val="15"/>
          <w:color w:val="auto"/>
        </w:rPr>
        <w:t>Intending</w:t>
        <w:tab/>
        <w:t>to be legally</w:t>
        <w:tab/>
        <w:t>bound,</w:t>
        <w:tab/>
        <w:t>the</w:t>
        <w:tab/>
        <w:t>Company</w:t>
        <w:tab/>
        <w:t>and</w:t>
        <w:tab/>
        <w:t>Employee</w:t>
      </w:r>
      <w:r>
        <w:rPr>
          <w:sz w:val="20"/>
          <w:szCs w:val="20"/>
          <w:color w:val="auto"/>
        </w:rPr>
        <w:tab/>
      </w:r>
      <w:r>
        <w:rPr>
          <w:rFonts w:ascii="Courier New" w:cs="Courier New" w:eastAsia="Courier New" w:hAnsi="Courier New"/>
          <w:sz w:val="14"/>
          <w:szCs w:val="14"/>
          <w:color w:val="auto"/>
        </w:rPr>
        <w:t>agree as follows:</w:t>
      </w:r>
    </w:p>
    <w:p>
      <w:pPr>
        <w:spacing w:after="0" w:line="174" w:lineRule="exact"/>
        <w:rPr>
          <w:sz w:val="20"/>
          <w:szCs w:val="20"/>
          <w:color w:val="auto"/>
        </w:rPr>
      </w:pPr>
    </w:p>
    <w:p>
      <w:pPr>
        <w:jc w:val="both"/>
        <w:ind w:left="709" w:right="4819" w:hanging="709"/>
        <w:spacing w:after="0" w:line="239" w:lineRule="auto"/>
        <w:tabs>
          <w:tab w:leader="none" w:pos="709"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2(iii) of the Executive Employment Agreement is deleted and replaced with the following: "(iii) July 31, 2007."</w:t>
      </w:r>
    </w:p>
    <w:p>
      <w:pPr>
        <w:spacing w:after="0" w:line="175" w:lineRule="exact"/>
        <w:rPr>
          <w:rFonts w:ascii="Courier New" w:cs="Courier New" w:eastAsia="Courier New" w:hAnsi="Courier New"/>
          <w:sz w:val="15"/>
          <w:szCs w:val="15"/>
          <w:color w:val="auto"/>
        </w:rPr>
      </w:pPr>
    </w:p>
    <w:p>
      <w:pPr>
        <w:jc w:val="both"/>
        <w:ind w:left="709" w:right="4819" w:hanging="709"/>
        <w:spacing w:after="0" w:line="239" w:lineRule="auto"/>
        <w:tabs>
          <w:tab w:leader="none" w:pos="709"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"March 31, 2005" in Paragraphs 9(c) and 11(b) of the Executive Employment Agreement is deleted and replaced with the date "July 31, 2007."</w:t>
      </w:r>
    </w:p>
    <w:p>
      <w:pPr>
        <w:spacing w:after="0" w:line="175" w:lineRule="exact"/>
        <w:rPr>
          <w:rFonts w:ascii="Courier New" w:cs="Courier New" w:eastAsia="Courier New" w:hAnsi="Courier New"/>
          <w:sz w:val="15"/>
          <w:szCs w:val="15"/>
          <w:color w:val="auto"/>
        </w:rPr>
      </w:pPr>
    </w:p>
    <w:p>
      <w:pPr>
        <w:ind w:left="709" w:right="3119" w:hanging="709"/>
        <w:spacing w:after="0" w:line="238" w:lineRule="auto"/>
        <w:tabs>
          <w:tab w:leader="none" w:pos="709"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paragraph 3(e) will be added to the Executive Employment Agreement as follows:</w:t>
      </w:r>
    </w:p>
    <w:p>
      <w:pPr>
        <w:spacing w:after="0" w:line="172"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"(e)Additional Stock Options.</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(i)Contemporaneously with the execution of this First</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Amendment to Executive Employment Agreement, the</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Subcommittee on Performance-Based Compensation of the</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Compensation Committee shall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69" w:right="3119"/>
        <w:spacing w:after="0"/>
        <w:rPr>
          <w:sz w:val="20"/>
          <w:szCs w:val="20"/>
          <w:color w:val="auto"/>
        </w:rPr>
      </w:pPr>
      <w:r>
        <w:rPr>
          <w:rFonts w:ascii="Courier New" w:cs="Courier New" w:eastAsia="Courier New" w:hAnsi="Courier New"/>
          <w:sz w:val="15"/>
          <w:szCs w:val="15"/>
          <w:color w:val="auto"/>
        </w:rPr>
        <w:t>Employee stock options to purchase 500,000 shares of the Company's Class A Special Common Stock under the Company's 1996 Stock Option Plan. Such options shall vest and become exercisable as follows: (1) 255,000 of such options shall have a term of ten years and shall vest and become exercisable 40% on the second anniversary date of the date of grant and 20% on each of the third, fourth and fifth anniversary dates of the date of grant; and (2) 245,000 of such options shall have a term of ten years and shall vest and become exercisable 20% on the second anniversary date of the date of grant, 10% on each of the third, fourth, fifth, sixth, seventh, eighth and ninth anniversary dates of the date of grant, and the remaining 10% on the ninth year sixth month anniversary date of the date of grant. (ii) Further, on a date mutually selected by management and Employee during calendar year 2002, the Subcommittee on Performance-Based Compensation of the Compensation Committee shall be requested by management to grant Employee stock options to purchase an additional 500,000 shares of the Company's Class A Special Common Stock. Such options shall vest and become exercisable as follows: (1) 255,000 of such options shall have a term of ten years and shall vest and become exercisable 40% on the second anniversary date of the date of grant and 20% on each of the third, fourth and fifth anniversary</w:t>
      </w:r>
    </w:p>
    <w:p>
      <w:pPr>
        <w:spacing w:after="0" w:line="18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138" w:right="1440" w:bottom="1440" w:gutter="0" w:footer="0" w:header="0"/>
        </w:sectPr>
      </w:pPr>
    </w:p>
    <w:bookmarkStart w:id="431" w:name="page432"/>
    <w:bookmarkEnd w:id="431"/>
    <w:p>
      <w:pPr>
        <w:ind w:left="1769" w:right="3219"/>
        <w:spacing w:after="0"/>
        <w:rPr>
          <w:sz w:val="20"/>
          <w:szCs w:val="20"/>
          <w:color w:val="auto"/>
        </w:rPr>
      </w:pPr>
      <w:r>
        <w:rPr>
          <w:rFonts w:ascii="Courier New" w:cs="Courier New" w:eastAsia="Courier New" w:hAnsi="Courier New"/>
          <w:sz w:val="15"/>
          <w:szCs w:val="15"/>
          <w:color w:val="auto"/>
        </w:rPr>
        <w:t>dates of the date of grant; and (2) 245,000 of such options shall have a term of ten years and shall vest and become exercisable 20% on the second anniversary date of the date of grant, 10% on each of the third, fourth, fifth, sixth, seventh, eighth and ninth anniversary dates of the date of grant, and the remaining 10% on the ninth year sixth month anniversary date of the date of grant.</w:t>
      </w:r>
    </w:p>
    <w:p>
      <w:pPr>
        <w:spacing w:after="0" w:line="176" w:lineRule="exact"/>
        <w:rPr>
          <w:sz w:val="20"/>
          <w:szCs w:val="20"/>
          <w:color w:val="auto"/>
        </w:rPr>
      </w:pPr>
    </w:p>
    <w:p>
      <w:pPr>
        <w:ind w:left="709" w:right="4019" w:hanging="709"/>
        <w:spacing w:after="0" w:line="238" w:lineRule="auto"/>
        <w:tabs>
          <w:tab w:leader="none" w:pos="709"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and conditions set forth in the Executive Employment Agreement shall remain in force and effect.</w:t>
      </w:r>
    </w:p>
    <w:p>
      <w:pPr>
        <w:spacing w:after="0" w:line="175" w:lineRule="exact"/>
        <w:rPr>
          <w:sz w:val="20"/>
          <w:szCs w:val="20"/>
          <w:color w:val="auto"/>
        </w:rPr>
      </w:pPr>
    </w:p>
    <w:p>
      <w:pPr>
        <w:jc w:val="both"/>
        <w:ind w:left="9" w:right="3479" w:firstLine="444"/>
        <w:spacing w:after="0" w:line="271" w:lineRule="auto"/>
        <w:rPr>
          <w:sz w:val="20"/>
          <w:szCs w:val="20"/>
          <w:color w:val="auto"/>
        </w:rPr>
      </w:pPr>
      <w:r>
        <w:rPr>
          <w:rFonts w:ascii="Courier New" w:cs="Courier New" w:eastAsia="Courier New" w:hAnsi="Courier New"/>
          <w:sz w:val="14"/>
          <w:szCs w:val="14"/>
          <w:color w:val="auto"/>
        </w:rPr>
        <w:t>IN WITNESS WHEREOF, the parties hereby have duly executed and delivered this First Amendment to Employment Agreement, in Philadelphia, Pennsylvania.</w:t>
      </w:r>
    </w:p>
    <w:p>
      <w:pPr>
        <w:sectPr>
          <w:pgSz w:w="11900" w:h="16838" w:orient="portrait"/>
          <w:cols w:equalWidth="0" w:num="1">
            <w:col w:w="10228"/>
          </w:cols>
          <w:pgMar w:left="231" w:top="630" w:right="1440" w:bottom="1440" w:gutter="0" w:footer="0" w:header="0"/>
        </w:sectPr>
      </w:pPr>
    </w:p>
    <w:p>
      <w:pPr>
        <w:spacing w:after="0" w:line="15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COMCAST CORPORATION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200" w:lineRule="exact"/>
        <w:rPr>
          <w:sz w:val="20"/>
          <w:szCs w:val="20"/>
          <w:color w:val="auto"/>
        </w:rPr>
      </w:pPr>
    </w:p>
    <w:p>
      <w:pPr>
        <w:sectPr>
          <w:pgSz w:w="11900" w:h="16838" w:orient="portrait"/>
          <w:cols w:equalWidth="0" w:num="2">
            <w:col w:w="3189" w:space="720"/>
            <w:col w:w="6319"/>
          </w:cols>
          <w:pgMar w:left="231" w:top="630" w:right="1440" w:bottom="1440" w:gutter="0" w:footer="0" w:header="0"/>
          <w:type w:val="continuous"/>
        </w:sectPr>
      </w:pPr>
    </w:p>
    <w:p>
      <w:pPr>
        <w:spacing w:after="0" w:line="15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By:______________________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B. BURKE</w:t>
      </w:r>
    </w:p>
    <w:p>
      <w:pPr>
        <w:spacing w:after="0" w:line="200" w:lineRule="exact"/>
        <w:rPr>
          <w:sz w:val="20"/>
          <w:szCs w:val="20"/>
          <w:color w:val="auto"/>
        </w:rPr>
      </w:pPr>
    </w:p>
    <w:p>
      <w:pPr>
        <w:sectPr>
          <w:pgSz w:w="11900" w:h="16838" w:orient="portrait"/>
          <w:cols w:equalWidth="0" w:num="2">
            <w:col w:w="3189" w:space="720"/>
            <w:col w:w="6319"/>
          </w:cols>
          <w:pgMar w:left="231" w:top="630" w:right="1440" w:bottom="1440" w:gutter="0" w:footer="0" w:header="0"/>
          <w:type w:val="continuous"/>
        </w:sectPr>
      </w:pPr>
    </w:p>
    <w:p>
      <w:pPr>
        <w:spacing w:after="0" w:line="1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Title_____________________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630" w:right="1440" w:bottom="1440" w:gutter="0" w:footer="0" w:header="0"/>
          <w:type w:val="continuous"/>
        </w:sectPr>
      </w:pPr>
    </w:p>
    <w:bookmarkStart w:id="432" w:name="page433"/>
    <w:bookmarkEnd w:id="432"/>
    <w:p>
      <w:pPr>
        <w:spacing w:after="0" w:line="4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10.26</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SEE 5K</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EXECUTIVE EMPLOYMENT AGREEMENT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spacing w:after="0"/>
        <w:tabs>
          <w:tab w:leader="none" w:pos="1300" w:val="left"/>
          <w:tab w:leader="none" w:pos="2280" w:val="left"/>
          <w:tab w:leader="none" w:pos="3340" w:val="left"/>
          <w:tab w:leader="none" w:pos="4320" w:val="left"/>
          <w:tab w:leader="none" w:pos="6000" w:val="left"/>
          <w:tab w:leader="none" w:pos="6540" w:val="left"/>
        </w:tabs>
        <w:rPr>
          <w:sz w:val="20"/>
          <w:szCs w:val="20"/>
          <w:color w:val="auto"/>
        </w:rPr>
      </w:pPr>
      <w:r>
        <w:rPr>
          <w:rFonts w:ascii="Courier New" w:cs="Courier New" w:eastAsia="Courier New" w:hAnsi="Courier New"/>
          <w:sz w:val="15"/>
          <w:szCs w:val="15"/>
          <w:color w:val="auto"/>
        </w:rPr>
        <w:t>This</w:t>
        <w:tab/>
        <w:t>EXECUTIVE</w:t>
        <w:tab/>
        <w:t>EMPLOYMENT</w:t>
        <w:tab/>
        <w:t>AGREEMENT</w:t>
        <w:tab/>
        <w:t>is made as of the</w:t>
        <w:tab/>
        <w:t>____</w:t>
      </w:r>
      <w:r>
        <w:rPr>
          <w:sz w:val="20"/>
          <w:szCs w:val="20"/>
          <w:color w:val="auto"/>
        </w:rPr>
        <w:tab/>
      </w:r>
      <w:r>
        <w:rPr>
          <w:rFonts w:ascii="Courier New" w:cs="Courier New" w:eastAsia="Courier New" w:hAnsi="Courier New"/>
          <w:sz w:val="14"/>
          <w:szCs w:val="14"/>
          <w:color w:val="auto"/>
        </w:rPr>
        <w:t>day of</w:t>
      </w:r>
    </w:p>
    <w:p>
      <w:pPr>
        <w:spacing w:after="0" w:line="1" w:lineRule="exact"/>
        <w:rPr>
          <w:sz w:val="20"/>
          <w:szCs w:val="20"/>
          <w:color w:val="auto"/>
        </w:rPr>
      </w:pPr>
    </w:p>
    <w:p>
      <w:pPr>
        <w:spacing w:after="0"/>
        <w:tabs>
          <w:tab w:leader="none" w:pos="1120" w:val="left"/>
          <w:tab w:leader="none" w:pos="1740" w:val="left"/>
          <w:tab w:leader="none" w:pos="2540" w:val="left"/>
          <w:tab w:leader="none" w:pos="3340" w:val="left"/>
          <w:tab w:leader="none" w:pos="4580" w:val="left"/>
          <w:tab w:leader="none" w:pos="4860" w:val="left"/>
          <w:tab w:leader="none" w:pos="6100" w:val="left"/>
        </w:tabs>
        <w:rPr>
          <w:sz w:val="20"/>
          <w:szCs w:val="20"/>
          <w:color w:val="auto"/>
        </w:rPr>
      </w:pPr>
      <w:r>
        <w:rPr>
          <w:rFonts w:ascii="Courier New" w:cs="Courier New" w:eastAsia="Courier New" w:hAnsi="Courier New"/>
          <w:sz w:val="15"/>
          <w:szCs w:val="15"/>
          <w:color w:val="auto"/>
        </w:rPr>
        <w:t>_________,</w:t>
        <w:tab/>
        <w:t>2000,</w:t>
        <w:tab/>
        <w:t>between</w:t>
        <w:tab/>
        <w:t>COMCAST</w:t>
        <w:tab/>
        <w:t>CORPORATION,</w:t>
        <w:tab/>
        <w:t>a</w:t>
        <w:tab/>
        <w:t>Pennsylvania</w:t>
      </w:r>
      <w:r>
        <w:rPr>
          <w:sz w:val="20"/>
          <w:szCs w:val="20"/>
          <w:color w:val="auto"/>
        </w:rPr>
        <w:tab/>
      </w:r>
      <w:r>
        <w:rPr>
          <w:rFonts w:ascii="Courier New" w:cs="Courier New" w:eastAsia="Courier New" w:hAnsi="Courier New"/>
          <w:sz w:val="14"/>
          <w:szCs w:val="14"/>
          <w:color w:val="auto"/>
        </w:rPr>
        <w:t>corporation</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(together with its subsidiaries and affiliates, collectively referred to as the "Company"), and LAWRENCE S. SMITH, an individual residing in and working for the Company in Pennsylvania ("Employee").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jc w:val="both"/>
        <w:ind w:right="3119" w:firstLine="799"/>
        <w:spacing w:after="0"/>
        <w:rPr>
          <w:sz w:val="20"/>
          <w:szCs w:val="20"/>
          <w:color w:val="auto"/>
        </w:rPr>
      </w:pPr>
      <w:r>
        <w:rPr>
          <w:rFonts w:ascii="Courier New" w:cs="Courier New" w:eastAsia="Courier New" w:hAnsi="Courier New"/>
          <w:sz w:val="15"/>
          <w:szCs w:val="15"/>
          <w:color w:val="auto"/>
        </w:rPr>
        <w:t>Employee is currently employed as Executive Vice President of the Company pursuant to an Employment Agreement dated January 1, 1995, as amended August 16, 1996 (the "Prior Employment Agreement"). Employee has been advised by the Company that Employee may continue to be employed pursuant to the terms of the Prior Employment Agreement or may elect to be employed on the terms and conditions contained in this Agreement. Employee has elected to have Employee's relationship with the Company be governed by the terms and conditions of this Agreement, which include increases in Employee's compensation and other material changes and benefits favorable to the Employee. In return for such favorable material changes, Employee is agreeing to the terms and conditions contained in this Agreement which include other material changes favorable to the Company which impose additional material obligations on Employee. Employee, however, will retain all stock option, restricted stock and cash bonus plan grants made in connection with the Prior Employment Agreement or made at any other time prior to the date hereof.</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jc w:val="both"/>
        <w:ind w:left="780"/>
        <w:spacing w:after="0"/>
        <w:tabs>
          <w:tab w:leader="none" w:pos="1740" w:val="left"/>
          <w:tab w:leader="none" w:pos="3080" w:val="left"/>
          <w:tab w:leader="none" w:pos="3780" w:val="left"/>
          <w:tab w:leader="none" w:pos="4240" w:val="left"/>
          <w:tab w:leader="none" w:pos="5020" w:val="left"/>
          <w:tab w:leader="none" w:pos="5480" w:val="left"/>
          <w:tab w:leader="none" w:pos="6360" w:val="left"/>
        </w:tabs>
        <w:rPr>
          <w:sz w:val="20"/>
          <w:szCs w:val="20"/>
          <w:color w:val="auto"/>
        </w:rPr>
      </w:pPr>
      <w:r>
        <w:rPr>
          <w:rFonts w:ascii="Courier New" w:cs="Courier New" w:eastAsia="Courier New" w:hAnsi="Courier New"/>
          <w:sz w:val="15"/>
          <w:szCs w:val="15"/>
          <w:color w:val="auto"/>
        </w:rPr>
        <w:t>Intending</w:t>
        <w:tab/>
        <w:t>to be legally</w:t>
        <w:tab/>
        <w:t>bound,</w:t>
        <w:tab/>
        <w:t>the</w:t>
        <w:tab/>
        <w:t>Company</w:t>
        <w:tab/>
        <w:t>and</w:t>
        <w:tab/>
        <w:t>Employee</w:t>
      </w:r>
      <w:r>
        <w:rPr>
          <w:sz w:val="20"/>
          <w:szCs w:val="20"/>
          <w:color w:val="auto"/>
        </w:rPr>
        <w:tab/>
      </w:r>
      <w:r>
        <w:rPr>
          <w:rFonts w:ascii="Courier New" w:cs="Courier New" w:eastAsia="Courier New" w:hAnsi="Courier New"/>
          <w:sz w:val="14"/>
          <w:szCs w:val="14"/>
          <w:color w:val="auto"/>
        </w:rPr>
        <w:t>agree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71" w:lineRule="exact"/>
        <w:rPr>
          <w:sz w:val="20"/>
          <w:szCs w:val="20"/>
          <w:color w:val="auto"/>
        </w:rPr>
      </w:pPr>
    </w:p>
    <w:p>
      <w:pPr>
        <w:ind w:left="700" w:hanging="265"/>
        <w:spacing w:after="0"/>
        <w:tabs>
          <w:tab w:leader="none" w:pos="700" w:val="left"/>
        </w:tabs>
        <w:numPr>
          <w:ilvl w:val="0"/>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1588"/>
        <w:spacing w:after="0"/>
        <w:tabs>
          <w:tab w:leader="none" w:pos="1952"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serve and the Company shall employ Employee as Executive Vice President of the Company. The specific duties of Employee are set forth on Schedule 1 attached hereto. The Company reserves the right to modify the duties and responsibilities of Employee from time to time (other than by making a substantial diminution therein).</w:t>
      </w:r>
    </w:p>
    <w:p>
      <w:pPr>
        <w:spacing w:after="0" w:line="174" w:lineRule="exact"/>
        <w:rPr>
          <w:rFonts w:ascii="Courier New" w:cs="Courier New" w:eastAsia="Courier New" w:hAnsi="Courier New"/>
          <w:sz w:val="15"/>
          <w:szCs w:val="15"/>
          <w:color w:val="auto"/>
        </w:rPr>
      </w:pPr>
    </w:p>
    <w:p>
      <w:pPr>
        <w:jc w:val="both"/>
        <w:ind w:right="3119" w:firstLine="1588"/>
        <w:spacing w:after="0"/>
        <w:tabs>
          <w:tab w:leader="none" w:pos="1952"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Agreement, throughout the Term (as defined in Paragraph 2), Employee shall work full time and devote Employee's best efforts to the affairs of the Company in a manner which will further the business and interests of the Company. Without the prior written consent of the Company, Employee shall not, directly or indirectly, do any work for or on behalf of any person or business, other than the Company, during the Term. Nothing herein shall restrict Employee from engaging in non-compensatory civic and charitable activities with the consent of the Company, which consent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unreasonably withheld. The Company, and its successors and assigns, in addition to receiving the benefit of all of Employee's services, shall be entitled to receive and own all of the results and proceeds of said services (including, without limitation, inventions, patent rights, copyrights, trademark rights, literary material and any other intellectual property) produced or created by Employee during the Term. Employee will, at the request of the Company, execute such assignments, certificates or other instruments as the Company may from time to time deem necessary or desirable to evidence, establish, maintain, protect, enforce or defend its right or title in or to any such material.</w:t>
      </w:r>
    </w:p>
    <w:p>
      <w:pPr>
        <w:spacing w:after="0" w:line="164" w:lineRule="exact"/>
        <w:rPr>
          <w:sz w:val="20"/>
          <w:szCs w:val="20"/>
          <w:color w:val="auto"/>
        </w:rPr>
      </w:pPr>
    </w:p>
    <w:p>
      <w:pPr>
        <w:ind w:left="700" w:hanging="265"/>
        <w:spacing w:after="0"/>
        <w:tabs>
          <w:tab w:leader="none" w:pos="700"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term of this Agreement (the "Term") shall be from the date first-above written (the "Commencement Date") through the first to occur of: (i) the date this Agreement is terminated by the Company in accordance with Paragraph 7; (ii) employee's resignation from employment; or (iii) December 31, 2005. Notwithstanding the end of the Term, certain provisions of this Agreement, including, but not limited to, any payments to be made after the Term and the covenants contained in Paragraphs 8, 9 and 11, shall be enforceable after the end of the Term.</w:t>
      </w:r>
    </w:p>
    <w:p>
      <w:pPr>
        <w:spacing w:after="0" w:line="174" w:lineRule="exact"/>
        <w:rPr>
          <w:sz w:val="20"/>
          <w:szCs w:val="20"/>
          <w:color w:val="auto"/>
        </w:rPr>
      </w:pPr>
    </w:p>
    <w:p>
      <w:pPr>
        <w:ind w:left="700" w:hanging="265"/>
        <w:spacing w:after="0"/>
        <w:tabs>
          <w:tab w:leader="none" w:pos="70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Employee's salary from the Commencement Date through December 31, 2000 shall be at the annual rate of Seven Hundred Sixty Five Thousand Seven Hundred Sixty Nine Dollars ($756,769.00); commencing as of January 1, 2001, Employee's salary shall be at the annual rate of Eight Hundred Twenty Five Thousand Dollars ($825,000.00) ("Base Salary"). Base Salary, less normal deductions, shall be paid to Employee in accordance with the Company's regular executive payroll practices in effect from time to time. The Base Salary shall be increased for each calendar year in the Term subsequent to 2001 by the greater of (i) 5% of the previous year's Base Salary or (ii) the percentage increase during the previous year in the Consumer Price Index for all urban consumers published by the U.S. Department of Labor or (if such index is discontinued) the nearest</w:t>
      </w:r>
    </w:p>
    <w:p>
      <w:pPr>
        <w:sectPr>
          <w:pgSz w:w="11900" w:h="16879" w:orient="portrait"/>
          <w:cols w:equalWidth="0" w:num="1">
            <w:col w:w="10219"/>
          </w:cols>
          <w:pgMar w:left="240" w:top="139" w:right="1440" w:bottom="0" w:gutter="0" w:footer="0" w:header="0"/>
        </w:sectPr>
      </w:pPr>
    </w:p>
    <w:bookmarkStart w:id="433" w:name="page434"/>
    <w:bookmarkEnd w:id="433"/>
    <w:p>
      <w:pPr>
        <w:spacing w:after="0"/>
        <w:rPr>
          <w:sz w:val="20"/>
          <w:szCs w:val="20"/>
          <w:color w:val="auto"/>
        </w:rPr>
      </w:pPr>
      <w:r>
        <w:rPr>
          <w:rFonts w:ascii="Courier New" w:cs="Courier New" w:eastAsia="Courier New" w:hAnsi="Courier New"/>
          <w:sz w:val="15"/>
          <w:szCs w:val="15"/>
          <w:color w:val="auto"/>
        </w:rPr>
        <w:t>equivalent index, up to a maximum of 10%.</w:t>
      </w:r>
    </w:p>
    <w:p>
      <w:pPr>
        <w:spacing w:after="0" w:line="171" w:lineRule="exact"/>
        <w:rPr>
          <w:sz w:val="20"/>
          <w:szCs w:val="20"/>
          <w:color w:val="auto"/>
        </w:rPr>
      </w:pPr>
    </w:p>
    <w:p>
      <w:pPr>
        <w:ind w:left="1940" w:hanging="352"/>
        <w:spacing w:after="0"/>
        <w:tabs>
          <w:tab w:leader="none" w:pos="1940"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Cash Bonus.</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2480" w:hanging="359"/>
        <w:spacing w:after="0"/>
        <w:tabs>
          <w:tab w:leader="none" w:pos="2480" w:val="left"/>
        </w:tabs>
        <w:numPr>
          <w:ilvl w:val="1"/>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be eligible to receive an annual</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performance bonus ("Executive Cash Bonus") of up to 50% of Employee's then Base Salary, payable in cash or in shares of the Company's Class A Special Common Stock in the discretion of the Subcommittee on Performance-Based Compensation of the Compensation Committee of the Board of Directors of the Company (the "Subcommittee"). The Executive Cash Bonus shall be determined annually by the Subcommittee based upon the performance of the Company and Employee during each calendar year commencing for the year 2000 and through the year 2005. The Executive Cash Bonus shall be paid within ninety (90) days after the end of each applicable calendar year, except as provided in subparagraph (ii) below.</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9" w:right="1440" w:bottom="1440" w:gutter="0" w:footer="0" w:header="0"/>
        </w:sectPr>
      </w:pPr>
    </w:p>
    <w:bookmarkStart w:id="434" w:name="page435"/>
    <w:bookmarkEnd w:id="434"/>
    <w:p>
      <w:pPr>
        <w:ind w:left="2560" w:hanging="439"/>
        <w:spacing w:after="0"/>
        <w:tabs>
          <w:tab w:leader="none" w:pos="2560" w:val="left"/>
        </w:tabs>
        <w:numPr>
          <w:ilvl w:val="1"/>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part of the total compensation (including</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Executive Cash Bonus and any Deferred Bonus as defined in this subparagraph) paid to Employee for the Company's taxable year in which such compensation would be paid would not be deductible by the Company for federal income tax purposes by reason of the limitation in Section 162(m) of the Internal Revenue Code of 1986, as amended, the compensation payable in such taxable year shall be paid only to the extent so deductible, assuming that it was the last compensation paid during such taxable year. The balance of the compensation shall be added to an unfunded account maintained on behalf of Employee substantially equivalent to those under the Company's Deferred Compensation Plan with respect to deferrals made into the Income Fund thereunder, to be paid to Employee in a subsequent tax year in accordance with the terms of the Deferred Compensation Plan (as if it were an account maintained thereunder) and this subparagraph (ii). As used herein "Deferred Bonus" means any amount so added to such account, and all interest earned thereon (as if it were an account maintained thereunder). The application or potential application of such Section 162(m) shall be determined in good faith by the Company based on available information prior to the date on which any compensation would otherwise be paid. The provisions of the subparagraph (ii) may be waived from time to time, in whole or in part, with the prior consent of the Company and the Subcommittee.</w:t>
      </w:r>
    </w:p>
    <w:p>
      <w:pPr>
        <w:spacing w:after="0" w:line="329"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As soon as practicable after the execution of this Employment Agreement, the Subcommittee shall grant a stock option to purchase 800,000 shares of the Company's Class A Special Common Stock under the Company's Stock Option Plan. Such options shall have a term of ten (10) years and shall vest and become exercisable as follows: 20% on the second anniversary date of the date of grant; 10% on each of the third to ninth anniversary dates of the date of grant; and 10% on the nine year and six month anniversary date of the date of grant.</w:t>
      </w:r>
    </w:p>
    <w:p>
      <w:pPr>
        <w:spacing w:after="0" w:line="160" w:lineRule="exact"/>
        <w:rPr>
          <w:sz w:val="20"/>
          <w:szCs w:val="20"/>
          <w:color w:val="auto"/>
        </w:rPr>
      </w:pPr>
    </w:p>
    <w:p>
      <w:pPr>
        <w:ind w:left="1940" w:hanging="352"/>
        <w:spacing w:after="0"/>
        <w:tabs>
          <w:tab w:leader="none" w:pos="1940"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All compensation under this Agreement is subject to applicable tax withholding requirements.</w:t>
      </w:r>
    </w:p>
    <w:p>
      <w:pPr>
        <w:spacing w:after="0" w:line="172" w:lineRule="exact"/>
        <w:rPr>
          <w:sz w:val="20"/>
          <w:szCs w:val="20"/>
          <w:color w:val="auto"/>
        </w:rPr>
      </w:pPr>
    </w:p>
    <w:p>
      <w:pPr>
        <w:ind w:left="700" w:hanging="265"/>
        <w:spacing w:after="0"/>
        <w:tabs>
          <w:tab w:leader="none" w:pos="700"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Employee shall be eligible to participate in the Company's group life, medical and other insurance plans on the same terms and at the same cost to the Company and Employee as the Company's other executives at Employee's level receive from time to time, in accordance with the terms of such plans and subject to the restrictions and limitations contained in the applicable insurance agreement or agreements. Nothing in this Agreement shall limit the Company's right to modify or discontinue any insurance coverages at any time.</w:t>
      </w:r>
    </w:p>
    <w:p>
      <w:pPr>
        <w:spacing w:after="0" w:line="173" w:lineRule="exact"/>
        <w:rPr>
          <w:sz w:val="20"/>
          <w:szCs w:val="20"/>
          <w:color w:val="auto"/>
        </w:rPr>
      </w:pPr>
    </w:p>
    <w:p>
      <w:pPr>
        <w:ind w:left="700" w:hanging="265"/>
        <w:spacing w:after="0"/>
        <w:tabs>
          <w:tab w:leader="none" w:pos="700"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Employee shall be entitled to participate in the Company's Deferred Compensation Plan, Deferred Stock Option Plan and other benefits and programs, on the same terms and at the same cost to the Company and Employee as the Company's other executives at Employee's level receive from time to time, in accordance with the terms of such programs and subject to the restrictions and limitations contained in the applicable program or programs. Nothing in this Agreement shall limit the Company's right to modify or discontinue any benefits or programs at any time. The provisions of this Paragraph 5 shall not apply to</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9" w:right="1440" w:bottom="1440" w:gutter="0" w:footer="0" w:header="0"/>
        </w:sectPr>
      </w:pPr>
    </w:p>
    <w:bookmarkStart w:id="435" w:name="page436"/>
    <w:bookmarkEnd w:id="435"/>
    <w:p>
      <w:pPr>
        <w:ind w:left="9" w:right="3399"/>
        <w:spacing w:after="0" w:line="239" w:lineRule="auto"/>
        <w:rPr>
          <w:sz w:val="20"/>
          <w:szCs w:val="20"/>
          <w:color w:val="auto"/>
        </w:rPr>
      </w:pPr>
      <w:r>
        <w:rPr>
          <w:rFonts w:ascii="Courier New" w:cs="Courier New" w:eastAsia="Courier New" w:hAnsi="Courier New"/>
          <w:sz w:val="15"/>
          <w:szCs w:val="15"/>
          <w:color w:val="auto"/>
        </w:rPr>
        <w:t>benefits and programs (including, without limitation, severance) addressed in this Agreement, in which case the applicable terms of this Agreement shall apply.</w:t>
      </w:r>
    </w:p>
    <w:p>
      <w:pPr>
        <w:spacing w:after="0" w:line="172" w:lineRule="exact"/>
        <w:rPr>
          <w:sz w:val="20"/>
          <w:szCs w:val="20"/>
          <w:color w:val="auto"/>
        </w:rPr>
      </w:pPr>
    </w:p>
    <w:p>
      <w:pPr>
        <w:ind w:left="709" w:hanging="265"/>
        <w:spacing w:after="0"/>
        <w:tabs>
          <w:tab w:leader="none" w:pos="709"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w:t>
      </w: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The Company shall pay or reimburse Employee for reasonable travel, entertainment and other expenses incurred by Employee in connection with the performance of Employee's duties under this Agreement upon receipt of vouchers therefor submitted to the Company on a timely basis and in accordance with the Company's regular reimbursement procedures and practices in effect from time to time.</w:t>
      </w:r>
    </w:p>
    <w:p>
      <w:pPr>
        <w:spacing w:after="0" w:line="172" w:lineRule="exact"/>
        <w:rPr>
          <w:sz w:val="20"/>
          <w:szCs w:val="20"/>
          <w:color w:val="auto"/>
        </w:rPr>
      </w:pPr>
    </w:p>
    <w:p>
      <w:pPr>
        <w:ind w:left="789" w:hanging="345"/>
        <w:spacing w:after="0"/>
        <w:tabs>
          <w:tab w:leader="none" w:pos="789"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532"/>
        <w:spacing w:after="0" w:line="264" w:lineRule="auto"/>
        <w:rPr>
          <w:sz w:val="20"/>
          <w:szCs w:val="20"/>
          <w:color w:val="auto"/>
        </w:rPr>
      </w:pPr>
      <w:r>
        <w:rPr>
          <w:rFonts w:ascii="Courier New" w:cs="Courier New" w:eastAsia="Courier New" w:hAnsi="Courier New"/>
          <w:sz w:val="14"/>
          <w:szCs w:val="14"/>
          <w:color w:val="auto"/>
        </w:rPr>
        <w:t>The Company may terminate Employee's employment and the Company's obligations or liabilities under this Agreement, excluding any obligations the Company may have under Paragraph 8, in any of the following circumstances:</w:t>
      </w:r>
    </w:p>
    <w:p>
      <w:pPr>
        <w:spacing w:after="0" w:line="157" w:lineRule="exact"/>
        <w:rPr>
          <w:sz w:val="20"/>
          <w:szCs w:val="20"/>
          <w:color w:val="auto"/>
        </w:rPr>
      </w:pPr>
    </w:p>
    <w:p>
      <w:pPr>
        <w:ind w:left="2049" w:hanging="452"/>
        <w:spacing w:after="0"/>
        <w:tabs>
          <w:tab w:leader="none" w:pos="2049" w:val="left"/>
        </w:tabs>
        <w:numPr>
          <w:ilvl w:val="0"/>
          <w:numId w:val="6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532"/>
        <w:spacing w:after="0" w:line="258" w:lineRule="auto"/>
        <w:rPr>
          <w:sz w:val="20"/>
          <w:szCs w:val="20"/>
          <w:color w:val="auto"/>
        </w:rPr>
      </w:pPr>
      <w:r>
        <w:rPr>
          <w:rFonts w:ascii="Courier New" w:cs="Courier New" w:eastAsia="Courier New" w:hAnsi="Courier New"/>
          <w:sz w:val="14"/>
          <w:szCs w:val="14"/>
          <w:color w:val="auto"/>
        </w:rPr>
        <w:t>In the event Employee becomes unable to perform Employee's duties hereunder due to partial or total disability or incapacity resulting from a mental or physical illness, injury or health-related cause ("Disability") for a period of nine (9) consecutive months or for a cumulative period of forty-five</w:t>
      </w:r>
    </w:p>
    <w:p>
      <w:pPr>
        <w:spacing w:after="0" w:line="1" w:lineRule="exact"/>
        <w:rPr>
          <w:sz w:val="20"/>
          <w:szCs w:val="20"/>
          <w:color w:val="auto"/>
        </w:rPr>
      </w:pPr>
    </w:p>
    <w:p>
      <w:pPr>
        <w:jc w:val="both"/>
        <w:ind w:left="9" w:right="3299" w:hanging="9"/>
        <w:spacing w:after="0" w:line="264" w:lineRule="auto"/>
        <w:tabs>
          <w:tab w:leader="none" w:pos="453"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weeks during the term of this Agreement. Employee acknowledges that given Employee's role in the Company's operations, it would be an undue hardship for the Company to accommodate such a Disability for a longer period.</w:t>
      </w:r>
    </w:p>
    <w:p>
      <w:pPr>
        <w:spacing w:after="0" w:line="156" w:lineRule="exact"/>
        <w:rPr>
          <w:rFonts w:ascii="Courier New" w:cs="Courier New" w:eastAsia="Courier New" w:hAnsi="Courier New"/>
          <w:sz w:val="14"/>
          <w:szCs w:val="14"/>
          <w:color w:val="auto"/>
        </w:rPr>
      </w:pPr>
    </w:p>
    <w:p>
      <w:pPr>
        <w:ind w:left="1949" w:hanging="352"/>
        <w:spacing w:after="0"/>
        <w:tabs>
          <w:tab w:leader="none" w:pos="1949" w:val="left"/>
        </w:tabs>
        <w:numPr>
          <w:ilvl w:val="1"/>
          <w:numId w:val="6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In the event of Employee's death.</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6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 Cause.</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In the event of "cause," which shall include: Employee's willful misconduct; fraud; misappropriation; embezzlement; gross negligence in the management of Company business; self-dealing; dishonesty; misrepresentation; conviction of a crime of moral turpitude; material violation of any Company policy; material violation of the Company's Code of Ethics and Business Conduct as then in effect; or material breach of any provision of this Agreement (which material breach shall be deemed to have occurred, without limitation, in the event of: (i) failure by Employee to perform services consistent with this Agreement after notice of such failure by the Company to Employee and a reasonable opportunity, in light of the context of such failure, for Employee to cure or otherwise remedy such failure; (ii) acceptance of employment with another person or entity, or performing work or providing advice to another person or entity as an employee, consultant or in any other capacity, during the Term; or (iii) breach of the confidentiality provisions hereof) ("Discharge With Cause").</w:t>
      </w:r>
    </w:p>
    <w:p>
      <w:pPr>
        <w:spacing w:after="0" w:line="179" w:lineRule="exact"/>
        <w:rPr>
          <w:sz w:val="20"/>
          <w:szCs w:val="20"/>
          <w:color w:val="auto"/>
        </w:rPr>
      </w:pPr>
    </w:p>
    <w:p>
      <w:pPr>
        <w:ind w:left="1949" w:hanging="352"/>
        <w:spacing w:after="0"/>
        <w:tabs>
          <w:tab w:leader="none" w:pos="1949"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Without Cause.</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 any time, without "cause" ("Discharge Without Cause").</w:t>
      </w:r>
    </w:p>
    <w:p>
      <w:pPr>
        <w:spacing w:after="0" w:line="171" w:lineRule="exact"/>
        <w:rPr>
          <w:sz w:val="20"/>
          <w:szCs w:val="20"/>
          <w:color w:val="auto"/>
        </w:rPr>
      </w:pPr>
    </w:p>
    <w:p>
      <w:pPr>
        <w:ind w:left="709" w:hanging="265"/>
        <w:spacing w:after="0"/>
        <w:tabs>
          <w:tab w:leader="none" w:pos="709"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Termination by the Company.</w:t>
      </w: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9" w:hanging="352"/>
        <w:spacing w:after="0"/>
        <w:tabs>
          <w:tab w:leader="none" w:pos="1949"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Without Cause.</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If Employee is Discharged Without Cause: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0" w:right="1440" w:bottom="1440" w:gutter="0" w:footer="0" w:header="0"/>
        </w:sectPr>
      </w:pPr>
    </w:p>
    <w:bookmarkStart w:id="436" w:name="page437"/>
    <w:bookmarkEnd w:id="436"/>
    <w:p>
      <w:pPr>
        <w:ind w:left="2480" w:hanging="359"/>
        <w:spacing w:after="0"/>
        <w:tabs>
          <w:tab w:leader="none" w:pos="248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continue to receive  Employee's</w:t>
      </w:r>
    </w:p>
    <w:p>
      <w:pPr>
        <w:spacing w:after="0" w:line="3" w:lineRule="exact"/>
        <w:rPr>
          <w:rFonts w:ascii="Courier New" w:cs="Courier New" w:eastAsia="Courier New" w:hAnsi="Courier New"/>
          <w:sz w:val="15"/>
          <w:szCs w:val="15"/>
          <w:color w:val="auto"/>
        </w:rPr>
      </w:pPr>
    </w:p>
    <w:p>
      <w:pPr>
        <w:ind w:right="32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then-current Base Salary and all insurance, medical and other similar benefits for two years from the date of the Discharge Without Cause, in exchange for a release by Employee of the Company with respect to all matters relating to Employee's employment. Employee shall also receive any accrued but unused vacation time to the date of termination, and any amounts then due under the Deferred Compensation Plan (or Employee may elect to continue to participate in the Deferred Compensation Plan if such continued participation is authorized in accordance with the terms of the Deferred Compensation Plan).</w:t>
      </w:r>
    </w:p>
    <w:p>
      <w:pPr>
        <w:spacing w:after="0" w:line="158" w:lineRule="exact"/>
        <w:rPr>
          <w:rFonts w:ascii="Courier New" w:cs="Courier New" w:eastAsia="Courier New" w:hAnsi="Courier New"/>
          <w:sz w:val="15"/>
          <w:szCs w:val="15"/>
          <w:color w:val="auto"/>
        </w:rPr>
      </w:pPr>
    </w:p>
    <w:p>
      <w:pPr>
        <w:ind w:left="2560" w:hanging="439"/>
        <w:spacing w:after="0"/>
        <w:tabs>
          <w:tab w:leader="none" w:pos="256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that portion of the</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Cash Bonus and Deferred Bonus (if any) which would have vested within a period of twelve (12) months from the date of Discharge Without Cause, had there been no termination of Employee's employment.</w:t>
      </w:r>
    </w:p>
    <w:p>
      <w:pPr>
        <w:spacing w:after="0" w:line="175" w:lineRule="exact"/>
        <w:rPr>
          <w:rFonts w:ascii="Courier New" w:cs="Courier New" w:eastAsia="Courier New" w:hAnsi="Courier New"/>
          <w:sz w:val="15"/>
          <w:szCs w:val="15"/>
          <w:color w:val="auto"/>
        </w:rPr>
      </w:pPr>
    </w:p>
    <w:p>
      <w:pPr>
        <w:ind w:right="3119" w:firstLine="2121"/>
        <w:spacing w:after="0"/>
        <w:tabs>
          <w:tab w:leader="none" w:pos="2662"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have no obligation to obtain employment during the period in which Employee receives post-termination payments from the Company under this Paragraph 8(a). However, the Company's obligation for Base Salary under subparagraph (i) above shall be offset by any compensation from employment earned by Employee with another employer during such period, and its obligation to continue insurance, medical and other similar benefits shall cease upon Employee's acceptance of other employment offering substantially similar benefits.</w:t>
      </w:r>
    </w:p>
    <w:p>
      <w:pPr>
        <w:spacing w:after="0" w:line="174" w:lineRule="exact"/>
        <w:rPr>
          <w:sz w:val="20"/>
          <w:szCs w:val="20"/>
          <w:color w:val="auto"/>
        </w:rPr>
      </w:pPr>
    </w:p>
    <w:p>
      <w:pPr>
        <w:ind w:left="2040" w:hanging="452"/>
        <w:spacing w:after="0"/>
        <w:tabs>
          <w:tab w:leader="none" w:pos="2040"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Upon discharge due to death or Disability, Employee (or Employee's estate, as applicable) will be entitled to payment of Employee's then-current unpaid Base Salary for the period prior to termination and for the period of three (3) months thereafter, amounts payable on account of death or Disability under any insurance or benefit plans or policies maintained by the Company, any accrued but unused vacation time, and any amounts then due under the Deferred Compensation Plan.</w:t>
      </w:r>
    </w:p>
    <w:p>
      <w:pPr>
        <w:spacing w:after="0" w:line="173" w:lineRule="exact"/>
        <w:rPr>
          <w:sz w:val="20"/>
          <w:szCs w:val="20"/>
          <w:color w:val="auto"/>
        </w:rPr>
      </w:pPr>
    </w:p>
    <w:p>
      <w:pPr>
        <w:ind w:left="2040" w:hanging="452"/>
        <w:spacing w:after="0"/>
        <w:tabs>
          <w:tab w:leader="none" w:pos="2040"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 Cause.</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If Employee is Discharged With Cause, Employee's sole entitlement shall be the receipt of Employee's then-current unpaid Base Salary for any days worked through the date of termination and any amounts payable to Employee at such time under the Deferred Compensation Plan.</w:t>
      </w:r>
    </w:p>
    <w:p>
      <w:pPr>
        <w:spacing w:after="0" w:line="174" w:lineRule="exact"/>
        <w:rPr>
          <w:sz w:val="20"/>
          <w:szCs w:val="20"/>
          <w:color w:val="auto"/>
        </w:rPr>
      </w:pPr>
    </w:p>
    <w:p>
      <w:pPr>
        <w:ind w:left="1940" w:hanging="352"/>
        <w:spacing w:after="0"/>
        <w:tabs>
          <w:tab w:leader="none" w:pos="1940"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Rights.</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Nothing herein shall constitute a waiver by Employee of "COBRA" rights under federal law in connection with termination of employment.</w:t>
      </w:r>
    </w:p>
    <w:p>
      <w:pPr>
        <w:spacing w:after="0" w:line="175" w:lineRule="exact"/>
        <w:rPr>
          <w:sz w:val="20"/>
          <w:szCs w:val="20"/>
          <w:color w:val="auto"/>
        </w:rPr>
      </w:pPr>
    </w:p>
    <w:p>
      <w:pPr>
        <w:jc w:val="both"/>
        <w:ind w:right="3119" w:firstLine="1588"/>
        <w:spacing w:after="0" w:line="239" w:lineRule="auto"/>
        <w:tabs>
          <w:tab w:leader="none" w:pos="1952" w:val="left"/>
        </w:tabs>
        <w:numPr>
          <w:ilvl w:val="1"/>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Company shall not be liable for any payment under this Paragraph 8 in the event Employee breaches Employee's obligations under Paragraph 9.</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Confidentiality.</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437" w:name="page438"/>
    <w:bookmarkEnd w:id="437"/>
    <w:p>
      <w:pPr>
        <w:jc w:val="both"/>
        <w:ind w:left="-1200" w:right="3119" w:firstLine="1588"/>
        <w:spacing w:after="0"/>
        <w:tabs>
          <w:tab w:leader="none" w:pos="752"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solicit, induce, encourage, or attempt to influence any client, customer, employee, consultant, independent contractor, subscriber, service provider, salesman or supplier of Company to cease to do business or to terminate the employment or other relationship with the Company.</w:t>
      </w:r>
    </w:p>
    <w:p>
      <w:pPr>
        <w:spacing w:after="0" w:line="175" w:lineRule="exact"/>
        <w:rPr>
          <w:rFonts w:ascii="Courier New" w:cs="Courier New" w:eastAsia="Courier New" w:hAnsi="Courier New"/>
          <w:sz w:val="15"/>
          <w:szCs w:val="15"/>
          <w:color w:val="auto"/>
        </w:rPr>
      </w:pPr>
    </w:p>
    <w:p>
      <w:pPr>
        <w:jc w:val="both"/>
        <w:ind w:left="-1200" w:right="3119" w:firstLine="1588"/>
        <w:spacing w:after="0"/>
        <w:tabs>
          <w:tab w:leader="none" w:pos="752"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purchase (other than for personal use) goods, services or programming from material suppliers of Company similar to those purchased by Company if the effect of any such purchase shall cause the Company the denial of or delay in the receipt of such goods, services or programming.</w:t>
      </w:r>
    </w:p>
    <w:p>
      <w:pPr>
        <w:spacing w:after="0" w:line="175" w:lineRule="exact"/>
        <w:rPr>
          <w:rFonts w:ascii="Courier New" w:cs="Courier New" w:eastAsia="Courier New" w:hAnsi="Courier New"/>
          <w:sz w:val="15"/>
          <w:szCs w:val="15"/>
          <w:color w:val="auto"/>
        </w:rPr>
      </w:pPr>
    </w:p>
    <w:p>
      <w:pPr>
        <w:jc w:val="both"/>
        <w:ind w:left="-1200" w:right="3119" w:firstLine="1588"/>
        <w:spacing w:after="0"/>
        <w:tabs>
          <w:tab w:leader="none" w:pos="752"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ENGAGE IN (AS A PRINCIPAL, PARTNER, DIRECTOR, OFFICER, AGENT, EMPLOYEE, CONSULTANT, OWNER, INDEPENDENT CONTRACTOR OR OTHERWISE) OR BE FINANCIALLY INTERESTED IN: (i) ANY BUSINESS IN COMPETITION WITH THE BUSINESS ACTIVITIES CARRIED ON BY THE COMPANY IN ANY AREA, OR BEING PLANNED BY THE COMPANY (WITH EMPLOYEE'S KNOWLEDGE) AT THE TIME OF SUCH TERMINATION OF EMPLOYMENT; OR (ii) ANY BUSINESS DESCRIBED ON SCHEDULE 2 ATTACHED HERETO (SUBPARAGRAPHS (c)(i) AND (c)(ii) TOGETHER REFERRED TO AS "COMPETITIVE ACTIVITIES"); PROVIDED, HOWEVER, THAT IN THE EVENT TERMINATION OCCURS BY THE COMPANY PURSUANT TO PARAGRAPH 7(d) OR AS A RESULT OF THE EXPIRATION OF THE TERM ON DECEMBER 31, 2005, THEN SUBPARAGRAPH (c)(ii) SHALL NOT APPLY. NOTHING HEREIN SHALL PREVENT EMPLOYEE FROM OWNING FOR INVESTMENT UP TO FIVE PERCENT (5%) OF ANY CLASS OF EQUITY SECURITY OF AN ENTITY WHOSE SECURITIES ARE TRADED ON A NATIONAL SECURITIES EXCHANGE OR MARKET.</w:t>
      </w:r>
    </w:p>
    <w:p>
      <w:pPr>
        <w:spacing w:after="0" w:line="181" w:lineRule="exact"/>
        <w:rPr>
          <w:rFonts w:ascii="Courier New" w:cs="Courier New" w:eastAsia="Courier New" w:hAnsi="Courier New"/>
          <w:sz w:val="15"/>
          <w:szCs w:val="15"/>
          <w:color w:val="auto"/>
        </w:rPr>
      </w:pPr>
    </w:p>
    <w:p>
      <w:pPr>
        <w:jc w:val="both"/>
        <w:ind w:left="-1200" w:right="3119" w:firstLine="1588"/>
        <w:spacing w:after="0"/>
        <w:tabs>
          <w:tab w:leader="none" w:pos="752" w:val="left"/>
        </w:tabs>
        <w:numPr>
          <w:ilvl w:val="0"/>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use for Employee's personal benefit, or disclose, communicate or divulge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This confidential information includes, but is not limited to: business, marketing, legal or accounting methods, policies, plans, procedures, strategies or techniques; research or development projects or results; software and firmware; trade secrets or other knowledge or processes of or developed by the Company; names and addresses of employees, suppliers or customers; and any data on or relating to past, present or prospective customers, including customer lists. Employee confirms that such information is confidential and constitutes the</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31" w:right="1440" w:bottom="1440" w:gutter="0" w:footer="0" w:header="0"/>
        </w:sectPr>
      </w:pPr>
    </w:p>
    <w:bookmarkStart w:id="438" w:name="page439"/>
    <w:bookmarkEnd w:id="438"/>
    <w:p>
      <w:pPr>
        <w:ind w:left="9" w:right="3119"/>
        <w:spacing w:after="0"/>
        <w:rPr>
          <w:sz w:val="20"/>
          <w:szCs w:val="20"/>
          <w:color w:val="auto"/>
        </w:rPr>
      </w:pPr>
      <w:r>
        <w:rPr>
          <w:rFonts w:ascii="Courier New" w:cs="Courier New" w:eastAsia="Courier New" w:hAnsi="Courier New"/>
          <w:sz w:val="15"/>
          <w:szCs w:val="15"/>
          <w:color w:val="auto"/>
        </w:rPr>
        <w:t>exclusive property of the Company, and agrees that, immediately upon Employee's termination, whether such termination occurs by expiration of this Agreement, by a breach of this Agreement by Employee or by the Company, Employee shall deliver to the Company all correspondence, documents, books, records, lists and other materials relating to the Company's business, regardless of the medium in which such materials are maintained; and Employee shall retain no copies in any medium, regardless of where or by whom such materials were kept or prepared. Nothing herein shall prevent Employee from complying with a valid subpoena or other legal requirement for disclosure of information; provided that Employee shall notify the Company promptly and in advance of disclosure if Employee believes Employee is under a legal requirement to disclose confidential information.</w:t>
      </w:r>
    </w:p>
    <w:p>
      <w:pPr>
        <w:spacing w:after="0" w:line="180" w:lineRule="exact"/>
        <w:rPr>
          <w:sz w:val="20"/>
          <w:szCs w:val="20"/>
          <w:color w:val="auto"/>
        </w:rPr>
      </w:pPr>
    </w:p>
    <w:p>
      <w:pPr>
        <w:jc w:val="both"/>
        <w:ind w:left="9" w:right="3119" w:firstLine="1588"/>
        <w:spacing w:after="0"/>
        <w:tabs>
          <w:tab w:leader="none" w:pos="1961"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restrictions contained in this Paragraph 9, in view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obtain from any court of competent jurisdiction: (i) preliminary and permanent injunctive relief against Employee; (ii) damages from Employee; and (iii) an equitable accounting of all compensation, commissions, earnings, profits and other benefits to Employee arising from such violation (including legal fees and other costs and expenses of defending Employee in any legal proceedings relating to this Agreement ("Legal Fees")), all of which rights shall be cumulative and in addition to any other rights and remedies to which the Company may be entitled as set forth herein or as a matter of law.</w:t>
      </w:r>
    </w:p>
    <w:p>
      <w:pPr>
        <w:spacing w:after="0" w:line="181" w:lineRule="exact"/>
        <w:rPr>
          <w:rFonts w:ascii="Courier New" w:cs="Courier New" w:eastAsia="Courier New" w:hAnsi="Courier New"/>
          <w:sz w:val="15"/>
          <w:szCs w:val="15"/>
          <w:color w:val="auto"/>
        </w:rPr>
      </w:pPr>
    </w:p>
    <w:p>
      <w:pPr>
        <w:jc w:val="both"/>
        <w:ind w:left="9" w:right="3119" w:firstLine="1588"/>
        <w:spacing w:after="0"/>
        <w:tabs>
          <w:tab w:leader="none" w:pos="2050"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agrees that if any portion of the restrictions contained in this Paragraph 9, or the application thereof, is construed to be invalid or unenforceable, the remainder of such restriction or restrictions or the application thereof shall not be affected and the remaining restriction or restrictions will then be given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 If Employee violates any such restrictions, the period of such violation (from the commencement of any such violation until such time as such violation shall be cured by Employee to the satisfaction of the Company) shall not count toward or be included in the restrictive period contained in the applicable subparagraph above.</w:t>
      </w:r>
    </w:p>
    <w:p>
      <w:pPr>
        <w:spacing w:after="0" w:line="179"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Acknowledgements and Agreements.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and agrees as follows: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0" w:right="1440" w:bottom="1440" w:gutter="0" w:footer="0" w:header="0"/>
        </w:sectPr>
      </w:pPr>
    </w:p>
    <w:bookmarkStart w:id="439" w:name="page440"/>
    <w:bookmarkEnd w:id="439"/>
    <w:p>
      <w:pPr>
        <w:ind w:left="2489" w:hanging="359"/>
        <w:spacing w:after="0"/>
        <w:tabs>
          <w:tab w:leader="none" w:pos="2489" w:val="left"/>
        </w:tabs>
        <w:numPr>
          <w:ilvl w:val="2"/>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possesses sufficient knowledge, skill and</w:t>
      </w:r>
    </w:p>
    <w:p>
      <w:pPr>
        <w:spacing w:after="0" w:line="3" w:lineRule="exact"/>
        <w:rPr>
          <w:rFonts w:ascii="Courier New" w:cs="Courier New" w:eastAsia="Courier New" w:hAnsi="Courier New"/>
          <w:sz w:val="15"/>
          <w:szCs w:val="15"/>
          <w:color w:val="auto"/>
        </w:rPr>
      </w:pPr>
    </w:p>
    <w:p>
      <w:pPr>
        <w:ind w:left="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 to permit him to earn a living by working in an industry not described in Paragraph 9(c) and Schedule 2 for a period of one year as therein provided.</w:t>
      </w:r>
    </w:p>
    <w:p>
      <w:pPr>
        <w:spacing w:after="0" w:line="172" w:lineRule="exact"/>
        <w:rPr>
          <w:rFonts w:ascii="Courier New" w:cs="Courier New" w:eastAsia="Courier New" w:hAnsi="Courier New"/>
          <w:sz w:val="15"/>
          <w:szCs w:val="15"/>
          <w:color w:val="auto"/>
        </w:rPr>
      </w:pPr>
    </w:p>
    <w:p>
      <w:pPr>
        <w:ind w:left="2569" w:hanging="439"/>
        <w:spacing w:after="0"/>
        <w:tabs>
          <w:tab w:leader="none" w:pos="2569" w:val="left"/>
        </w:tabs>
        <w:numPr>
          <w:ilvl w:val="2"/>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level of skill and experience is rare</w:t>
      </w:r>
    </w:p>
    <w:p>
      <w:pPr>
        <w:spacing w:after="0" w:line="3" w:lineRule="exact"/>
        <w:rPr>
          <w:rFonts w:ascii="Courier New" w:cs="Courier New" w:eastAsia="Courier New" w:hAnsi="Courier New"/>
          <w:sz w:val="15"/>
          <w:szCs w:val="15"/>
          <w:color w:val="auto"/>
        </w:rPr>
      </w:pPr>
    </w:p>
    <w:p>
      <w:pPr>
        <w:ind w:left="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unique in the industries in which the Company participates, and that it would be difficult or impossible for the Company to replace Employee within a reasonable period of time.</w:t>
      </w:r>
    </w:p>
    <w:p>
      <w:pPr>
        <w:spacing w:after="0" w:line="175" w:lineRule="exact"/>
        <w:rPr>
          <w:rFonts w:ascii="Courier New" w:cs="Courier New" w:eastAsia="Courier New" w:hAnsi="Courier New"/>
          <w:sz w:val="15"/>
          <w:szCs w:val="15"/>
          <w:color w:val="auto"/>
        </w:rPr>
      </w:pPr>
    </w:p>
    <w:p>
      <w:pPr>
        <w:ind w:left="2669" w:hanging="539"/>
        <w:spacing w:after="0"/>
        <w:tabs>
          <w:tab w:leader="none" w:pos="2669" w:val="left"/>
        </w:tabs>
        <w:numPr>
          <w:ilvl w:val="2"/>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decision to work for or otherwise serve</w:t>
      </w:r>
    </w:p>
    <w:p>
      <w:pPr>
        <w:spacing w:after="0" w:line="12" w:lineRule="exact"/>
        <w:rPr>
          <w:rFonts w:ascii="Courier New" w:cs="Courier New" w:eastAsia="Courier New" w:hAnsi="Courier New"/>
          <w:sz w:val="14"/>
          <w:szCs w:val="14"/>
          <w:color w:val="auto"/>
        </w:rPr>
      </w:pPr>
    </w:p>
    <w:p>
      <w:pPr>
        <w:ind w:left="9"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other business in the industries in which Company participates would cause competitive and other harm and significant hardship to Company, and that to do so would be inconsistent with the benefits provided to Employee under this Agreement or in connection with its execution.</w:t>
      </w:r>
    </w:p>
    <w:p>
      <w:pPr>
        <w:spacing w:after="0" w:line="173" w:lineRule="exact"/>
        <w:rPr>
          <w:rFonts w:ascii="Courier New" w:cs="Courier New" w:eastAsia="Courier New" w:hAnsi="Courier New"/>
          <w:sz w:val="14"/>
          <w:szCs w:val="14"/>
          <w:color w:val="auto"/>
        </w:rPr>
      </w:pPr>
    </w:p>
    <w:p>
      <w:pPr>
        <w:ind w:left="2569" w:hanging="439"/>
        <w:spacing w:after="0"/>
        <w:tabs>
          <w:tab w:leader="none" w:pos="2569" w:val="left"/>
        </w:tabs>
        <w:numPr>
          <w:ilvl w:val="2"/>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compensation provided under this</w:t>
      </w:r>
    </w:p>
    <w:p>
      <w:pPr>
        <w:spacing w:after="0" w:line="3" w:lineRule="exact"/>
        <w:rPr>
          <w:rFonts w:ascii="Courier New" w:cs="Courier New" w:eastAsia="Courier New" w:hAnsi="Courier New"/>
          <w:sz w:val="15"/>
          <w:szCs w:val="15"/>
          <w:color w:val="auto"/>
        </w:rPr>
      </w:pPr>
    </w:p>
    <w:p>
      <w:pPr>
        <w:ind w:left="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fair compensation in consideration of the restrictions contained herein.</w:t>
      </w:r>
    </w:p>
    <w:p>
      <w:pPr>
        <w:spacing w:after="0" w:line="172" w:lineRule="exact"/>
        <w:rPr>
          <w:rFonts w:ascii="Courier New" w:cs="Courier New" w:eastAsia="Courier New" w:hAnsi="Courier New"/>
          <w:sz w:val="15"/>
          <w:szCs w:val="15"/>
          <w:color w:val="auto"/>
        </w:rPr>
      </w:pPr>
    </w:p>
    <w:p>
      <w:pPr>
        <w:ind w:left="2489" w:hanging="359"/>
        <w:spacing w:after="0"/>
        <w:tabs>
          <w:tab w:leader="none" w:pos="2489" w:val="left"/>
        </w:tabs>
        <w:numPr>
          <w:ilvl w:val="2"/>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RESIGNATION BY EMPLOYEE FROM EMPLOYMENT BY THE</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(OTHER THAN IN CONNECTION WITH A BONA FIDE RETIREMENT AS AGREED WITH THE COMPANY) MAY BE TREATED BY THE COMPANY AS A MATERIAL BREACH OF THIS AGREEMENT AND, AS A CONSEQUENCE, THE COMPANY MAY AVAIL ITSELF OF ALL RIGHTS AND REMEDIES SET FORTH HEREIN OR AVAILABLE TO IT AS A MATTER OF LAW. In the event of such breach, the Company shall not be liable for any payments or benefits to Employee hereunder.</w:t>
      </w:r>
    </w:p>
    <w:p>
      <w:pPr>
        <w:spacing w:after="0" w:line="175" w:lineRule="exact"/>
        <w:rPr>
          <w:rFonts w:ascii="Courier New" w:cs="Courier New" w:eastAsia="Courier New" w:hAnsi="Courier New"/>
          <w:sz w:val="15"/>
          <w:szCs w:val="15"/>
          <w:color w:val="auto"/>
        </w:rPr>
      </w:pPr>
    </w:p>
    <w:p>
      <w:pPr>
        <w:ind w:left="9" w:right="3119" w:firstLine="1588"/>
        <w:spacing w:after="0" w:line="239" w:lineRule="auto"/>
        <w:tabs>
          <w:tab w:leader="none" w:pos="1961" w:val="left"/>
        </w:tabs>
        <w:numPr>
          <w:ilvl w:val="1"/>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Employee had the opportunity to retain and consult with legal counsel and tax advisors of Employee's choice regarding the terms of this Agreement. Employee represents that this Agreement is enforceable against Employee in accordance with its terms.</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Remedies.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commits a material breach of this Agreement and such breach is not cured to Employee's satisfaction within thirty (30) days after written demand for such cure, then Employee may terminate this Agreement, and such termination shall be construed as a Discharge Without Cause. A substantial diminution in Employee's duties and responsibilities shall constitute a material breach of this Agreement. In all such events, Employee's rights shall be as provided in Paragraph 8(a).</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following Employee's resignation from employment by the Company, Employee provides services or otherwise performs any work for or on behalf of any person or business engaged in Competitive Activities at any time through December 31, 2005, then Employee shall pay, or cause to be paid to the Company, on a current basis, all cash and non-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27" w:right="1440" w:bottom="1440" w:gutter="0" w:footer="0" w:header="0"/>
        </w:sectPr>
      </w:pPr>
    </w:p>
    <w:bookmarkStart w:id="440" w:name="page441"/>
    <w:bookmarkEnd w:id="440"/>
    <w:p>
      <w:pPr>
        <w:ind w:right="3119"/>
        <w:spacing w:after="0"/>
        <w:rPr>
          <w:sz w:val="20"/>
          <w:szCs w:val="20"/>
          <w:color w:val="auto"/>
        </w:rPr>
      </w:pPr>
      <w:r>
        <w:rPr>
          <w:rFonts w:ascii="Courier New" w:cs="Courier New" w:eastAsia="Courier New" w:hAnsi="Courier New"/>
          <w:sz w:val="15"/>
          <w:szCs w:val="15"/>
          <w:color w:val="auto"/>
        </w:rPr>
        <w:t>cash compensation, bonuses, commissions, earnings, profits and other benefits of Employee received, vested or earned through such date (including Legal Fees but excluding any health and welfare benefits available generally to all employees of such person or business), to the extent the value of the total amount thereof exceeds the amount Employee would have received from the Company as Base Salary through such date had Employee not so resigned.</w:t>
      </w:r>
    </w:p>
    <w:p>
      <w:pPr>
        <w:spacing w:after="0" w:line="175" w:lineRule="exact"/>
        <w:rPr>
          <w:sz w:val="20"/>
          <w:szCs w:val="20"/>
          <w:color w:val="auto"/>
        </w:rPr>
      </w:pPr>
    </w:p>
    <w:p>
      <w:pPr>
        <w:ind w:right="3119" w:firstLine="1588"/>
        <w:spacing w:after="0"/>
        <w:tabs>
          <w:tab w:leader="none" w:pos="1952" w:val="left"/>
        </w:tabs>
        <w:numPr>
          <w:ilvl w:val="1"/>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Employee's agreement to the terms of Paragraph 9 is necessary consideration for the stock option grants, Executive Cash Bonus, Deferred Bonus and other benefits granted to or received by Employee in connection with the execution of this Agreement and during the Term (collectively, the "Additional Compensation"). In the event Employee commits a breach of Paragraph 9, and such breach is not promptly cured to the Company's satisfaction within ten (10) days after demand for such cure, then the Company may rescind any such Additional Compensation paid to Employee within three (3) months prior to the first day on which such breach occurred. Upon Company's demand therefore, Employee shall: (i) return to the Company (properly endorsed for transfer to the Company to the extent represented by certificates) all shares of stock issued upon exercise of any such options (or the same number of shares of such stock if such shares are not then owned by Employee), within such three-month period (in each case together with all shares of stock or other securities issued with respect to such shares in any dividend or recapitalization subsequent to such exercise), and upon receipt thereof the Company shall repay to Employee the exercise price paid in connection with the exercise of any such option; and (ii) repay to the Company the amount of any other Additional Compensation received by Employee within such three-month period. Employee acknowledges that this Paragraph 11(c) may cause shares of stock received upon exercise of an option to be "substantially nonvested" within the meaning of Section 83 of the Internal Revenue Code of 1986, as amended, and that Employee may be required to file an election under Section 83(b) at the time of exercise of any such option in order to avoid potential adverse tax consequences. The remedies provided by this Paragraph 11(c) are in addition to and not in limitation of any other remedies available to the Company under this Agreement or applicable law.</w:t>
      </w:r>
    </w:p>
    <w:p>
      <w:pPr>
        <w:spacing w:after="0" w:line="188"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1"/>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Employee at least thirty (30) days' notice (or, if not practicable, such shorter notice as may be reasonably practicable) prior to the anticipated date of the consummation of an Acceleration Event (as defined in subparagraph (ii) below). Upon receipt of such notice, all stock options of Employee shall become immediately exercisable in full, and until the day before such anticipated date of consummation (or such shorter period as the Company shall reasonably determine and so notify Employee), Employee shall be permitted to exercise all options with respect to up to the entire number of shares of the Company's Class A Special Common Stock covered thereby; provided that the shares received from the exercise of any options so accelerated (and any shares, cash or other proceeds received in exchange therefor in connection with the consummation of the Acceleration Event), shall be held in escrow by the Company or its successor and shall be delivered to Employee only in the event Employee remains in the employ of the Company or its successor through the six-month anniversary of the</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441" w:name="page442"/>
    <w:bookmarkEnd w:id="441"/>
    <w:p>
      <w:pPr>
        <w:ind w:left="9" w:right="3119"/>
        <w:spacing w:after="0"/>
        <w:rPr>
          <w:sz w:val="20"/>
          <w:szCs w:val="20"/>
          <w:color w:val="auto"/>
        </w:rPr>
      </w:pPr>
      <w:r>
        <w:rPr>
          <w:rFonts w:ascii="Courier New" w:cs="Courier New" w:eastAsia="Courier New" w:hAnsi="Courier New"/>
          <w:sz w:val="15"/>
          <w:szCs w:val="15"/>
          <w:color w:val="auto"/>
        </w:rPr>
        <w:t>date of consummation of the Acceleration Event. The Company may in such notice require that upon the close of the period described above during which an option may be so exercised such option shall terminate to the extent that it has not theretofore been exercised. Notwithstanding the foregoing, in the event the Acceleration Event which was the subject of such notice is not consummated, options which were exercised shall be deemed not to have been exercised and shall be exercisable thereafter (disregarding any acceleration of vesting as provided for above, which shall then be of no effect) to the same extent they would have been exercisable if no such notice had been given.</w:t>
      </w:r>
    </w:p>
    <w:p>
      <w:pPr>
        <w:spacing w:after="0" w:line="175" w:lineRule="exact"/>
        <w:rPr>
          <w:sz w:val="20"/>
          <w:szCs w:val="20"/>
          <w:color w:val="auto"/>
        </w:rPr>
      </w:pPr>
    </w:p>
    <w:p>
      <w:pPr>
        <w:ind w:left="1949" w:hanging="352"/>
        <w:spacing w:after="0"/>
        <w:tabs>
          <w:tab w:leader="none" w:pos="1949" w:val="left"/>
        </w:tabs>
        <w:numPr>
          <w:ilvl w:val="2"/>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 means any of the following events:</w:t>
      </w:r>
    </w:p>
    <w:p>
      <w:pPr>
        <w:spacing w:after="0" w:line="3" w:lineRule="exact"/>
        <w:rPr>
          <w:rFonts w:ascii="Courier New" w:cs="Courier New" w:eastAsia="Courier New" w:hAnsi="Courier New"/>
          <w:sz w:val="15"/>
          <w:szCs w:val="15"/>
          <w:color w:val="auto"/>
        </w:rPr>
      </w:pPr>
    </w:p>
    <w:p>
      <w:pPr>
        <w:ind w:left="9" w:right="3119" w:hanging="9"/>
        <w:spacing w:after="0" w:line="258" w:lineRule="auto"/>
        <w:tabs>
          <w:tab w:leader="none" w:pos="364"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 (ii) a Change of Control. "Change of Control" means any transaction or series of transactions as a result of which any natural person (other than a member or members of the Roberts Family) beneficially owns securities of the Company or its successor as a result of such transaction(s) or the entity which is the controlling entity of its successor as a result of such transaction(s) having more than 50 percent of the voting power in the election of directors or members of a similar body of the Company, such successor or such other entity. "Roberts Family" means (i) Brian L. Roberts;</w:t>
      </w:r>
    </w:p>
    <w:p>
      <w:pPr>
        <w:spacing w:after="0" w:line="1" w:lineRule="exact"/>
        <w:rPr>
          <w:rFonts w:ascii="Courier New" w:cs="Courier New" w:eastAsia="Courier New" w:hAnsi="Courier New"/>
          <w:sz w:val="14"/>
          <w:szCs w:val="14"/>
          <w:color w:val="auto"/>
        </w:rPr>
      </w:pPr>
    </w:p>
    <w:p>
      <w:pPr>
        <w:ind w:left="9" w:right="3119" w:hanging="9"/>
        <w:spacing w:after="0" w:line="239" w:lineRule="auto"/>
        <w:tabs>
          <w:tab w:leader="none" w:pos="453"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Brian L. Roberts; and (iii) a trust established for the benefit of any of Brian L. Roberts and/or a lineal descendant or descendants of Brian L. Roberts.</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Separable.</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399" w:firstLine="532"/>
        <w:spacing w:after="0" w:line="239" w:lineRule="auto"/>
        <w:rPr>
          <w:sz w:val="20"/>
          <w:szCs w:val="20"/>
          <w:color w:val="auto"/>
        </w:rPr>
      </w:pPr>
      <w:r>
        <w:rPr>
          <w:rFonts w:ascii="Courier New" w:cs="Courier New" w:eastAsia="Courier New" w:hAnsi="Courier New"/>
          <w:sz w:val="15"/>
          <w:szCs w:val="15"/>
          <w:color w:val="auto"/>
        </w:rPr>
        <w:t>No provision of this Agreement shall be affected or rendered invalid or unenforceable if for any reason any other provision(s) may be invalid or unenforceable in whole or in part.</w:t>
      </w:r>
    </w:p>
    <w:p>
      <w:pPr>
        <w:spacing w:after="0" w:line="172" w:lineRule="exact"/>
        <w:rPr>
          <w:sz w:val="20"/>
          <w:szCs w:val="20"/>
          <w:color w:val="auto"/>
        </w:rPr>
      </w:pPr>
    </w:p>
    <w:p>
      <w:pPr>
        <w:ind w:left="789" w:hanging="345"/>
        <w:spacing w:after="0"/>
        <w:tabs>
          <w:tab w:leader="none" w:pos="789"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Etc.</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299" w:firstLine="1588"/>
        <w:spacing w:after="0"/>
        <w:tabs>
          <w:tab w:leader="none" w:pos="1961" w:val="left"/>
        </w:tabs>
        <w:numPr>
          <w:ilvl w:val="1"/>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merges with, or transfers all or substantially all of its assets to, another entity, such other entity shall be deemed to be the successor to the Company hereunder, and the term "Company" as used herein shall mean such other entity as is appropriate, and this Agreement shall continue in full force and effect.</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as is appropriate, and this Agreement shall continue in full force and effect. In addition, Paragraph 9 shall apply separately to Employee's employment with such other entity and with the Company, and such other entity shall separately have the rights of the "Company" under Paragraph 9, with respect to Employee's employment with it without affecting or diminishing the rights of the Company hereunder. Notwithstanding the foregoing, the Company shall not be restricted from competing with any such entity.</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0" w:right="1440" w:bottom="1440" w:gutter="0" w:footer="0" w:header="0"/>
        </w:sectPr>
      </w:pPr>
    </w:p>
    <w:bookmarkStart w:id="442" w:name="page443"/>
    <w:bookmarkEnd w:id="442"/>
    <w:p>
      <w:pPr>
        <w:ind w:left="780" w:hanging="345"/>
        <w:spacing w:after="0"/>
        <w:tabs>
          <w:tab w:leader="none" w:pos="780"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Rights.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Nothing in this Agreement shall constitute a waiver by Employee of any rights Employee may have to indemnification or the advancement of litigation expenses under any applicable bylaws or insurance policies of the Company or any applicable statute.</w:t>
      </w:r>
    </w:p>
    <w:p>
      <w:pPr>
        <w:spacing w:after="0" w:line="174" w:lineRule="exact"/>
        <w:rPr>
          <w:sz w:val="20"/>
          <w:szCs w:val="20"/>
          <w:color w:val="auto"/>
        </w:rPr>
      </w:pPr>
    </w:p>
    <w:p>
      <w:pPr>
        <w:ind w:left="780" w:hanging="345"/>
        <w:spacing w:after="0"/>
        <w:tabs>
          <w:tab w:leader="none" w:pos="780"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Governing Law.</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Litigation concerning this Agreement, if initiated by or on behalf of Employee, shall be brought only in a state or federal court in the Eastern District of Pennsylvania, or, if initiated by the Company, in such jurisdiction or in the jurisdiction in which Employee then resides or works. Employee consents to jurisdiction in the Eastern District of Pennsylvania without regard to Employee's residence or place of business. Employee and the Company irrevocably waive any objection, including any objection to the laying of venue or based on the grounds of forum non conveniens, which Employee either may now or hereafter have to the bringing of any action or proceeding in such jurisdiction in respect of this Agreement or any transaction related hereto. Employee and the Company acknowledge and agree that any service of legal process by mail constitutes proper legal service of process under applicable law in any action or proceeding under or in respect of this Agreement. This Agreement shall be interpreted and enforced in accordance with the substantive law of the Commonwealth of Pennsylvania, without regard to any choice-of-law doctrine.</w:t>
      </w:r>
    </w:p>
    <w:p>
      <w:pPr>
        <w:spacing w:after="0" w:line="161" w:lineRule="exact"/>
        <w:rPr>
          <w:sz w:val="20"/>
          <w:szCs w:val="20"/>
          <w:color w:val="auto"/>
        </w:rPr>
      </w:pPr>
    </w:p>
    <w:p>
      <w:pPr>
        <w:ind w:left="1140" w:hanging="350"/>
        <w:spacing w:after="0"/>
        <w:tabs>
          <w:tab w:leader="none" w:pos="1140"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All notices referred to in this Agreement shall be made in writing and shall be effective: (a) if given by facsimile, when transmitted to the telecopy number specified in this subparagraph and the appropriate facsimile confirmation is received; or (b) if given by any other means, when delivered at the following address:</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Company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0"/>
        <w:spacing w:after="0"/>
        <w:tabs>
          <w:tab w:leader="none" w:pos="316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w:t>
      </w:r>
    </w:p>
    <w:p>
      <w:pPr>
        <w:spacing w:after="0" w:line="1" w:lineRule="exact"/>
        <w:rPr>
          <w:sz w:val="20"/>
          <w:szCs w:val="20"/>
          <w:color w:val="auto"/>
        </w:rPr>
      </w:pPr>
    </w:p>
    <w:p>
      <w:pPr>
        <w:ind w:left="1580"/>
        <w:spacing w:after="0"/>
        <w:tabs>
          <w:tab w:leader="none" w:pos="26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FAX: (215) 981-7794</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Employee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1415 Kriebel Mill Road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Collegeville, PA 19426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8" w:right="1440" w:bottom="1440" w:gutter="0" w:footer="0" w:header="0"/>
        </w:sectPr>
      </w:pPr>
    </w:p>
    <w:bookmarkStart w:id="443" w:name="page444"/>
    <w:bookmarkEnd w:id="443"/>
    <w:p>
      <w:pPr>
        <w:ind w:right="3399" w:firstLine="532"/>
        <w:spacing w:after="0" w:line="238" w:lineRule="auto"/>
        <w:rPr>
          <w:sz w:val="20"/>
          <w:szCs w:val="20"/>
          <w:color w:val="auto"/>
        </w:rPr>
      </w:pPr>
      <w:r>
        <w:rPr>
          <w:rFonts w:ascii="Courier New" w:cs="Courier New" w:eastAsia="Courier New" w:hAnsi="Courier New"/>
          <w:sz w:val="15"/>
          <w:szCs w:val="15"/>
          <w:color w:val="auto"/>
        </w:rPr>
        <w:t>IN WITNESS WHEREOF, the parties hereto have duly executed and delivered this Agreement, in Philadelphia, Pennsylvania.</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EMPLOYEE:</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Lawrence S. Smith</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1" w:right="1440" w:bottom="1440" w:gutter="0" w:footer="0" w:header="0"/>
        </w:sectPr>
      </w:pPr>
    </w:p>
    <w:bookmarkStart w:id="444" w:name="page445"/>
    <w:bookmarkEnd w:id="444"/>
    <w:p>
      <w:pPr>
        <w:ind w:left="3100"/>
        <w:spacing w:after="0"/>
        <w:rPr>
          <w:sz w:val="20"/>
          <w:szCs w:val="20"/>
          <w:color w:val="auto"/>
        </w:rPr>
      </w:pPr>
      <w:r>
        <w:rPr>
          <w:rFonts w:ascii="Courier New" w:cs="Courier New" w:eastAsia="Courier New" w:hAnsi="Courier New"/>
          <w:sz w:val="15"/>
          <w:szCs w:val="15"/>
          <w:color w:val="auto"/>
        </w:rPr>
        <w:t>SCHEDULE 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DUTIES OF EMPLOYEE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for directing the Company's financial and administrative functions.</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445" w:name="page446"/>
    <w:bookmarkEnd w:id="445"/>
    <w:p>
      <w:pPr>
        <w:ind w:left="3109"/>
        <w:spacing w:after="0"/>
        <w:rPr>
          <w:sz w:val="20"/>
          <w:szCs w:val="20"/>
          <w:color w:val="auto"/>
        </w:rPr>
      </w:pPr>
      <w:r>
        <w:rPr>
          <w:rFonts w:ascii="Courier New" w:cs="Courier New" w:eastAsia="Courier New" w:hAnsi="Courier New"/>
          <w:sz w:val="15"/>
          <w:szCs w:val="15"/>
          <w:color w:val="auto"/>
        </w:rPr>
        <w:t>SCHEDULE 2</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COMPETITIVE ACTIVITIES *</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89" w:right="3119" w:hanging="789"/>
        <w:spacing w:after="0"/>
        <w:tabs>
          <w:tab w:leader="none" w:pos="789"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video programming to residential or commercial subscribers by any technology, including, but not limited to, coaxial or fiber optic cable, digital subscriber line, SMATV, satellite or wireless distribution systems. The following companies and their successors and assigns are deemed to be competitive video programming distributors engaged in Competitive Activities: AT&amp;T Corp. (AT&amp;T Broadband Services); Time Warner, Inc. (Time Warner Cable Division; Time Warner Entertainment Company, L.P.; Time Warner Entertainment-Advance Newhouse Partnership); Charter Communications, Inc. (Charter Cable TV); Adelphia Communications Corporation; Cox Communications, Inc.; Hughes Electronics Corporation (DirectTV, Inc.); Echostar Communications Corporation; RCN Corporation; Knology Holdings, Inc.; and SBC Communications Inc. (Ameritech New Media, Inc., d/b/a Americast). Other distributors of video programming either providing services in areas (1) served by the Company or (2) serving in excess of 20,000 subscribers in the aggregate, are similarly deemed to be engaged in Competitive Activities.</w:t>
      </w:r>
    </w:p>
    <w:p>
      <w:pPr>
        <w:spacing w:after="0" w:line="183"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transport of data to and/or from residential or commercial subscribers by any technology, including, but not limited to, high speed cable modem, digital subscriber line, wireless or satellite system. The following companies and their successors and assigns are deemed to be competitive data transport providers engaged in Competitive Activities: Regional Bell Operating Companies; Northpoint Communications Group, Inc.; Covad Communications Group, Inc.; Hughes Electronics Corporation (DirectTV, Inc.); Echostar Communications Corporation; Global Crossing Ltd.; Sprint Corporation (Sprint PCS Group); MCI WorldCom, Inc.; At Home Corporation; ServiceCo LLC d/b/a Road Runner. Other providers of data transport services providing services in areas (1) served by the Company or (2) serving in excess of 25,000 subscribers in the aggregate, are similarly deemed to be engaged in Competitive Activities.</w:t>
      </w:r>
    </w:p>
    <w:p>
      <w:pPr>
        <w:spacing w:after="0" w:line="181"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production of video programming for utilization by the technologies set forth in Section A above, for exhibition at movie theaters, for use on the internet, or for purchase by consumers for home viewing. A company which is engaged in such production shall be deemed to be engaged in Competitive Activities if greater than 10% of its gross revenues are derived from such production activities.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28" w:right="1440" w:bottom="1440" w:gutter="0" w:footer="0" w:header="0"/>
        </w:sectPr>
      </w:pPr>
    </w:p>
    <w:bookmarkStart w:id="446" w:name="page447"/>
    <w:bookmarkEnd w:id="446"/>
    <w:p>
      <w:pPr>
        <w:ind w:left="2569"/>
        <w:spacing w:after="0"/>
        <w:rPr>
          <w:sz w:val="20"/>
          <w:szCs w:val="20"/>
          <w:color w:val="auto"/>
        </w:rPr>
      </w:pPr>
      <w:r>
        <w:rPr>
          <w:rFonts w:ascii="Courier New" w:cs="Courier New" w:eastAsia="Courier New" w:hAnsi="Courier New"/>
          <w:sz w:val="15"/>
          <w:szCs w:val="15"/>
          <w:color w:val="auto"/>
        </w:rPr>
        <w:t>SCHEDULE 2 (continued)</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89" w:right="3119" w:hanging="789"/>
        <w:spacing w:after="0"/>
        <w:tabs>
          <w:tab w:leader="none" w:pos="789"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residential or commercial local exchange, toll or long distance telecommunications services; the provision of competitive access, point-to-point and primary line services; and the delivery of wide area municipal area and dark fiber network services. A company that is engaged in any of these ventures shall be deemed to be engaged in Competitive Activities if greater than 5% of its gross revenues are derived from such activities.</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_________</w:t>
      </w:r>
    </w:p>
    <w:p>
      <w:pPr>
        <w:spacing w:after="0" w:line="3" w:lineRule="exact"/>
        <w:rPr>
          <w:sz w:val="20"/>
          <w:szCs w:val="20"/>
          <w:color w:val="auto"/>
        </w:rPr>
      </w:pPr>
    </w:p>
    <w:p>
      <w:pPr>
        <w:ind w:left="789" w:right="3219" w:hanging="345"/>
        <w:spacing w:after="0" w:line="262" w:lineRule="auto"/>
        <w:tabs>
          <w:tab w:leader="none" w:pos="789" w:val="left"/>
        </w:tabs>
        <w:numPr>
          <w:ilvl w:val="0"/>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business or specific company listed on Schedule 2 may also be deemed to be engaged in Competitive Activities under Paragraph 9(c)(i) if such business or company is providing competitive products or services in any area where the company is providing products or services.</w:t>
      </w:r>
    </w:p>
    <w:p>
      <w:pPr>
        <w:sectPr>
          <w:pgSz w:w="11900" w:h="16838" w:orient="portrait"/>
          <w:cols w:equalWidth="0" w:num="1">
            <w:col w:w="10228"/>
          </w:cols>
          <w:pgMar w:left="231" w:top="969" w:right="1440" w:bottom="1440" w:gutter="0" w:footer="0" w:header="0"/>
        </w:sectPr>
      </w:pPr>
    </w:p>
    <w:bookmarkStart w:id="447" w:name="page448"/>
    <w:bookmarkEnd w:id="447"/>
    <w:p>
      <w:pPr>
        <w:jc w:val="right"/>
        <w:ind w:right="3119"/>
        <w:spacing w:after="0"/>
        <w:rPr>
          <w:sz w:val="20"/>
          <w:szCs w:val="20"/>
          <w:color w:val="auto"/>
        </w:rPr>
      </w:pPr>
      <w:r>
        <w:rPr>
          <w:rFonts w:ascii="Courier New" w:cs="Courier New" w:eastAsia="Courier New" w:hAnsi="Courier New"/>
          <w:sz w:val="15"/>
          <w:szCs w:val="15"/>
          <w:color w:val="auto"/>
        </w:rPr>
        <w:t>Exhibit 10.27</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EXECUTIVE EMPLOYMENT AGREEMENT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EXECUTIVE EMPLOYMENT AGREEMENT is made as of the 31st day of May, 2000, between COMCAST CORPORATION, a Pennsylvania corporation (together with its subsidiaries and affiliates, collectively referred to as the "Company"), and JOHN R. ALCHIN, an individual residing in and working for the Company in Pennsylvania ("Employee").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Employee is currently employed as Executive Vice President and Treasurer of the Company pursuant to an Employment Agreement dated January 1, 1995, as amended August 16, 1996 (the "Prior Employment Agreement"). Employee has been advised by the Company that Employee may continue to be employed pursuant to the terms of the Prior Employment Agreement or may elect to be employed on the terms and conditions contained in this Agreement. Employee has elected to have Employee's relationship with the Company be governed by the terms and conditions of this Agreement, which include increases in Employee's compensation and other material changes and benefits favorable to the Employee. In return for such favorable material changes, Employee is agreeing to the terms and conditions contained in this Agreement which include other material changes favorable to the Company which impose additional material obligations on Employee. Employee, however, will retain all stock option, restricted stock and cash bonus plan grants made in connection with the Prior Employment Agreement or made at any other time prior to the date hereof.</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jc w:val="both"/>
        <w:ind w:left="780"/>
        <w:spacing w:after="0"/>
        <w:tabs>
          <w:tab w:leader="none" w:pos="1740" w:val="left"/>
          <w:tab w:leader="none" w:pos="3080" w:val="left"/>
          <w:tab w:leader="none" w:pos="3780" w:val="left"/>
          <w:tab w:leader="none" w:pos="4240" w:val="left"/>
          <w:tab w:leader="none" w:pos="5020" w:val="left"/>
          <w:tab w:leader="none" w:pos="5480" w:val="left"/>
          <w:tab w:leader="none" w:pos="6360" w:val="left"/>
        </w:tabs>
        <w:rPr>
          <w:sz w:val="20"/>
          <w:szCs w:val="20"/>
          <w:color w:val="auto"/>
        </w:rPr>
      </w:pPr>
      <w:r>
        <w:rPr>
          <w:rFonts w:ascii="Courier New" w:cs="Courier New" w:eastAsia="Courier New" w:hAnsi="Courier New"/>
          <w:sz w:val="15"/>
          <w:szCs w:val="15"/>
          <w:color w:val="auto"/>
        </w:rPr>
        <w:t>Intending</w:t>
        <w:tab/>
        <w:t>to be legally</w:t>
        <w:tab/>
        <w:t>bound,</w:t>
        <w:tab/>
        <w:t>the</w:t>
        <w:tab/>
        <w:t>Company</w:t>
        <w:tab/>
        <w:t>and</w:t>
        <w:tab/>
        <w:t>Employee</w:t>
      </w:r>
      <w:r>
        <w:rPr>
          <w:sz w:val="20"/>
          <w:szCs w:val="20"/>
          <w:color w:val="auto"/>
        </w:rPr>
        <w:tab/>
      </w:r>
      <w:r>
        <w:rPr>
          <w:rFonts w:ascii="Courier New" w:cs="Courier New" w:eastAsia="Courier New" w:hAnsi="Courier New"/>
          <w:sz w:val="14"/>
          <w:szCs w:val="14"/>
          <w:color w:val="auto"/>
        </w:rPr>
        <w:t>agree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71" w:lineRule="exact"/>
        <w:rPr>
          <w:sz w:val="20"/>
          <w:szCs w:val="20"/>
          <w:color w:val="auto"/>
        </w:rPr>
      </w:pPr>
    </w:p>
    <w:p>
      <w:pPr>
        <w:ind w:left="1060" w:hanging="270"/>
        <w:spacing w:after="0"/>
        <w:tabs>
          <w:tab w:leader="none" w:pos="1060" w:val="left"/>
        </w:tabs>
        <w:numPr>
          <w:ilvl w:val="0"/>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right="3119" w:firstLine="1588"/>
        <w:spacing w:after="0" w:line="261" w:lineRule="auto"/>
        <w:tabs>
          <w:tab w:leader="none" w:pos="1952" w:val="left"/>
        </w:tabs>
        <w:numPr>
          <w:ilvl w:val="1"/>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serve and the Company shall employ Employee as Executive Vice President and Treasurer of the Company. The specific duties of Employee are set forth on Schedule 1 attached hereto. The Company reserves the right to modify the duties and responsibilities of Employee from time to time (other than by making a substantial diminution therein).</w:t>
      </w:r>
    </w:p>
    <w:p>
      <w:pPr>
        <w:spacing w:after="0" w:line="161" w:lineRule="exact"/>
        <w:rPr>
          <w:rFonts w:ascii="Courier New" w:cs="Courier New" w:eastAsia="Courier New" w:hAnsi="Courier New"/>
          <w:sz w:val="14"/>
          <w:szCs w:val="14"/>
          <w:color w:val="auto"/>
        </w:rPr>
      </w:pPr>
    </w:p>
    <w:p>
      <w:pPr>
        <w:ind w:right="3119" w:firstLine="1588"/>
        <w:spacing w:after="0"/>
        <w:tabs>
          <w:tab w:leader="none" w:pos="1952" w:val="left"/>
        </w:tabs>
        <w:numPr>
          <w:ilvl w:val="1"/>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Agreement, throughout the Term (as defined in Paragraph 2), Employee shall work full time and devote Employee's best efforts to the affairs of the Company in a manner which will further the business and interests of the Company. Without the prior written consent of the Company, Employee shall not, directly or indirectly, do any work for or on behalf of any person or business, other than the Company, during the Term. Nothing herein shall restrict Employee from engaging in non-compensatory civic and charitable activities with the consent of the Company, which consent shall not be unreasonably withheld. The Company, and its successors and assigns, in addition to receiving the benefit of all of Employee's services, shall be entitled to receive and own all of the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proceeds of said services (including, without limitation, inventions, patent rights, copyrights, trademark rights, literary material and any other intellectual property) produced or created by Employee during the Term. Employee will, at the request of the Company, execute such assignments, certificates or other instruments as the Company may from time to time deem necessary or desirable to evidence, establish, maintain, protect, enforce or defend its right or title in or to any such material.</w:t>
      </w:r>
    </w:p>
    <w:p>
      <w:pPr>
        <w:spacing w:after="0" w:line="173" w:lineRule="exact"/>
        <w:rPr>
          <w:sz w:val="20"/>
          <w:szCs w:val="20"/>
          <w:color w:val="auto"/>
        </w:rPr>
      </w:pPr>
    </w:p>
    <w:p>
      <w:pPr>
        <w:ind w:left="1060" w:hanging="270"/>
        <w:spacing w:after="0"/>
        <w:tabs>
          <w:tab w:leader="none" w:pos="1060"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term of this Agreement (the "Term") shall be from the date first-above written (the "Commencement Date") through the first to occur of: (i) the date this Agreement is terminated by the Company in accordance with Paragraph 7; (ii) employee's resignation from employment; or (iii) December 31, 2005. Notwithstanding the end of the Term, certain provisions of this Agreement, including, but not limited to, any payments to be made after the Term and the covenants contained in Paragraphs 8, 9 and 11, shall be enforceable after the end of the Term.</w:t>
      </w:r>
    </w:p>
    <w:p>
      <w:pPr>
        <w:spacing w:after="0" w:line="174" w:lineRule="exact"/>
        <w:rPr>
          <w:sz w:val="20"/>
          <w:szCs w:val="20"/>
          <w:color w:val="auto"/>
        </w:rPr>
      </w:pPr>
    </w:p>
    <w:p>
      <w:pPr>
        <w:ind w:left="1060" w:hanging="270"/>
        <w:spacing w:after="0"/>
        <w:tabs>
          <w:tab w:leader="none" w:pos="1060" w:val="left"/>
        </w:tabs>
        <w:numPr>
          <w:ilvl w:val="0"/>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6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Employee's salary from the Commencement Date through December 31, 2000 shall be at the annual rate of Six Hundred Thirty Eight Thousand One Hundred Forty One Dollars ($638,141.00); commencing as of January 1, 2001, Employee's salary shall be at the annual rate of Seven Hundred Thousand Dollars ($700,000.00) ("Base Salary"). Base Salary, less normal deductions, shall be paid to Employee in accordance with the Company's regular executive payroll practices in effect from time to time. The Base Salary shall be increased for each calendar year in the Term subsequent to 2001 by the greater of (i) 5% of the previous year's Base Salary or (ii) the percentage increase during the previous year in the Consumer Price Index for all urban consumers published by the U.S. Department of Labor or (if such index is discontinued) the nearest equivalent index, up to a maximum of 10%.</w:t>
      </w:r>
    </w:p>
    <w:p>
      <w:pPr>
        <w:sectPr>
          <w:pgSz w:w="11900" w:h="16838" w:orient="portrait"/>
          <w:cols w:equalWidth="0" w:num="1">
            <w:col w:w="10219"/>
          </w:cols>
          <w:pgMar w:left="240" w:top="138" w:right="1440" w:bottom="0" w:gutter="0" w:footer="0" w:header="0"/>
        </w:sectPr>
      </w:pPr>
    </w:p>
    <w:bookmarkStart w:id="448" w:name="page449"/>
    <w:bookmarkEnd w:id="448"/>
    <w:p>
      <w:pPr>
        <w:ind w:left="740" w:hanging="352"/>
        <w:spacing w:after="0"/>
        <w:tabs>
          <w:tab w:leader="none" w:pos="740"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Cash Bonus.</w:t>
      </w: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00" w:right="3119" w:firstLine="2387"/>
        <w:spacing w:after="0" w:line="259" w:lineRule="auto"/>
        <w:tabs>
          <w:tab w:leader="none" w:pos="1640" w:val="left"/>
        </w:tabs>
        <w:numPr>
          <w:ilvl w:val="1"/>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be eligible to receive an annual performance bonus ("Executive Cash Bonus") of up to 50% of Employee's then Base Salary, payable in cash or in shares of the Company's Class A Special Common Stock in the discretion of the Subcommittee on Performance-Based Compensation of the Compensation Committee of the Board of Directors of the Company (the "Subcommittee"). The Executive Cash Bonus shall be determined annually by the Subcommittee based upon the performance of the Company and Employee during each calendar year commencing for the year 2000 and through the year 2005. The Executive Cash Bonus shall be paid within ninety (90) days after the end of each applicable calendar year, except as provided in subparagraph (ii) below.</w:t>
      </w:r>
    </w:p>
    <w:p>
      <w:pPr>
        <w:spacing w:after="0" w:line="165" w:lineRule="exact"/>
        <w:rPr>
          <w:rFonts w:ascii="Courier New" w:cs="Courier New" w:eastAsia="Courier New" w:hAnsi="Courier New"/>
          <w:sz w:val="14"/>
          <w:szCs w:val="14"/>
          <w:color w:val="auto"/>
        </w:rPr>
      </w:pPr>
    </w:p>
    <w:p>
      <w:pPr>
        <w:jc w:val="both"/>
        <w:ind w:left="-1200" w:right="3119" w:firstLine="2387"/>
        <w:spacing w:after="0" w:line="239" w:lineRule="auto"/>
        <w:tabs>
          <w:tab w:leader="none" w:pos="1640" w:val="left"/>
        </w:tabs>
        <w:numPr>
          <w:ilvl w:val="1"/>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part of the total compensation (including the Executive Cash Bonus and any Deferred Bonus as defined in this subparagraph) paid to Employee for the</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39" w:right="1440" w:bottom="1440" w:gutter="0" w:footer="0" w:header="0"/>
        </w:sectPr>
      </w:pPr>
    </w:p>
    <w:bookmarkStart w:id="449" w:name="page450"/>
    <w:bookmarkEnd w:id="449"/>
    <w:p>
      <w:pPr>
        <w:ind w:left="9" w:right="3119"/>
        <w:spacing w:after="0" w:line="258" w:lineRule="auto"/>
        <w:rPr>
          <w:sz w:val="20"/>
          <w:szCs w:val="20"/>
          <w:color w:val="auto"/>
        </w:rPr>
      </w:pPr>
      <w:r>
        <w:rPr>
          <w:rFonts w:ascii="Courier New" w:cs="Courier New" w:eastAsia="Courier New" w:hAnsi="Courier New"/>
          <w:sz w:val="14"/>
          <w:szCs w:val="14"/>
          <w:color w:val="auto"/>
        </w:rPr>
        <w:t>Company's taxable year in which such compensation would be paid would not be deductible by the Company for federal income tax purposes by reason of the limitation in Section 162(m) of the Internal Revenue Code of 1986, as amended, the compensation payable in such taxable year shall be paid only to the extent so deductible, assuming that it was the last compensation paid during such taxable year. The balance of the compensation shall be added to an unfunded account maintained on behalf of Employee substantially equivalent to those under the Company's Deferred Compensation Plan with respect to deferrals made into the Income Fund thereunder, to be paid to Employee in a subsequent tax year in accordance with the terms of the Deferred Compensation Plan (as if it were an account maintained thereunder) and this subparagraph (ii). As used herein "Deferred Bonus" means any amount so added to such account, and all interest earned thereon (as if it were an account maintained thereunder). The application or potential application of such Section 162(m) shall be determined in good faith by the Company based on available information prior to the date on which any compensation would otherwise be paid. The provisions of the subparagraph</w:t>
      </w:r>
    </w:p>
    <w:p>
      <w:pPr>
        <w:spacing w:after="0" w:line="3" w:lineRule="exact"/>
        <w:rPr>
          <w:sz w:val="20"/>
          <w:szCs w:val="20"/>
          <w:color w:val="auto"/>
        </w:rPr>
      </w:pPr>
    </w:p>
    <w:p>
      <w:pPr>
        <w:ind w:left="9" w:right="3759" w:hanging="9"/>
        <w:spacing w:after="0" w:line="238" w:lineRule="auto"/>
        <w:tabs>
          <w:tab w:leader="none" w:pos="453"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waived from time to time, in whole or in part, with the prior consent of the Company and the Subcommittee.</w:t>
      </w:r>
    </w:p>
    <w:p>
      <w:pPr>
        <w:spacing w:after="0" w:line="172" w:lineRule="exact"/>
        <w:rPr>
          <w:sz w:val="20"/>
          <w:szCs w:val="20"/>
          <w:color w:val="auto"/>
        </w:rPr>
      </w:pPr>
    </w:p>
    <w:p>
      <w:pPr>
        <w:ind w:left="1949" w:hanging="352"/>
        <w:spacing w:after="0"/>
        <w:tabs>
          <w:tab w:leader="none" w:pos="1949"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As soon as practicable after the execution of this Employment Agreement, the Subcommittee shall grant a stock option to purchase 600,000 shares of the Company's Class A Special Common Stock under the Company's Stock Option Plan. Such options shall have a term of ten (10) years and shall vest and become exercisable as follows: 20% on the second anniversary date of the date of grant; 10% on each of the third to ninth anniversary dates of the date of grant; and 10% on the nine year and six month anniversary date of the date of grant.</w:t>
      </w:r>
    </w:p>
    <w:p>
      <w:pPr>
        <w:spacing w:after="0" w:line="160" w:lineRule="exact"/>
        <w:rPr>
          <w:sz w:val="20"/>
          <w:szCs w:val="20"/>
          <w:color w:val="auto"/>
        </w:rPr>
      </w:pPr>
    </w:p>
    <w:p>
      <w:pPr>
        <w:ind w:left="2049" w:hanging="452"/>
        <w:spacing w:after="0"/>
        <w:tabs>
          <w:tab w:leader="none" w:pos="2049"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All compensation under this Agreement is subject to applicable tax withholding requirements.</w:t>
      </w:r>
    </w:p>
    <w:p>
      <w:pPr>
        <w:spacing w:after="0" w:line="172" w:lineRule="exact"/>
        <w:rPr>
          <w:sz w:val="20"/>
          <w:szCs w:val="20"/>
          <w:color w:val="auto"/>
        </w:rPr>
      </w:pPr>
    </w:p>
    <w:p>
      <w:pPr>
        <w:ind w:left="1149" w:hanging="350"/>
        <w:spacing w:after="0"/>
        <w:tabs>
          <w:tab w:leader="none" w:pos="1149" w:val="left"/>
        </w:tabs>
        <w:numPr>
          <w:ilvl w:val="0"/>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ind w:left="11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Employee shall be eligible to participate in the Company's group life, medical and other insurance plans on the same terms and at the same cost to the Company and Employee as the Company's other executives at Employee's level receive from time to time, in accordance with the terms of such plans and subject to the restrictions and limitations contained in the applicable insurance agreement or agreements. Nothing in this Agreement shall limit the Company's right to modify or discontinue any insurance coverages at any time.</w:t>
      </w:r>
    </w:p>
    <w:p>
      <w:pPr>
        <w:spacing w:after="0" w:line="173" w:lineRule="exact"/>
        <w:rPr>
          <w:sz w:val="20"/>
          <w:szCs w:val="20"/>
          <w:color w:val="auto"/>
        </w:rPr>
      </w:pPr>
    </w:p>
    <w:p>
      <w:pPr>
        <w:ind w:left="1069" w:hanging="270"/>
        <w:spacing w:after="0"/>
        <w:tabs>
          <w:tab w:leader="none" w:pos="1069" w:val="left"/>
        </w:tabs>
        <w:numPr>
          <w:ilvl w:val="0"/>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Employee shall be entitled to participate in the Company's Deferred Compensation Plan, Deferred Stock Option Plan and other benefits and programs, on the same terms and at the same cost to the Company and Employee as the Company's other executives at Employee's level receive from time to time, in accordance with the terms of such programs and subject to the restrictions and limitations contained in the applicable program or programs. Nothing in this Agreement shall limit the Company's right to modify or discontinue any benefits or programs at any time. The provisions of this Paragraph 5 shall not apply to benefits and programs (including, without limitation, severance) addressed in this Agreement, in which case the applicable terms of this Agreement shall apply.</w:t>
      </w:r>
    </w:p>
    <w:p>
      <w:pPr>
        <w:spacing w:after="0" w:line="33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801" w:right="1440" w:bottom="1440" w:gutter="0" w:footer="0" w:header="0"/>
        </w:sectPr>
      </w:pPr>
    </w:p>
    <w:bookmarkStart w:id="450" w:name="page451"/>
    <w:bookmarkEnd w:id="450"/>
    <w:p>
      <w:pPr>
        <w:ind w:left="1069" w:hanging="270"/>
        <w:spacing w:after="0"/>
        <w:tabs>
          <w:tab w:leader="none" w:pos="1069" w:val="left"/>
        </w:tabs>
        <w:numPr>
          <w:ilvl w:val="0"/>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The Company shall pay or reimburse Employee for reasonable travel, entertainment and other expenses incurred by Employee in connection with the performance of Employee's duties under this Agreement upon receipt of vouchers therefor submitted to the Company on a timely basis and in accordance with the Company's regular reimbursement procedures and practices in effect from time to time.</w:t>
      </w:r>
    </w:p>
    <w:p>
      <w:pPr>
        <w:spacing w:after="0" w:line="159" w:lineRule="exact"/>
        <w:rPr>
          <w:sz w:val="20"/>
          <w:szCs w:val="20"/>
          <w:color w:val="auto"/>
        </w:rPr>
      </w:pPr>
    </w:p>
    <w:p>
      <w:pPr>
        <w:ind w:left="1149" w:hanging="350"/>
        <w:spacing w:after="0"/>
        <w:tabs>
          <w:tab w:leader="none" w:pos="1149"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w:t>
      </w:r>
    </w:p>
    <w:p>
      <w:pPr>
        <w:ind w:left="11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The Company may terminate Employee's employment and the Company's obligations or liabilities under this Agreement, excluding any obligations the Company may have under Paragraph 8, in any of the following circumstances:</w:t>
      </w:r>
    </w:p>
    <w:p>
      <w:pPr>
        <w:spacing w:after="0" w:line="172" w:lineRule="exact"/>
        <w:rPr>
          <w:sz w:val="20"/>
          <w:szCs w:val="20"/>
          <w:color w:val="auto"/>
        </w:rPr>
      </w:pPr>
    </w:p>
    <w:p>
      <w:pPr>
        <w:ind w:left="2049" w:hanging="452"/>
        <w:spacing w:after="0"/>
        <w:tabs>
          <w:tab w:leader="none" w:pos="2049" w:val="left"/>
        </w:tabs>
        <w:numPr>
          <w:ilvl w:val="0"/>
          <w:numId w:val="6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the event Employee becomes unable to perform Employee's duties hereunder due to partial or total disability or incapacity resulting from a mental or physical illness, injury or health-related cause ("Disability") for a period of nine (9) consecutive months or for a cumulative period of forty-five (45) weeks during the term of this Agreement. Employee acknowledges that given Employee's role in the Company's operations, it would be an undue hardship for the Company to accommodate such a Disability for a longer period.</w:t>
      </w:r>
    </w:p>
    <w:p>
      <w:pPr>
        <w:spacing w:after="0" w:line="173" w:lineRule="exact"/>
        <w:rPr>
          <w:sz w:val="20"/>
          <w:szCs w:val="20"/>
          <w:color w:val="auto"/>
        </w:rPr>
      </w:pPr>
    </w:p>
    <w:p>
      <w:pPr>
        <w:ind w:left="1949" w:hanging="352"/>
        <w:spacing w:after="0"/>
        <w:tabs>
          <w:tab w:leader="none" w:pos="1949"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In the event of Employee's death.</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 Cause.</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In the event of "cause," which shall include: Employee's willful misconduct; fraud; misappropriation; embezzlement; gross negligence in the management of Company business; self-dealing; dishonesty; misrepresentation; conviction of a crime of moral turpitude; material violation of any Company policy; material violation of the Company's Code of Ethics and Business Conduct as then in effect; or material breach of any provision of this Agreement (which material breach shall be deemed to have occurred, without limitation, in the event of:</w:t>
      </w:r>
    </w:p>
    <w:p>
      <w:pPr>
        <w:spacing w:after="0" w:line="1" w:lineRule="exact"/>
        <w:rPr>
          <w:sz w:val="20"/>
          <w:szCs w:val="20"/>
          <w:color w:val="auto"/>
        </w:rPr>
      </w:pPr>
    </w:p>
    <w:p>
      <w:pPr>
        <w:ind w:left="9" w:right="3119" w:hanging="9"/>
        <w:spacing w:after="0" w:line="260" w:lineRule="auto"/>
        <w:tabs>
          <w:tab w:leader="none" w:pos="364"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Employee to perform services consistent with this Agreement after notice of such failure by the Company to Employee and a reasonable opportunity, in light of the context of such failure, for Employee to cure or otherwise remedy such failure; (ii) acceptance of employment with another person or entity, or performing work or providing advice to another person or entity as an employee, consultant or in any other capacity, during the Term; or (iii) breach of the confidentiality provisions hereof) ("Discharge With Cause").</w:t>
      </w:r>
    </w:p>
    <w:p>
      <w:pPr>
        <w:spacing w:after="0" w:line="160" w:lineRule="exact"/>
        <w:rPr>
          <w:sz w:val="20"/>
          <w:szCs w:val="20"/>
          <w:color w:val="auto"/>
        </w:rPr>
      </w:pPr>
    </w:p>
    <w:p>
      <w:pPr>
        <w:ind w:left="2389" w:hanging="792"/>
        <w:spacing w:after="0"/>
        <w:tabs>
          <w:tab w:leader="none" w:pos="2389"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Without Cause.</w:t>
      </w:r>
    </w:p>
    <w:p>
      <w:pPr>
        <w:ind w:left="23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 any time, without "cause" ("Discharge Without Cause").</w:t>
      </w:r>
    </w:p>
    <w:p>
      <w:pPr>
        <w:spacing w:after="0" w:line="171" w:lineRule="exact"/>
        <w:rPr>
          <w:sz w:val="20"/>
          <w:szCs w:val="20"/>
          <w:color w:val="auto"/>
        </w:rPr>
      </w:pPr>
    </w:p>
    <w:p>
      <w:pPr>
        <w:ind w:left="1069" w:hanging="270"/>
        <w:spacing w:after="0"/>
        <w:tabs>
          <w:tab w:leader="none" w:pos="1069"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Termination by the Company.</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 Without Cause. If Employee is Discharged Without</w:t>
      </w:r>
    </w:p>
    <w:p>
      <w:pPr>
        <w:spacing w:after="0" w:line="9"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Cause:</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799" w:right="1440" w:bottom="1440" w:gutter="0" w:footer="0" w:header="0"/>
        </w:sectPr>
      </w:pPr>
    </w:p>
    <w:bookmarkStart w:id="451" w:name="page452"/>
    <w:bookmarkEnd w:id="451"/>
    <w:p>
      <w:pPr>
        <w:ind w:left="9" w:right="3219" w:firstLine="2565"/>
        <w:spacing w:after="0" w:line="259" w:lineRule="auto"/>
        <w:tabs>
          <w:tab w:leader="none" w:pos="2938"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continue to receive Employee's then-current Base Salary and all insurance, medical and other similar benefits for two years from the date of the Discharge Without Cause, in exchange for a release by Employee of the Company with respect to all matters relating to Employee's employment. Employee shall also receive any accrued but unused vacation time to the date of termination, and any amounts then due under the Deferred Compensation Plan (or Employee may elect to continue to participate in the Deferred Compensation Plan if such continued participation is authorized in accordance with the terms of the Deferred Compensation Plan).</w:t>
      </w:r>
    </w:p>
    <w:p>
      <w:pPr>
        <w:spacing w:after="0" w:line="163" w:lineRule="exact"/>
        <w:rPr>
          <w:rFonts w:ascii="Courier New" w:cs="Courier New" w:eastAsia="Courier New" w:hAnsi="Courier New"/>
          <w:sz w:val="14"/>
          <w:szCs w:val="14"/>
          <w:color w:val="auto"/>
        </w:rPr>
      </w:pPr>
    </w:p>
    <w:p>
      <w:pPr>
        <w:ind w:left="3009" w:hanging="435"/>
        <w:spacing w:after="0"/>
        <w:tabs>
          <w:tab w:leader="none" w:pos="3009" w:val="left"/>
        </w:tabs>
        <w:numPr>
          <w:ilvl w:val="0"/>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that portion of the</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Cash Bonus and Deferred Bonus (if any) which would have vested within a period of twelve (12) months from the date of Discharge Without Cause, had there been no termination of Employee's employment.</w:t>
      </w:r>
    </w:p>
    <w:p>
      <w:pPr>
        <w:spacing w:after="0" w:line="172" w:lineRule="exact"/>
        <w:rPr>
          <w:rFonts w:ascii="Courier New" w:cs="Courier New" w:eastAsia="Courier New" w:hAnsi="Courier New"/>
          <w:sz w:val="15"/>
          <w:szCs w:val="15"/>
          <w:color w:val="auto"/>
        </w:rPr>
      </w:pPr>
    </w:p>
    <w:p>
      <w:pPr>
        <w:ind w:left="3109" w:hanging="535"/>
        <w:spacing w:after="0"/>
        <w:tabs>
          <w:tab w:leader="none" w:pos="3109" w:val="left"/>
        </w:tabs>
        <w:numPr>
          <w:ilvl w:val="0"/>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have no obligation to obtain</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during the period in which Employee receives post-termination payments from the Company under this Paragraph 8(a). However, the Company's obligation for Base Salary under subparagraph (i) above shall be offset by any compensation from employment earned by Employee with another employer during such period, and its obligation to continue insurance, medical and other similar benefits shall cease upon Employee's acceptance of other employment offering substantially similar benefits.</w:t>
      </w:r>
    </w:p>
    <w:p>
      <w:pPr>
        <w:spacing w:after="0" w:line="173" w:lineRule="exact"/>
        <w:rPr>
          <w:sz w:val="20"/>
          <w:szCs w:val="20"/>
          <w:color w:val="auto"/>
        </w:rPr>
      </w:pPr>
    </w:p>
    <w:p>
      <w:pPr>
        <w:ind w:left="2049" w:hanging="452"/>
        <w:spacing w:after="0"/>
        <w:tabs>
          <w:tab w:leader="none" w:pos="2049"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Upon discharge due to death or Disability, Employee (or Employee's estate, as applicable) will be entitled to payment of Employee's then-current unpaid Base Salary for the period prior to termination and for the period of three (3) months thereafter, amounts payable on account of death or Disability under any insurance or benefit plans or policies maintained by the Company, any accrued but unused vacation time, and any amounts then due under the Deferred Compensation Plan.</w:t>
      </w:r>
    </w:p>
    <w:p>
      <w:pPr>
        <w:spacing w:after="0" w:line="173" w:lineRule="exact"/>
        <w:rPr>
          <w:sz w:val="20"/>
          <w:szCs w:val="20"/>
          <w:color w:val="auto"/>
        </w:rPr>
      </w:pPr>
    </w:p>
    <w:p>
      <w:pPr>
        <w:ind w:left="2049" w:hanging="452"/>
        <w:spacing w:after="0"/>
        <w:tabs>
          <w:tab w:leader="none" w:pos="2049"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With Cause.</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If Employee is Discharged With Cause, Employee's sole entitlement shall be the receipt of Employee's then-current unpaid Base Salary for any days worked through the date of termination and any amounts payable to Employee at such time under the Deferred Compensation Plan.</w:t>
      </w:r>
    </w:p>
    <w:p>
      <w:pPr>
        <w:spacing w:after="0" w:line="174" w:lineRule="exact"/>
        <w:rPr>
          <w:sz w:val="20"/>
          <w:szCs w:val="20"/>
          <w:color w:val="auto"/>
        </w:rPr>
      </w:pPr>
    </w:p>
    <w:p>
      <w:pPr>
        <w:ind w:left="1949" w:hanging="352"/>
        <w:spacing w:after="0"/>
        <w:tabs>
          <w:tab w:leader="none" w:pos="1949" w:val="left"/>
        </w:tabs>
        <w:numPr>
          <w:ilvl w:val="0"/>
          <w:numId w:val="6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Rights.</w:t>
      </w:r>
    </w:p>
    <w:p>
      <w:pPr>
        <w:ind w:left="19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Nothing herein shall constitute a waiver by Employee of "COBRA" rights under federal law in connection with termination of employment.</w:t>
      </w:r>
    </w:p>
    <w:p>
      <w:pPr>
        <w:spacing w:after="0" w:line="175" w:lineRule="exact"/>
        <w:rPr>
          <w:sz w:val="20"/>
          <w:szCs w:val="20"/>
          <w:color w:val="auto"/>
        </w:rPr>
      </w:pPr>
    </w:p>
    <w:p>
      <w:pPr>
        <w:jc w:val="both"/>
        <w:ind w:left="9" w:right="3119" w:firstLine="1588"/>
        <w:spacing w:after="0" w:line="239" w:lineRule="auto"/>
        <w:tabs>
          <w:tab w:leader="none" w:pos="1961" w:val="left"/>
        </w:tabs>
        <w:numPr>
          <w:ilvl w:val="1"/>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Company shall not be liable for any payment under this Paragraph 8 in the event Employee breaches Employee's obligations under Paragraph 9.</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and Confidentiality.</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801" w:right="1440" w:bottom="1440" w:gutter="0" w:footer="0" w:header="0"/>
        </w:sectPr>
      </w:pPr>
    </w:p>
    <w:bookmarkStart w:id="452" w:name="page453"/>
    <w:bookmarkEnd w:id="452"/>
    <w:p>
      <w:pPr>
        <w:ind w:left="-1200" w:right="3299" w:firstLine="1588"/>
        <w:spacing w:after="0"/>
        <w:tabs>
          <w:tab w:leader="none" w:pos="75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solicit, induce, encourage, or attempt to influence any client, customer, employee, consultant, independent contractor, subscriber, service provider, salesman or supplier of Company to cease to do business or to terminate the employment or other relationship with the Company.</w:t>
      </w:r>
    </w:p>
    <w:p>
      <w:pPr>
        <w:spacing w:after="0" w:line="175"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purchase (other than for personal use) goods, services or programming from material suppliers of Company similar to those purchased by Company if the effect of any such purchase shall cause the Company the denial of or delay in the receipt of such goods, services or programming.</w:t>
      </w:r>
    </w:p>
    <w:p>
      <w:pPr>
        <w:spacing w:after="0" w:line="175"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ENGAGE IN (AS A PRINCIPAL, PARTNER, DIRECTOR, OFFICER, AGENT, EMPLOYEE, CONSULTANT, OWNER, INDEPENDENT CONTRACTOR OR OTHERWISE) OR BE FINANCIALLY INTERESTED IN: (i) ANY BUSINESS IN COMPETITION WITH THE BUSINESS ACTIVITIES CARRIED ON BY THE COMPANY IN ANY AREA, OR BEING PLANNED BY THE COMPANY (WITH EMPLOYEE'S KNOWLEDGE) AT THE TIME OF SUCH TERMINATION OF EMPLOYMENT; OR (ii) ANY BUSINESS DESCRIBED ON SCHEDULE 2 ATTACHED HERETO (SUBPARAGRAPHS (c)(i) AND (c)(ii) TOGETHER REFERRED TO AS "COMPETITIVE ACTIVITIES"); PROVIDED, HOWEVER, THAT IN THE EVENT TERMINATION OCCURS BY THE COMPANY PURSUANT TO PARAGRAPH 7(d) OR AS A RESULT OF THE EXPIRATION OF THE TERM ON DECEMBER 31, 2005, THEN SUBPARAGRAPH (c)(ii) SHALL NOT APPLY. NOTHING HEREIN SHALL PREVENT EMPLOYEE FROM OWNING FOR INVESTMENT UP TO FIVE PERCENT (5%) OF ANY CLASS OF EQUITY SECURITY OF AN ENTITY WHOSE SECURITIES ARE TRADED ON A NATIONAL SECURITIES EXCHANGE OR MARKET.</w:t>
      </w:r>
    </w:p>
    <w:p>
      <w:pPr>
        <w:spacing w:after="0" w:line="181"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and for a period of one year thereafter, Employee shall not, directly or indirectly, use for Employee's personal benefit, or disclose, communicate or divulge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This confidential information includes, but is not limited to: business, marketing, legal or accounting methods, policies, plans, procedures, strategies or techniques; research or development projects or results; software and firmware; trade secrets or other knowledge or processes of or developed by the Company; names and addresses of employees, suppliers or customers; and any data on or relating to past, present or prospective customers, including customer lists. Employee confirms that such information is confidential and constitutes the exclusive property of the Company, and agrees that, immediately upon Employee's</w:t>
      </w:r>
    </w:p>
    <w:p>
      <w:pPr>
        <w:spacing w:after="0" w:line="35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30" w:right="1440" w:bottom="1440" w:gutter="0" w:footer="0" w:header="0"/>
        </w:sectPr>
      </w:pPr>
    </w:p>
    <w:bookmarkStart w:id="453" w:name="page454"/>
    <w:bookmarkEnd w:id="453"/>
    <w:p>
      <w:pPr>
        <w:ind w:left="9" w:right="3119"/>
        <w:spacing w:after="0"/>
        <w:rPr>
          <w:sz w:val="20"/>
          <w:szCs w:val="20"/>
          <w:color w:val="auto"/>
        </w:rPr>
      </w:pPr>
      <w:r>
        <w:rPr>
          <w:rFonts w:ascii="Courier New" w:cs="Courier New" w:eastAsia="Courier New" w:hAnsi="Courier New"/>
          <w:sz w:val="15"/>
          <w:szCs w:val="15"/>
          <w:color w:val="auto"/>
        </w:rPr>
        <w:t>termination, whether such termination occurs by expiration of this Agreement, by a breach of this Agreement by Employee or by the Company, Employee shall deliver to the Company all correspondence, documents, books, records, lists and other materials relating to the Company's business, regardless of the medium in which such materials are maintained; and Employee shall retain no copies in any medium, regardless of where or by whom such materials were kept or prepared. Nothing herein shall prevent Employee from complying with a valid subpoena or other legal requirement for disclosure of information; provided that Employee shall notify the Company promptly and in advance of disclosure if Employee believes Employee is under a legal requirement to disclose confidential information.</w:t>
      </w:r>
    </w:p>
    <w:p>
      <w:pPr>
        <w:spacing w:after="0" w:line="179" w:lineRule="exact"/>
        <w:rPr>
          <w:sz w:val="20"/>
          <w:szCs w:val="20"/>
          <w:color w:val="auto"/>
        </w:rPr>
      </w:pPr>
    </w:p>
    <w:p>
      <w:pPr>
        <w:ind w:left="9" w:right="3219" w:firstLine="1588"/>
        <w:spacing w:after="0"/>
        <w:tabs>
          <w:tab w:leader="none" w:pos="1961" w:val="left"/>
        </w:tabs>
        <w:numPr>
          <w:ilvl w:val="1"/>
          <w:numId w:val="6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restrictions contained in this Paragraph 9, in view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obtain from any court of competent jurisdiction: (i) preliminary and permanent injunctive relief against Employee; (ii) damages from Employee; and (iii) an equitable accounting of all compensation, commissions, earnings, profits and other benefits to Employee arising from such violation (including legal fees and other costs and expenses of defending Employee in any legal proceedings relating to this Agreement ("Legal Fees")), all of which rights shall be cumulative and in addition to any other rights and remedies to which the Company may be entitled as set forth herein or as a matter of law.</w:t>
      </w:r>
    </w:p>
    <w:p>
      <w:pPr>
        <w:spacing w:after="0" w:line="181"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agrees that if any portion of the restrictions contained in this Paragraph 9, or the application thereof, is construed to be invalid or unenforceable, the remainder of such restriction or restrictions or the application thereof shall not be affected and the remaining restriction or restrictions will then be given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 If Employee violates any such restrictions, the period of such violation (from the commencement of any such violation until such time as such violation shall be cured by Employee to the satisfaction of the Company) shall not count toward or be included in the restrictive period contained in the applicable subparagraph above.</w:t>
      </w:r>
    </w:p>
    <w:p>
      <w:pPr>
        <w:spacing w:after="0" w:line="179"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Acknowledgements and Agreements.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6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and agrees as follows: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801" w:right="1440" w:bottom="1440" w:gutter="0" w:footer="0" w:header="0"/>
        </w:sectPr>
      </w:pPr>
    </w:p>
    <w:bookmarkStart w:id="454" w:name="page455"/>
    <w:bookmarkEnd w:id="454"/>
    <w:p>
      <w:pPr>
        <w:ind w:left="2749" w:hanging="353"/>
        <w:spacing w:after="0"/>
        <w:tabs>
          <w:tab w:leader="none" w:pos="2749" w:val="left"/>
        </w:tabs>
        <w:numPr>
          <w:ilvl w:val="3"/>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possesses  sufficient  knowledge,  skill</w:t>
      </w:r>
    </w:p>
    <w:p>
      <w:pPr>
        <w:spacing w:after="0" w:line="12" w:lineRule="exact"/>
        <w:rPr>
          <w:rFonts w:ascii="Courier New" w:cs="Courier New" w:eastAsia="Courier New" w:hAnsi="Courier New"/>
          <w:sz w:val="14"/>
          <w:szCs w:val="14"/>
          <w:color w:val="auto"/>
        </w:rPr>
      </w:pPr>
    </w:p>
    <w:p>
      <w:pPr>
        <w:ind w:left="9"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experience to permit him to earn a living by working in an industry not described in Paragraph 9(c) and Schedule 2 for a period of one year as therein provided.</w:t>
      </w:r>
    </w:p>
    <w:p>
      <w:pPr>
        <w:spacing w:after="0" w:line="175" w:lineRule="exact"/>
        <w:rPr>
          <w:rFonts w:ascii="Courier New" w:cs="Courier New" w:eastAsia="Courier New" w:hAnsi="Courier New"/>
          <w:sz w:val="14"/>
          <w:szCs w:val="14"/>
          <w:color w:val="auto"/>
        </w:rPr>
      </w:pPr>
    </w:p>
    <w:p>
      <w:pPr>
        <w:ind w:left="2749" w:hanging="442"/>
        <w:spacing w:after="0"/>
        <w:tabs>
          <w:tab w:leader="none" w:pos="2749" w:val="left"/>
        </w:tabs>
        <w:numPr>
          <w:ilvl w:val="3"/>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level of skill and experience is rare</w:t>
      </w:r>
    </w:p>
    <w:p>
      <w:pPr>
        <w:spacing w:after="0" w:line="12" w:lineRule="exact"/>
        <w:rPr>
          <w:rFonts w:ascii="Courier New" w:cs="Courier New" w:eastAsia="Courier New" w:hAnsi="Courier New"/>
          <w:sz w:val="14"/>
          <w:szCs w:val="14"/>
          <w:color w:val="auto"/>
        </w:rPr>
      </w:pPr>
    </w:p>
    <w:p>
      <w:pPr>
        <w:ind w:left="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unique in the industries in which the Company participates, and that it would be difficult or impossible for the Company to replace Employee within a reasonable period of time.</w:t>
      </w:r>
    </w:p>
    <w:p>
      <w:pPr>
        <w:spacing w:after="0" w:line="172" w:lineRule="exact"/>
        <w:rPr>
          <w:rFonts w:ascii="Courier New" w:cs="Courier New" w:eastAsia="Courier New" w:hAnsi="Courier New"/>
          <w:sz w:val="14"/>
          <w:szCs w:val="14"/>
          <w:color w:val="auto"/>
        </w:rPr>
      </w:pPr>
    </w:p>
    <w:p>
      <w:pPr>
        <w:ind w:left="2849" w:hanging="542"/>
        <w:spacing w:after="0"/>
        <w:tabs>
          <w:tab w:leader="none" w:pos="2849" w:val="left"/>
        </w:tabs>
        <w:numPr>
          <w:ilvl w:val="4"/>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decision to work for or otherwise</w:t>
      </w:r>
    </w:p>
    <w:p>
      <w:pPr>
        <w:spacing w:after="0" w:line="3" w:lineRule="exact"/>
        <w:rPr>
          <w:rFonts w:ascii="Courier New" w:cs="Courier New" w:eastAsia="Courier New" w:hAnsi="Courier New"/>
          <w:sz w:val="15"/>
          <w:szCs w:val="15"/>
          <w:color w:val="auto"/>
        </w:rPr>
      </w:pPr>
    </w:p>
    <w:p>
      <w:pPr>
        <w:ind w:left="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serve any other business in the industries in which Company participates would cause competitive and other harm and significant hardship to Company, and that to do so would be inconsistent with the benefits provided to Employee under this Agreement or in connection with its execution.</w:t>
      </w:r>
    </w:p>
    <w:p>
      <w:pPr>
        <w:spacing w:after="0" w:line="173" w:lineRule="exact"/>
        <w:rPr>
          <w:rFonts w:ascii="Courier New" w:cs="Courier New" w:eastAsia="Courier New" w:hAnsi="Courier New"/>
          <w:sz w:val="15"/>
          <w:szCs w:val="15"/>
          <w:color w:val="auto"/>
        </w:rPr>
      </w:pPr>
    </w:p>
    <w:p>
      <w:pPr>
        <w:ind w:left="2749" w:hanging="442"/>
        <w:spacing w:after="0"/>
        <w:tabs>
          <w:tab w:leader="none" w:pos="2749" w:val="left"/>
        </w:tabs>
        <w:numPr>
          <w:ilvl w:val="4"/>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compensation provided under this</w:t>
      </w:r>
    </w:p>
    <w:p>
      <w:pPr>
        <w:spacing w:after="0" w:line="3" w:lineRule="exact"/>
        <w:rPr>
          <w:rFonts w:ascii="Courier New" w:cs="Courier New" w:eastAsia="Courier New" w:hAnsi="Courier New"/>
          <w:sz w:val="15"/>
          <w:szCs w:val="15"/>
          <w:color w:val="auto"/>
        </w:rPr>
      </w:pPr>
    </w:p>
    <w:p>
      <w:pPr>
        <w:ind w:left="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fair compensation in consideration of the restrictions contained herein.</w:t>
      </w:r>
    </w:p>
    <w:p>
      <w:pPr>
        <w:spacing w:after="0" w:line="172" w:lineRule="exact"/>
        <w:rPr>
          <w:rFonts w:ascii="Courier New" w:cs="Courier New" w:eastAsia="Courier New" w:hAnsi="Courier New"/>
          <w:sz w:val="15"/>
          <w:szCs w:val="15"/>
          <w:color w:val="auto"/>
        </w:rPr>
      </w:pPr>
    </w:p>
    <w:p>
      <w:pPr>
        <w:ind w:left="2669" w:hanging="362"/>
        <w:spacing w:after="0"/>
        <w:tabs>
          <w:tab w:leader="none" w:pos="2669" w:val="left"/>
        </w:tabs>
        <w:numPr>
          <w:ilvl w:val="4"/>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RESIGNATION BY EMPLOYEE FROM EMPLOYMENT BY THE</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(OTHER THAN IN CONNECTION WITH A BONA FIDE RETIREMENT AS AGREED WITH THE COMPANY) MAY BE TREATED BY THE COMPANY AS A MATERIAL BREACH OF THIS AGREEMENT AND, AS A CONSEQUENCE, THE COMPANY MAY AVAIL ITSELF OF ALL RIGHTS AND REMEDIES SET FORTH HEREIN OR AVAILABLE TO IT AS A MATTER OF LAW. In the event of such breach, the Company shall not be liable for any payments or benefits to Employee hereunder.</w:t>
      </w:r>
    </w:p>
    <w:p>
      <w:pPr>
        <w:spacing w:after="0" w:line="175" w:lineRule="exact"/>
        <w:rPr>
          <w:rFonts w:ascii="Courier New" w:cs="Courier New" w:eastAsia="Courier New" w:hAnsi="Courier New"/>
          <w:sz w:val="15"/>
          <w:szCs w:val="15"/>
          <w:color w:val="auto"/>
        </w:rPr>
      </w:pPr>
    </w:p>
    <w:p>
      <w:pPr>
        <w:jc w:val="both"/>
        <w:ind w:left="9" w:right="3299" w:firstLine="1677"/>
        <w:spacing w:after="0" w:line="262" w:lineRule="auto"/>
        <w:tabs>
          <w:tab w:leader="none" w:pos="2050" w:val="left"/>
        </w:tabs>
        <w:numPr>
          <w:ilvl w:val="2"/>
          <w:numId w:val="6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acknowledges that Employee had the opportunity to retain and consult with legal counsel and tax advisors of Employee's choice regarding the terms of this Agreement. Employee represents that this Agreement is enforceable against Employee in accordance with its terms.</w:t>
      </w:r>
    </w:p>
    <w:p>
      <w:pPr>
        <w:spacing w:after="0" w:line="158"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Remedies.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commits a material breach of this Agreement and such breach is not cured to Employee's satisfaction within thirty (30) days after written demand for such cure, then Employee may terminate this Agreement, and such termination shall be construed as a Discharge Without Cause. A substantial diminution in Employee's duties and responsibilities shall constitute a material breach of this Agreement. In all such events, Employee's rights shall be as provided in Paragraph 8(a).</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following Employee's resignation from employment by the Company, Employee provides services or otherwise performs any work for or on behalf of any person or business engaged in Competitive Activities at any time through December 31, 2005, then Employee shall pay, or cause to be paid to the Company, on a current basis, all cash and non-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0" w:right="1440" w:bottom="1440" w:gutter="0" w:footer="0" w:header="0"/>
        </w:sectPr>
      </w:pPr>
    </w:p>
    <w:bookmarkStart w:id="455" w:name="page456"/>
    <w:bookmarkEnd w:id="455"/>
    <w:p>
      <w:pPr>
        <w:ind w:right="3119"/>
        <w:spacing w:after="0"/>
        <w:rPr>
          <w:sz w:val="20"/>
          <w:szCs w:val="20"/>
          <w:color w:val="auto"/>
        </w:rPr>
      </w:pPr>
      <w:r>
        <w:rPr>
          <w:rFonts w:ascii="Courier New" w:cs="Courier New" w:eastAsia="Courier New" w:hAnsi="Courier New"/>
          <w:sz w:val="15"/>
          <w:szCs w:val="15"/>
          <w:color w:val="auto"/>
        </w:rPr>
        <w:t>cash compensation, bonuses, commissions, earnings, profits and other benefits of Employee received, vested or earned through such date (including Legal Fees but excluding any health and welfare benefits available generally to all employees of such person or business), to the extent the value of the total amount thereof exceeds the amount Employee would have received from the Company as Base Salary through such date had Employee not so resigned.</w:t>
      </w:r>
    </w:p>
    <w:p>
      <w:pPr>
        <w:spacing w:after="0" w:line="175" w:lineRule="exact"/>
        <w:rPr>
          <w:sz w:val="20"/>
          <w:szCs w:val="20"/>
          <w:color w:val="auto"/>
        </w:rPr>
      </w:pPr>
    </w:p>
    <w:p>
      <w:pPr>
        <w:ind w:right="3119" w:firstLine="1588"/>
        <w:spacing w:after="0"/>
        <w:tabs>
          <w:tab w:leader="none" w:pos="1952" w:val="left"/>
        </w:tabs>
        <w:numPr>
          <w:ilvl w:val="1"/>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Employee's agreement to the terms of Paragraph 9 is necessary consideration for the stock option grants, Executive Cash Bonus, Deferred Bonus and other benefits granted to or received by Employee in connection with the execution of this Agreement and during the Term (collectively, the "Additional Compensation"). In the event Employee commits a breach of Paragraph 9, and such breach is not promptly cured to the Company's satisfaction within ten (10) days after demand for such cure, then the Company may rescind any such Additional Compensation paid to Employee within three (3) months prior to the first day on which such breach occurred. Upon Company's demand therefore, Employee shall: (i) return to the Company (properly endorsed for transfer to the Company to the extent represented by certificates) all shares of stock issued upon exercise of any such options (or the same number of shares of such stock if such shares are not then owned by Employee), within such three-month period (in each case together with all shares of stock or other securities issued with respect to such shares in any dividend or recapitalization subsequent to such exercise), and upon receipt thereof the Company shall repay to Employee the exercise price paid in connection with the exercise of any such option; and (ii) repay to the Company the amount of any other Additional Compensation received by Employee within such three-month period. Employee acknowledges that this Paragraph 11(c) may cause shares of stock received upon exercise of an option to be "substantially nonvested" within the meaning of Section 83 of the Internal Revenue Code of 1986, as amended, and that Employee may be required to file an election under Section 83(b) at the time of exercise of any such option in order to avoid potential adverse tax consequences. The remedies provided by this Paragraph 11(c) are in addition to and not in limitation of any other remedies available to the Company under this Agreement or applicable law.</w:t>
      </w:r>
    </w:p>
    <w:p>
      <w:pPr>
        <w:spacing w:after="0" w:line="188"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6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1"/>
          <w:numId w:val="6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Employee at least thirty (30) days' notice (or, if not practicable, such shorter notice as may be reasonably practicable) prior to the anticipated date of the consummation of an Acceleration Event (as defined in subparagraph (ii) below). Upon receipt of such notice, all stock options of Employee shall become immediately exercisable in full, and until the day before such anticipated date of consummation (or such shorter period as the Company shall reasonably determine and so notify Employee), Employee shall be permitted to exercise all options with respect to up to the entire number of shares of the Company's Class A Special Common Stock covered thereby; provided that the shares received from the exercise of any options so accelerated (and any shares, cash or other proceeds received in exchange therefor in connection with the consummation of the Acceleration Event), shall be held in escrow by the Company or its successor and shall be delivered to Employee only in the event Employee remains in the employ of the Company or its successor through the six-month anniversary of the</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1" w:right="1440" w:bottom="1440" w:gutter="0" w:footer="0" w:header="0"/>
        </w:sectPr>
      </w:pPr>
    </w:p>
    <w:bookmarkStart w:id="456" w:name="page457"/>
    <w:bookmarkEnd w:id="456"/>
    <w:p>
      <w:pPr>
        <w:ind w:left="9" w:right="3119"/>
        <w:spacing w:after="0"/>
        <w:rPr>
          <w:sz w:val="20"/>
          <w:szCs w:val="20"/>
          <w:color w:val="auto"/>
        </w:rPr>
      </w:pPr>
      <w:r>
        <w:rPr>
          <w:rFonts w:ascii="Courier New" w:cs="Courier New" w:eastAsia="Courier New" w:hAnsi="Courier New"/>
          <w:sz w:val="15"/>
          <w:szCs w:val="15"/>
          <w:color w:val="auto"/>
        </w:rPr>
        <w:t>date of consummation of the Acceleration Event. The Company may in such notice require that upon the close of the period described above during which an option may be so exercised such option shall terminate to the extent that it has not theretofore been exercised. Notwithstanding the foregoing, in the event the Acceleration Event which was the subject of such notice is not consummated, options which were exercised shall be deemed not to have been exercised and shall be exercisable thereafter (disregarding any acceleration of vesting as provided for above, which shall then be of no effect) to the same extent they would have been exercisable if no such notice had been given.</w:t>
      </w:r>
    </w:p>
    <w:p>
      <w:pPr>
        <w:spacing w:after="0" w:line="175" w:lineRule="exact"/>
        <w:rPr>
          <w:sz w:val="20"/>
          <w:szCs w:val="20"/>
          <w:color w:val="auto"/>
        </w:rPr>
      </w:pPr>
    </w:p>
    <w:p>
      <w:pPr>
        <w:ind w:left="1949" w:hanging="352"/>
        <w:spacing w:after="0"/>
        <w:tabs>
          <w:tab w:leader="none" w:pos="1949" w:val="left"/>
        </w:tabs>
        <w:numPr>
          <w:ilvl w:val="2"/>
          <w:numId w:val="6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Event" means any of the following events:</w:t>
      </w:r>
    </w:p>
    <w:p>
      <w:pPr>
        <w:spacing w:after="0" w:line="3" w:lineRule="exact"/>
        <w:rPr>
          <w:rFonts w:ascii="Courier New" w:cs="Courier New" w:eastAsia="Courier New" w:hAnsi="Courier New"/>
          <w:sz w:val="15"/>
          <w:szCs w:val="15"/>
          <w:color w:val="auto"/>
        </w:rPr>
      </w:pPr>
    </w:p>
    <w:p>
      <w:pPr>
        <w:ind w:left="9" w:right="3119" w:hanging="9"/>
        <w:spacing w:after="0" w:line="258" w:lineRule="auto"/>
        <w:tabs>
          <w:tab w:leader="none" w:pos="364"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Company; or (ii) a Change of Control. "Change of Control" means any transaction or series of transactions as a result of which any natural person (other than a member or members of the Roberts Family) beneficially owns securities of the Company or its successor as a result of such transaction(s) or the entity which is the controlling entity of its successor as a result of such transaction(s) having more than 50 percent of the voting power in the election of directors or members of a similar body of the Company, such successor or such other entity. "Roberts Family" means (i) Brian L. Roberts;</w:t>
      </w:r>
    </w:p>
    <w:p>
      <w:pPr>
        <w:spacing w:after="0" w:line="1" w:lineRule="exact"/>
        <w:rPr>
          <w:rFonts w:ascii="Courier New" w:cs="Courier New" w:eastAsia="Courier New" w:hAnsi="Courier New"/>
          <w:sz w:val="14"/>
          <w:szCs w:val="14"/>
          <w:color w:val="auto"/>
        </w:rPr>
      </w:pPr>
    </w:p>
    <w:p>
      <w:pPr>
        <w:ind w:left="9" w:right="3119" w:hanging="9"/>
        <w:spacing w:after="0" w:line="239" w:lineRule="auto"/>
        <w:tabs>
          <w:tab w:leader="none" w:pos="453" w:val="left"/>
        </w:tabs>
        <w:numPr>
          <w:ilvl w:val="0"/>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Brian L. Roberts; and (iii) a trust established for the benefit of any of Brian L. Roberts and/or a lineal descendant or descendants of Brian L. Roberts.</w:t>
      </w:r>
    </w:p>
    <w:p>
      <w:pPr>
        <w:spacing w:after="0" w:line="172" w:lineRule="exact"/>
        <w:rPr>
          <w:rFonts w:ascii="Courier New" w:cs="Courier New" w:eastAsia="Courier New" w:hAnsi="Courier New"/>
          <w:sz w:val="15"/>
          <w:szCs w:val="15"/>
          <w:color w:val="auto"/>
        </w:rPr>
      </w:pPr>
    </w:p>
    <w:p>
      <w:pPr>
        <w:ind w:left="1249" w:hanging="450"/>
        <w:spacing w:after="0"/>
        <w:tabs>
          <w:tab w:leader="none" w:pos="1249" w:val="left"/>
        </w:tabs>
        <w:numPr>
          <w:ilvl w:val="1"/>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Separable.</w:t>
      </w:r>
    </w:p>
    <w:p>
      <w:pPr>
        <w:ind w:left="12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839"/>
        <w:spacing w:after="0" w:line="239" w:lineRule="auto"/>
        <w:rPr>
          <w:sz w:val="20"/>
          <w:szCs w:val="20"/>
          <w:color w:val="auto"/>
        </w:rPr>
      </w:pPr>
      <w:r>
        <w:rPr>
          <w:rFonts w:ascii="Courier New" w:cs="Courier New" w:eastAsia="Courier New" w:hAnsi="Courier New"/>
          <w:sz w:val="15"/>
          <w:szCs w:val="15"/>
          <w:color w:val="auto"/>
        </w:rPr>
        <w:t>No provision of this Agreement shall be affected or rendered invalid or unenforceable if for any reason any other provision(s) may be invalid or unenforceable in whole or in part.</w:t>
      </w:r>
    </w:p>
    <w:p>
      <w:pPr>
        <w:spacing w:after="0" w:line="172" w:lineRule="exact"/>
        <w:rPr>
          <w:sz w:val="20"/>
          <w:szCs w:val="20"/>
          <w:color w:val="auto"/>
        </w:rPr>
      </w:pPr>
    </w:p>
    <w:p>
      <w:pPr>
        <w:ind w:left="1149" w:hanging="350"/>
        <w:spacing w:after="0"/>
        <w:tabs>
          <w:tab w:leader="none" w:pos="1149" w:val="left"/>
        </w:tabs>
        <w:numPr>
          <w:ilvl w:val="0"/>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Etc.</w:t>
      </w:r>
    </w:p>
    <w:p>
      <w:pPr>
        <w:ind w:left="11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119" w:firstLine="1855"/>
        <w:spacing w:after="0"/>
        <w:tabs>
          <w:tab w:leader="none" w:pos="2316" w:val="left"/>
        </w:tabs>
        <w:numPr>
          <w:ilvl w:val="2"/>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merges with, or transfers all or substantially all of its assets to, another entity, such other entity shall be deemed to be the successor to the Company hereunder, and the ter m "Company" as used herein shall mean such other entity as is appropriate, and this Agreement shall continue in full force and effect.</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as is appropriate, and this Agreement shall continue in full force and effect. In addition, Paragraph 9 shall apply separately to Employee's employment with such other entity and with the Company, and such other entity shall separately have the rights of the "Company" under Paragraph 9, with respect to Employee's employment with it without affecting or diminishing the rights of the Company hereunder. Notwithstanding the foregoing, the Company shall not be restricted from competing with any such entity.</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801" w:right="1440" w:bottom="1440" w:gutter="0" w:footer="0" w:header="0"/>
        </w:sectPr>
      </w:pPr>
    </w:p>
    <w:bookmarkStart w:id="457" w:name="page458"/>
    <w:bookmarkEnd w:id="457"/>
    <w:p>
      <w:pPr>
        <w:ind w:left="1140" w:hanging="350"/>
        <w:spacing w:after="0"/>
        <w:tabs>
          <w:tab w:leader="none" w:pos="1140" w:val="left"/>
        </w:tabs>
        <w:numPr>
          <w:ilvl w:val="0"/>
          <w:numId w:val="6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Rights.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Nothing in this Agreement shall constitute a waiver by Employee of any rights Employee may have to indemnification or the advancement of litigation expenses under any applicable bylaws or insurance policies of the Company or any applicable statute.</w:t>
      </w:r>
    </w:p>
    <w:p>
      <w:pPr>
        <w:spacing w:after="0" w:line="174" w:lineRule="exact"/>
        <w:rPr>
          <w:sz w:val="20"/>
          <w:szCs w:val="20"/>
          <w:color w:val="auto"/>
        </w:rPr>
      </w:pPr>
    </w:p>
    <w:p>
      <w:pPr>
        <w:ind w:left="1140" w:hanging="350"/>
        <w:spacing w:after="0"/>
        <w:tabs>
          <w:tab w:leader="none" w:pos="1140"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Governing Law.</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Litigation concerning this Agreement, if initiated by or on behalf of Employee, shall be brought only in a state or federal court in the Eastern District of Pennsylvania, or, if initiated by the Company, in such jurisdiction or in the jurisdiction in which Employee then resides or works. Employee consents to jurisdiction in the Eastern District of Pennsylvania without regard to Employee's residence or place of business. Employee and the Company irrevocably waive any objection, including any objection to the laying of venue or based on the grounds of forum non conveniens, which Employee either may now or hereafter have to the bringing of any action or proceeding in such jurisdiction in respect of this Agreement or any transaction related hereto. Employee and the Company acknowledge and agree that any service of legal process by mail constitutes proper legal service of process under applicable law in any action or proceeding under or in respect of this Agreement. This Agreement shall be interpreted and enforced in accordance with the substantive law of the Commonwealth of Pennsylvania, without regard to any choice-of-law doctrine.</w:t>
      </w:r>
    </w:p>
    <w:p>
      <w:pPr>
        <w:spacing w:after="0" w:line="161" w:lineRule="exact"/>
        <w:rPr>
          <w:sz w:val="20"/>
          <w:szCs w:val="20"/>
          <w:color w:val="auto"/>
        </w:rPr>
      </w:pPr>
    </w:p>
    <w:p>
      <w:pPr>
        <w:ind w:left="1140" w:hanging="350"/>
        <w:spacing w:after="0"/>
        <w:tabs>
          <w:tab w:leader="none" w:pos="1140"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All notices referred to in this Agreement shall be made in writing and shall be effective: (a) if given by facsimile, when transmitted to the telecopy number specified in this subparagraph and the appropriate facsimile confirmation is received; or (b) if given by any other means, when delivered at the following address:</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Company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Attention: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FAX:(215) 981-7794</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Employee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241 South 6th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#2311</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Philadelphia, PA 19106</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8" w:right="1440" w:bottom="1440" w:gutter="0" w:footer="0" w:header="0"/>
        </w:sectPr>
      </w:pPr>
    </w:p>
    <w:bookmarkStart w:id="458" w:name="page459"/>
    <w:bookmarkEnd w:id="458"/>
    <w:p>
      <w:pPr>
        <w:ind w:right="4719"/>
        <w:spacing w:after="0" w:line="238" w:lineRule="auto"/>
        <w:rPr>
          <w:sz w:val="20"/>
          <w:szCs w:val="20"/>
          <w:color w:val="auto"/>
        </w:rPr>
      </w:pPr>
      <w:r>
        <w:rPr>
          <w:rFonts w:ascii="Courier New" w:cs="Courier New" w:eastAsia="Courier New" w:hAnsi="Courier New"/>
          <w:sz w:val="15"/>
          <w:szCs w:val="15"/>
          <w:color w:val="auto"/>
        </w:rPr>
        <w:t>IN WITNESS WHEREOF, the parties hereto have duly executed and delivered this Agreement, in Philadelphia, Pennsylvania.</w:t>
      </w:r>
    </w:p>
    <w:p>
      <w:pPr>
        <w:spacing w:after="0" w:line="34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COMCAST CORPORATION</w:t>
      </w: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By:___________________________</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EMPLOYEE:</w:t>
      </w: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______________________________</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John R. Alchin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1" w:right="1440" w:bottom="1440" w:gutter="0" w:footer="0" w:header="0"/>
        </w:sectPr>
      </w:pPr>
    </w:p>
    <w:bookmarkStart w:id="459" w:name="page460"/>
    <w:bookmarkEnd w:id="459"/>
    <w:p>
      <w:pPr>
        <w:ind w:left="3100"/>
        <w:spacing w:after="0"/>
        <w:rPr>
          <w:sz w:val="20"/>
          <w:szCs w:val="20"/>
          <w:color w:val="auto"/>
        </w:rPr>
      </w:pPr>
      <w:r>
        <w:rPr>
          <w:rFonts w:ascii="Courier New" w:cs="Courier New" w:eastAsia="Courier New" w:hAnsi="Courier New"/>
          <w:sz w:val="15"/>
          <w:szCs w:val="15"/>
          <w:color w:val="auto"/>
        </w:rPr>
        <w:t>SCHEDULE 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DUTIES OF EMPLOYEE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Responsible for the direction and management of all Treasury activities - domestic and international. Oversees the capital formation, investor relations and cash management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8" w:right="1440" w:bottom="1440" w:gutter="0" w:footer="0" w:header="0"/>
        </w:sectPr>
      </w:pPr>
    </w:p>
    <w:bookmarkStart w:id="460" w:name="page461"/>
    <w:bookmarkEnd w:id="460"/>
    <w:p>
      <w:pPr>
        <w:ind w:left="3109"/>
        <w:spacing w:after="0"/>
        <w:rPr>
          <w:sz w:val="20"/>
          <w:szCs w:val="20"/>
          <w:color w:val="auto"/>
        </w:rPr>
      </w:pPr>
      <w:r>
        <w:rPr>
          <w:rFonts w:ascii="Courier New" w:cs="Courier New" w:eastAsia="Courier New" w:hAnsi="Courier New"/>
          <w:sz w:val="15"/>
          <w:szCs w:val="15"/>
          <w:color w:val="auto"/>
        </w:rPr>
        <w:t>SCHEDULE 2</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COMPETITIVE ACTIVITIES *</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529" w:right="3219" w:hanging="529"/>
        <w:spacing w:after="0" w:line="259" w:lineRule="auto"/>
        <w:tabs>
          <w:tab w:leader="none" w:pos="529" w:val="left"/>
        </w:tabs>
        <w:numPr>
          <w:ilvl w:val="0"/>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video programming to residential or commercial subscribers by any technology, including, but not limited to, coaxial or fiber optic cable, digital subscriber line, SMATV, satellite or wireless distribution systems. The following companies and their successors and assigns are deemed to be competitive video programming distributors engaged in Competitive Activities: AT&amp;T Corp. (AT&amp;T Broadband Services); Time Warner, Inc. (Time Warner Cable Division; Time Warner Entertainment Company, L.P.; Time Warner Entertainment-Advance Newhouse Partnership); Charter Communications, Inc. (Charter Cable TV); Adelphia Communications Corporation; Cox Communications, Inc.; Hughes Electronics Corporation (DirectTV, Inc.); Echostar Communications Corporation; RCN Corporation; Knology Holdings, Inc.; and SBC Communications Inc. (Ameritech New Media, Inc., d/b/a Americast). Other distributors of video programming either providing services in areas (1) served by the Company or (2) serving in excess of 20,000 subscribers in the aggregate, are similarly deemed to be engaged in Competitive Activities.</w:t>
      </w:r>
    </w:p>
    <w:p>
      <w:pPr>
        <w:spacing w:after="0" w:line="334" w:lineRule="exact"/>
        <w:rPr>
          <w:rFonts w:ascii="Courier New" w:cs="Courier New" w:eastAsia="Courier New" w:hAnsi="Courier New"/>
          <w:sz w:val="14"/>
          <w:szCs w:val="14"/>
          <w:color w:val="auto"/>
        </w:rPr>
      </w:pPr>
    </w:p>
    <w:p>
      <w:pPr>
        <w:ind w:left="529" w:right="3219" w:hanging="529"/>
        <w:spacing w:after="0" w:line="259" w:lineRule="auto"/>
        <w:tabs>
          <w:tab w:leader="none" w:pos="529" w:val="left"/>
        </w:tabs>
        <w:numPr>
          <w:ilvl w:val="0"/>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transport of data to and/or from residential or commercial subscribers by any technology, including, but not limited to, high speed cable modem, digital subscriber line, wireless or satellite system. The following companies and their successors and assigns are deemed to be competitive data transport providers engaged in Competitive Activities: Regional Bell Operating Companies; Northpoint Communications Group, Inc.; Covad Communications Group, Inc.; Hughes Electronics Corporation (DirectTV, Inc.); Echostar Communications Corporation; Global Crossing Ltd.; Sprint Corporation (Sprint PCS Group); MCI WorldCom, Inc.; At Home Corporation; ServiceCo LLC d/b/a Road Runner. Other providers of data transport services providing services in areas (1) served by the Company or (2) serving in excess of 25,000 subscribers in the aggregate, are similarly deemed to be engaged in Competitive Activities.</w:t>
      </w:r>
    </w:p>
    <w:p>
      <w:pPr>
        <w:spacing w:after="0" w:line="164" w:lineRule="exact"/>
        <w:rPr>
          <w:rFonts w:ascii="Courier New" w:cs="Courier New" w:eastAsia="Courier New" w:hAnsi="Courier New"/>
          <w:sz w:val="14"/>
          <w:szCs w:val="14"/>
          <w:color w:val="auto"/>
        </w:rPr>
      </w:pPr>
    </w:p>
    <w:p>
      <w:pPr>
        <w:jc w:val="both"/>
        <w:ind w:left="529" w:right="3839" w:hanging="529"/>
        <w:spacing w:after="0"/>
        <w:tabs>
          <w:tab w:leader="none" w:pos="529"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production of video programming for utilization by the technologies set forth in Section A above, for exhibition at movie theaters, for use on the internet, or for purchase by consumers for home viewing. A company which is engaged in such production shall be deemed to be engaged in Competitive Activities if greater than 10% of its gross revenues are derived from such production activities.</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799" w:right="1440" w:bottom="1440" w:gutter="0" w:footer="0" w:header="0"/>
        </w:sectPr>
      </w:pPr>
    </w:p>
    <w:bookmarkStart w:id="461" w:name="page462"/>
    <w:bookmarkEnd w:id="461"/>
    <w:p>
      <w:pPr>
        <w:ind w:left="2569"/>
        <w:spacing w:after="0"/>
        <w:rPr>
          <w:sz w:val="20"/>
          <w:szCs w:val="20"/>
          <w:color w:val="auto"/>
        </w:rPr>
      </w:pPr>
      <w:r>
        <w:rPr>
          <w:rFonts w:ascii="Courier New" w:cs="Courier New" w:eastAsia="Courier New" w:hAnsi="Courier New"/>
          <w:sz w:val="15"/>
          <w:szCs w:val="15"/>
          <w:color w:val="auto"/>
        </w:rPr>
        <w:t>SCHEDULE 2 (continued)</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1249" w:right="3119" w:hanging="1249"/>
        <w:spacing w:after="0" w:line="260" w:lineRule="auto"/>
        <w:tabs>
          <w:tab w:leader="none" w:pos="1249"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of residential or commercial local exchange, toll or long distance telecommunications services; the provision of competitive access, point-to-point and primary line services; and the delivery of wide area municipal area and dark fiber network services. A company that is engaged in any of these ventures shall be deemed to be engaged in Competitive Activities if greater than 5% of its gross revenues are derived from such activities.</w:t>
      </w:r>
    </w:p>
    <w:p>
      <w:pPr>
        <w:spacing w:after="0" w:line="160"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_________</w:t>
      </w:r>
    </w:p>
    <w:p>
      <w:pPr>
        <w:spacing w:after="0" w:line="3" w:lineRule="exact"/>
        <w:rPr>
          <w:sz w:val="20"/>
          <w:szCs w:val="20"/>
          <w:color w:val="auto"/>
        </w:rPr>
      </w:pPr>
    </w:p>
    <w:p>
      <w:pPr>
        <w:ind w:left="1249" w:right="3399" w:hanging="805"/>
        <w:spacing w:after="0"/>
        <w:tabs>
          <w:tab w:leader="none" w:pos="1249" w:val="left"/>
        </w:tabs>
        <w:numPr>
          <w:ilvl w:val="0"/>
          <w:numId w:val="6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business or specific company listed on Schedule 2 may also be deemed to be engaged in Competitive Activities under Paragraph 9(c)(i) if such business or company is providing competitive products or services in any area where the company is providing products or services.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28" w:right="1440" w:bottom="1440" w:gutter="0" w:footer="0" w:header="0"/>
        </w:sectPr>
      </w:pPr>
    </w:p>
    <w:bookmarkStart w:id="462" w:name="page463"/>
    <w:bookmarkEnd w:id="462"/>
    <w:p>
      <w:pPr>
        <w:spacing w:after="0" w:line="3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10.29</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2002 EMPLOYEE STOCK PURCHASE PLAN</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(As Amended and Restated, Effective November 18, 2002)</w:t>
      </w:r>
    </w:p>
    <w:p>
      <w:pPr>
        <w:spacing w:after="0" w:line="171" w:lineRule="exact"/>
        <w:rPr>
          <w:sz w:val="20"/>
          <w:szCs w:val="20"/>
          <w:color w:val="auto"/>
        </w:rPr>
      </w:pPr>
    </w:p>
    <w:p>
      <w:pPr>
        <w:ind w:left="789" w:hanging="257"/>
        <w:spacing w:after="0"/>
        <w:tabs>
          <w:tab w:leader="none" w:pos="789" w:val="left"/>
        </w:tabs>
        <w:numPr>
          <w:ilvl w:val="0"/>
          <w:numId w:val="6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COMCAST CORPORATION, a Pennsylvania corporation (formerly known as AT&amp;T Comcast Corporation), hereby amends and restates the Comcast Corporation 2002 Employee Stock Purchase Plan, As Amended and Restated, Effective November 18, 2002, (the "Plan"), effective November 18, 2002, upon the consummation of the combination of Comcast Holdings Corporation (formerly known as Comcast Corporation) and Comcast Cable Communications Holdings, Inc. (formerly known as AT&amp;T Broadband Corp.) (the "AT&amp;T Broadband Transaction"). The Comcast Corporation 2002 Employee Stock Purchase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79" w:lineRule="exact"/>
        <w:rPr>
          <w:sz w:val="20"/>
          <w:szCs w:val="20"/>
          <w:color w:val="auto"/>
        </w:rPr>
      </w:pPr>
    </w:p>
    <w:p>
      <w:pPr>
        <w:ind w:left="269" w:hanging="269"/>
        <w:spacing w:after="0"/>
        <w:tabs>
          <w:tab w:leader="none" w:pos="269"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hanging="357"/>
        <w:spacing w:after="0"/>
        <w:tabs>
          <w:tab w:leader="none" w:pos="889" w:val="left"/>
        </w:tabs>
        <w:numPr>
          <w:ilvl w:val="1"/>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532"/>
        <w:spacing w:after="0" w:line="238" w:lineRule="auto"/>
        <w:rPr>
          <w:sz w:val="20"/>
          <w:szCs w:val="20"/>
          <w:color w:val="auto"/>
        </w:rPr>
      </w:pPr>
      <w:r>
        <w:rPr>
          <w:rFonts w:ascii="Courier New" w:cs="Courier New" w:eastAsia="Courier New" w:hAnsi="Courier New"/>
          <w:sz w:val="15"/>
          <w:szCs w:val="15"/>
          <w:color w:val="auto"/>
        </w:rPr>
        <w:t>means a bookkeeping account established by the Committee on behalf of a Participant to hold Payroll Deductions.</w:t>
      </w:r>
    </w:p>
    <w:p>
      <w:pPr>
        <w:spacing w:after="0" w:line="172" w:lineRule="exact"/>
        <w:rPr>
          <w:sz w:val="20"/>
          <w:szCs w:val="20"/>
          <w:color w:val="auto"/>
        </w:rPr>
      </w:pPr>
    </w:p>
    <w:p>
      <w:pPr>
        <w:ind w:left="789" w:hanging="345"/>
        <w:spacing w:after="0"/>
        <w:tabs>
          <w:tab w:leader="none" w:pos="789" w:val="left"/>
        </w:tabs>
        <w:numPr>
          <w:ilvl w:val="0"/>
          <w:numId w:val="7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532"/>
        <w:spacing w:after="0" w:line="260" w:lineRule="auto"/>
        <w:rPr>
          <w:sz w:val="20"/>
          <w:szCs w:val="20"/>
          <w:color w:val="auto"/>
        </w:rPr>
      </w:pPr>
      <w:r>
        <w:rPr>
          <w:rFonts w:ascii="Courier New" w:cs="Courier New" w:eastAsia="Courier New" w:hAnsi="Courier New"/>
          <w:sz w:val="14"/>
          <w:szCs w:val="14"/>
          <w:color w:val="auto"/>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0" w:lineRule="exact"/>
        <w:rPr>
          <w:sz w:val="20"/>
          <w:szCs w:val="20"/>
          <w:color w:val="auto"/>
        </w:rPr>
      </w:pPr>
    </w:p>
    <w:p>
      <w:pPr>
        <w:ind w:left="789" w:hanging="345"/>
        <w:spacing w:after="0"/>
        <w:tabs>
          <w:tab w:leader="none" w:pos="789" w:val="left"/>
        </w:tabs>
        <w:numPr>
          <w:ilvl w:val="0"/>
          <w:numId w:val="7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7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"Brokerage Account"</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means the brokerage account established under the Plan</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by the Company for each Participant, to which Shares purchased under the Plan shall be credited.</w:t>
      </w:r>
    </w:p>
    <w:p>
      <w:pPr>
        <w:spacing w:after="0" w:line="172" w:lineRule="exact"/>
        <w:rPr>
          <w:sz w:val="20"/>
          <w:szCs w:val="20"/>
          <w:color w:val="auto"/>
        </w:rPr>
      </w:pPr>
    </w:p>
    <w:p>
      <w:pPr>
        <w:ind w:left="889" w:hanging="357"/>
        <w:spacing w:after="0"/>
        <w:tabs>
          <w:tab w:leader="none" w:pos="889" w:val="left"/>
        </w:tabs>
        <w:numPr>
          <w:ilvl w:val="0"/>
          <w:numId w:val="7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3" w:lineRule="exact"/>
        <w:rPr>
          <w:sz w:val="20"/>
          <w:szCs w:val="20"/>
          <w:color w:val="auto"/>
        </w:rPr>
      </w:pPr>
    </w:p>
    <w:p>
      <w:pPr>
        <w:ind w:left="889" w:hanging="357"/>
        <w:spacing w:after="0"/>
        <w:tabs>
          <w:tab w:leader="none" w:pos="889" w:val="left"/>
        </w:tabs>
        <w:numPr>
          <w:ilvl w:val="0"/>
          <w:numId w:val="7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1" w:lineRule="exact"/>
        <w:rPr>
          <w:rFonts w:ascii="Courier New" w:cs="Courier New" w:eastAsia="Courier New" w:hAnsi="Courier New"/>
          <w:sz w:val="15"/>
          <w:szCs w:val="15"/>
          <w:color w:val="auto"/>
        </w:rPr>
      </w:pPr>
    </w:p>
    <w:p>
      <w:pPr>
        <w:ind w:left="889" w:hanging="357"/>
        <w:spacing w:after="0"/>
        <w:tabs>
          <w:tab w:leader="none" w:pos="889" w:val="left"/>
        </w:tabs>
        <w:numPr>
          <w:ilvl w:val="0"/>
          <w:numId w:val="7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hanging="357"/>
        <w:spacing w:after="0"/>
        <w:tabs>
          <w:tab w:leader="none" w:pos="889" w:val="left"/>
        </w:tabs>
        <w:numPr>
          <w:ilvl w:val="0"/>
          <w:numId w:val="7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74" w:lineRule="exact"/>
        <w:rPr>
          <w:sz w:val="20"/>
          <w:szCs w:val="20"/>
          <w:color w:val="auto"/>
        </w:rPr>
      </w:pPr>
    </w:p>
    <w:p>
      <w:pPr>
        <w:ind w:left="889" w:hanging="357"/>
        <w:spacing w:after="0"/>
        <w:tabs>
          <w:tab w:leader="none" w:pos="889" w:val="left"/>
        </w:tabs>
        <w:numPr>
          <w:ilvl w:val="0"/>
          <w:numId w:val="7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means an Eligible Employee's wages as reported on Form W-2 (i.e.,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75" w:lineRule="exact"/>
        <w:rPr>
          <w:sz w:val="20"/>
          <w:szCs w:val="20"/>
          <w:color w:val="auto"/>
        </w:rPr>
      </w:pPr>
    </w:p>
    <w:p>
      <w:pPr>
        <w:ind w:left="889" w:hanging="357"/>
        <w:spacing w:after="0"/>
        <w:tabs>
          <w:tab w:leader="none" w:pos="889" w:val="left"/>
        </w:tabs>
        <w:numPr>
          <w:ilvl w:val="0"/>
          <w:numId w:val="7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Form"</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70" w:orient="portrait"/>
          <w:cols w:equalWidth="0" w:num="1">
            <w:col w:w="10228"/>
          </w:cols>
          <w:pgMar w:left="231" w:top="139" w:right="1440" w:bottom="0" w:gutter="0" w:footer="0" w:header="0"/>
        </w:sectPr>
      </w:pPr>
    </w:p>
    <w:bookmarkStart w:id="463" w:name="page464"/>
    <w:bookmarkEnd w:id="463"/>
    <w:p>
      <w:pPr>
        <w:ind w:right="3219" w:firstLine="532"/>
        <w:spacing w:after="0" w:line="239" w:lineRule="auto"/>
        <w:rPr>
          <w:sz w:val="20"/>
          <w:szCs w:val="20"/>
          <w:color w:val="auto"/>
        </w:rPr>
      </w:pPr>
      <w:r>
        <w:rPr>
          <w:rFonts w:ascii="Courier New" w:cs="Courier New" w:eastAsia="Courier New" w:hAnsi="Courier New"/>
          <w:sz w:val="15"/>
          <w:szCs w:val="15"/>
          <w:color w:val="auto"/>
        </w:rPr>
        <w:t>means the written or electronic form acceptable to the Committee which an Eligible Employee shall use to make an election to purchase Shares through Payroll Deductions pursuant to the Plan.</w:t>
      </w:r>
    </w:p>
    <w:p>
      <w:pPr>
        <w:spacing w:after="0" w:line="172" w:lineRule="exact"/>
        <w:rPr>
          <w:sz w:val="20"/>
          <w:szCs w:val="20"/>
          <w:color w:val="auto"/>
        </w:rPr>
      </w:pPr>
    </w:p>
    <w:p>
      <w:pPr>
        <w:ind w:left="880" w:hanging="357"/>
        <w:spacing w:after="0"/>
        <w:tabs>
          <w:tab w:leader="none" w:pos="880"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means an Employee who is not an Ineligible Employee. Notwithstanding the foregoing to the contrary, solely for purposes of the Offering Period commencing on October 1, 2002, the term "Eligible Employee" means an Employee who was eligible to participate in this Plan immediately before October 1, 2002.</w:t>
      </w:r>
    </w:p>
    <w:p>
      <w:pPr>
        <w:spacing w:after="0" w:line="158" w:lineRule="exact"/>
        <w:rPr>
          <w:sz w:val="20"/>
          <w:szCs w:val="20"/>
          <w:color w:val="auto"/>
        </w:rPr>
      </w:pPr>
    </w:p>
    <w:p>
      <w:pPr>
        <w:ind w:left="880" w:hanging="357"/>
        <w:spacing w:after="0"/>
        <w:tabs>
          <w:tab w:leader="none" w:pos="880" w:val="left"/>
        </w:tabs>
        <w:numPr>
          <w:ilvl w:val="0"/>
          <w:numId w:val="7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Employer"</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means the Company and any subsidiary of the Company, within the meaning of section 424(f) of the Code.</w:t>
      </w:r>
    </w:p>
    <w:p>
      <w:pPr>
        <w:spacing w:after="0" w:line="172" w:lineRule="exact"/>
        <w:rPr>
          <w:sz w:val="20"/>
          <w:szCs w:val="20"/>
          <w:color w:val="auto"/>
        </w:rPr>
      </w:pPr>
    </w:p>
    <w:p>
      <w:pPr>
        <w:ind w:left="880" w:hanging="357"/>
        <w:spacing w:after="0"/>
        <w:tabs>
          <w:tab w:leader="none" w:pos="880" w:val="left"/>
        </w:tabs>
        <w:numPr>
          <w:ilvl w:val="0"/>
          <w:numId w:val="7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 person who is an employee of a Participating</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71" w:lineRule="exact"/>
        <w:rPr>
          <w:sz w:val="20"/>
          <w:szCs w:val="20"/>
          <w:color w:val="auto"/>
        </w:rPr>
      </w:pPr>
    </w:p>
    <w:p>
      <w:pPr>
        <w:ind w:left="880" w:hanging="357"/>
        <w:spacing w:after="0"/>
        <w:tabs>
          <w:tab w:leader="none" w:pos="880" w:val="left"/>
        </w:tabs>
        <w:numPr>
          <w:ilvl w:val="0"/>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73" w:lineRule="exact"/>
        <w:rPr>
          <w:sz w:val="20"/>
          <w:szCs w:val="20"/>
          <w:color w:val="auto"/>
        </w:rPr>
      </w:pPr>
    </w:p>
    <w:p>
      <w:pPr>
        <w:ind w:left="880" w:hanging="357"/>
        <w:spacing w:after="0"/>
        <w:tabs>
          <w:tab w:leader="none" w:pos="880" w:val="left"/>
        </w:tabs>
        <w:numPr>
          <w:ilvl w:val="0"/>
          <w:numId w:val="7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Percent Owner"</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839" w:firstLine="532"/>
        <w:spacing w:after="0" w:line="238" w:lineRule="auto"/>
        <w:rPr>
          <w:sz w:val="20"/>
          <w:szCs w:val="20"/>
          <w:color w:val="auto"/>
        </w:rPr>
      </w:pPr>
      <w:r>
        <w:rPr>
          <w:rFonts w:ascii="Courier New" w:cs="Courier New" w:eastAsia="Courier New" w:hAnsi="Courier New"/>
          <w:sz w:val="15"/>
          <w:szCs w:val="15"/>
          <w:color w:val="auto"/>
        </w:rPr>
        <w:t>means an Employee who, with respect to a Participating Company, is described in section 423(b)(3) of the Code.</w:t>
      </w:r>
    </w:p>
    <w:p>
      <w:pPr>
        <w:spacing w:after="0" w:line="172" w:lineRule="exact"/>
        <w:rPr>
          <w:sz w:val="20"/>
          <w:szCs w:val="20"/>
          <w:color w:val="auto"/>
        </w:rPr>
      </w:pPr>
    </w:p>
    <w:p>
      <w:pPr>
        <w:ind w:left="880" w:hanging="357"/>
        <w:spacing w:after="0"/>
        <w:tabs>
          <w:tab w:leader="none" w:pos="880"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"Ineligible Employee"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means an Employee who, as of an Offering Commencement Date:</w:t>
      </w:r>
    </w:p>
    <w:p>
      <w:pPr>
        <w:spacing w:after="0" w:line="171" w:lineRule="exact"/>
        <w:rPr>
          <w:sz w:val="20"/>
          <w:szCs w:val="20"/>
          <w:color w:val="auto"/>
        </w:rPr>
      </w:pPr>
    </w:p>
    <w:p>
      <w:pPr>
        <w:ind w:left="2380" w:hanging="792"/>
        <w:spacing w:after="0"/>
        <w:tabs>
          <w:tab w:leader="none" w:pos="2380"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Five Percent Owner;</w:t>
      </w:r>
    </w:p>
    <w:p>
      <w:pPr>
        <w:spacing w:after="0" w:line="171" w:lineRule="exact"/>
        <w:rPr>
          <w:rFonts w:ascii="Courier New" w:cs="Courier New" w:eastAsia="Courier New" w:hAnsi="Courier New"/>
          <w:sz w:val="15"/>
          <w:szCs w:val="15"/>
          <w:color w:val="auto"/>
        </w:rPr>
      </w:pPr>
    </w:p>
    <w:p>
      <w:pPr>
        <w:ind w:left="2380" w:hanging="792"/>
        <w:spacing w:after="0"/>
        <w:tabs>
          <w:tab w:leader="none" w:pos="2380"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continuously employed by a Participating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on a full-time basis for less than 90 days;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464" w:name="page465"/>
    <w:bookmarkEnd w:id="464"/>
    <w:p>
      <w:pPr>
        <w:ind w:left="2200" w:hanging="612"/>
        <w:spacing w:after="0"/>
        <w:tabs>
          <w:tab w:leader="none" w:pos="2200"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continuously employed by a Participating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on a part-time basis for less than one year; or</w:t>
      </w:r>
    </w:p>
    <w:p>
      <w:pPr>
        <w:spacing w:after="0" w:line="171" w:lineRule="exact"/>
        <w:rPr>
          <w:rFonts w:ascii="Courier New" w:cs="Courier New" w:eastAsia="Courier New" w:hAnsi="Courier New"/>
          <w:sz w:val="15"/>
          <w:szCs w:val="15"/>
          <w:color w:val="auto"/>
        </w:rPr>
      </w:pPr>
    </w:p>
    <w:p>
      <w:pPr>
        <w:ind w:left="2200" w:hanging="612"/>
        <w:spacing w:after="0"/>
        <w:tabs>
          <w:tab w:leader="none" w:pos="2200"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restricted from participating under Paragraph 3(b).</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174" w:lineRule="exact"/>
        <w:rPr>
          <w:sz w:val="20"/>
          <w:szCs w:val="20"/>
          <w:color w:val="auto"/>
        </w:rPr>
      </w:pPr>
    </w:p>
    <w:p>
      <w:pPr>
        <w:ind w:left="880" w:hanging="357"/>
        <w:spacing w:after="0"/>
        <w:tabs>
          <w:tab w:leader="none" w:pos="880" w:val="left"/>
        </w:tabs>
        <w:numPr>
          <w:ilvl w:val="0"/>
          <w:numId w:val="7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means an offering of Shares by the Company to Eligible Employees pursuant to the Plan.</w:t>
      </w:r>
    </w:p>
    <w:p>
      <w:pPr>
        <w:spacing w:after="0" w:line="172" w:lineRule="exact"/>
        <w:rPr>
          <w:sz w:val="20"/>
          <w:szCs w:val="20"/>
          <w:color w:val="auto"/>
        </w:rPr>
      </w:pPr>
    </w:p>
    <w:p>
      <w:pPr>
        <w:ind w:left="880" w:hanging="357"/>
        <w:spacing w:after="0"/>
        <w:tabs>
          <w:tab w:leader="none" w:pos="880"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Commencement Date"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174" w:lineRule="exact"/>
        <w:rPr>
          <w:sz w:val="20"/>
          <w:szCs w:val="20"/>
          <w:color w:val="auto"/>
        </w:rPr>
      </w:pPr>
    </w:p>
    <w:p>
      <w:pPr>
        <w:ind w:left="880" w:hanging="357"/>
        <w:spacing w:after="0"/>
        <w:tabs>
          <w:tab w:leader="none" w:pos="880" w:val="left"/>
        </w:tabs>
        <w:numPr>
          <w:ilvl w:val="0"/>
          <w:numId w:val="7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means the period extending from an Offering Commencement Date through the following Offering Termination Date.</w:t>
      </w:r>
    </w:p>
    <w:p>
      <w:pPr>
        <w:spacing w:after="0" w:line="172" w:lineRule="exact"/>
        <w:rPr>
          <w:sz w:val="20"/>
          <w:szCs w:val="20"/>
          <w:color w:val="auto"/>
        </w:rPr>
      </w:pPr>
    </w:p>
    <w:p>
      <w:pPr>
        <w:ind w:left="880" w:hanging="357"/>
        <w:spacing w:after="0"/>
        <w:tabs>
          <w:tab w:leader="none" w:pos="880"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Termination Date"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means the last day of each March, June, September and December following an Offering Commencement Date, or such other Offering Termination Date established in connection with a Terminating Event.</w:t>
      </w:r>
    </w:p>
    <w:p>
      <w:pPr>
        <w:spacing w:after="0" w:line="172" w:lineRule="exact"/>
        <w:rPr>
          <w:sz w:val="20"/>
          <w:szCs w:val="20"/>
          <w:color w:val="auto"/>
        </w:rPr>
      </w:pPr>
    </w:p>
    <w:p>
      <w:pPr>
        <w:ind w:left="880" w:hanging="357"/>
        <w:spacing w:after="0"/>
        <w:tabs>
          <w:tab w:leader="none" w:pos="880" w:val="left"/>
        </w:tabs>
        <w:numPr>
          <w:ilvl w:val="0"/>
          <w:numId w:val="7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means an Eligible Employee who has timely delivered an Election Form to the Committee in accordance with procedures established by the Committee.</w:t>
      </w:r>
    </w:p>
    <w:p>
      <w:pPr>
        <w:spacing w:after="0" w:line="172" w:lineRule="exact"/>
        <w:rPr>
          <w:sz w:val="20"/>
          <w:szCs w:val="20"/>
          <w:color w:val="auto"/>
        </w:rPr>
      </w:pPr>
    </w:p>
    <w:p>
      <w:pPr>
        <w:ind w:left="880" w:hanging="357"/>
        <w:spacing w:after="0"/>
        <w:tabs>
          <w:tab w:leader="none" w:pos="880"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Company"</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means, as provided in Schedule A to the Plan, the Eligible Employers, if any, that are approved by the Board or the Committee from time to time.</w:t>
      </w:r>
    </w:p>
    <w:p>
      <w:pPr>
        <w:spacing w:after="0" w:line="172" w:lineRule="exact"/>
        <w:rPr>
          <w:sz w:val="20"/>
          <w:szCs w:val="20"/>
          <w:color w:val="auto"/>
        </w:rPr>
      </w:pPr>
    </w:p>
    <w:p>
      <w:pPr>
        <w:ind w:left="880" w:hanging="357"/>
        <w:spacing w:after="0"/>
        <w:tabs>
          <w:tab w:leader="none" w:pos="880"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means amounts withheld from a Participant's Compensation pursuant to the Plan, as described in Paragraph 5.</w:t>
      </w:r>
    </w:p>
    <w:p>
      <w:pPr>
        <w:spacing w:after="0" w:line="172" w:lineRule="exact"/>
        <w:rPr>
          <w:sz w:val="20"/>
          <w:szCs w:val="20"/>
          <w:color w:val="auto"/>
        </w:rPr>
      </w:pPr>
    </w:p>
    <w:p>
      <w:pPr>
        <w:ind w:left="880" w:hanging="357"/>
        <w:spacing w:after="0"/>
        <w:tabs>
          <w:tab w:leader="none" w:pos="880" w:val="left"/>
        </w:tabs>
        <w:numPr>
          <w:ilvl w:val="0"/>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means an individual, a corporation, a partnership, an association, a trust or any other entity or organization.</w:t>
      </w:r>
    </w:p>
    <w:p>
      <w:pPr>
        <w:spacing w:after="0" w:line="172" w:lineRule="exact"/>
        <w:rPr>
          <w:sz w:val="20"/>
          <w:szCs w:val="20"/>
          <w:color w:val="auto"/>
        </w:rPr>
      </w:pPr>
    </w:p>
    <w:p>
      <w:pPr>
        <w:ind w:left="880" w:hanging="357"/>
        <w:spacing w:after="0"/>
        <w:tabs>
          <w:tab w:leader="none" w:pos="880" w:val="left"/>
        </w:tabs>
        <w:numPr>
          <w:ilvl w:val="0"/>
          <w:numId w:val="7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means the Comcast Corporation 2002 Employee Stock Purchase Plan, as set forth in this document, and as may be amended from time to time.</w:t>
      </w:r>
    </w:p>
    <w:p>
      <w:pPr>
        <w:spacing w:after="0" w:line="172" w:lineRule="exact"/>
        <w:rPr>
          <w:sz w:val="20"/>
          <w:szCs w:val="20"/>
          <w:color w:val="auto"/>
        </w:rPr>
      </w:pPr>
    </w:p>
    <w:p>
      <w:pPr>
        <w:ind w:left="880" w:hanging="357"/>
        <w:spacing w:after="0"/>
        <w:tabs>
          <w:tab w:leader="none" w:pos="880" w:val="left"/>
        </w:tabs>
        <w:numPr>
          <w:ilvl w:val="0"/>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 Date" means the earlier of:</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jc w:val="both"/>
        <w:ind w:right="3299" w:firstLine="1322"/>
        <w:spacing w:after="0" w:line="239" w:lineRule="auto"/>
        <w:tabs>
          <w:tab w:leader="none" w:pos="1686"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Termination Date for the Offering in which the maximum number of Shares specified in Paragraph 9 have been issued pursuant to the Plan; or</w:t>
      </w:r>
    </w:p>
    <w:p>
      <w:pPr>
        <w:spacing w:after="0" w:line="175" w:lineRule="exact"/>
        <w:rPr>
          <w:rFonts w:ascii="Courier New" w:cs="Courier New" w:eastAsia="Courier New" w:hAnsi="Courier New"/>
          <w:sz w:val="15"/>
          <w:szCs w:val="15"/>
          <w:color w:val="auto"/>
        </w:rPr>
      </w:pPr>
    </w:p>
    <w:p>
      <w:pPr>
        <w:ind w:right="3399" w:firstLine="1322"/>
        <w:spacing w:after="0" w:line="238" w:lineRule="auto"/>
        <w:tabs>
          <w:tab w:leader="none" w:pos="1686" w:val="left"/>
        </w:tabs>
        <w:numPr>
          <w:ilvl w:val="1"/>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as of which the Board or the Committee chooses to terminate the Plan as provided in Paragraph 14.</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8" w:right="1440" w:bottom="1440" w:gutter="0" w:footer="0" w:header="0"/>
        </w:sectPr>
      </w:pPr>
    </w:p>
    <w:bookmarkStart w:id="465" w:name="page466"/>
    <w:bookmarkEnd w:id="465"/>
    <w:p>
      <w:pPr>
        <w:ind w:left="889" w:hanging="445"/>
        <w:spacing w:after="0"/>
        <w:tabs>
          <w:tab w:leader="none" w:pos="889"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59" w:lineRule="exact"/>
        <w:rPr>
          <w:sz w:val="20"/>
          <w:szCs w:val="20"/>
          <w:color w:val="auto"/>
        </w:rPr>
      </w:pPr>
    </w:p>
    <w:p>
      <w:pPr>
        <w:ind w:left="889" w:hanging="445"/>
        <w:spacing w:after="0"/>
        <w:tabs>
          <w:tab w:leader="none" w:pos="889" w:val="left"/>
        </w:tabs>
        <w:numPr>
          <w:ilvl w:val="0"/>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means:</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119" w:firstLine="1322"/>
        <w:spacing w:after="0" w:line="238" w:lineRule="auto"/>
        <w:tabs>
          <w:tab w:leader="none" w:pos="1695" w:val="left"/>
        </w:tabs>
        <w:numPr>
          <w:ilvl w:val="1"/>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Paragraph 2(bb)(2), shares of Comcast Corporation Class A Common Stock, par value $0.01.</w:t>
      </w:r>
    </w:p>
    <w:p>
      <w:pPr>
        <w:spacing w:after="0" w:line="174" w:lineRule="exact"/>
        <w:rPr>
          <w:rFonts w:ascii="Courier New" w:cs="Courier New" w:eastAsia="Courier New" w:hAnsi="Courier New"/>
          <w:sz w:val="15"/>
          <w:szCs w:val="15"/>
          <w:color w:val="auto"/>
        </w:rPr>
      </w:pPr>
    </w:p>
    <w:p>
      <w:pPr>
        <w:ind w:left="9" w:right="3119" w:firstLine="1322"/>
        <w:spacing w:after="0" w:line="238" w:lineRule="auto"/>
        <w:tabs>
          <w:tab w:leader="none" w:pos="1695" w:val="left"/>
        </w:tabs>
        <w:numPr>
          <w:ilvl w:val="1"/>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Offering Period commencing on October 1, 2002, shares of Comcast Corporation Class A Special Common Stock, par value $0.01.</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"Successor-in-Interest"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means the Participant's executor or administrator, or such other person or entity to whom the Participant's rights under the Plan shall have passed by will or the laws of descent and distribution.</w:t>
      </w:r>
    </w:p>
    <w:p>
      <w:pPr>
        <w:spacing w:after="0" w:line="172" w:lineRule="exact"/>
        <w:rPr>
          <w:sz w:val="20"/>
          <w:szCs w:val="20"/>
          <w:color w:val="auto"/>
        </w:rPr>
      </w:pPr>
    </w:p>
    <w:p>
      <w:pPr>
        <w:ind w:left="889" w:hanging="445"/>
        <w:spacing w:after="0"/>
        <w:tabs>
          <w:tab w:leader="none" w:pos="889" w:val="left"/>
        </w:tabs>
        <w:numPr>
          <w:ilvl w:val="0"/>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71"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444"/>
        <w:spacing w:after="0" w:line="271" w:lineRule="auto"/>
        <w:rPr>
          <w:sz w:val="20"/>
          <w:szCs w:val="20"/>
          <w:color w:val="auto"/>
        </w:rPr>
      </w:pPr>
      <w:r>
        <w:rPr>
          <w:rFonts w:ascii="Courier New" w:cs="Courier New" w:eastAsia="Courier New" w:hAnsi="Courier New"/>
          <w:sz w:val="14"/>
          <w:szCs w:val="14"/>
          <w:color w:val="auto"/>
        </w:rPr>
        <w:t>means any Person, together with such Person's Affiliates, provided that the term "Third Party" shall not include the Company or an Affiliate of the Company.</w:t>
      </w:r>
    </w:p>
    <w:p>
      <w:pPr>
        <w:spacing w:after="0" w:line="151" w:lineRule="exact"/>
        <w:rPr>
          <w:sz w:val="20"/>
          <w:szCs w:val="20"/>
          <w:color w:val="auto"/>
        </w:rPr>
      </w:pPr>
    </w:p>
    <w:p>
      <w:pPr>
        <w:ind w:left="889" w:hanging="445"/>
        <w:spacing w:after="0"/>
        <w:tabs>
          <w:tab w:leader="none" w:pos="889"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Form"</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means the written or electronic form acceptable to the Committee which an Employee shall use to discontinue participation during an Offering Period pursuant to Paragraph 7(b).</w:t>
      </w:r>
    </w:p>
    <w:p>
      <w:pPr>
        <w:spacing w:after="0" w:line="172" w:lineRule="exact"/>
        <w:rPr>
          <w:sz w:val="20"/>
          <w:szCs w:val="20"/>
          <w:color w:val="auto"/>
        </w:rPr>
      </w:pPr>
    </w:p>
    <w:p>
      <w:pPr>
        <w:ind w:left="269" w:hanging="269"/>
        <w:spacing w:after="0"/>
        <w:tabs>
          <w:tab w:leader="none" w:pos="269" w:val="left"/>
        </w:tabs>
        <w:numPr>
          <w:ilvl w:val="0"/>
          <w:numId w:val="7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9" w:hanging="345"/>
        <w:spacing w:after="0"/>
        <w:tabs>
          <w:tab w:leader="none" w:pos="789" w:val="left"/>
        </w:tabs>
        <w:numPr>
          <w:ilvl w:val="0"/>
          <w:numId w:val="7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Except to the extent participation is restricted under Paragraph 3(b), each Eligible Employee shall be eligible to participate in the Plan.</w:t>
      </w:r>
    </w:p>
    <w:p>
      <w:pPr>
        <w:spacing w:after="0" w:line="172" w:lineRule="exact"/>
        <w:rPr>
          <w:sz w:val="20"/>
          <w:szCs w:val="20"/>
          <w:color w:val="auto"/>
        </w:rPr>
      </w:pPr>
    </w:p>
    <w:p>
      <w:pPr>
        <w:ind w:left="789" w:hanging="345"/>
        <w:spacing w:after="0"/>
        <w:tabs>
          <w:tab w:leader="none" w:pos="789" w:val="left"/>
        </w:tabs>
        <w:numPr>
          <w:ilvl w:val="0"/>
          <w:numId w:val="7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Participation.</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Notwithstanding any provisions of the Plan to the contrary, no Employee shall be eligible to purchase Shares in an Offering to the extent that:</w:t>
      </w:r>
    </w:p>
    <w:p>
      <w:pPr>
        <w:spacing w:after="0" w:line="154" w:lineRule="exact"/>
        <w:rPr>
          <w:sz w:val="20"/>
          <w:szCs w:val="20"/>
          <w:color w:val="auto"/>
        </w:rPr>
      </w:pPr>
    </w:p>
    <w:p>
      <w:pPr>
        <w:ind w:left="9" w:right="3399" w:firstLine="1588"/>
        <w:spacing w:after="0" w:line="238" w:lineRule="auto"/>
        <w:tabs>
          <w:tab w:leader="none" w:pos="1961" w:val="left"/>
        </w:tabs>
        <w:numPr>
          <w:ilvl w:val="0"/>
          <w:numId w:val="7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purchase of Shares, such Employee would be a Five Percent Owner; or</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0"/>
          <w:numId w:val="7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798" w:right="1440" w:bottom="1440" w:gutter="0" w:footer="0" w:header="0"/>
        </w:sectPr>
      </w:pPr>
    </w:p>
    <w:bookmarkStart w:id="466" w:name="page467"/>
    <w:bookmarkEnd w:id="466"/>
    <w:p>
      <w:pPr>
        <w:ind w:left="789" w:hanging="345"/>
        <w:spacing w:after="0"/>
        <w:tabs>
          <w:tab w:leader="none" w:pos="789" w:val="left"/>
        </w:tabs>
        <w:numPr>
          <w:ilvl w:val="0"/>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Participation.</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4" w:lineRule="exact"/>
        <w:rPr>
          <w:sz w:val="20"/>
          <w:szCs w:val="20"/>
          <w:color w:val="auto"/>
        </w:rPr>
      </w:pPr>
    </w:p>
    <w:p>
      <w:pPr>
        <w:ind w:left="269" w:hanging="269"/>
        <w:spacing w:after="0"/>
        <w:tabs>
          <w:tab w:leader="none" w:pos="269" w:val="left"/>
        </w:tabs>
        <w:numPr>
          <w:ilvl w:val="0"/>
          <w:numId w:val="7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Per Offering.</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81" w:lineRule="exact"/>
        <w:rPr>
          <w:sz w:val="20"/>
          <w:szCs w:val="20"/>
          <w:color w:val="auto"/>
        </w:rPr>
      </w:pPr>
    </w:p>
    <w:p>
      <w:pPr>
        <w:ind w:left="269" w:hanging="269"/>
        <w:spacing w:after="0"/>
        <w:tabs>
          <w:tab w:leader="none" w:pos="269" w:val="left"/>
        </w:tabs>
        <w:numPr>
          <w:ilvl w:val="0"/>
          <w:numId w:val="7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9" w:hanging="345"/>
        <w:spacing w:after="0"/>
        <w:tabs>
          <w:tab w:leader="none" w:pos="789" w:val="left"/>
        </w:tabs>
        <w:numPr>
          <w:ilvl w:val="0"/>
          <w:numId w:val="7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Payroll Deductions.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73" w:lineRule="exact"/>
        <w:rPr>
          <w:sz w:val="20"/>
          <w:szCs w:val="20"/>
          <w:color w:val="auto"/>
        </w:rPr>
      </w:pPr>
    </w:p>
    <w:p>
      <w:pPr>
        <w:ind w:left="789" w:hanging="345"/>
        <w:spacing w:after="0"/>
        <w:tabs>
          <w:tab w:leader="none" w:pos="789" w:val="left"/>
        </w:tabs>
        <w:numPr>
          <w:ilvl w:val="0"/>
          <w:numId w:val="7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Accounts.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All Payroll Deductions with respect to a Participant pursuant to Paragraph 5(a) shall be credited to the Participant's Account under the Plan.</w:t>
      </w:r>
    </w:p>
    <w:p>
      <w:pPr>
        <w:spacing w:after="0" w:line="172" w:lineRule="exact"/>
        <w:rPr>
          <w:sz w:val="20"/>
          <w:szCs w:val="20"/>
          <w:color w:val="auto"/>
        </w:rPr>
      </w:pPr>
    </w:p>
    <w:p>
      <w:pPr>
        <w:ind w:left="789" w:hanging="345"/>
        <w:spacing w:after="0"/>
        <w:tabs>
          <w:tab w:leader="none" w:pos="789" w:val="left"/>
        </w:tabs>
        <w:numPr>
          <w:ilvl w:val="0"/>
          <w:numId w:val="7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Payroll Deductions.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798" w:right="1440" w:bottom="1440" w:gutter="0" w:footer="0" w:header="0"/>
        </w:sectPr>
      </w:pPr>
    </w:p>
    <w:bookmarkStart w:id="467" w:name="page468"/>
    <w:bookmarkEnd w:id="467"/>
    <w:p>
      <w:pPr>
        <w:ind w:left="269" w:hanging="269"/>
        <w:spacing w:after="0"/>
        <w:tabs>
          <w:tab w:leader="none" w:pos="269" w:val="left"/>
        </w:tabs>
        <w:numPr>
          <w:ilvl w:val="0"/>
          <w:numId w:val="7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9" w:hanging="345"/>
        <w:spacing w:after="0"/>
        <w:tabs>
          <w:tab w:leader="none" w:pos="789" w:val="left"/>
        </w:tabs>
        <w:numPr>
          <w:ilvl w:val="0"/>
          <w:numId w:val="7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73" w:lineRule="exact"/>
        <w:rPr>
          <w:sz w:val="20"/>
          <w:szCs w:val="20"/>
          <w:color w:val="auto"/>
        </w:rPr>
      </w:pPr>
    </w:p>
    <w:p>
      <w:pPr>
        <w:ind w:left="789" w:hanging="345"/>
        <w:spacing w:after="0"/>
        <w:tabs>
          <w:tab w:leader="none" w:pos="789"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72" w:lineRule="exact"/>
        <w:rPr>
          <w:sz w:val="20"/>
          <w:szCs w:val="20"/>
          <w:color w:val="auto"/>
        </w:rPr>
      </w:pPr>
    </w:p>
    <w:p>
      <w:pPr>
        <w:ind w:left="789" w:hanging="345"/>
        <w:spacing w:after="0"/>
        <w:tabs>
          <w:tab w:leader="none" w:pos="789" w:val="left"/>
        </w:tabs>
        <w:numPr>
          <w:ilvl w:val="0"/>
          <w:numId w:val="7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and Minimum Number of Shares.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72" w:lineRule="exact"/>
        <w:rPr>
          <w:sz w:val="20"/>
          <w:szCs w:val="20"/>
          <w:color w:val="auto"/>
        </w:rPr>
      </w:pPr>
    </w:p>
    <w:p>
      <w:pPr>
        <w:ind w:left="789" w:hanging="345"/>
        <w:spacing w:after="0"/>
        <w:tabs>
          <w:tab w:leader="none" w:pos="789" w:val="left"/>
        </w:tabs>
        <w:numPr>
          <w:ilvl w:val="0"/>
          <w:numId w:val="7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Rights to Purchase Shares.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4" w:lineRule="exact"/>
        <w:rPr>
          <w:sz w:val="20"/>
          <w:szCs w:val="20"/>
          <w:color w:val="auto"/>
        </w:rPr>
      </w:pPr>
    </w:p>
    <w:p>
      <w:pPr>
        <w:ind w:left="269" w:hanging="269"/>
        <w:spacing w:after="0"/>
        <w:tabs>
          <w:tab w:leader="none" w:pos="269"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Participation.</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9" w:hanging="345"/>
        <w:spacing w:after="0"/>
        <w:tabs>
          <w:tab w:leader="none" w:pos="789"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Except as provided in Paragraph 7(c), no amounts shall be distributed from Participants' Accounts during an Offering Period.</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Suspension of Participation.</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74" w:lineRule="exact"/>
        <w:rPr>
          <w:sz w:val="20"/>
          <w:szCs w:val="20"/>
          <w:color w:val="auto"/>
        </w:rPr>
      </w:pPr>
    </w:p>
    <w:p>
      <w:pPr>
        <w:ind w:left="789" w:hanging="345"/>
        <w:spacing w:after="0"/>
        <w:tabs>
          <w:tab w:leader="none" w:pos="789"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Upon termination of a Participant's employment for any reason, all amounts credited to such Participant's Account shall be returned to the Participant, or, following the Participant's death, to the Participant's Successor-in-Interest.</w:t>
      </w:r>
    </w:p>
    <w:p>
      <w:pPr>
        <w:spacing w:after="0" w:line="157" w:lineRule="exact"/>
        <w:rPr>
          <w:sz w:val="20"/>
          <w:szCs w:val="20"/>
          <w:color w:val="auto"/>
        </w:rPr>
      </w:pPr>
    </w:p>
    <w:p>
      <w:pPr>
        <w:ind w:left="269" w:hanging="269"/>
        <w:spacing w:after="0"/>
        <w:tabs>
          <w:tab w:leader="none" w:pos="269" w:val="left"/>
        </w:tabs>
        <w:numPr>
          <w:ilvl w:val="0"/>
          <w:numId w:val="7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No interest shall be paid or allowed with respect to Payroll Deductions paid into the Plan or credited to any Participant's Account.</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798" w:right="1440" w:bottom="1440" w:gutter="0" w:footer="0" w:header="0"/>
        </w:sectPr>
      </w:pPr>
    </w:p>
    <w:bookmarkStart w:id="468" w:name="page469"/>
    <w:bookmarkEnd w:id="468"/>
    <w:p>
      <w:pPr>
        <w:ind w:left="269" w:hanging="269"/>
        <w:spacing w:after="0"/>
        <w:tabs>
          <w:tab w:leader="none" w:pos="269"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Number of Shares; Adjustments.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Subject to adjustment as provided in this Paragraph 9, not more than 4,250,000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4" w:lineRule="exact"/>
        <w:rPr>
          <w:sz w:val="20"/>
          <w:szCs w:val="20"/>
          <w:color w:val="auto"/>
        </w:rPr>
      </w:pPr>
    </w:p>
    <w:p>
      <w:pPr>
        <w:ind w:left="789" w:hanging="345"/>
        <w:spacing w:after="0"/>
        <w:tabs>
          <w:tab w:leader="none" w:pos="789"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Interest in Shares.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A Participant shall have no interest in Shares offered under the Plan until Shares are credited to the Participant's Brokerage Account.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 Crediting of Shares to Brokerage Account.</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579" w:firstLine="444"/>
        <w:spacing w:after="0" w:line="239" w:lineRule="auto"/>
        <w:rPr>
          <w:sz w:val="20"/>
          <w:szCs w:val="20"/>
          <w:color w:val="auto"/>
        </w:rPr>
      </w:pPr>
      <w:r>
        <w:rPr>
          <w:rFonts w:ascii="Courier New" w:cs="Courier New" w:eastAsia="Courier New" w:hAnsi="Courier New"/>
          <w:sz w:val="15"/>
          <w:szCs w:val="15"/>
          <w:color w:val="auto"/>
        </w:rPr>
        <w:t>Shares purchased under the Plan shall be credited to the Participant's Brokerage Account as soon as practicable following the Offering Termination Date.</w:t>
      </w:r>
    </w:p>
    <w:p>
      <w:pPr>
        <w:spacing w:after="0" w:line="172" w:lineRule="exact"/>
        <w:rPr>
          <w:sz w:val="20"/>
          <w:szCs w:val="20"/>
          <w:color w:val="auto"/>
        </w:rPr>
      </w:pPr>
    </w:p>
    <w:p>
      <w:pPr>
        <w:ind w:left="789" w:hanging="345"/>
        <w:spacing w:after="0"/>
        <w:tabs>
          <w:tab w:leader="none" w:pos="789"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Purchase.</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74" w:lineRule="exact"/>
        <w:rPr>
          <w:sz w:val="20"/>
          <w:szCs w:val="20"/>
          <w:color w:val="auto"/>
        </w:rPr>
      </w:pPr>
    </w:p>
    <w:p>
      <w:pPr>
        <w:ind w:left="349" w:hanging="349"/>
        <w:spacing w:after="0"/>
        <w:tabs>
          <w:tab w:leader="none" w:pos="349"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72" w:lineRule="exact"/>
        <w:rPr>
          <w:sz w:val="20"/>
          <w:szCs w:val="20"/>
          <w:color w:val="auto"/>
        </w:rPr>
      </w:pPr>
    </w:p>
    <w:p>
      <w:pPr>
        <w:ind w:left="349" w:hanging="349"/>
        <w:spacing w:after="0"/>
        <w:tabs>
          <w:tab w:leader="none" w:pos="349" w:val="left"/>
        </w:tabs>
        <w:numPr>
          <w:ilvl w:val="0"/>
          <w:numId w:val="7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1597"/>
        <w:spacing w:after="0" w:line="261" w:lineRule="auto"/>
        <w:rPr>
          <w:sz w:val="20"/>
          <w:szCs w:val="20"/>
          <w:color w:val="auto"/>
        </w:rPr>
      </w:pPr>
      <w:r>
        <w:rPr>
          <w:rFonts w:ascii="Courier New" w:cs="Courier New" w:eastAsia="Courier New" w:hAnsi="Courier New"/>
          <w:sz w:val="14"/>
          <w:szCs w:val="14"/>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799" w:right="1440" w:bottom="1440" w:gutter="0" w:footer="0" w:header="0"/>
        </w:sectPr>
      </w:pPr>
    </w:p>
    <w:bookmarkStart w:id="469" w:name="page470"/>
    <w:bookmarkEnd w:id="469"/>
    <w:p>
      <w:pPr>
        <w:ind w:left="9" w:right="3219"/>
        <w:spacing w:after="0" w:line="238" w:lineRule="auto"/>
        <w:rPr>
          <w:sz w:val="20"/>
          <w:szCs w:val="20"/>
          <w:color w:val="auto"/>
        </w:rPr>
      </w:pPr>
      <w:r>
        <w:rPr>
          <w:rFonts w:ascii="Courier New" w:cs="Courier New" w:eastAsia="Courier New" w:hAnsi="Courier New"/>
          <w:sz w:val="15"/>
          <w:szCs w:val="15"/>
          <w:color w:val="auto"/>
        </w:rPr>
        <w:t>such withholding, the Participating Companies may make any such arrangements as they may deem necessary or appropriate to protect their interests.</w:t>
      </w:r>
    </w:p>
    <w:p>
      <w:pPr>
        <w:spacing w:after="0" w:line="172" w:lineRule="exact"/>
        <w:rPr>
          <w:sz w:val="20"/>
          <w:szCs w:val="20"/>
          <w:color w:val="auto"/>
        </w:rPr>
      </w:pPr>
    </w:p>
    <w:p>
      <w:pPr>
        <w:ind w:left="349" w:hanging="349"/>
        <w:spacing w:after="0"/>
        <w:tabs>
          <w:tab w:leader="none" w:pos="349" w:val="left"/>
        </w:tabs>
        <w:numPr>
          <w:ilvl w:val="0"/>
          <w:numId w:val="7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and Contributions Not to Affect Employment.</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The Plan shall not confer upon any Eligible Employee any right to continue in the employ of the Participating Companies.</w:t>
      </w:r>
    </w:p>
    <w:p>
      <w:pPr>
        <w:spacing w:after="0" w:line="172" w:lineRule="exact"/>
        <w:rPr>
          <w:sz w:val="20"/>
          <w:szCs w:val="20"/>
          <w:color w:val="auto"/>
        </w:rPr>
      </w:pPr>
    </w:p>
    <w:p>
      <w:pPr>
        <w:ind w:left="349" w:hanging="349"/>
        <w:spacing w:after="0"/>
        <w:tabs>
          <w:tab w:leader="none" w:pos="349" w:val="left"/>
        </w:tabs>
        <w:numPr>
          <w:ilvl w:val="0"/>
          <w:numId w:val="7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line="260" w:lineRule="auto"/>
        <w:rPr>
          <w:sz w:val="20"/>
          <w:szCs w:val="20"/>
          <w:color w:val="auto"/>
        </w:rPr>
      </w:pPr>
      <w:r>
        <w:rPr>
          <w:rFonts w:ascii="Courier New" w:cs="Courier New" w:eastAsia="Courier New" w:hAnsi="Courier New"/>
          <w:sz w:val="14"/>
          <w:szCs w:val="14"/>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59" w:lineRule="exact"/>
        <w:rPr>
          <w:sz w:val="20"/>
          <w:szCs w:val="20"/>
          <w:color w:val="auto"/>
        </w:rPr>
      </w:pPr>
    </w:p>
    <w:p>
      <w:pPr>
        <w:ind w:left="449" w:hanging="449"/>
        <w:spacing w:after="0"/>
        <w:tabs>
          <w:tab w:leader="none" w:pos="449"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78" w:lineRule="exact"/>
        <w:rPr>
          <w:sz w:val="20"/>
          <w:szCs w:val="20"/>
          <w:color w:val="auto"/>
        </w:rPr>
      </w:pPr>
    </w:p>
    <w:p>
      <w:pPr>
        <w:ind w:left="349" w:hanging="349"/>
        <w:spacing w:after="0"/>
        <w:tabs>
          <w:tab w:leader="none" w:pos="349" w:val="left"/>
        </w:tabs>
        <w:numPr>
          <w:ilvl w:val="0"/>
          <w:numId w:val="7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89"/>
        <w:spacing w:after="0"/>
        <w:rPr>
          <w:sz w:val="20"/>
          <w:szCs w:val="20"/>
          <w:color w:val="auto"/>
        </w:rPr>
      </w:pPr>
      <w:r>
        <w:rPr>
          <w:rFonts w:ascii="Courier New" w:cs="Courier New" w:eastAsia="Courier New" w:hAnsi="Courier New"/>
          <w:sz w:val="14"/>
          <w:szCs w:val="14"/>
          <w:color w:val="auto"/>
        </w:rPr>
        <w:t>The original effective date of the Plan was December 20, 2000.</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amendment and restatement of the Plan is effective on November 18, 2002.</w:t>
      </w:r>
    </w:p>
    <w:p>
      <w:pPr>
        <w:spacing w:after="0" w:line="171" w:lineRule="exact"/>
        <w:rPr>
          <w:sz w:val="20"/>
          <w:szCs w:val="20"/>
          <w:color w:val="auto"/>
        </w:rPr>
      </w:pPr>
    </w:p>
    <w:p>
      <w:pPr>
        <w:ind w:left="349" w:hanging="349"/>
        <w:spacing w:after="0"/>
        <w:tabs>
          <w:tab w:leader="none" w:pos="349"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and Other Regulations.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9" w:hanging="345"/>
        <w:spacing w:after="0"/>
        <w:tabs>
          <w:tab w:leader="none" w:pos="789" w:val="left"/>
        </w:tabs>
        <w:numPr>
          <w:ilvl w:val="0"/>
          <w:numId w:val="7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purchase of Shares under the Plan shall be subject to all applicable laws, rules and regulations, and to such approvals by any governmental agencies as may be required.</w:t>
      </w:r>
    </w:p>
    <w:p>
      <w:pPr>
        <w:spacing w:after="0" w:line="172" w:lineRule="exact"/>
        <w:rPr>
          <w:sz w:val="20"/>
          <w:szCs w:val="20"/>
          <w:color w:val="auto"/>
        </w:rPr>
      </w:pPr>
    </w:p>
    <w:p>
      <w:pPr>
        <w:ind w:left="789" w:hanging="345"/>
        <w:spacing w:after="0"/>
        <w:tabs>
          <w:tab w:leader="none" w:pos="789" w:val="left"/>
        </w:tabs>
        <w:numPr>
          <w:ilvl w:val="0"/>
          <w:numId w:val="7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sectPr>
      </w:pPr>
    </w:p>
    <w:bookmarkStart w:id="470" w:name="page471"/>
    <w:bookmarkEnd w:id="470"/>
    <w:p>
      <w:pPr>
        <w:ind w:left="349" w:hanging="349"/>
        <w:spacing w:after="0"/>
        <w:tabs>
          <w:tab w:leader="none" w:pos="349"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Non-Alienation.</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72" w:lineRule="exact"/>
        <w:rPr>
          <w:sz w:val="20"/>
          <w:szCs w:val="20"/>
          <w:color w:val="auto"/>
        </w:rPr>
      </w:pPr>
    </w:p>
    <w:p>
      <w:pPr>
        <w:ind w:left="349" w:hanging="349"/>
        <w:spacing w:after="0"/>
        <w:tabs>
          <w:tab w:leader="none" w:pos="349" w:val="left"/>
        </w:tabs>
        <w:numPr>
          <w:ilvl w:val="0"/>
          <w:numId w:val="7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399" w:firstLine="1597"/>
        <w:spacing w:after="0" w:line="239" w:lineRule="auto"/>
        <w:rPr>
          <w:sz w:val="20"/>
          <w:szCs w:val="20"/>
          <w:color w:val="auto"/>
        </w:rPr>
      </w:pPr>
      <w:r>
        <w:rPr>
          <w:rFonts w:ascii="Courier New" w:cs="Courier New" w:eastAsia="Courier New" w:hAnsi="Courier New"/>
          <w:sz w:val="15"/>
          <w:szCs w:val="15"/>
          <w:color w:val="auto"/>
        </w:rPr>
        <w:t>Any notice required or permitted hereunder shall be sufficiently given only if delivered personally, telecopied, or sent by first class mail, postage prepaid, and addressed:</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If to the Company:</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589"/>
        <w:spacing w:after="0"/>
        <w:tabs>
          <w:tab w:leader="none" w:pos="2109" w:val="left"/>
        </w:tabs>
        <w:rPr>
          <w:sz w:val="20"/>
          <w:szCs w:val="20"/>
          <w:color w:val="auto"/>
        </w:rPr>
      </w:pPr>
      <w:r>
        <w:rPr>
          <w:rFonts w:ascii="Courier New" w:cs="Courier New" w:eastAsia="Courier New" w:hAnsi="Courier New"/>
          <w:sz w:val="15"/>
          <w:szCs w:val="15"/>
          <w:color w:val="auto"/>
        </w:rPr>
        <w:t>Fax:</w:t>
        <w:tab/>
        <w:t>215-981-7794</w:t>
      </w:r>
    </w:p>
    <w:p>
      <w:pPr>
        <w:spacing w:after="0" w:line="1" w:lineRule="exact"/>
        <w:rPr>
          <w:sz w:val="20"/>
          <w:szCs w:val="20"/>
          <w:color w:val="auto"/>
        </w:rPr>
      </w:pPr>
    </w:p>
    <w:p>
      <w:pPr>
        <w:ind w:left="1589"/>
        <w:spacing w:after="0"/>
        <w:tabs>
          <w:tab w:leader="none" w:pos="2649"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174" w:lineRule="exact"/>
        <w:rPr>
          <w:sz w:val="20"/>
          <w:szCs w:val="20"/>
          <w:color w:val="auto"/>
        </w:rPr>
      </w:pPr>
    </w:p>
    <w:p>
      <w:pPr>
        <w:ind w:left="1589" w:right="3299"/>
        <w:spacing w:after="0" w:line="238" w:lineRule="auto"/>
        <w:rPr>
          <w:sz w:val="20"/>
          <w:szCs w:val="20"/>
          <w:color w:val="auto"/>
        </w:rPr>
      </w:pPr>
      <w:r>
        <w:rPr>
          <w:rFonts w:ascii="Courier New" w:cs="Courier New" w:eastAsia="Courier New" w:hAnsi="Courier New"/>
          <w:sz w:val="15"/>
          <w:szCs w:val="15"/>
          <w:color w:val="auto"/>
        </w:rPr>
        <w:t>Or any other address provided pursuant to notice provided by the Committee.</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If to the Participant: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89" w:right="3219"/>
        <w:spacing w:after="0"/>
        <w:rPr>
          <w:sz w:val="20"/>
          <w:szCs w:val="20"/>
          <w:color w:val="auto"/>
        </w:rPr>
      </w:pPr>
      <w:r>
        <w:rPr>
          <w:rFonts w:ascii="Courier New" w:cs="Courier New" w:eastAsia="Courier New" w:hAnsi="Courier New"/>
          <w:sz w:val="15"/>
          <w:szCs w:val="15"/>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72" w:lineRule="exact"/>
        <w:rPr>
          <w:sz w:val="20"/>
          <w:szCs w:val="20"/>
          <w:color w:val="auto"/>
        </w:rPr>
      </w:pPr>
    </w:p>
    <w:p>
      <w:pPr>
        <w:ind w:left="349" w:hanging="349"/>
        <w:spacing w:after="0"/>
        <w:tabs>
          <w:tab w:leader="none" w:pos="349" w:val="left"/>
        </w:tabs>
        <w:numPr>
          <w:ilvl w:val="0"/>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The Plan shall be binding upon and inure to the benefit of any successors or assigns of the Company.</w:t>
      </w:r>
    </w:p>
    <w:p>
      <w:pPr>
        <w:spacing w:after="0" w:line="172" w:lineRule="exact"/>
        <w:rPr>
          <w:sz w:val="20"/>
          <w:szCs w:val="20"/>
          <w:color w:val="auto"/>
        </w:rPr>
      </w:pPr>
    </w:p>
    <w:p>
      <w:pPr>
        <w:ind w:left="349" w:hanging="349"/>
        <w:spacing w:after="0"/>
        <w:tabs>
          <w:tab w:leader="none" w:pos="349" w:val="left"/>
        </w:tabs>
        <w:numPr>
          <w:ilvl w:val="0"/>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74" w:lineRule="exact"/>
        <w:rPr>
          <w:sz w:val="20"/>
          <w:szCs w:val="20"/>
          <w:color w:val="auto"/>
        </w:rPr>
      </w:pPr>
    </w:p>
    <w:p>
      <w:pPr>
        <w:ind w:left="349" w:hanging="349"/>
        <w:spacing w:after="0"/>
        <w:tabs>
          <w:tab w:leader="none" w:pos="349" w:val="left"/>
        </w:tabs>
        <w:numPr>
          <w:ilvl w:val="0"/>
          <w:numId w:val="7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9" w:right="3299" w:firstLine="1597"/>
        <w:spacing w:after="0" w:line="239" w:lineRule="auto"/>
        <w:rPr>
          <w:sz w:val="20"/>
          <w:szCs w:val="20"/>
          <w:color w:val="auto"/>
        </w:rPr>
      </w:pPr>
      <w:r>
        <w:rPr>
          <w:rFonts w:ascii="Courier New" w:cs="Courier New" w:eastAsia="Courier New" w:hAnsi="Courier New"/>
          <w:sz w:val="15"/>
          <w:szCs w:val="15"/>
          <w:color w:val="auto"/>
        </w:rPr>
        <w:t>The election by any Eligible Employee to participate in this Plan constitutes his or her acceptance of the terms of the Plan and his or her agreement to be bound hereby.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798" w:right="1440" w:bottom="1440" w:gutter="0" w:footer="0" w:header="0"/>
        </w:sectPr>
      </w:pPr>
    </w:p>
    <w:bookmarkStart w:id="471" w:name="page472"/>
    <w:bookmarkEnd w:id="471"/>
    <w:p>
      <w:pPr>
        <w:ind w:left="349" w:hanging="349"/>
        <w:spacing w:after="0"/>
        <w:tabs>
          <w:tab w:leader="none" w:pos="349" w:val="left"/>
        </w:tabs>
        <w:numPr>
          <w:ilvl w:val="0"/>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399" w:firstLine="1597"/>
        <w:spacing w:after="0" w:line="239" w:lineRule="auto"/>
        <w:rPr>
          <w:sz w:val="20"/>
          <w:szCs w:val="20"/>
          <w:color w:val="auto"/>
        </w:rPr>
      </w:pPr>
      <w:r>
        <w:rPr>
          <w:rFonts w:ascii="Courier New" w:cs="Courier New" w:eastAsia="Courier New" w:hAnsi="Courier New"/>
          <w:sz w:val="15"/>
          <w:szCs w:val="15"/>
          <w:color w:val="auto"/>
        </w:rPr>
        <w:t>This Plan shall be construed in accordance with the laws of the Commonwealth of Pennsylvania, to the extent not preempted by applicable Federal law.</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Executed as of the 18th day of November, 2002.</w:t>
      </w:r>
    </w:p>
    <w:p>
      <w:pPr>
        <w:spacing w:after="0" w:line="171" w:lineRule="exact"/>
        <w:rPr>
          <w:sz w:val="20"/>
          <w:szCs w:val="20"/>
          <w:color w:val="auto"/>
        </w:rPr>
      </w:pPr>
    </w:p>
    <w:p>
      <w:pPr>
        <w:ind w:left="4709"/>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470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88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190"/>
        <w:spacing w:after="0"/>
        <w:rPr>
          <w:sz w:val="20"/>
          <w:szCs w:val="20"/>
          <w:color w:val="auto"/>
        </w:rPr>
      </w:pPr>
      <w:r>
        <w:rPr>
          <w:rFonts w:ascii="Courier New" w:cs="Courier New" w:eastAsia="Courier New" w:hAnsi="Courier New"/>
          <w:sz w:val="15"/>
          <w:szCs w:val="15"/>
          <w:color w:val="auto"/>
        </w:rPr>
        <w:t>ATTEST:</w:t>
      </w:r>
    </w:p>
    <w:p>
      <w:pPr>
        <w:spacing w:after="0" w:line="3" w:lineRule="exact"/>
        <w:rPr>
          <w:sz w:val="20"/>
          <w:szCs w:val="20"/>
          <w:color w:val="auto"/>
        </w:rPr>
      </w:pPr>
    </w:p>
    <w:p>
      <w:pPr>
        <w:ind w:left="522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798" w:right="1440" w:bottom="1440" w:gutter="0" w:footer="0" w:header="0"/>
        </w:sectPr>
      </w:pPr>
    </w:p>
    <w:bookmarkStart w:id="472" w:name="page473"/>
    <w:bookmarkEnd w:id="472"/>
    <w:p>
      <w:pPr>
        <w:ind w:left="3100"/>
        <w:spacing w:after="0"/>
        <w:rPr>
          <w:sz w:val="20"/>
          <w:szCs w:val="20"/>
          <w:color w:val="auto"/>
        </w:rPr>
      </w:pPr>
      <w:r>
        <w:rPr>
          <w:rFonts w:ascii="Courier New" w:cs="Courier New" w:eastAsia="Courier New" w:hAnsi="Courier New"/>
          <w:sz w:val="15"/>
          <w:szCs w:val="15"/>
          <w:color w:val="auto"/>
        </w:rPr>
        <w:t>SCHEDULE A</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Participating Companies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as of November 18,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279"/>
        <w:spacing w:after="0" w:line="516" w:lineRule="auto"/>
        <w:rPr>
          <w:sz w:val="20"/>
          <w:szCs w:val="20"/>
          <w:color w:val="auto"/>
        </w:rPr>
      </w:pPr>
      <w:r>
        <w:rPr>
          <w:rFonts w:ascii="Courier New" w:cs="Courier New" w:eastAsia="Courier New" w:hAnsi="Courier New"/>
          <w:sz w:val="14"/>
          <w:szCs w:val="14"/>
          <w:color w:val="auto"/>
        </w:rPr>
        <w:t>Comcast Business Communications Holdings, Inc. and its subsidiaries Comcast Cable Communications, Inc. and its subsidiaries</w:t>
      </w:r>
    </w:p>
    <w:p>
      <w:pPr>
        <w:spacing w:after="0" w:line="1" w:lineRule="exact"/>
        <w:rPr>
          <w:sz w:val="20"/>
          <w:szCs w:val="20"/>
          <w:color w:val="auto"/>
        </w:rPr>
      </w:pPr>
    </w:p>
    <w:p>
      <w:pPr>
        <w:ind w:right="4199"/>
        <w:spacing w:after="0" w:line="480" w:lineRule="auto"/>
        <w:rPr>
          <w:sz w:val="20"/>
          <w:szCs w:val="20"/>
          <w:color w:val="auto"/>
        </w:rPr>
      </w:pPr>
      <w:r>
        <w:rPr>
          <w:rFonts w:ascii="Courier New" w:cs="Courier New" w:eastAsia="Courier New" w:hAnsi="Courier New"/>
          <w:sz w:val="15"/>
          <w:szCs w:val="15"/>
          <w:color w:val="auto"/>
        </w:rPr>
        <w:t>Comcast Corporation (formerly known as AT&amp;T Comcast Corporation) Comcast Holdings Corporation (formerly known as Comcast Corporation) Comcast Online Communications, Inc. Home Team Sports Limited Partnership</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as of January 1,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Business Communications Holdings, Inc. and its subsidiaries</w:t>
      </w:r>
    </w:p>
    <w:p>
      <w:pPr>
        <w:spacing w:after="0" w:line="183" w:lineRule="exact"/>
        <w:rPr>
          <w:sz w:val="20"/>
          <w:szCs w:val="20"/>
          <w:color w:val="auto"/>
        </w:rPr>
      </w:pPr>
    </w:p>
    <w:p>
      <w:pPr>
        <w:ind w:right="4279"/>
        <w:spacing w:after="0" w:line="238" w:lineRule="auto"/>
        <w:rPr>
          <w:sz w:val="20"/>
          <w:szCs w:val="20"/>
          <w:color w:val="auto"/>
        </w:rPr>
      </w:pPr>
      <w:r>
        <w:rPr>
          <w:rFonts w:ascii="Courier New" w:cs="Courier New" w:eastAsia="Courier New" w:hAnsi="Courier New"/>
          <w:sz w:val="15"/>
          <w:szCs w:val="15"/>
          <w:color w:val="auto"/>
        </w:rPr>
        <w:t>Comcast Cable Communications Holdings, Inc. (formerly known as AT&amp;T Broadband Corp.) and its subsidiaries*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 and its subsidiaries</w:t>
      </w:r>
    </w:p>
    <w:p>
      <w:pPr>
        <w:spacing w:after="0" w:line="174" w:lineRule="exact"/>
        <w:rPr>
          <w:sz w:val="20"/>
          <w:szCs w:val="20"/>
          <w:color w:val="auto"/>
        </w:rPr>
      </w:pPr>
    </w:p>
    <w:p>
      <w:pPr>
        <w:ind w:right="4199"/>
        <w:spacing w:after="0" w:line="480" w:lineRule="auto"/>
        <w:rPr>
          <w:sz w:val="20"/>
          <w:szCs w:val="20"/>
          <w:color w:val="auto"/>
        </w:rPr>
      </w:pPr>
      <w:r>
        <w:rPr>
          <w:rFonts w:ascii="Courier New" w:cs="Courier New" w:eastAsia="Courier New" w:hAnsi="Courier New"/>
          <w:sz w:val="15"/>
          <w:szCs w:val="15"/>
          <w:color w:val="auto"/>
        </w:rPr>
        <w:t>Comcast Corporation (formerly known as AT&amp;T Comcast Corporation) Comcast Holdings Corporation (formerly known as Comcast Corporation) Comcast Online Communications,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G4 Media, LLC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Team Sports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Life Network, LLC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Sports Media, 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approval of the Company's shareholders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9" w:right="1440" w:bottom="1440" w:gutter="0" w:footer="0" w:header="0"/>
        </w:sectPr>
      </w:pPr>
    </w:p>
    <w:bookmarkStart w:id="473" w:name="page474"/>
    <w:bookmarkEnd w:id="473"/>
    <w:p>
      <w:pPr>
        <w:spacing w:after="0" w:line="4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10.31</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AT&amp;T BROADBAND CORP.</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ADJUSTMENT PLAN</w:t>
      </w:r>
    </w:p>
    <w:p>
      <w:pPr>
        <w:spacing w:after="0" w:line="174"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Section 1. Background and Purpose. (a) Pursuant to the Merger Agreement, the Employee Benefits Agreement and related agreements, the Company will be separated from AT&amp;T Corp. and immediately thereafter will become a wholly owned subsidiary of AT&amp;T Comcast Corporation ("AT&amp;T Comcast"). In that connection, the Pre-Distribution Awards will be converted into and replaced by awards governed by this AT&amp;T Broadband Corp. Adjustment Plan (the "Plan").</w:t>
      </w:r>
    </w:p>
    <w:p>
      <w:pPr>
        <w:spacing w:after="0" w:line="164" w:lineRule="exact"/>
        <w:rPr>
          <w:sz w:val="20"/>
          <w:szCs w:val="20"/>
          <w:color w:val="auto"/>
        </w:rPr>
      </w:pPr>
    </w:p>
    <w:p>
      <w:pPr>
        <w:ind w:right="3119" w:firstLine="790"/>
        <w:spacing w:after="0"/>
        <w:tabs>
          <w:tab w:leader="none" w:pos="1154"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is the Broadband Adjustment Plan as defined in, and required to be adopted by, the Employee Benefits Agreement. The only Awards that may be granted hereunder are the Awards that replace the Pre-Distribution Awards as set forth in Section 1(a) above, and the purpose of this Plan is to provide for the terms, conditions and administration of these Awards. In connection with its assumption of the Awards in accordance with Section 4.02(g) of the Merger Agreement, except as provided in Section 6(c) of the plan, AT&amp;T Comcast shall assume all obligation and liability under the Plan and with respect to all such Awards.</w:t>
      </w:r>
    </w:p>
    <w:p>
      <w:pPr>
        <w:spacing w:after="0" w:line="177"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has been adopted by the Company on November 14, 2002, and approved by AT&amp;T Corp. as the Company's sole shareholder on November 14, 2002, to become effective as set forth in Section 12. AT&amp;T Comcast shall adopt this Plan in connection with its assumption of the Awards in accordance with Section 4.02(g) of the Merger Agreement.</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Section 2. Definitions. As used in the Plan, the following terms shall have the meanings set forth below:</w:t>
      </w:r>
    </w:p>
    <w:p>
      <w:pPr>
        <w:spacing w:after="0" w:line="172" w:lineRule="exact"/>
        <w:rPr>
          <w:sz w:val="20"/>
          <w:szCs w:val="20"/>
          <w:color w:val="auto"/>
        </w:rPr>
      </w:pPr>
    </w:p>
    <w:p>
      <w:pPr>
        <w:ind w:left="1140" w:hanging="350"/>
        <w:spacing w:after="0"/>
        <w:tabs>
          <w:tab w:leader="none" w:pos="1140" w:val="left"/>
        </w:tabs>
        <w:numPr>
          <w:ilvl w:val="0"/>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shall have the meaning given in Section 1(a).</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Board" shall mean the Board of Directors of AT&amp;T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 "AT&amp;T Restricted Stock" shall have the meaning given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6(a).</w:t>
      </w:r>
    </w:p>
    <w:p>
      <w:pPr>
        <w:spacing w:after="0" w:line="174" w:lineRule="exact"/>
        <w:rPr>
          <w:sz w:val="20"/>
          <w:szCs w:val="20"/>
          <w:color w:val="auto"/>
        </w:rPr>
      </w:pPr>
    </w:p>
    <w:p>
      <w:pPr>
        <w:ind w:right="3579" w:firstLine="790"/>
        <w:spacing w:after="0" w:line="238" w:lineRule="auto"/>
        <w:tabs>
          <w:tab w:leader="none" w:pos="1154"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Shares" shall mean the common stock, par value $1.00 per share, of AT&amp;T Corp.</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Stock Units" shall have the meaning given in Section 7(a).</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any Option, Restricted Stock, AT&amp;T Restricted Stock, Restricted Stock Unit, AT&amp;T Stock Unit or Performance Shares granted under the Plan.</w:t>
      </w:r>
    </w:p>
    <w:p>
      <w:pPr>
        <w:spacing w:after="0" w:line="175"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shall mean any written agreement, contract, or other instrument or document evidencing any Award granted hereunder or any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Distribution Award. Award Agreements may, but need not, be executed or acknowledged by both AT&amp;T or AT&amp;T Comcast, on the one hand, and the Participant, on the other hand.</w:t>
      </w:r>
    </w:p>
    <w:p>
      <w:pPr>
        <w:spacing w:after="0" w:line="175" w:lineRule="exact"/>
        <w:rPr>
          <w:sz w:val="20"/>
          <w:szCs w:val="20"/>
          <w:color w:val="auto"/>
        </w:rPr>
      </w:pPr>
    </w:p>
    <w:p>
      <w:pPr>
        <w:ind w:right="3919" w:firstLine="790"/>
        <w:spacing w:after="0" w:line="238" w:lineRule="auto"/>
        <w:tabs>
          <w:tab w:leader="none" w:pos="1154" w:val="left"/>
        </w:tabs>
        <w:numPr>
          <w:ilvl w:val="0"/>
          <w:numId w:val="7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the happening of any of the following events after consummation of the Merger:</w:t>
      </w:r>
    </w:p>
    <w:p>
      <w:pPr>
        <w:spacing w:after="0" w:line="174"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by any individual, entity or group (within the meaning of Section 13(d)(3) or 14(d)(2) of the Exchange Act) (an "Entity") of beneficial ownership (within the meaning of Rule 13d-3 promulgated under the Exchange Act) of 20% or more of either (A) the then outstanding Shares (the "Outstanding AT&amp;T Comcast Common Stock") or (B) the combined voting power of the then outstanding voting securities of AT&amp;T Comcast entitled to vote generally in the election of directors (the "Outstanding AT&amp;T Comcast Voting Securities"); excluding, however, the following: (1) any acquisition directly from AT&amp;T Comcast, other than an acquisition by virtue of the exercise of a conversion privilege unless the security being so converted was itself acquired directly from AT&amp;T Comcast, (2) any acquisition by AT&amp;T Comcast, (3) any acquisition by any employee benefit plan (or related trust) sponsored or maintained by AT&amp;T Comcast or any corporation controlled by AT&amp;T Comcast, or (4) any acquisition by any corporation pursuant to a transaction which complies with clauses (A), (B) and (C) of subsection (iii) of this definition;</w:t>
      </w:r>
    </w:p>
    <w:p>
      <w:pPr>
        <w:spacing w:after="0" w:line="182" w:lineRule="exact"/>
        <w:rPr>
          <w:sz w:val="20"/>
          <w:szCs w:val="20"/>
          <w:color w:val="auto"/>
        </w:rPr>
      </w:pPr>
    </w:p>
    <w:p>
      <w:pPr>
        <w:ind w:right="3119" w:firstLine="790"/>
        <w:spacing w:after="0" w:line="259" w:lineRule="auto"/>
        <w:tabs>
          <w:tab w:leader="none" w:pos="1242"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composition of the AT&amp;T Comcast Board as constituted immediately following the Effective Date of the Merger (as defined in the Merger Agreement) such that the individuals who, immediately following the Effective Date, constitute the AT&amp;T Comcast Board (such AT&amp;T Comcast Board shall be hereinafter referred to as the "Incumbent Board") cease for any reason to constitute at least a majority of the AT&amp;T Comcast Board; provided, however, that for purposes of this definition, any individual who becomes a member of the AT&amp;T Comcast Board subsequent to the effective date of the Plan, whose election, or nomination for election, by AT&amp;T Comcast's stockholders was approved by a vote of at least a majority of those individuals who are members of the AT&amp;T Comcast Board and who were also members of the Incumbent Board (or deemed to be such pursuant to this proviso) shall be considered as though such individuals were a member of the Incumbent Board; and provided, further, however, that any such individual whose initial assumption of office occurs as a result of or in connection with either an actual or threatened election contest (as such terms are used in Rule 14a-11 of Regulation 14A promulgated under the Exchange Act) or other actual or threatened solicitation of proxies or consents by or on behalf</w:t>
      </w:r>
    </w:p>
    <w:p>
      <w:pPr>
        <w:sectPr>
          <w:pgSz w:w="11900" w:h="16882" w:orient="portrait"/>
          <w:cols w:equalWidth="0" w:num="1">
            <w:col w:w="10219"/>
          </w:cols>
          <w:pgMar w:left="240" w:top="139" w:right="1440" w:bottom="0" w:gutter="0" w:footer="0" w:header="0"/>
        </w:sectPr>
      </w:pPr>
    </w:p>
    <w:bookmarkStart w:id="474" w:name="page475"/>
    <w:bookmarkEnd w:id="474"/>
    <w:p>
      <w:pPr>
        <w:ind w:right="3299"/>
        <w:spacing w:after="0" w:line="238" w:lineRule="auto"/>
        <w:rPr>
          <w:sz w:val="20"/>
          <w:szCs w:val="20"/>
          <w:color w:val="auto"/>
        </w:rPr>
      </w:pPr>
      <w:r>
        <w:rPr>
          <w:rFonts w:ascii="Courier New" w:cs="Courier New" w:eastAsia="Courier New" w:hAnsi="Courier New"/>
          <w:sz w:val="15"/>
          <w:szCs w:val="15"/>
          <w:color w:val="auto"/>
        </w:rPr>
        <w:t>of an Entity other than the AT&amp;T Comcast Board shall not be so considered as a member of the Incumbent Board;</w:t>
      </w:r>
    </w:p>
    <w:p>
      <w:pPr>
        <w:spacing w:after="0" w:line="175" w:lineRule="exact"/>
        <w:rPr>
          <w:sz w:val="20"/>
          <w:szCs w:val="20"/>
          <w:color w:val="auto"/>
        </w:rPr>
      </w:pPr>
    </w:p>
    <w:p>
      <w:pPr>
        <w:ind w:right="3219" w:firstLine="790"/>
        <w:spacing w:after="0"/>
        <w:tabs>
          <w:tab w:leader="none" w:pos="1331" w:val="left"/>
        </w:tabs>
        <w:numPr>
          <w:ilvl w:val="0"/>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 merger, reorganization or consolidation or sale or other disposition of all or substantially all of the assets of AT&amp;T Comcast (each, a "Corporate Transaction"); excluding, however, such a Corporate Transaction pursuant to which (A) all or substantially all of the individuals and entities who are the beneficial owners, respectively, of the Outstanding AT&amp;T Comcast Common Stock and Outstanding AT&amp;T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475" w:name="page476"/>
    <w:bookmarkEnd w:id="475"/>
    <w:p>
      <w:pPr>
        <w:ind w:left="9" w:right="3119"/>
        <w:spacing w:after="0" w:line="258" w:lineRule="auto"/>
        <w:rPr>
          <w:sz w:val="20"/>
          <w:szCs w:val="20"/>
          <w:color w:val="auto"/>
        </w:rPr>
      </w:pPr>
      <w:r>
        <w:rPr>
          <w:rFonts w:ascii="Courier New" w:cs="Courier New" w:eastAsia="Courier New" w:hAnsi="Courier New"/>
          <w:sz w:val="14"/>
          <w:szCs w:val="14"/>
          <w:color w:val="auto"/>
        </w:rPr>
        <w:t>Comcast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or other person which as a result of such transaction owns AT&amp;T Comcast or all or substantially all of AT&amp;T Comcast's assets either directly or through one or more subsidiaries (a "Parent Company")) in substantially the same proportions as their ownership, immediately prior to such Corporate Transaction, of the Outstanding AT&amp;T Comcast Common Stock and Outstanding AT&amp;T Comcast Voting Securities, as the case may be,</w:t>
      </w:r>
    </w:p>
    <w:p>
      <w:pPr>
        <w:spacing w:after="0" w:line="2" w:lineRule="exact"/>
        <w:rPr>
          <w:sz w:val="20"/>
          <w:szCs w:val="20"/>
          <w:color w:val="auto"/>
        </w:rPr>
      </w:pPr>
    </w:p>
    <w:p>
      <w:pPr>
        <w:ind w:left="9" w:right="3119" w:hanging="9"/>
        <w:spacing w:after="0" w:line="259" w:lineRule="auto"/>
        <w:tabs>
          <w:tab w:leader="none" w:pos="364" w:val="left"/>
        </w:tabs>
        <w:numPr>
          <w:ilvl w:val="0"/>
          <w:numId w:val="7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Entity (other than AT&amp;T Comcast, any employee benefit plan (or related trust) of AT&amp;T Comcast, such corporation resulting from such Corporate Transaction or, if reference was made to equity ownership of any Parent Company for purposes of determining whether clause (A) above is satisfied in connection with the applicable Corporate Transaction, such Parent Company) will beneficially own, directly or indirectly, 20% or more of, respectively, the outstanding shares of common stock of the corporation resulting from such Corporate Transaction or the combined voting power of the outstanding voting securities of such corporation entitled to vote generally in the election of directors unless such ownership resulted solely from ownership of securities of AT&amp;T Comcast prior to the Corporate Transaction, and (C) individuals who were members of the Incumbent Board will immediately after the consummation of the Corporate Transaction constitute at least a majority of the members of the board of directors of the corporation resulting from such Corporate Transaction (or, if reference was made to equity ownership of any Parent Company for purposes of determining whether clause (A) above is satisfied in connection with the applicable Corporate Transaction, of the Parent Company); or</w:t>
      </w:r>
    </w:p>
    <w:p>
      <w:pPr>
        <w:spacing w:after="0" w:line="333" w:lineRule="exact"/>
        <w:rPr>
          <w:rFonts w:ascii="Courier New" w:cs="Courier New" w:eastAsia="Courier New" w:hAnsi="Courier New"/>
          <w:sz w:val="14"/>
          <w:szCs w:val="14"/>
          <w:color w:val="auto"/>
        </w:rPr>
      </w:pPr>
    </w:p>
    <w:p>
      <w:pPr>
        <w:ind w:left="9" w:right="3479" w:firstLine="790"/>
        <w:spacing w:after="0" w:line="238" w:lineRule="auto"/>
        <w:tabs>
          <w:tab w:leader="none" w:pos="1251" w:val="left"/>
        </w:tabs>
        <w:numPr>
          <w:ilvl w:val="1"/>
          <w:numId w:val="7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AT&amp;T Comcast of a complete liquidation or dissolution of AT&amp;T Comcast.</w:t>
      </w:r>
    </w:p>
    <w:p>
      <w:pPr>
        <w:spacing w:after="0" w:line="175" w:lineRule="exact"/>
        <w:rPr>
          <w:sz w:val="20"/>
          <w:szCs w:val="20"/>
          <w:color w:val="auto"/>
        </w:rPr>
      </w:pPr>
    </w:p>
    <w:p>
      <w:pPr>
        <w:ind w:left="9" w:right="3119" w:firstLine="790"/>
        <w:spacing w:after="0"/>
        <w:tabs>
          <w:tab w:leader="none" w:pos="1163" w:val="left"/>
        </w:tabs>
        <w:numPr>
          <w:ilvl w:val="0"/>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with respect to a Share, the higher of (A) the highest reported sales price, regular way, of such Share in any transaction reported on the New York Stock Exchange Composite Tape or other national exchange on which such Shares are listed or on the Nasdaq National Market during the 60-day period prior to and including the date of a Change in Control or (B) if the Change in Control is the result of a tender or exchange offer or a Corporate Transaction, the highest price per such Share paid in such tender or exchange offer or Corporate Transaction. To the extent that the consideration paid in any such transaction described above consists all or in part of securities or other noncash consideration, the value of such securities or other noncash consideration shall be determined in the sole discretion of the Committee.</w:t>
      </w:r>
    </w:p>
    <w:p>
      <w:pPr>
        <w:spacing w:after="0" w:line="179" w:lineRule="exact"/>
        <w:rPr>
          <w:rFonts w:ascii="Courier New" w:cs="Courier New" w:eastAsia="Courier New" w:hAnsi="Courier New"/>
          <w:sz w:val="15"/>
          <w:szCs w:val="15"/>
          <w:color w:val="auto"/>
        </w:rPr>
      </w:pPr>
    </w:p>
    <w:p>
      <w:pPr>
        <w:ind w:left="9" w:right="3479" w:firstLine="790"/>
        <w:spacing w:after="0" w:line="238" w:lineRule="auto"/>
        <w:tabs>
          <w:tab w:leader="none" w:pos="1163" w:val="left"/>
        </w:tabs>
        <w:numPr>
          <w:ilvl w:val="0"/>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from time to time, and any successor thereto.</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31" w:right="1440" w:bottom="1440" w:gutter="0" w:footer="0" w:header="0"/>
        </w:sectPr>
      </w:pPr>
    </w:p>
    <w:bookmarkStart w:id="476" w:name="page477"/>
    <w:bookmarkEnd w:id="476"/>
    <w:p>
      <w:pPr>
        <w:ind w:right="3659" w:firstLine="790"/>
        <w:spacing w:after="0" w:line="238"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Compensation Committee of the AT&amp;T Comcast Board, or any successor to such committee.</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AT&amp;T Broadband Corp., a Delaware corporation.</w:t>
      </w:r>
    </w:p>
    <w:p>
      <w:pPr>
        <w:spacing w:after="0" w:line="174" w:lineRule="exact"/>
        <w:rPr>
          <w:rFonts w:ascii="Courier New" w:cs="Courier New" w:eastAsia="Courier New" w:hAnsi="Courier New"/>
          <w:sz w:val="15"/>
          <w:szCs w:val="15"/>
          <w:color w:val="auto"/>
        </w:rPr>
      </w:pPr>
    </w:p>
    <w:p>
      <w:pPr>
        <w:jc w:val="both"/>
        <w:ind w:right="3119" w:firstLine="790"/>
        <w:spacing w:after="0" w:line="239"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Relations Order" shall mean a domestic relations order as defined by the Code or Title I of the Employee Retirement Income Security Act of 1974 or the rules and regulations promulgated thereunder.</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Time" shall have the meaning set forth in the Merger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4" w:lineRule="exact"/>
        <w:rPr>
          <w:rFonts w:ascii="Courier New" w:cs="Courier New" w:eastAsia="Courier New" w:hAnsi="Courier New"/>
          <w:sz w:val="15"/>
          <w:szCs w:val="15"/>
          <w:color w:val="auto"/>
        </w:rPr>
      </w:pPr>
    </w:p>
    <w:p>
      <w:pPr>
        <w:ind w:right="3299" w:firstLine="790"/>
        <w:spacing w:after="0" w:line="239"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Agreement" shall mean that certain Employee Benefits Agreement between AT&amp;T Corp. and the Company dated as of the 19th day of December, 2001, as amended, in connection with the Distribution.</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with respect to any property, the market value of such property determined by such methods or procedures as shall be established from time to time by the Committee.</w:t>
      </w:r>
    </w:p>
    <w:p>
      <w:pPr>
        <w:spacing w:after="0" w:line="175" w:lineRule="exact"/>
        <w:rPr>
          <w:rFonts w:ascii="Courier New" w:cs="Courier New" w:eastAsia="Courier New" w:hAnsi="Courier New"/>
          <w:sz w:val="15"/>
          <w:szCs w:val="15"/>
          <w:color w:val="auto"/>
        </w:rPr>
      </w:pPr>
    </w:p>
    <w:p>
      <w:pPr>
        <w:ind w:right="3399" w:firstLine="790"/>
        <w:spacing w:after="0" w:line="238"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shall mean, collectively, the AT&amp;T Broadband Merger and the Comcast Merger, each as defined in the Merger Agreement.</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Agreement" shall mean the Agreement and Plan of Merger, dated December 19, 2001, by and among AT&amp;T Corp., AT&amp;T Broadband Corp., Comcast Corporation, AT&amp;T Broadband Acquisition Corp., Comcast Acquisition Corp. and AT&amp;T Comcast Corporation.</w:t>
      </w:r>
    </w:p>
    <w:p>
      <w:pPr>
        <w:spacing w:after="0" w:line="176" w:lineRule="exact"/>
        <w:rPr>
          <w:rFonts w:ascii="Courier New" w:cs="Courier New" w:eastAsia="Courier New" w:hAnsi="Courier New"/>
          <w:sz w:val="15"/>
          <w:szCs w:val="15"/>
          <w:color w:val="auto"/>
        </w:rPr>
      </w:pPr>
    </w:p>
    <w:p>
      <w:pPr>
        <w:ind w:right="3219" w:firstLine="790"/>
        <w:spacing w:after="0" w:line="238" w:lineRule="auto"/>
        <w:tabs>
          <w:tab w:leader="none" w:pos="1154"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"October 2000 AT&amp;T Board Resolutions" shall have the meaning given in Section 4(a).</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have the meaning given in Section 5(a).</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individual who holds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Pre-Distribution Award.</w:t>
      </w:r>
    </w:p>
    <w:p>
      <w:pPr>
        <w:spacing w:after="0" w:line="174" w:lineRule="exact"/>
        <w:rPr>
          <w:sz w:val="20"/>
          <w:szCs w:val="20"/>
          <w:color w:val="auto"/>
        </w:rPr>
      </w:pPr>
    </w:p>
    <w:p>
      <w:pPr>
        <w:ind w:right="3659" w:firstLine="790"/>
        <w:spacing w:after="0" w:line="239" w:lineRule="auto"/>
        <w:tabs>
          <w:tab w:leader="none" w:pos="1154"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shall mean that period during which any performance goals with respect to Performance Shares are to be measured in accordance with the terms of the Award.</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 shall have the meaning given in Section 8.</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0" w:right="1440" w:bottom="1440" w:gutter="0" w:footer="0" w:header="0"/>
        </w:sectPr>
      </w:pPr>
    </w:p>
    <w:bookmarkStart w:id="477" w:name="page478"/>
    <w:bookmarkEnd w:id="477"/>
    <w:p>
      <w:pPr>
        <w:ind w:left="1149" w:hanging="350"/>
        <w:spacing w:after="0"/>
        <w:tabs>
          <w:tab w:leader="none" w:pos="1149" w:val="left"/>
        </w:tabs>
        <w:numPr>
          <w:ilvl w:val="0"/>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have the meaning set forth in Section 1(a).</w:t>
      </w:r>
    </w:p>
    <w:p>
      <w:pPr>
        <w:spacing w:after="0" w:line="174" w:lineRule="exact"/>
        <w:rPr>
          <w:rFonts w:ascii="Courier New" w:cs="Courier New" w:eastAsia="Courier New" w:hAnsi="Courier New"/>
          <w:sz w:val="15"/>
          <w:szCs w:val="15"/>
          <w:color w:val="auto"/>
        </w:rPr>
      </w:pPr>
    </w:p>
    <w:p>
      <w:pPr>
        <w:ind w:left="9" w:right="3299" w:firstLine="790"/>
        <w:spacing w:after="0" w:line="239" w:lineRule="auto"/>
        <w:tabs>
          <w:tab w:leader="none" w:pos="1163" w:val="left"/>
        </w:tabs>
        <w:numPr>
          <w:ilvl w:val="0"/>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"Pre-Distribution Award" shall mean an equity, equity-based or performance-based award with respect to AT&amp;T Shares under a Prior Plan that is to be replaced by an Award under the Plan in connection with the Distribution pursuant to Section 5.3 of the Employee Benefits Agreement.</w:t>
      </w:r>
    </w:p>
    <w:p>
      <w:pPr>
        <w:spacing w:after="0" w:line="176" w:lineRule="exact"/>
        <w:rPr>
          <w:sz w:val="20"/>
          <w:szCs w:val="20"/>
          <w:color w:val="auto"/>
        </w:rPr>
      </w:pPr>
    </w:p>
    <w:p>
      <w:pPr>
        <w:ind w:left="9" w:right="3479" w:firstLine="790"/>
        <w:spacing w:after="0" w:line="238" w:lineRule="auto"/>
        <w:tabs>
          <w:tab w:leader="none" w:pos="1251" w:val="left"/>
        </w:tabs>
        <w:numPr>
          <w:ilvl w:val="0"/>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Plans" shall mean the AT&amp;T Long Term Incentive Plans as defined in the Employee Benefits Agreement.</w:t>
      </w:r>
    </w:p>
    <w:p>
      <w:pPr>
        <w:spacing w:after="0" w:line="172" w:lineRule="exact"/>
        <w:rPr>
          <w:rFonts w:ascii="Courier New" w:cs="Courier New" w:eastAsia="Courier New" w:hAnsi="Courier New"/>
          <w:sz w:val="15"/>
          <w:szCs w:val="15"/>
          <w:color w:val="auto"/>
        </w:rPr>
      </w:pPr>
    </w:p>
    <w:p>
      <w:pPr>
        <w:ind w:left="1249" w:hanging="450"/>
        <w:spacing w:after="0"/>
        <w:tabs>
          <w:tab w:leader="none" w:pos="1249" w:val="left"/>
        </w:tabs>
        <w:numPr>
          <w:ilvl w:val="0"/>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have the meaning given in Section 6(a).</w:t>
      </w:r>
    </w:p>
    <w:p>
      <w:pPr>
        <w:spacing w:after="0" w:line="174" w:lineRule="exact"/>
        <w:rPr>
          <w:rFonts w:ascii="Courier New" w:cs="Courier New" w:eastAsia="Courier New" w:hAnsi="Courier New"/>
          <w:sz w:val="15"/>
          <w:szCs w:val="15"/>
          <w:color w:val="auto"/>
        </w:rPr>
      </w:pPr>
    </w:p>
    <w:p>
      <w:pPr>
        <w:ind w:left="1249" w:hanging="450"/>
        <w:spacing w:after="0"/>
        <w:tabs>
          <w:tab w:leader="none" w:pos="1249"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Unit" shall have the meaning given in Section 7.</w:t>
      </w:r>
    </w:p>
    <w:p>
      <w:pPr>
        <w:spacing w:after="0" w:line="182" w:lineRule="exact"/>
        <w:rPr>
          <w:rFonts w:ascii="Courier New" w:cs="Courier New" w:eastAsia="Courier New" w:hAnsi="Courier New"/>
          <w:sz w:val="14"/>
          <w:szCs w:val="14"/>
          <w:color w:val="auto"/>
        </w:rPr>
      </w:pPr>
    </w:p>
    <w:p>
      <w:pPr>
        <w:ind w:left="9" w:right="3479" w:firstLine="790"/>
        <w:spacing w:after="0" w:line="238" w:lineRule="auto"/>
        <w:tabs>
          <w:tab w:leader="none" w:pos="1251" w:val="left"/>
        </w:tabs>
        <w:numPr>
          <w:ilvl w:val="0"/>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mean the shares of Class A Common Stock of AT&amp;T Comcast, par value $0.01 per share.</w:t>
      </w:r>
    </w:p>
    <w:p>
      <w:pPr>
        <w:spacing w:after="0" w:line="174" w:lineRule="exact"/>
        <w:rPr>
          <w:rFonts w:ascii="Courier New" w:cs="Courier New" w:eastAsia="Courier New" w:hAnsi="Courier New"/>
          <w:sz w:val="15"/>
          <w:szCs w:val="15"/>
          <w:color w:val="auto"/>
        </w:rPr>
      </w:pPr>
    </w:p>
    <w:p>
      <w:pPr>
        <w:ind w:left="9" w:right="3579" w:firstLine="790"/>
        <w:spacing w:after="0" w:line="264" w:lineRule="auto"/>
        <w:tabs>
          <w:tab w:leader="none" w:pos="1251"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"Tele-Communications, Inc. Incentive Plans" means any of the following plans: TCI 1998 Incentive Plan, TCI 1996 Incentive Plan, TCI 1995 Incentive Plan, TCI 1994 Incentive Plan, or TCI 1992 Incentive Plan.</w:t>
      </w:r>
    </w:p>
    <w:p>
      <w:pPr>
        <w:spacing w:after="0" w:line="159"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Section 3. Administration. The Plan shall be administered by the Committee. The Committee shall have full power and authority, subject to such orders or resolutions not inconsistent with the provisions of the Plan as may from time to time be adopted by the AT&amp;T Comcast Board, to: (i) determine whether, to what extent and under what circumstances Awards may be settled in cash, Shares or other property or cancelled or suspended, (ii) interpret and administer the Plan and any instrument or agreement entered into under the Plan;</w:t>
      </w:r>
    </w:p>
    <w:p>
      <w:pPr>
        <w:spacing w:after="0" w:line="1" w:lineRule="exact"/>
        <w:rPr>
          <w:sz w:val="20"/>
          <w:szCs w:val="20"/>
          <w:color w:val="auto"/>
        </w:rPr>
      </w:pPr>
    </w:p>
    <w:p>
      <w:pPr>
        <w:ind w:left="9" w:right="3119" w:hanging="9"/>
        <w:spacing w:after="0"/>
        <w:tabs>
          <w:tab w:leader="none" w:pos="541"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such rules and regulations and appoint such agents as it shall deem appropriate for the proper administration of the Plan; and (iv) make any other determination and take any other action that the Committee deems necessary or desirable for administration of the Plan. Decisions of the Committee shall be final, conclusive and binding upon all persons, including the Company, any Participant, any shareholder, and any employee of the Company or of any of its affiliates.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Section 4. Conversion and Replacement of Pre-Distribution Awards; Shares Subject to the Plan. (a) Pursuant to the requirements of the Employee Benefits Agreement and the Merger Agreement, Pre-Distribution Awards will be converted into and replaced by Awards under this Plan as of the Effective Time. The Committee shall take all actions necessary to effectuate such conversion and replacement, including without limitation imposing a blackout period as contemplated by Section 5.3(d)(iii) of the Employee Benefits Agreement and issuing new or amended Award Agreements or other documentation to reflect such Awards. As provided in Sections 2.9, 2.11 and 5.3 of the Employee Benefits Agreement, for purposes of each Award governed by this Plan (except for the Awards replacing the Pre-Distribution Awards identified on Schedule I hereto), the Merger shall constitute a "Change in</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457" w:right="1440" w:bottom="1440" w:gutter="0" w:footer="0" w:header="0"/>
        </w:sectPr>
      </w:pPr>
    </w:p>
    <w:bookmarkStart w:id="478" w:name="page479"/>
    <w:bookmarkEnd w:id="478"/>
    <w:p>
      <w:pPr>
        <w:ind w:right="3119"/>
        <w:spacing w:after="0"/>
        <w:rPr>
          <w:sz w:val="20"/>
          <w:szCs w:val="20"/>
          <w:color w:val="auto"/>
        </w:rPr>
      </w:pPr>
      <w:r>
        <w:rPr>
          <w:rFonts w:ascii="Courier New" w:cs="Courier New" w:eastAsia="Courier New" w:hAnsi="Courier New"/>
          <w:sz w:val="15"/>
          <w:szCs w:val="15"/>
          <w:color w:val="auto"/>
        </w:rPr>
        <w:t>Control" (or such other similar term) within the meaning the Pre-Distribution Award with respect to which each such Award shall be granted, and consequently, as of the Effective Time, (i) each such Award will be fully vested, all restrictions and deferral limitations with respect thereto shall lapse, (ii) all Performance Shares shall be considered to be earned and payable in full (based on the greater of (1) the target number of performance shares multiplied by the greater of (a) the fair market value of the shares on the grant date, or (b) the fair market value of the shares at Effective Time, or (2) the number or performance shares based on the performance factor to date multiplied by the greater of (a) the fair market value of the shares on the grant date, or (b) the fair market value of the shares at the Effective Time), (iii) all Options governed by the Plan will remain exercisable for the remainder of the full original term of the Pre-Distribution Award each such Option replaces and (iv) if a Pre-Distribution Award included a right by the committee administering the AT&amp;T Long Term Incentive Program to determine that Participant could elect to receive cash in settlement thereof upon a "Change in Control" at the "Change in Control Price" (each as defined in the AT&amp;T 1997 Long Term Incentive Program (the "AT&amp;T Long Term Incentive Program")), then the Award replacing such Pre-Distribution Award shall include a similar right with respect to the Committee, treating the consummation of the Merger as the "Change in Control" within the meaning of Section 11(b) of the AT&amp;T Long Term Incentive Program. Except as otherwise specified herein, each Award will governed by the terms of the Pre-Distribution Award with respect to which the Award is granted. For the avoidance of doubt and as provided by Section 2.11 of Employee Benefits Agreement, the terms of each Pre-Distribution Award shall include any amendment, clarification or modiciation to terms effected by the Resolutions of the Board Directors of AT&amp;T effective as of October 23, 2000 (the "October 2000 AT&amp;T Board Resolutions").</w:t>
      </w:r>
    </w:p>
    <w:p>
      <w:pPr>
        <w:spacing w:after="0" w:line="192" w:lineRule="exact"/>
        <w:rPr>
          <w:sz w:val="20"/>
          <w:szCs w:val="20"/>
          <w:color w:val="auto"/>
        </w:rPr>
      </w:pPr>
    </w:p>
    <w:p>
      <w:pPr>
        <w:ind w:right="3119" w:firstLine="790"/>
        <w:spacing w:after="0" w:line="239" w:lineRule="auto"/>
        <w:tabs>
          <w:tab w:leader="none" w:pos="1154"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issued hereunder may consist, in whole or in part, of authorized and unissued shares, treasury shares, or shares purchased in the open market or otherwise.</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merger, reorganization, consolidation, recapitalization, stock dividend, stock split, reverse stock split, spin-off or similar transaction or other change in corporate structure affecting the Shares or the AT&amp;T Shares occurring after consummation of the Merger, such adjustments and other substitutions shall be made to the Plan and to Awards as the Committee in its sole discretion deems equitable or appropriate, including without limitation such adjustments in the aggregate number, class and kind of securities which may be delivered under the Plan, in the aggregate or to any one Participant, in the number, class, kind and option or exercise price of securities subject to outstanding Options or other Awards granted under the Plan, and in the number, class and kind of securities subject to Awards granted under the Plan (including, if the Committee deems appropriate, the substitution of similar options to purchase the shares of, or other awards denominated in the shares of, another company) as the Committee may determine to be appropriate in its sole discretion; provided that the number of Shares or AT&amp;T Shares, as the case may be, subject to or referenced by any Award shall always be a whole number; provided,</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479" w:name="page480"/>
    <w:bookmarkEnd w:id="479"/>
    <w:p>
      <w:pPr>
        <w:ind w:right="3219"/>
        <w:spacing w:after="0" w:line="260" w:lineRule="auto"/>
        <w:rPr>
          <w:sz w:val="20"/>
          <w:szCs w:val="20"/>
          <w:color w:val="auto"/>
        </w:rPr>
      </w:pPr>
      <w:r>
        <w:rPr>
          <w:rFonts w:ascii="Courier New" w:cs="Courier New" w:eastAsia="Courier New" w:hAnsi="Courier New"/>
          <w:sz w:val="14"/>
          <w:szCs w:val="14"/>
          <w:color w:val="auto"/>
        </w:rPr>
        <w:t>further, that the number of AT&amp;T Shares subject to any Awards denominated in AT&amp;T Shares (and the exercise price thereof, if applicable) shall appropriately reflect the reverse stock split of the AT&amp;T Shares that is expected to occur on the Effective Date, such that the value of each such award immediately prior to such reverse stock split is the same as the value of each such award after such reverse stock split (subject to customary rounding adjustments).</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 Stock Options. (a) Certain Awards will take the form of options to acquire Shares ("Options"), as contemplated by Section 5.3(a)(ii) or Section 5.3(b) of the Employee Benefits Agreement. All Options that replace Pre-Distribution Awards consisting of stock options, the vesting of which was accelerated as a result of the consummation of the transactions contemplated by the Merger Agreement shall remain exercisable for the remainder of their full original term (as such term is set forth in the Award Agreement for the Pre-Distribution Award that the Option replaces). To the extent an Option replaces a Pre-Distribution Award that was granted in tandem with a stock appreciation right, such Option shall also have an equivalent stock appreciation right feature.</w:t>
      </w:r>
    </w:p>
    <w:p>
      <w:pPr>
        <w:spacing w:after="0" w:line="179" w:lineRule="exact"/>
        <w:rPr>
          <w:sz w:val="20"/>
          <w:szCs w:val="20"/>
          <w:color w:val="auto"/>
        </w:rPr>
      </w:pPr>
    </w:p>
    <w:p>
      <w:pPr>
        <w:ind w:right="3219" w:firstLine="790"/>
        <w:spacing w:after="0"/>
        <w:tabs>
          <w:tab w:leader="none" w:pos="1154"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Subject to the other provisions of the Plan, any Option may be exercised by the Participant in whole or in part at such time or times, and the Participant may make payment of the option price in such form or forms, including, without limitation, payment by delivery of cash, Shares or other consideration (including, where permitted by law and the Committee, Awards) having a Fair Market Value on the exercise date equal to the total option price, or by any combination of cash, Shares and other consideration as the Committee may specify in the applicable Award Agreement.</w:t>
      </w:r>
    </w:p>
    <w:p>
      <w:pPr>
        <w:spacing w:after="0" w:line="176"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No Option granted hereunder shall be an "incentive stock option" as defined in Section 422 of the Code and any successor thereto.</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6. Restricted Stock. (a) Issuance. Certain Awards will take the form of Shares subject to forfeiture and other restrictions ("Restricted Stock"), as contemplated by Section 5.3(e)(ii)(A) of the Employee Benefits Agreement. Other Awards will take the form of AT&amp;T Shares previously issued under a Prior Plan subject to forfeiture and other restrictions ("AT&amp;T Restricted Stock"), as contemplated by Section 5.3(e)(ii)(B) of the Employee Benefits Agreement.</w:t>
      </w:r>
    </w:p>
    <w:p>
      <w:pPr>
        <w:spacing w:after="0" w:line="176" w:lineRule="exact"/>
        <w:rPr>
          <w:sz w:val="20"/>
          <w:szCs w:val="20"/>
          <w:color w:val="auto"/>
        </w:rPr>
      </w:pPr>
    </w:p>
    <w:p>
      <w:pPr>
        <w:ind w:right="3119" w:firstLine="790"/>
        <w:spacing w:after="0"/>
        <w:tabs>
          <w:tab w:leader="none" w:pos="1154" w:val="left"/>
        </w:tabs>
        <w:numPr>
          <w:ilvl w:val="0"/>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Any Restricted Stock issued hereunder may be evidenced in such manner as the Committee in its sole discretion shall deem appropriate, including, without limitation, book entry registration or issuance of a stock certificate or certificates. In the event any stock certificates are issued in respect of Shares of Restricted Stock or AT&amp;T Restricted Stock awarded under the Plan, such certificate shall be registered in the name of the Participant, and shall bear an appropriate legend referring to the terms, conditions, and restrictions applicable to such Award. In the case of AT&amp;T Restricted Stock, AT&amp;T Comcast and AT&amp;T Corp. shall cooperate to accomplish the foregoing.</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480" w:name="page481"/>
    <w:bookmarkEnd w:id="480"/>
    <w:p>
      <w:pPr>
        <w:ind w:right="3119" w:firstLine="790"/>
        <w:spacing w:after="0"/>
        <w:tabs>
          <w:tab w:leader="none" w:pos="1154"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Except as otherwise provided in an applicable Award Agreement or by the Committee, upon termination of employment for any reason during the restriction period, all Shares of Restricted Stock then still subject to restriction shall be forfeited by the Participant and reacquired by the Company, and all AT&amp;T Shares of AT&amp;T Restricted Stock shall be forfeited by the Participant and reacquired by AT&amp;T Corp. Notwithstanding any other provision of this Plan, any AT&amp;T Shares subject to any Award that are for any reason forfeited by the Participant shall revert to AT&amp;T Corp. and in no event shall revert to the Company or AT&amp;T Comcast. When the restrictions applicable to an Award of Restricted Stock expire, the Committee shall promptly issue, or cause to be issued, to the Participant Shares, evidenced in such manner as the Committee shall deem appropriate. In the case of AT&amp;T Restricted Stock as to which restrictions expire, AT&amp;T Corp. shall, upon receipt from AT&amp;T Comcast of its costs incurred with respect to vesting and issuing such shares of AT&amp;T Restricted Stock, issue, or cause to be issued, AT&amp;T Shares to the Participant, and AT&amp;T Comcast and AT&amp;T Corp. shall cooperate to accomplish the foregoing. Except for its obligations to reimburse AT&amp;T Corp. pursuant to the immediately preceding sentence, AT&amp;T Comcast shall have no obligation to deliver or issue any such AT&amp;T Shares.</w:t>
      </w:r>
    </w:p>
    <w:p>
      <w:pPr>
        <w:spacing w:after="0" w:line="18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Section 7. Restricted Stock Units and Stock Units. (a) Certain Awards will take the form of restricted stock units valued with respect to Shares, as contemplated by Section 5.3(f)(ii)(A) of the Employee Benefits Agreement ("Restricted Stock Units"). Certain Awards will take the form of stock units valued with respect to AT&amp;T Shares, as contemplated by Section 5.3(f)(ii)(B) and Section 5.3(g)(ii)(B) of the Employee Benefits Agreement ("AT&amp;T Stock Units").</w:t>
      </w:r>
    </w:p>
    <w:p>
      <w:pPr>
        <w:spacing w:after="0" w:line="164" w:lineRule="exact"/>
        <w:rPr>
          <w:sz w:val="20"/>
          <w:szCs w:val="20"/>
          <w:color w:val="auto"/>
        </w:rPr>
      </w:pPr>
    </w:p>
    <w:p>
      <w:pPr>
        <w:ind w:right="3219" w:firstLine="790"/>
        <w:spacing w:after="0" w:line="239" w:lineRule="auto"/>
        <w:tabs>
          <w:tab w:leader="none" w:pos="1154"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Units shall be settled by AT&amp;T Comcast and may be paid in Shares, cash or any other form of property as the Committee shall determine. AT&amp;T Stock Units shall be settled by AT&amp;T Comcast in AT&amp;T Shares, cash or any other form of property as the Committee shall determine.</w:t>
      </w:r>
    </w:p>
    <w:p>
      <w:pPr>
        <w:spacing w:after="0" w:line="17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8. Performance Shares. Certain Awards will take the form of performance shares ("Performance Shares") valued with respect to Shares as contemplated by Section 5.3(g)(ii)(A) of the Employee Benefits Agreement. Except as provided in Section 9, Performance Shares will be distributed only after the end of the relevant Performance Period. Performance Shares may be paid in cash, Shares, other property or any combination thereof, in the sole discretion of the Committee at the time of payment. The value and performance criteria of Performance Shares shall be based on the underlying value of the Shares (taking into account the provisions of the October 2000 AT&amp;T Board Resolutions, in the case of a Change in Control) and performance measures as determined by the Committee from time to time. The performance levels to be achieved for each Performance Period and the amount of the Award to be distributed shall be conclusively determined by the Committee. Performance Shares may be paid in a lump sum or in installments following the close of the Performance Period, or in accordance with procedures established by the Committee, on a deferred basis.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481" w:name="page482"/>
    <w:bookmarkEnd w:id="481"/>
    <w:p>
      <w:pPr>
        <w:ind w:right="3219" w:firstLine="799"/>
        <w:spacing w:after="0"/>
        <w:rPr>
          <w:sz w:val="20"/>
          <w:szCs w:val="20"/>
          <w:color w:val="auto"/>
        </w:rPr>
      </w:pPr>
      <w:r>
        <w:rPr>
          <w:rFonts w:ascii="Courier New" w:cs="Courier New" w:eastAsia="Courier New" w:hAnsi="Courier New"/>
          <w:sz w:val="15"/>
          <w:szCs w:val="15"/>
          <w:color w:val="auto"/>
        </w:rPr>
        <w:t>Section 9. Change in Control Provisions. (a) Impact of Event. Notwithstanding any other provision of the Plan, any Prior Plan or other agreement or arrangement to the contrary, unless the Committee shall determine otherwise at the time of grant with respect to a particular Award, in the event of a Change in Control:</w:t>
      </w:r>
    </w:p>
    <w:p>
      <w:pPr>
        <w:spacing w:after="0" w:line="174" w:lineRule="exact"/>
        <w:rPr>
          <w:sz w:val="20"/>
          <w:szCs w:val="20"/>
          <w:color w:val="auto"/>
        </w:rPr>
      </w:pPr>
    </w:p>
    <w:p>
      <w:pPr>
        <w:ind w:right="3119" w:firstLine="1233"/>
        <w:spacing w:after="0"/>
        <w:tabs>
          <w:tab w:leader="none" w:pos="1597" w:val="left"/>
        </w:tabs>
        <w:numPr>
          <w:ilvl w:val="1"/>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Options outstanding as of the date such Change in Control is determined to have occurred, and which are not then exercisable and vested, shall vest and become fully exercisable, and all Options then outstanding shall remain exercisable for the remainder of the full original term of the Award (as set forth in the Award Agreement for the Pre-Distribution Award that the Option, replaces);</w:t>
      </w:r>
    </w:p>
    <w:p>
      <w:pPr>
        <w:spacing w:after="0" w:line="175" w:lineRule="exact"/>
        <w:rPr>
          <w:rFonts w:ascii="Courier New" w:cs="Courier New" w:eastAsia="Courier New" w:hAnsi="Courier New"/>
          <w:sz w:val="15"/>
          <w:szCs w:val="15"/>
          <w:color w:val="auto"/>
        </w:rPr>
      </w:pPr>
    </w:p>
    <w:p>
      <w:pPr>
        <w:ind w:right="3299" w:firstLine="1233"/>
        <w:spacing w:after="0"/>
        <w:tabs>
          <w:tab w:leader="none" w:pos="1686" w:val="left"/>
        </w:tabs>
        <w:numPr>
          <w:ilvl w:val="1"/>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and deferral limitations applicable to any Restricted Stock and AT&amp;T Restricted Stock shall lapse, and such Restricted Stock and AT&amp;T Restricted Stock shall become free of all restrictions and limitations and become fully vested and transferable to the full extent of the original grant;</w:t>
      </w:r>
    </w:p>
    <w:p>
      <w:pPr>
        <w:spacing w:after="0" w:line="174" w:lineRule="exact"/>
        <w:rPr>
          <w:rFonts w:ascii="Courier New" w:cs="Courier New" w:eastAsia="Courier New" w:hAnsi="Courier New"/>
          <w:sz w:val="15"/>
          <w:szCs w:val="15"/>
          <w:color w:val="auto"/>
        </w:rPr>
      </w:pPr>
    </w:p>
    <w:p>
      <w:pPr>
        <w:ind w:right="3219" w:firstLine="1233"/>
        <w:spacing w:after="0" w:line="239" w:lineRule="auto"/>
        <w:tabs>
          <w:tab w:leader="none" w:pos="1775" w:val="left"/>
        </w:tabs>
        <w:numPr>
          <w:ilvl w:val="1"/>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Performance Shares shall be considered to be earned and payable in full, and any deferral or other restriction shall lapse and such Performance Shares shall be immediately settled or distributed; and</w:t>
      </w:r>
    </w:p>
    <w:p>
      <w:pPr>
        <w:spacing w:after="0" w:line="175" w:lineRule="exact"/>
        <w:rPr>
          <w:rFonts w:ascii="Courier New" w:cs="Courier New" w:eastAsia="Courier New" w:hAnsi="Courier New"/>
          <w:sz w:val="15"/>
          <w:szCs w:val="15"/>
          <w:color w:val="auto"/>
        </w:rPr>
      </w:pPr>
    </w:p>
    <w:p>
      <w:pPr>
        <w:ind w:right="3299" w:firstLine="1233"/>
        <w:spacing w:after="0"/>
        <w:tabs>
          <w:tab w:leader="none" w:pos="1686" w:val="left"/>
        </w:tabs>
        <w:numPr>
          <w:ilvl w:val="1"/>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and deferral limitations and other conditions applicable to any Restricted Stock Units and AT&amp;T Stock Units shall lapse, and such Awards shall become free of all restrictions, limitations or conditions and become fully vested and transferable to the full extent of the original grant.</w:t>
      </w:r>
    </w:p>
    <w:p>
      <w:pPr>
        <w:spacing w:after="0" w:line="174"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Cash-Out. Notwithstanding any other provision of the Plan, during the 60-day period from and after a Change in Control (the "Exercise Period"), if the Committee shall determine; a Participant holding an Option shall have the right, whether or not the Option is fully exercisable and in lieu of the payment of the purchase price for the Shares being purchased under the Option and by giving notice to the Company, to elect (within the Exercise Period) to surrender all or part of the Option to the Company and to receive cash, within 30 days of such notice, in an amount equal to the amount by which the Change in Control Price per Share on the date of such election shall exceed the purchase price per Share under the Option, multiplied by the number of Shares granted under the Option as to which the right granted under this Section 9(b) shall have been exercised.</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10. Amendments and Termination. The AT&amp;T Comcast Board may amend, alter, suspend, discontinue or terminate the Plan or any portion thereof at any time; provided that no such amendment, alteration, suspension, discontinuation or termination shall be made without (i) shareholder approval if such approval is necessary to qualify for or comply with any tax, regulatory or other requirement for which or with which the AT&amp;T Comcast Board deems it necessary or desirable to qualify or comply or (ii) the consent of the affected Participant, if such action would impair the rights of such Participant under any outstanding Award. Notwithstanding anything to the contrary herein, the Committee may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0" w:right="1440" w:bottom="1440" w:gutter="0" w:footer="0" w:header="0"/>
        </w:sectPr>
      </w:pPr>
    </w:p>
    <w:bookmarkStart w:id="482" w:name="page483"/>
    <w:bookmarkEnd w:id="482"/>
    <w:p>
      <w:pPr>
        <w:ind w:right="3119"/>
        <w:spacing w:after="0" w:line="271" w:lineRule="auto"/>
        <w:rPr>
          <w:sz w:val="20"/>
          <w:szCs w:val="20"/>
          <w:color w:val="auto"/>
        </w:rPr>
      </w:pPr>
      <w:r>
        <w:rPr>
          <w:rFonts w:ascii="Courier New" w:cs="Courier New" w:eastAsia="Courier New" w:hAnsi="Courier New"/>
          <w:sz w:val="14"/>
          <w:szCs w:val="14"/>
          <w:color w:val="auto"/>
        </w:rPr>
        <w:t>amend the Plan in such manner as may be necessary so as to have the Plan conform to local rules and regulations in any jurisdiction outside the United States.</w:t>
      </w:r>
    </w:p>
    <w:p>
      <w:pPr>
        <w:spacing w:after="0" w:line="15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Committee may amend the terms of any Award theretofore granted, prospectively or retroactively, but no such amendment shall impair the rights of any Participant without his or her consent. Notwithstanding any provision of this plan, the Committee may not amend the terms of any Option to reduce the option price nor may the Committee, without prior shareholder approval, cancel any outstanding Option and replace it with a new Option with a lower option price, where the economic effect would be the same as reducing the option price of the canceled Option.</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11. General Provisions. (a) No Award, and no Shares subject to Awards that have not been issued as to which any applicable restriction, performance or deferral period has not lapsed, may be sold, assigned, transferred, pledged or otherwise encumbered, except (i) by will, (ii) by the laws of descent and distribution or (iii) pursuant to a Domestic Relations Order, in the case of Awards granted with respect to Pre-Distribution Awards granted under the Tele-Communications, Inc. Incentive Plans that by their terms allowed for transfer of such Pre-Distribution Award pursuant to a Domestic Relations Order; provided that, if so determined by the Committee, a Participant may, in the manner established by the Committee, designate a beneficiary to exercise the rights of the Participant with respect to any Award upon the death of the Participant. Any designation of a beneficiary made with respect to a Pre-Distribution Award prior to the effective date of the Plan as set forth in Section 12 shall not be effective with respect to any Award granted under the Plan. Except as otherwise required pursuant a Domestic Relations Order in connection with an Award described in clause (iii) of the immediately preceding sentence, each Award shall be exercisable, during the Participant's lifetime, only by the Participant or, if permissible under applicable law, by the Participant's guardian or legal representative.</w:t>
      </w:r>
    </w:p>
    <w:p>
      <w:pPr>
        <w:spacing w:after="0" w:line="185" w:lineRule="exact"/>
        <w:rPr>
          <w:sz w:val="20"/>
          <w:szCs w:val="20"/>
          <w:color w:val="auto"/>
        </w:rPr>
      </w:pPr>
    </w:p>
    <w:p>
      <w:pPr>
        <w:ind w:right="3299" w:firstLine="790"/>
        <w:spacing w:after="0" w:line="239" w:lineRule="auto"/>
        <w:tabs>
          <w:tab w:leader="none" w:pos="1154" w:val="left"/>
        </w:tabs>
        <w:numPr>
          <w:ilvl w:val="0"/>
          <w:numId w:val="7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shall have any claim to be granted any Award under the Plan or to have any Award converted pursuant to the Plan and there is no obligation for uniformity of treatment of Participants under the Plan.</w:t>
      </w:r>
    </w:p>
    <w:p>
      <w:pPr>
        <w:spacing w:after="0" w:line="175" w:lineRule="exact"/>
        <w:rPr>
          <w:rFonts w:ascii="Courier New" w:cs="Courier New" w:eastAsia="Courier New" w:hAnsi="Courier New"/>
          <w:sz w:val="15"/>
          <w:szCs w:val="15"/>
          <w:color w:val="auto"/>
        </w:rPr>
      </w:pPr>
    </w:p>
    <w:p>
      <w:pPr>
        <w:ind w:right="3219" w:firstLine="790"/>
        <w:spacing w:after="0" w:line="259" w:lineRule="auto"/>
        <w:tabs>
          <w:tab w:leader="none" w:pos="1154"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authorized to make adjustments in performance award criteria or in the terms and conditions of other Awards in recognition of unusual or nonrecurring events affecting the Company or its financial statements or changes in applicable laws, regulations or accounting principles. Notwithstanding the foregoing sentence, except as provided with respect to an individual Participant in an agreement to which AT&amp;T Comcast is a party, with respect to Awards that are intended to meet the requirements of "performance-based compensation" within the meaning of Section 162(m)(4)(C) of the Code, or any successor provisions thereto, the Committee may adjustement downwards, but not upwards the amounts payable pursuant to such awards, and the Committee may not waive the achievement of the applicable performance goals except in the case of the death or disability of the Participant, to the extent doing so would cause the Awards to be subject to the deduction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483" w:name="page484"/>
    <w:bookmarkEnd w:id="483"/>
    <w:p>
      <w:pPr>
        <w:ind w:right="3219"/>
        <w:spacing w:after="0" w:line="264" w:lineRule="auto"/>
        <w:rPr>
          <w:sz w:val="20"/>
          <w:szCs w:val="20"/>
          <w:color w:val="auto"/>
        </w:rPr>
      </w:pPr>
      <w:r>
        <w:rPr>
          <w:rFonts w:ascii="Courier New" w:cs="Courier New" w:eastAsia="Courier New" w:hAnsi="Courier New"/>
          <w:sz w:val="14"/>
          <w:szCs w:val="14"/>
          <w:color w:val="auto"/>
        </w:rPr>
        <w:t>limitation of Section 162(m) of the Code. The Committee may correct any defect, supply any omission or reconcile any inconsistency in the Plan or any Award in the manner and to the extent it shall deem desirable to carry it into effect.</w:t>
      </w:r>
    </w:p>
    <w:p>
      <w:pPr>
        <w:spacing w:after="0" w:line="159" w:lineRule="exact"/>
        <w:rPr>
          <w:sz w:val="20"/>
          <w:szCs w:val="20"/>
          <w:color w:val="auto"/>
        </w:rPr>
      </w:pPr>
    </w:p>
    <w:p>
      <w:pPr>
        <w:ind w:right="3119" w:firstLine="790"/>
        <w:spacing w:after="0" w:line="239" w:lineRule="auto"/>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power and authority to determine whether, to what extent and under what circumstances any Award shall be canceled or suspended.</w:t>
      </w:r>
    </w:p>
    <w:p>
      <w:pPr>
        <w:spacing w:after="0" w:line="175" w:lineRule="exact"/>
        <w:rPr>
          <w:rFonts w:ascii="Courier New" w:cs="Courier New" w:eastAsia="Courier New" w:hAnsi="Courier New"/>
          <w:sz w:val="15"/>
          <w:szCs w:val="15"/>
          <w:color w:val="auto"/>
        </w:rPr>
      </w:pPr>
    </w:p>
    <w:p>
      <w:pPr>
        <w:ind w:right="3119" w:firstLine="790"/>
        <w:spacing w:after="0" w:line="260" w:lineRule="auto"/>
        <w:tabs>
          <w:tab w:leader="none" w:pos="1154" w:val="left"/>
        </w:tabs>
        <w:numPr>
          <w:ilvl w:val="0"/>
          <w:numId w:val="7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certificates for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are then listed, and any applicable Federal or state securities law, and the Committee may cause a legend or legends to be put on any such certificates to make appropriate reference to such restrictions.</w:t>
      </w:r>
    </w:p>
    <w:p>
      <w:pPr>
        <w:spacing w:after="0" w:line="162" w:lineRule="exact"/>
        <w:rPr>
          <w:rFonts w:ascii="Courier New" w:cs="Courier New" w:eastAsia="Courier New" w:hAnsi="Courier New"/>
          <w:sz w:val="14"/>
          <w:szCs w:val="14"/>
          <w:color w:val="auto"/>
        </w:rPr>
      </w:pPr>
    </w:p>
    <w:p>
      <w:pPr>
        <w:ind w:right="3219" w:firstLine="790"/>
        <w:spacing w:after="0"/>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Award governed by the Plan shall be construed as an offer to sell securities of AT&amp;T Comcast, the Company or AT&amp;T Corp.,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175" w:lineRule="exact"/>
        <w:rPr>
          <w:rFonts w:ascii="Courier New" w:cs="Courier New" w:eastAsia="Courier New" w:hAnsi="Courier New"/>
          <w:sz w:val="15"/>
          <w:szCs w:val="15"/>
          <w:color w:val="auto"/>
        </w:rPr>
      </w:pPr>
    </w:p>
    <w:p>
      <w:pPr>
        <w:ind w:right="3219" w:firstLine="790"/>
        <w:spacing w:after="0" w:line="238" w:lineRule="auto"/>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be authorized to establish procedures pursuant to which the payment of any Award may be deferred.</w:t>
      </w:r>
    </w:p>
    <w:p>
      <w:pPr>
        <w:spacing w:after="0" w:line="174" w:lineRule="exact"/>
        <w:rPr>
          <w:rFonts w:ascii="Courier New" w:cs="Courier New" w:eastAsia="Courier New" w:hAnsi="Courier New"/>
          <w:sz w:val="15"/>
          <w:szCs w:val="15"/>
          <w:color w:val="auto"/>
        </w:rPr>
      </w:pPr>
    </w:p>
    <w:p>
      <w:pPr>
        <w:ind w:right="3299" w:firstLine="790"/>
        <w:spacing w:after="0" w:line="239" w:lineRule="auto"/>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in any applicable Award Agreement or by the terms of the Plan, recipients of Awards under the Plan shall not be required to make any payment or provide consideration other than the rendering of services.</w:t>
      </w:r>
    </w:p>
    <w:p>
      <w:pPr>
        <w:spacing w:after="0" w:line="176"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and the Committee shall be authorized to withhold from any Award granted or payment due under the Plan the amount of withholding taxes due in respect of an Award or payment hereunder and to take such other action as may be necessary in the opinion of the AT&amp;T Comcast or the Company to satisfy all obligations for the payment of such taxes. The Committee shall be authorized to establish procedures for election by Participants to satisfy such obligation for the payment of such taxes by delivery or transfer of Shares to the Company (up to the employer's minimum required tax withholding rate to the extent the Participant has owned the surrendered shares for less than six months if such a limitation is necessary to avoid a charge to the Company for financial reporting purposes), or by directing the Company to retain Shares (up to the employer's minimum required tax withholding rate) otherwise deliverable in connection with the Award.</w:t>
      </w:r>
    </w:p>
    <w:p>
      <w:pPr>
        <w:spacing w:after="0" w:line="180"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Plan shall prevent the AT&amp;T Comcast Board from adopting other or additional compensation arrangements, subject to shareholder approval if such approval is required; and such arrangements may be either generally applicable or applicable only in specific cases.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484" w:name="page485"/>
    <w:bookmarkEnd w:id="484"/>
    <w:p>
      <w:pPr>
        <w:ind w:right="3219" w:firstLine="790"/>
        <w:spacing w:after="0" w:line="239" w:lineRule="auto"/>
        <w:tabs>
          <w:tab w:leader="none" w:pos="1154" w:val="left"/>
        </w:tabs>
        <w:numPr>
          <w:ilvl w:val="0"/>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construction, and effect of the Plan and any rules and regulations relating to the Plan shall be determined in accordance with the laws of the State of Pennsylvania and applicable Federal law.</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Plan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it shall be stricken and the remainder of the Plan shall remain in full force and effect.</w:t>
      </w:r>
    </w:p>
    <w:p>
      <w:pPr>
        <w:spacing w:after="0" w:line="176"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Section 12. Effective Date of Plan. The Plan shall be effective as of the Effective Date of the Merger (as defined in the Merger Agreement).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485" w:name="page486"/>
    <w:bookmarkEnd w:id="485"/>
    <w:p>
      <w:pPr>
        <w:ind w:left="3109"/>
        <w:spacing w:after="0"/>
        <w:rPr>
          <w:sz w:val="20"/>
          <w:szCs w:val="20"/>
          <w:color w:val="auto"/>
        </w:rPr>
      </w:pPr>
      <w:r>
        <w:rPr>
          <w:rFonts w:ascii="Courier New" w:cs="Courier New" w:eastAsia="Courier New" w:hAnsi="Courier New"/>
          <w:sz w:val="15"/>
          <w:szCs w:val="15"/>
          <w:color w:val="auto"/>
        </w:rPr>
        <w:t>Schedule I</w:t>
      </w:r>
    </w:p>
    <w:p>
      <w:pPr>
        <w:spacing w:after="0" w:line="200" w:lineRule="exact"/>
        <w:rPr>
          <w:sz w:val="20"/>
          <w:szCs w:val="20"/>
          <w:color w:val="auto"/>
        </w:rPr>
      </w:pPr>
    </w:p>
    <w:p>
      <w:pPr>
        <w:spacing w:after="0" w:line="313" w:lineRule="exact"/>
        <w:rPr>
          <w:sz w:val="20"/>
          <w:szCs w:val="20"/>
          <w:color w:val="auto"/>
        </w:rPr>
      </w:pPr>
    </w:p>
    <w:p>
      <w:pPr>
        <w:ind w:left="269" w:hanging="269"/>
        <w:spacing w:after="0"/>
        <w:tabs>
          <w:tab w:leader="none" w:pos="269" w:val="left"/>
        </w:tabs>
        <w:numPr>
          <w:ilvl w:val="0"/>
          <w:numId w:val="7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granted on or after December 19, 2001</w:t>
      </w:r>
    </w:p>
    <w:p>
      <w:pPr>
        <w:spacing w:after="0" w:line="174"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pursuant to Section 5.3(b) of the Employee Benefits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799" w:right="1440" w:bottom="1440" w:gutter="0" w:footer="0" w:header="0"/>
        </w:sectPr>
      </w:pPr>
    </w:p>
    <w:bookmarkStart w:id="486" w:name="page487"/>
    <w:bookmarkEnd w:id="48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60" w:type="dxa"/>
            <w:vAlign w:val="bottom"/>
          </w:tcPr>
          <w:p>
            <w:pPr>
              <w:ind w:left="1700"/>
              <w:spacing w:after="0"/>
              <w:rPr>
                <w:sz w:val="20"/>
                <w:szCs w:val="20"/>
                <w:color w:val="auto"/>
              </w:rPr>
            </w:pPr>
            <w:r>
              <w:rPr>
                <w:rFonts w:ascii="Courier New" w:cs="Courier New" w:eastAsia="Courier New" w:hAnsi="Courier New"/>
                <w:sz w:val="15"/>
                <w:szCs w:val="15"/>
                <w:color w:val="auto"/>
              </w:rPr>
              <w:t>State of</w:t>
            </w:r>
          </w:p>
        </w:tc>
      </w:tr>
      <w:tr>
        <w:trPr>
          <w:trHeight w:val="171"/>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Entity Name</w:t>
            </w:r>
          </w:p>
        </w:tc>
        <w:tc>
          <w:tcPr>
            <w:tcW w:w="2760" w:type="dxa"/>
            <w:vAlign w:val="bottom"/>
          </w:tcPr>
          <w:p>
            <w:pPr>
              <w:jc w:val="center"/>
              <w:ind w:left="1366"/>
              <w:spacing w:after="0"/>
              <w:rPr>
                <w:sz w:val="20"/>
                <w:szCs w:val="20"/>
                <w:color w:val="auto"/>
              </w:rPr>
            </w:pPr>
            <w:r>
              <w:rPr>
                <w:rFonts w:ascii="Courier New" w:cs="Courier New" w:eastAsia="Courier New" w:hAnsi="Courier New"/>
                <w:sz w:val="15"/>
                <w:szCs w:val="15"/>
                <w:color w:val="auto"/>
                <w:w w:val="98"/>
              </w:rPr>
              <w:t>Formation</w:t>
            </w:r>
          </w:p>
        </w:tc>
      </w:tr>
      <w:tr>
        <w:trPr>
          <w:trHeight w:val="171"/>
        </w:trPr>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jc w:val="center"/>
              <w:ind w:left="136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1227844 Ontario Ltd.</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Ontario</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ABB MOG-WM,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ABB RFL,</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Affiliate Investment,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Affiliate Marks Investment,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Affiliate Relations Holdings,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Affiliate Sales &amp; Marketing,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American</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Microwave &amp; Communications,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American</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Televenture of Minersville,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Ames Cablevision,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Athena Cablevision Corporation of Knoxville</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TN</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Athena Cablevision of Tennessee and Kentucky,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TN</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Athena Realty,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Atlantic</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American Cablevision of Florida,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Atlantic</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American Cablevision,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Atlantic</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American Holdings,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Atlantic</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Cablevision of Florida,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Bay Area</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Interconnect</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Beatrice</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TV Company</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NE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Brigand Pictures,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NY</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Austria GmbH</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Austria</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Czech a.s.</w:t>
            </w:r>
          </w:p>
        </w:tc>
        <w:tc>
          <w:tcPr>
            <w:tcW w:w="4160" w:type="dxa"/>
            <w:vAlign w:val="bottom"/>
          </w:tcPr>
          <w:p>
            <w:pPr>
              <w:spacing w:after="0"/>
              <w:rPr>
                <w:sz w:val="14"/>
                <w:szCs w:val="14"/>
                <w:color w:val="auto"/>
              </w:rPr>
            </w:pP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8"/>
              </w:rPr>
              <w:t>Czech Republic</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Czech s.r.o.</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8"/>
              </w:rPr>
              <w:t>Czech Republic</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Danmark ApS</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Denmark</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Europe SPRL</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Belgium</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France S.A.S.</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6"/>
              </w:rPr>
              <w:t>France</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Hellas S.A.</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6"/>
              </w:rPr>
              <w:t>Greece</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Holdings, B.V.</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9"/>
              </w:rPr>
              <w:t>The Netherlands</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Hungary Holdings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Italy Holdings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Italy No. 2, Ltd.</w:t>
            </w:r>
          </w:p>
        </w:tc>
        <w:tc>
          <w:tcPr>
            <w:tcW w:w="2760" w:type="dxa"/>
            <w:vAlign w:val="bottom"/>
          </w:tcPr>
          <w:p>
            <w:pPr>
              <w:jc w:val="center"/>
              <w:ind w:left="1366"/>
              <w:spacing w:after="0"/>
              <w:rPr>
                <w:sz w:val="20"/>
                <w:szCs w:val="20"/>
                <w:color w:val="auto"/>
              </w:rPr>
            </w:pPr>
            <w:r>
              <w:rPr>
                <w:rFonts w:ascii="Courier New" w:cs="Courier New" w:eastAsia="Courier New" w:hAnsi="Courier New"/>
                <w:sz w:val="15"/>
                <w:szCs w:val="15"/>
                <w:color w:val="auto"/>
                <w:w w:val="97"/>
              </w:rPr>
              <w:t>Italy</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Italy SPA</w:t>
            </w:r>
          </w:p>
        </w:tc>
        <w:tc>
          <w:tcPr>
            <w:tcW w:w="4160" w:type="dxa"/>
            <w:vAlign w:val="bottom"/>
          </w:tcPr>
          <w:p>
            <w:pPr>
              <w:spacing w:after="0"/>
              <w:rPr>
                <w:sz w:val="14"/>
                <w:szCs w:val="14"/>
                <w:color w:val="auto"/>
              </w:rPr>
            </w:pPr>
          </w:p>
        </w:tc>
        <w:tc>
          <w:tcPr>
            <w:tcW w:w="2760" w:type="dxa"/>
            <w:vAlign w:val="bottom"/>
          </w:tcPr>
          <w:p>
            <w:pPr>
              <w:jc w:val="center"/>
              <w:ind w:left="1366"/>
              <w:spacing w:after="0"/>
              <w:rPr>
                <w:sz w:val="20"/>
                <w:szCs w:val="20"/>
                <w:color w:val="auto"/>
              </w:rPr>
            </w:pPr>
            <w:r>
              <w:rPr>
                <w:rFonts w:ascii="Courier New" w:cs="Courier New" w:eastAsia="Courier New" w:hAnsi="Courier New"/>
                <w:sz w:val="15"/>
                <w:szCs w:val="15"/>
                <w:color w:val="auto"/>
                <w:w w:val="97"/>
              </w:rPr>
              <w:t>Italy</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Magyarorszag Kft</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Hungary</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Norge A.S.</w:t>
            </w:r>
          </w:p>
        </w:tc>
        <w:tc>
          <w:tcPr>
            <w:tcW w:w="4160" w:type="dxa"/>
            <w:vAlign w:val="bottom"/>
          </w:tcPr>
          <w:p>
            <w:pPr>
              <w:spacing w:after="0"/>
              <w:rPr>
                <w:sz w:val="14"/>
                <w:szCs w:val="14"/>
                <w:color w:val="auto"/>
              </w:rPr>
            </w:pP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6"/>
              </w:rPr>
              <w:t>Norway</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Poland Holdings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Polska s.p.z.o.o.</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6"/>
              </w:rPr>
              <w:t>Poland</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Portugal, S.A.</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9"/>
              </w:rPr>
              <w:t>Portugal</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Slovakia s.r.o.</w:t>
            </w:r>
          </w:p>
        </w:tc>
        <w:tc>
          <w:tcPr>
            <w:tcW w:w="2760" w:type="dxa"/>
            <w:vAlign w:val="bottom"/>
          </w:tcPr>
          <w:p>
            <w:pPr>
              <w:jc w:val="center"/>
              <w:ind w:left="1446"/>
              <w:spacing w:after="0"/>
              <w:rPr>
                <w:sz w:val="20"/>
                <w:szCs w:val="20"/>
                <w:color w:val="auto"/>
              </w:rPr>
            </w:pPr>
            <w:r>
              <w:rPr>
                <w:rFonts w:ascii="Courier New" w:cs="Courier New" w:eastAsia="Courier New" w:hAnsi="Courier New"/>
                <w:sz w:val="15"/>
                <w:szCs w:val="15"/>
                <w:color w:val="auto"/>
                <w:w w:val="99"/>
              </w:rPr>
              <w:t>Slovakia</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Suisse A.S.</w:t>
            </w:r>
          </w:p>
        </w:tc>
        <w:tc>
          <w:tcPr>
            <w:tcW w:w="2760" w:type="dxa"/>
            <w:vAlign w:val="bottom"/>
          </w:tcPr>
          <w:p>
            <w:pPr>
              <w:jc w:val="center"/>
              <w:ind w:left="1346"/>
              <w:spacing w:after="0"/>
              <w:rPr>
                <w:sz w:val="20"/>
                <w:szCs w:val="20"/>
                <w:color w:val="auto"/>
              </w:rPr>
            </w:pPr>
            <w:r>
              <w:rPr>
                <w:rFonts w:ascii="Courier New" w:cs="Courier New" w:eastAsia="Courier New" w:hAnsi="Courier New"/>
                <w:sz w:val="15"/>
                <w:szCs w:val="15"/>
                <w:color w:val="auto"/>
                <w:w w:val="98"/>
              </w:rPr>
              <w:t>Switzerland</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BroadNet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UK Ltd.</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Accounting,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Adnet Partners</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Network Television,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Programming Ventures, LLC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Sports Southeast, LLC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Television Advertising Group,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WY</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 Television of Gary,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IN</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12-B,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12-B/C/D Venture</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12-C,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12-D,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14-A,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Cable TV</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 14-B,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Cabletime,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Cablevision Investment of Detroit,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Cablevision of Arcadia/Sierra Madre,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341"/>
        </w:trPr>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tcPr>
          <w:p>
            <w:pPr>
              <w:ind w:left="1680"/>
              <w:spacing w:after="0"/>
              <w:rPr>
                <w:sz w:val="20"/>
                <w:szCs w:val="20"/>
                <w:color w:val="auto"/>
              </w:rPr>
            </w:pPr>
            <w:r>
              <w:rPr>
                <w:rFonts w:ascii="Courier New" w:cs="Courier New" w:eastAsia="Courier New" w:hAnsi="Courier New"/>
                <w:sz w:val="15"/>
                <w:szCs w:val="15"/>
                <w:color w:val="auto"/>
              </w:rPr>
              <w:t>-1-</w:t>
            </w:r>
          </w:p>
        </w:tc>
        <w:tc>
          <w:tcPr>
            <w:tcW w:w="2760" w:type="dxa"/>
            <w:vAlign w:val="bottom"/>
          </w:tcPr>
          <w:p>
            <w:pPr>
              <w:spacing w:after="0"/>
              <w:rPr>
                <w:sz w:val="24"/>
                <w:szCs w:val="24"/>
                <w:color w:val="auto"/>
              </w:rPr>
            </w:pPr>
          </w:p>
        </w:tc>
      </w:tr>
      <w:tr>
        <w:trPr>
          <w:trHeight w:val="660"/>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CATV Facility Co.,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CCC Sub,</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CCC-NJFT,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CCF Management Services,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CCI Management Services,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CDirect Mexico I,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CDirect Mexico II,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Channel 3 Everett,</w:t>
            </w:r>
          </w:p>
        </w:tc>
        <w:tc>
          <w:tcPr>
            <w:tcW w:w="41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WA</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Classic Services,</w:t>
            </w:r>
          </w:p>
        </w:tc>
        <w:tc>
          <w:tcPr>
            <w:tcW w:w="41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Clinton Cable TV Investors,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Clinton TV Cable Company,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Coastal Cable TV,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Colorado</w:t>
            </w:r>
          </w:p>
        </w:tc>
        <w:tc>
          <w:tcPr>
            <w:tcW w:w="5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Terrace Tower II Corporation</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COM Indiana, LLC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 Indianapolis, LLC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COM Inkster,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COM MH, LLC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 South Limited Partnership</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COM South, LLC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 Sports Holding Company,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 Sports Ventures,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Com-Cable TV,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Comcast 38GHZ, Inc.</w:t>
            </w:r>
          </w:p>
        </w:tc>
        <w:tc>
          <w:tcPr>
            <w:tcW w:w="4160" w:type="dxa"/>
            <w:vAlign w:val="bottom"/>
          </w:tcPr>
          <w:p>
            <w:pPr>
              <w:spacing w:after="0"/>
              <w:rPr>
                <w:sz w:val="14"/>
                <w:szCs w:val="14"/>
                <w:color w:val="auto"/>
              </w:rPr>
            </w:pP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BIS Payroll,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Business Services,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Cablevision IV, Ltd.</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Cablevision V,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CSC Holdings,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CSC II,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HCI, LLC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840" w:type="dxa"/>
            <w:vAlign w:val="bottom"/>
            <w:gridSpan w:val="3"/>
          </w:tcPr>
          <w:p>
            <w:pPr>
              <w:spacing w:after="0"/>
              <w:rPr>
                <w:sz w:val="20"/>
                <w:szCs w:val="20"/>
                <w:color w:val="auto"/>
              </w:rPr>
            </w:pPr>
            <w:r>
              <w:rPr>
                <w:rFonts w:ascii="Courier New" w:cs="Courier New" w:eastAsia="Courier New" w:hAnsi="Courier New"/>
                <w:sz w:val="15"/>
                <w:szCs w:val="15"/>
                <w:color w:val="auto"/>
              </w:rPr>
              <w:t>Comcast ABB Holdings I, Inc.</w:t>
            </w:r>
          </w:p>
        </w:tc>
        <w:tc>
          <w:tcPr>
            <w:tcW w:w="2760" w:type="dxa"/>
            <w:vAlign w:val="bottom"/>
          </w:tcPr>
          <w:p>
            <w:pPr>
              <w:jc w:val="center"/>
              <w:ind w:left="1426"/>
              <w:spacing w:after="0"/>
              <w:rPr>
                <w:sz w:val="20"/>
                <w:szCs w:val="20"/>
                <w:color w:val="auto"/>
              </w:rPr>
            </w:pPr>
            <w:r>
              <w:rPr>
                <w:rFonts w:ascii="Courier New" w:cs="Courier New" w:eastAsia="Courier New" w:hAnsi="Courier New"/>
                <w:sz w:val="15"/>
                <w:szCs w:val="15"/>
                <w:color w:val="auto"/>
                <w:w w:val="99"/>
              </w:rPr>
              <w:t>DE</w:t>
            </w:r>
          </w:p>
        </w:tc>
      </w:tr>
    </w:tbl>
    <w:p>
      <w:pPr>
        <w:sectPr>
          <w:pgSz w:w="11900" w:h="16870" w:orient="portrait"/>
          <w:cols w:equalWidth="0" w:num="1">
            <w:col w:w="10219"/>
          </w:cols>
          <w:pgMar w:left="240" w:top="309" w:right="1440" w:bottom="0" w:gutter="0" w:footer="0" w:header="0"/>
        </w:sectPr>
      </w:pPr>
    </w:p>
    <w:bookmarkStart w:id="487" w:name="page488"/>
    <w:bookmarkEnd w:id="4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Holdings II,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ABB LCI,</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Management Corporation</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Network Solutions,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ABB NOC,</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Clinton</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IA</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Georgia II,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GA</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Kiowa,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Mississippi/Iowa,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Ohio/Iowa,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Oregon,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OR</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of Payette,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OR</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Overseas Holdings I,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Overseas Holdings II,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ABB Overseas Holdings,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ABB USC,</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Advertising Sales,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ASBC,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Comcast Brazil,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BroadNet</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Payroll Services,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Business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Financing,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Business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Holdings,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Business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of Virginia,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VA</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Business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Purchasing, LLC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Business</w:t>
            </w:r>
          </w:p>
        </w:tc>
        <w:tc>
          <w:tcPr>
            <w:tcW w:w="46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Inc.</w:t>
            </w:r>
          </w:p>
        </w:tc>
        <w:tc>
          <w:tcPr>
            <w:tcW w:w="1980" w:type="dxa"/>
            <w:vAlign w:val="bottom"/>
          </w:tcPr>
          <w:p>
            <w:pPr>
              <w:ind w:left="1800"/>
              <w:spacing w:after="0"/>
              <w:rPr>
                <w:sz w:val="20"/>
                <w:szCs w:val="20"/>
                <w:color w:val="auto"/>
              </w:rPr>
            </w:pPr>
            <w:r>
              <w:rPr>
                <w:rFonts w:ascii="Courier New" w:cs="Courier New" w:eastAsia="Courier New" w:hAnsi="Courier New"/>
                <w:sz w:val="15"/>
                <w:szCs w:val="15"/>
                <w:color w:val="auto"/>
                <w:w w:val="88"/>
              </w:rPr>
              <w:t>PA</w:t>
            </w:r>
          </w:p>
        </w:tc>
      </w:tr>
      <w:tr>
        <w:trPr>
          <w:trHeight w:val="341"/>
        </w:trPr>
        <w:tc>
          <w:tcPr>
            <w:tcW w:w="1460" w:type="dxa"/>
            <w:vAlign w:val="bottom"/>
          </w:tcPr>
          <w:p>
            <w:pPr>
              <w:spacing w:after="0"/>
              <w:rPr>
                <w:sz w:val="24"/>
                <w:szCs w:val="24"/>
                <w:color w:val="auto"/>
              </w:rPr>
            </w:pPr>
          </w:p>
        </w:tc>
        <w:tc>
          <w:tcPr>
            <w:tcW w:w="4620" w:type="dxa"/>
            <w:vAlign w:val="bottom"/>
          </w:tcPr>
          <w:p>
            <w:pPr>
              <w:ind w:left="1900"/>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488" w:name="page489"/>
    <w:bookmarkEnd w:id="4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Communications Holdings,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Communications Management,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Communications,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 Funding</w:t>
            </w:r>
          </w:p>
        </w:tc>
        <w:tc>
          <w:tcPr>
            <w:tcW w:w="4260" w:type="dxa"/>
            <w:vAlign w:val="bottom"/>
          </w:tcPr>
          <w:p>
            <w:pPr>
              <w:spacing w:after="0"/>
              <w:rPr>
                <w:sz w:val="14"/>
                <w:szCs w:val="14"/>
                <w:color w:val="auto"/>
              </w:rPr>
            </w:pP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Funding GP,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Funding I,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Holdings,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Investors,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Dallas,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Indiana,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Indiana/Michigan/Texas I,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Indiana/Michigan/Texas,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Maryland,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Plano,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of Richardson,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 of Texas</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II,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TX</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 SC Investment,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 Trust I</w:t>
            </w:r>
          </w:p>
        </w:tc>
        <w:tc>
          <w:tcPr>
            <w:tcW w:w="4260" w:type="dxa"/>
            <w:vAlign w:val="bottom"/>
          </w:tcPr>
          <w:p>
            <w:pPr>
              <w:spacing w:after="0"/>
              <w:rPr>
                <w:sz w:val="14"/>
                <w:szCs w:val="14"/>
                <w:color w:val="auto"/>
              </w:rPr>
            </w:pP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 Trust II</w:t>
            </w:r>
          </w:p>
        </w:tc>
        <w:tc>
          <w:tcPr>
            <w:tcW w:w="4260" w:type="dxa"/>
            <w:vAlign w:val="bottom"/>
          </w:tcPr>
          <w:p>
            <w:pPr>
              <w:spacing w:after="0"/>
              <w:rPr>
                <w:sz w:val="14"/>
                <w:szCs w:val="14"/>
                <w:color w:val="auto"/>
              </w:rPr>
            </w:pP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Comcast Cable Trust III</w:t>
            </w:r>
          </w:p>
        </w:tc>
        <w:tc>
          <w:tcPr>
            <w:tcW w:w="4260" w:type="dxa"/>
            <w:vAlign w:val="bottom"/>
          </w:tcPr>
          <w:p>
            <w:pPr>
              <w:spacing w:after="0"/>
              <w:rPr>
                <w:sz w:val="14"/>
                <w:szCs w:val="14"/>
                <w:color w:val="auto"/>
              </w:rPr>
            </w:pP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Cablevision Corporation of California,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Comcast Cablevision Corporation of Connecticut</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Alabama,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AL</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Arizona,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Arkansas,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Avalon,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Baltimore City GP,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Baltimore City,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Baltimore City, L.P.</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Bryant,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AR</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Burlington County,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Carolina,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SC</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Celebration,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Central New Jersey,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Chesterfield County,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VA</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Clinton</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Clinton,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Clinton,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Danbury,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Delmarva,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Detroit,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Eastern Shore,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Elkton,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Flint,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Fort Wayne Limited Partnership</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IN</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Garden State L.P.</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Georgia/South Carolina,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Gloucester County,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Grosse Pointe,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Groton,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CT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Harford County, LLC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Hopewell Valley,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NJ</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Indianapolis, Inc.</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Indianapolis, L.P.</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Comcast Cablevision of</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Inkster Limited Partnership</w:t>
            </w:r>
          </w:p>
        </w:tc>
        <w:tc>
          <w:tcPr>
            <w:tcW w:w="1760" w:type="dxa"/>
            <w:vAlign w:val="bottom"/>
          </w:tcPr>
          <w:p>
            <w:pPr>
              <w:ind w:left="1580"/>
              <w:spacing w:after="0"/>
              <w:rPr>
                <w:sz w:val="20"/>
                <w:szCs w:val="20"/>
                <w:color w:val="auto"/>
              </w:rPr>
            </w:pPr>
            <w:r>
              <w:rPr>
                <w:rFonts w:ascii="Courier New" w:cs="Courier New" w:eastAsia="Courier New" w:hAnsi="Courier New"/>
                <w:sz w:val="15"/>
                <w:szCs w:val="15"/>
                <w:color w:val="auto"/>
                <w:w w:val="88"/>
              </w:rPr>
              <w:t>MI</w:t>
            </w:r>
          </w:p>
        </w:tc>
      </w:tr>
      <w:tr>
        <w:trPr>
          <w:trHeight w:val="341"/>
        </w:trPr>
        <w:tc>
          <w:tcPr>
            <w:tcW w:w="2040" w:type="dxa"/>
            <w:vAlign w:val="bottom"/>
          </w:tcPr>
          <w:p>
            <w:pPr>
              <w:spacing w:after="0"/>
              <w:rPr>
                <w:sz w:val="24"/>
                <w:szCs w:val="24"/>
                <w:color w:val="auto"/>
              </w:rPr>
            </w:pPr>
          </w:p>
        </w:tc>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-3-</w:t>
            </w:r>
          </w:p>
        </w:tc>
        <w:tc>
          <w:tcPr>
            <w:tcW w:w="17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89" w:name="page490"/>
    <w:bookmarkEnd w:id="489"/>
    <w:p>
      <w:pPr>
        <w:spacing w:after="0"/>
        <w:rPr>
          <w:sz w:val="20"/>
          <w:szCs w:val="20"/>
          <w:color w:val="auto"/>
        </w:rPr>
      </w:pPr>
      <w:r>
        <w:rPr>
          <w:rFonts w:ascii="Courier New" w:cs="Courier New" w:eastAsia="Courier New" w:hAnsi="Courier New"/>
          <w:sz w:val="15"/>
          <w:szCs w:val="15"/>
          <w:color w:val="auto"/>
        </w:rPr>
        <w:t>Comcast Cablevision of Jersey City,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Laurel,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Lawrence,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Levittown,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Little Rock,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Lompoc,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Long Beach Island,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Lower Merion,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Marianna,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Maryland Limited Partnership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Maryland,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Maryland,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Mercer County,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Meridian,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Michigan,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Middletown,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Missouri,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Monmouth County,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Muncie,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Muncie,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Nashville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Nashville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Castle County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Castle County,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Jersey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Jersey,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Mexico,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 Mexico/Pennsylvania,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Northwest New Jersey,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Ocean County,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Paducah,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Pennsylvania,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Perry,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Area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Plainfield,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Potomac,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Maria,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South Jersey,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Southeast Michigan,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Southeast Pennsylvania,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Taylor,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District,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Meadowlands,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74" w:lineRule="exact"/>
        <w:rPr>
          <w:sz w:val="20"/>
          <w:szCs w:val="20"/>
          <w:color w:val="auto"/>
        </w:rPr>
      </w:pPr>
    </w:p>
    <w:p>
      <w:pPr>
        <w:sectPr>
          <w:pgSz w:w="11900" w:h="16838" w:orient="portrait"/>
          <w:cols w:equalWidth="0" w:num="2">
            <w:col w:w="7160" w:space="720"/>
            <w:col w:w="2339"/>
          </w:cols>
          <w:pgMar w:left="240" w:top="628"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628" w:right="1440" w:bottom="1440" w:gutter="0" w:footer="0" w:header="0"/>
          <w:type w:val="continuous"/>
        </w:sectPr>
      </w:pPr>
    </w:p>
    <w:bookmarkStart w:id="490" w:name="page491"/>
    <w:bookmarkEnd w:id="490"/>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the South, L.P.</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the South,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Tupelo,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MS</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Utica,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Virginia,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Warren</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Warren,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West Florida,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Wildwood,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Willow Grove,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Cablevision of Wisconsin,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Capital Corporation</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CICG GP,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CICG LP,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CICG, L.P.</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Concurrent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Corporate Investments II,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Corporate Investments,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Political Action Committee</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Political Action Committee of Maryland</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MD</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Political Action Committee of Pennsylvania</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Trust I</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Trust II</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Corporation Trust III</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Crystalvision,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DC Radio,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DIVA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do Brasil Ltda.</w:t>
            </w:r>
          </w:p>
        </w:tc>
        <w:tc>
          <w:tcPr>
            <w:tcW w:w="1640" w:type="dxa"/>
            <w:vAlign w:val="bottom"/>
          </w:tcPr>
          <w:p>
            <w:pPr>
              <w:jc w:val="center"/>
              <w:ind w:left="104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Entertainment Holdings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Financial Agency Corporation</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Florida Programming Investments,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Funding I,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Garden State,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Gateway Holdings,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Greater Boston Advertising Holdings,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Hattiesburg Holding Company,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Holdings Corporation</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HTS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HTS,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ICG Holdings 2,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ICG Holdings 3,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ICG Holdings 4,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ICG,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In Demand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International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Investment Holdings,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IP Phone of Pennsylvania,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IP Phone,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IP Services, LLC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LCP,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Levittown Finance,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Life Insurance Holding Company</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LM Investment,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Long Distance,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Merger,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AL</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Comcast Metatv, Inc.</w:t>
            </w:r>
          </w:p>
        </w:tc>
        <w:tc>
          <w:tcPr>
            <w:tcW w:w="1640" w:type="dxa"/>
            <w:vAlign w:val="bottom"/>
          </w:tcPr>
          <w:p>
            <w:pPr>
              <w:jc w:val="center"/>
              <w:ind w:left="1026"/>
              <w:spacing w:after="0"/>
              <w:rPr>
                <w:sz w:val="20"/>
                <w:szCs w:val="20"/>
                <w:color w:val="auto"/>
              </w:rPr>
            </w:pPr>
            <w:r>
              <w:rPr>
                <w:rFonts w:ascii="Courier New" w:cs="Courier New" w:eastAsia="Courier New" w:hAnsi="Courier New"/>
                <w:sz w:val="15"/>
                <w:szCs w:val="15"/>
                <w:color w:val="auto"/>
                <w:w w:val="99"/>
              </w:rPr>
              <w:t>DE</w:t>
            </w:r>
          </w:p>
        </w:tc>
      </w:tr>
      <w:tr>
        <w:trPr>
          <w:trHeight w:val="341"/>
        </w:trPr>
        <w:tc>
          <w:tcPr>
            <w:tcW w:w="6600" w:type="dxa"/>
            <w:vAlign w:val="bottom"/>
          </w:tcPr>
          <w:p>
            <w:pPr>
              <w:ind w:left="3360"/>
              <w:spacing w:after="0"/>
              <w:rPr>
                <w:sz w:val="20"/>
                <w:szCs w:val="20"/>
                <w:color w:val="auto"/>
              </w:rPr>
            </w:pPr>
            <w:r>
              <w:rPr>
                <w:rFonts w:ascii="Courier New" w:cs="Courier New" w:eastAsia="Courier New" w:hAnsi="Courier New"/>
                <w:sz w:val="15"/>
                <w:szCs w:val="15"/>
                <w:color w:val="auto"/>
              </w:rPr>
              <w:t>-5-</w:t>
            </w:r>
          </w:p>
        </w:tc>
        <w:tc>
          <w:tcPr>
            <w:tcW w:w="1640" w:type="dxa"/>
            <w:vAlign w:val="bottom"/>
          </w:tcPr>
          <w:p>
            <w:pPr>
              <w:spacing w:after="0"/>
              <w:rPr>
                <w:sz w:val="24"/>
                <w:szCs w:val="24"/>
                <w:color w:val="auto"/>
              </w:rPr>
            </w:pPr>
          </w:p>
        </w:tc>
      </w:tr>
    </w:tbl>
    <w:p>
      <w:pPr>
        <w:sectPr>
          <w:pgSz w:w="11900" w:h="16838" w:orient="portrait"/>
          <w:cols w:equalWidth="0" w:num="1">
            <w:col w:w="10219"/>
          </w:cols>
          <w:pgMar w:left="240" w:top="798" w:right="1440" w:bottom="1440" w:gutter="0" w:footer="0" w:header="0"/>
        </w:sectPr>
      </w:pPr>
    </w:p>
    <w:bookmarkStart w:id="491" w:name="page492"/>
    <w:bookmarkEnd w:id="491"/>
    <w:p>
      <w:pPr>
        <w:spacing w:after="0"/>
        <w:rPr>
          <w:sz w:val="20"/>
          <w:szCs w:val="20"/>
          <w:color w:val="auto"/>
        </w:rPr>
      </w:pPr>
      <w:r>
        <w:rPr>
          <w:rFonts w:ascii="Courier New" w:cs="Courier New" w:eastAsia="Courier New" w:hAnsi="Courier New"/>
          <w:sz w:val="15"/>
          <w:szCs w:val="15"/>
          <w:color w:val="auto"/>
        </w:rPr>
        <w:t>Comcast MH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Michigan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Midwest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MLP Partner,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MO Cable Advertising of Metropolitan Atlanta,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Cable News,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Cable Programming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Capital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Communications Holding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Connect,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Delta,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Digital Radio,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Espana Telecommunications,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Europe,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Midwest,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of California,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of Florida,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of Illinois,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of New England,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Express of Virginia,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Federal Relations,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IV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Finance Trust VI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Financial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Financing 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Foreign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FS Leasing 1995,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Group Funding,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Group,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Holdings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Holdings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HSD,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Information Technology Systems,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Interactive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Interconnects,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International Holdings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International Programming,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International,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Investment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Leveraged Lease Partners 1997,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Marketing Resources (UK)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Australia,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Burnsville/Eagan,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Columbia Heights/Hilltop,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Costa Mesa,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Delaware,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Minnesota,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Nevada,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North Valley,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74" w:lineRule="exact"/>
        <w:rPr>
          <w:sz w:val="20"/>
          <w:szCs w:val="20"/>
          <w:color w:val="auto"/>
        </w:rPr>
      </w:pPr>
    </w:p>
    <w:p>
      <w:pPr>
        <w:sectPr>
          <w:pgSz w:w="11900" w:h="16838" w:orient="portrait"/>
          <w:cols w:equalWidth="0" w:num="2">
            <w:col w:w="7160" w:space="720"/>
            <w:col w:w="2339"/>
          </w:cols>
          <w:pgMar w:left="240" w:top="628"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628" w:right="1440" w:bottom="1440" w:gutter="0" w:footer="0" w:header="0"/>
          <w:type w:val="continuous"/>
        </w:sectPr>
      </w:pPr>
    </w:p>
    <w:bookmarkStart w:id="492" w:name="page493"/>
    <w:bookmarkEnd w:id="492"/>
    <w:p>
      <w:pPr>
        <w:spacing w:after="0"/>
        <w:rPr>
          <w:sz w:val="20"/>
          <w:szCs w:val="20"/>
          <w:color w:val="auto"/>
        </w:rPr>
      </w:pPr>
      <w:r>
        <w:rPr>
          <w:rFonts w:ascii="Courier New" w:cs="Courier New" w:eastAsia="Courier New" w:hAnsi="Courier New"/>
          <w:sz w:val="15"/>
          <w:szCs w:val="15"/>
          <w:color w:val="auto"/>
        </w:rPr>
        <w:t>Comcast MO of Quad Cities,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Ramsey/Washington,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the North Central Suburbs,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of the North Suburbs,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Programming Partners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Racing,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Real Estate,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III,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IV,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V,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SPC VI,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SPE,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Telecommunications Corp.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Telecommunications Corp. of New England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Nashville Finance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Nashville I,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Nashville II,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NCC Holdings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NCC Holdings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NCC Holdings III,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Netherlands,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New Media Development,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New Mexico/Pennsylvania Finance,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Alameda,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Bellevue,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Boston,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IV,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IX,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V,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VI,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VII,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VIII,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X,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XI,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XII,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 XIII,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California/Colorado,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California/Colorado/Florida/Oregon,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California/Colorado/Illinois/Indiana/Texas,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California/Colorado/Texas/Washington,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California/Colorado/Washington,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California/Connecticut/Michigan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California/Idaho,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California/Illinois,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California/Massachussets/Michigan/Utah,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of California/Ohio/Pennsylvania/Utah/Washington,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Canon City, 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Chicago,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w:t>
      </w:r>
    </w:p>
    <w:p>
      <w:pPr>
        <w:spacing w:after="0" w:line="174" w:lineRule="exact"/>
        <w:rPr>
          <w:sz w:val="20"/>
          <w:szCs w:val="20"/>
          <w:color w:val="auto"/>
        </w:rPr>
      </w:pPr>
    </w:p>
    <w:p>
      <w:pPr>
        <w:sectPr>
          <w:pgSz w:w="11900" w:h="16838" w:orient="portrait"/>
          <w:cols w:equalWidth="0" w:num="2">
            <w:col w:w="7160" w:space="720"/>
            <w:col w:w="2339"/>
          </w:cols>
          <w:pgMar w:left="240" w:top="628"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19"/>
          </w:cols>
          <w:pgMar w:left="240" w:top="628" w:right="1440" w:bottom="1440" w:gutter="0" w:footer="0" w:header="0"/>
          <w:type w:val="continuous"/>
        </w:sectPr>
      </w:pPr>
    </w:p>
    <w:bookmarkStart w:id="493" w:name="page494"/>
    <w:bookmarkEnd w:id="493"/>
    <w:tbl>
      <w:tblPr>
        <w:tblLayout w:type="fixed"/>
        <w:tblInd w:w="0" w:type="dxa"/>
        <w:tblCellMar>
          <w:top w:w="0" w:type="dxa"/>
          <w:left w:w="0" w:type="dxa"/>
          <w:bottom w:w="0" w:type="dxa"/>
          <w:right w:w="0" w:type="dxa"/>
        </w:tblCellMar>
      </w:tblP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Coconut Creek,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III,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IV,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IX,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IA</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IA</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VIII,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TN</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Colorado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Colorado, 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Colorado/Florida,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Connecticut 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Connecticut,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OK</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Contra Costa,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Cupertino,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Cypress,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Davis County,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UT</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East San</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Fernando Valley, 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Eastern Connecticut,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CT</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Everett,</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Comcast of Florida</w:t>
            </w:r>
          </w:p>
        </w:tc>
        <w:tc>
          <w:tcPr>
            <w:tcW w:w="4080" w:type="dxa"/>
            <w:vAlign w:val="bottom"/>
          </w:tcPr>
          <w:p>
            <w:pPr>
              <w:spacing w:after="0"/>
              <w:rPr>
                <w:sz w:val="14"/>
                <w:szCs w:val="14"/>
                <w:color w:val="auto"/>
              </w:rPr>
            </w:pP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WY</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Florida 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MO</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Florida 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Florida III,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Florida,</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DC</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Florida/Georgia</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Florida/Illinois/Michigan,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Fresno,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Georgia 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GA</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Georgia,</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Georgia/Massachusetts,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RI</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Georgia/Michigan, 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Greater Florida/Georgia,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Harbor,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Howard County,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IL</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KS</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IL</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IV,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IL</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IX,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VII,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VIII,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XI,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XII, 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NJ</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Comcast of Illinois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XIII, LP</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AZ</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Illinois/Indiana</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Illinois/Indiana/Michigan,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AR</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Illinois/Ohio/Oregon, LLC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Comcast of Illinois/Texas, Inc.</w:t>
            </w:r>
          </w:p>
        </w:tc>
        <w:tc>
          <w:tcPr>
            <w:tcW w:w="2260" w:type="dxa"/>
            <w:vAlign w:val="bottom"/>
          </w:tcPr>
          <w:p>
            <w:pPr>
              <w:ind w:left="2080"/>
              <w:spacing w:after="0"/>
              <w:rPr>
                <w:sz w:val="20"/>
                <w:szCs w:val="20"/>
                <w:color w:val="auto"/>
              </w:rPr>
            </w:pPr>
            <w:r>
              <w:rPr>
                <w:rFonts w:ascii="Courier New" w:cs="Courier New" w:eastAsia="Courier New" w:hAnsi="Courier New"/>
                <w:sz w:val="15"/>
                <w:szCs w:val="15"/>
                <w:color w:val="auto"/>
                <w:w w:val="88"/>
              </w:rPr>
              <w:t>IL</w:t>
            </w:r>
          </w:p>
        </w:tc>
      </w:tr>
      <w:tr>
        <w:trPr>
          <w:trHeight w:val="341"/>
        </w:trPr>
        <w:tc>
          <w:tcPr>
            <w:tcW w:w="1720" w:type="dxa"/>
            <w:vAlign w:val="bottom"/>
          </w:tcPr>
          <w:p>
            <w:pPr>
              <w:spacing w:after="0"/>
              <w:rPr>
                <w:sz w:val="24"/>
                <w:szCs w:val="24"/>
                <w:color w:val="auto"/>
              </w:rPr>
            </w:pPr>
          </w:p>
        </w:tc>
        <w:tc>
          <w:tcPr>
            <w:tcW w:w="4080" w:type="dxa"/>
            <w:vAlign w:val="bottom"/>
          </w:tcPr>
          <w:p>
            <w:pPr>
              <w:ind w:left="1640"/>
              <w:spacing w:after="0"/>
              <w:rPr>
                <w:sz w:val="20"/>
                <w:szCs w:val="20"/>
                <w:color w:val="auto"/>
              </w:rPr>
            </w:pPr>
            <w:r>
              <w:rPr>
                <w:rFonts w:ascii="Courier New" w:cs="Courier New" w:eastAsia="Courier New" w:hAnsi="Courier New"/>
                <w:sz w:val="15"/>
                <w:szCs w:val="15"/>
                <w:color w:val="auto"/>
              </w:rPr>
              <w:t>-8-</w:t>
            </w:r>
          </w:p>
        </w:tc>
        <w:tc>
          <w:tcPr>
            <w:tcW w:w="22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4" w:name="page495"/>
    <w:bookmarkEnd w:id="494"/>
    <w:p>
      <w:pPr>
        <w:spacing w:after="0"/>
        <w:rPr>
          <w:sz w:val="20"/>
          <w:szCs w:val="20"/>
          <w:color w:val="auto"/>
        </w:rPr>
      </w:pPr>
      <w:r>
        <w:rPr>
          <w:rFonts w:ascii="Courier New" w:cs="Courier New" w:eastAsia="Courier New" w:hAnsi="Courier New"/>
          <w:sz w:val="15"/>
          <w:szCs w:val="15"/>
          <w:color w:val="auto"/>
        </w:rPr>
        <w:t>Comcast of Illinois/West Virginia,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Indiana,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Indiana/Michigan,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Indiana/Michigan/Pennsylania,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Lakewood,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Lomita,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Los Angeles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Los Angeles,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Maine/New Hampshire,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Margate,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Marin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Marin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Massachusetts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Massachusetts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Massachusetts 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Massachusetts/New Hampshire/Ohio,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Massachusetts/Virginia,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Miami,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Michigan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Michigan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Michigan 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Michigan,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Milton,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Minnesota,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Minnesota/Wisconsin,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Montana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Montana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Montana 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Montana/Indiana/Kentucky/Utah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Muskegon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New Hampshire,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Newhall,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North Broward,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Northern California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Northern California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Northern Illinois,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Northern Indiana,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Novato,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Ohio,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Orange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Oregon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Oregon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Parkland,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Pennsylvania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Pennsylvania II,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of Pennsylvania/Washington/West Virginia, 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Puget Sound,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Richmond,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Sacramento 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Sacramento 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Sacramento III,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San Joaquin,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San Leandro,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Santa Cruz,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of Sierra Valleys,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174" w:lineRule="exact"/>
        <w:rPr>
          <w:sz w:val="20"/>
          <w:szCs w:val="20"/>
          <w:color w:val="auto"/>
        </w:rPr>
      </w:pPr>
    </w:p>
    <w:p>
      <w:pPr>
        <w:sectPr>
          <w:pgSz w:w="11900" w:h="16838" w:orient="portrait"/>
          <w:cols w:equalWidth="0" w:num="2">
            <w:col w:w="7160" w:space="720"/>
            <w:col w:w="2339"/>
          </w:cols>
          <w:pgMar w:left="240" w:top="627"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19"/>
          </w:cols>
          <w:pgMar w:left="240" w:top="627" w:right="1440" w:bottom="1440" w:gutter="0" w:footer="0" w:header="0"/>
          <w:type w:val="continuous"/>
        </w:sectPr>
      </w:pPr>
    </w:p>
    <w:bookmarkStart w:id="495" w:name="page496"/>
    <w:bookmarkEnd w:id="495"/>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South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Central Los Angeles,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South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Chicago,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IL</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South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Dade,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South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Florida 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South</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Florida 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Southern California,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OR</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Southern Illinois,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Southern New England,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MA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St. Paul,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MN</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Tacoma,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of Texas</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IA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Texas,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the Gulf Plains,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Tualatin Valley,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OR</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Twin Cities,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Utah 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IN</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Utah 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LA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Wasatch,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UT</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 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 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 III,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 IV,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Washington/Oregon</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Western Colorado,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Wyoming 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FL</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Wyoming 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WY</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of Wyoming,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Online Communications Investment Holdings,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PC Investments,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California,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Colorado,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Connecticut,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Florida,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Georgia,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Illinois,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Indiana,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Kentucky,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Massachusetts,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Minnesota,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MN</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New Hampshire,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Ohio,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Oregon,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Pennsylvania,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Texas,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Utah,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Virginia,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VA</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Washington,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Comcast Phone of</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West Virginia,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Phone,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Primestar Holdings,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Development,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Holdings,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Ventures 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Ventures III,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Ventures IV,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341"/>
        </w:trPr>
        <w:tc>
          <w:tcPr>
            <w:tcW w:w="1460" w:type="dxa"/>
            <w:vAlign w:val="bottom"/>
          </w:tcPr>
          <w:p>
            <w:pPr>
              <w:spacing w:after="0"/>
              <w:rPr>
                <w:sz w:val="24"/>
                <w:szCs w:val="24"/>
                <w:color w:val="auto"/>
              </w:rPr>
            </w:pPr>
          </w:p>
        </w:tc>
        <w:tc>
          <w:tcPr>
            <w:tcW w:w="4920" w:type="dxa"/>
            <w:vAlign w:val="bottom"/>
          </w:tcPr>
          <w:p>
            <w:pPr>
              <w:ind w:left="1900"/>
              <w:spacing w:after="0"/>
              <w:rPr>
                <w:sz w:val="20"/>
                <w:szCs w:val="20"/>
                <w:color w:val="auto"/>
              </w:rPr>
            </w:pPr>
            <w:r>
              <w:rPr>
                <w:rFonts w:ascii="Courier New" w:cs="Courier New" w:eastAsia="Courier New" w:hAnsi="Courier New"/>
                <w:sz w:val="15"/>
                <w:szCs w:val="15"/>
                <w:color w:val="auto"/>
              </w:rPr>
              <w:t>-10-</w:t>
            </w:r>
          </w:p>
        </w:tc>
        <w:tc>
          <w:tcPr>
            <w:tcW w:w="16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6" w:name="page497"/>
    <w:bookmarkEnd w:id="4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Programming Ventures,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PSM</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QIH,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I,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II,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III,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IV,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V,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QVC</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VI,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QVC,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Rapid,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Real Estate Holdings of Alabama,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AL</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SC Investment,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SCH</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Holdings,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Shared Services Corporation</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Soccer,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Spectacor, L.P.</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Sports Holding Company,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Technology,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Telecommunications of Michigan,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California,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Connecticut,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CT</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Delaware,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Georgia,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GA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Indiana,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IN</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Maryland,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MD</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Pennsylvania,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of South Carolina,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SC</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Communications,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 Services Holdings,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ME02,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ME04,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ME05,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ME16,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ME19,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ME22,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ME26,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ME28,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Merger Holdings,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Comcast WCS</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MergerCo,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 Wink,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Comcast/Time Warner Charleston Cable Advertising,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Comcast/Time Warner Detroit Cable Advertising,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Comcast/Time Warner Ft. Myer-Naples Cable Advertising, LLC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Comcast-Spectacor Foundation</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ComCon Entertainment Holdings,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Command Cable of Eastern Illinois Limited Partnership</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NJ</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Commerce Technologies,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NY</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Commercial Funding,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NY</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Communication Investment Corporation</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VA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Community Realty,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NV</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Community Telecable of Seattle,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WA</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Consumer Entertainment Services,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WY</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Continental</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Australia Programming,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MA</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Continental</w:t>
            </w:r>
          </w:p>
        </w:tc>
        <w:tc>
          <w:tcPr>
            <w:tcW w:w="5500" w:type="dxa"/>
            <w:vAlign w:val="bottom"/>
          </w:tcPr>
          <w:p>
            <w:pPr>
              <w:ind w:left="40"/>
              <w:spacing w:after="0"/>
              <w:rPr>
                <w:sz w:val="20"/>
                <w:szCs w:val="20"/>
                <w:color w:val="auto"/>
              </w:rPr>
            </w:pPr>
            <w:r>
              <w:rPr>
                <w:rFonts w:ascii="Courier New" w:cs="Courier New" w:eastAsia="Courier New" w:hAnsi="Courier New"/>
                <w:sz w:val="15"/>
                <w:szCs w:val="15"/>
                <w:color w:val="auto"/>
              </w:rPr>
              <w:t>Cablevision Asia Pacific, Inc.</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w w:val="88"/>
              </w:rPr>
              <w:t>MA</w:t>
            </w:r>
          </w:p>
        </w:tc>
      </w:tr>
      <w:tr>
        <w:trPr>
          <w:trHeight w:val="341"/>
        </w:trPr>
        <w:tc>
          <w:tcPr>
            <w:tcW w:w="1020" w:type="dxa"/>
            <w:vAlign w:val="bottom"/>
          </w:tcPr>
          <w:p>
            <w:pPr>
              <w:spacing w:after="0"/>
              <w:rPr>
                <w:sz w:val="24"/>
                <w:szCs w:val="24"/>
                <w:color w:val="auto"/>
              </w:rPr>
            </w:pPr>
          </w:p>
        </w:tc>
        <w:tc>
          <w:tcPr>
            <w:tcW w:w="5500" w:type="dxa"/>
            <w:vAlign w:val="bottom"/>
          </w:tcPr>
          <w:p>
            <w:pPr>
              <w:ind w:left="2340"/>
              <w:spacing w:after="0"/>
              <w:rPr>
                <w:sz w:val="20"/>
                <w:szCs w:val="20"/>
                <w:color w:val="auto"/>
              </w:rPr>
            </w:pPr>
            <w:r>
              <w:rPr>
                <w:rFonts w:ascii="Courier New" w:cs="Courier New" w:eastAsia="Courier New" w:hAnsi="Courier New"/>
                <w:sz w:val="15"/>
                <w:szCs w:val="15"/>
                <w:color w:val="auto"/>
              </w:rPr>
              <w:t>-11-</w:t>
            </w:r>
          </w:p>
        </w:tc>
        <w:tc>
          <w:tcPr>
            <w:tcW w:w="15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7" w:name="page498"/>
    <w:bookmarkEnd w:id="4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Programming Australia Limited Partnership</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NEW SOUTH</w:t>
            </w:r>
          </w:p>
        </w:tc>
      </w:tr>
      <w:tr>
        <w:trPr>
          <w:trHeight w:val="171"/>
        </w:trPr>
        <w:tc>
          <w:tcPr>
            <w:tcW w:w="6240" w:type="dxa"/>
            <w:vAlign w:val="bottom"/>
          </w:tcPr>
          <w:p>
            <w:pPr>
              <w:spacing w:after="0"/>
              <w:rPr>
                <w:sz w:val="14"/>
                <w:szCs w:val="14"/>
                <w:color w:val="auto"/>
              </w:rPr>
            </w:pPr>
          </w:p>
        </w:tc>
        <w:tc>
          <w:tcPr>
            <w:tcW w:w="2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WALES</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Satellite Company of Florida,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Satellite Company of New England,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NH</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Satellite Company,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Telecommunications Corp. of Virginia</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Continental Teleport Partners,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Copley/Colony,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Corsair Pictures,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Country Cable III,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CP MI,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WA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Ballpark Services,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Baysox Club,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MD</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Keys Club,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MD</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London,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Shorebirds Club,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MD</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CSLP Soccer,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CV Directo de Mexico S. de R.L. de C.V.</w:t>
            </w:r>
          </w:p>
        </w:tc>
        <w:tc>
          <w:tcPr>
            <w:tcW w:w="210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6"/>
              </w:rPr>
              <w:t>Mexico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CVC Keep Well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CVN Companies,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MN</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CVN Distribution Co.,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MN</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Diamonique Corporation</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NJ</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Diamonique Corporation</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DigiVentures,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Direct Broadcast Satellite Services,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District Cablevision,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DC</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 Distribution,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 Entertainment Television International Holdings,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 Entertainment Television,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 Online,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Eastex Microwave,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TX</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ECP Holdings,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OK</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Equity Resources Venture</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ER Development International,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ER Marks,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Exclamation Music,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Exclamation Productions,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EZShop International,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FAB Communications,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OK</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First Television Corporation</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Florida Telecommunications Services,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Flyers Skate Zone, L.P.</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For Games Music,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Four Flags Cable TV</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Four Flags Cablevision</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FPS Rink,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FPS Rink, L.P.</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G4 Media,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Garden State Telecommunications LLC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Gateway/Jones Communications, Ltd.</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Gill Bay Interconnect,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Global London, Inc.</w:t>
            </w:r>
          </w:p>
        </w:tc>
        <w:tc>
          <w:tcPr>
            <w:tcW w:w="2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Ontario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Global London, L.P.</w:t>
            </w:r>
          </w:p>
        </w:tc>
        <w:tc>
          <w:tcPr>
            <w:tcW w:w="2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Ontario</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Global Spectrum, Inc.</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Global Spectrum, L.P.</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Greater Boston Cable Advertising</w:t>
            </w:r>
          </w:p>
        </w:tc>
        <w:tc>
          <w:tcPr>
            <w:tcW w:w="2100" w:type="dxa"/>
            <w:vAlign w:val="bottom"/>
          </w:tcPr>
          <w:p>
            <w:pPr>
              <w:jc w:val="center"/>
              <w:ind w:left="1286"/>
              <w:spacing w:after="0"/>
              <w:rPr>
                <w:sz w:val="20"/>
                <w:szCs w:val="20"/>
                <w:color w:val="auto"/>
              </w:rPr>
            </w:pPr>
            <w:r>
              <w:rPr>
                <w:rFonts w:ascii="Courier New" w:cs="Courier New" w:eastAsia="Courier New" w:hAnsi="Courier New"/>
                <w:sz w:val="15"/>
                <w:szCs w:val="15"/>
                <w:color w:val="auto"/>
                <w:w w:val="99"/>
              </w:rPr>
              <w:t>MA</w:t>
            </w:r>
          </w:p>
        </w:tc>
      </w:tr>
      <w:tr>
        <w:trPr>
          <w:trHeight w:val="341"/>
        </w:trPr>
        <w:tc>
          <w:tcPr>
            <w:tcW w:w="6240" w:type="dxa"/>
            <w:vAlign w:val="bottom"/>
          </w:tcPr>
          <w:p>
            <w:pPr>
              <w:ind w:left="3360"/>
              <w:spacing w:after="0"/>
              <w:rPr>
                <w:sz w:val="20"/>
                <w:szCs w:val="20"/>
                <w:color w:val="auto"/>
              </w:rPr>
            </w:pPr>
            <w:r>
              <w:rPr>
                <w:rFonts w:ascii="Courier New" w:cs="Courier New" w:eastAsia="Courier New" w:hAnsi="Courier New"/>
                <w:sz w:val="15"/>
                <w:szCs w:val="15"/>
                <w:color w:val="auto"/>
              </w:rPr>
              <w:t>-12-</w:t>
            </w:r>
          </w:p>
        </w:tc>
        <w:tc>
          <w:tcPr>
            <w:tcW w:w="21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8" w:name="page499"/>
    <w:bookmarkEnd w:id="4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Guide Investments,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Harris County Cable TV,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Hawkeye Communications of Clinton,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Headend In The Sky,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Health Ventures Partners</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Heritage Cablevision of Massachusetts,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Heritage Cablevision of South East Massachusetts,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Home Sports Network,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Home Team Sports Limited Partnership</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IC Marks,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IM Experience,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Influence Marketing Corporation</w:t>
            </w:r>
          </w:p>
        </w:tc>
        <w:tc>
          <w:tcPr>
            <w:tcW w:w="2520" w:type="dxa"/>
            <w:vAlign w:val="bottom"/>
          </w:tcPr>
          <w:p>
            <w:pPr>
              <w:jc w:val="center"/>
              <w:ind w:left="1106"/>
              <w:spacing w:after="0"/>
              <w:rPr>
                <w:sz w:val="20"/>
                <w:szCs w:val="20"/>
                <w:color w:val="auto"/>
              </w:rPr>
            </w:pPr>
            <w:r>
              <w:rPr>
                <w:rFonts w:ascii="Courier New" w:cs="Courier New" w:eastAsia="Courier New" w:hAnsi="Courier New"/>
                <w:sz w:val="15"/>
                <w:szCs w:val="15"/>
                <w:color w:val="auto"/>
                <w:w w:val="98"/>
              </w:rPr>
              <w:t>Nova Scotia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Influence Marketing Services, Inc.</w:t>
            </w:r>
          </w:p>
        </w:tc>
        <w:tc>
          <w:tcPr>
            <w:tcW w:w="252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6"/>
              </w:rPr>
              <w:t>Canada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Innovative Retailing,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Interactive Technology Acquisitions,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Interactive Technology Holdings,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Interactive Technology Services,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Intermedia Cable Investors,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International Telemeter Corporation</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Cable Corporation</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Cable Holdings,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Panorama Properties,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Programming Services,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Spacelink Cable Corporation</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Telecommunications of California,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Telecommunications of Maryland,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Jones Telecommunications of Virginia,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King Videocable Company - Idaho</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King Videocable Company - Twin Falls</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ID</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Knox Cable T.V.,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TN</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LCNI II,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Atlantic Communications,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Australia Group Pty Ltd.</w:t>
            </w:r>
          </w:p>
        </w:tc>
        <w:tc>
          <w:tcPr>
            <w:tcW w:w="2520" w:type="dxa"/>
            <w:vAlign w:val="bottom"/>
          </w:tcPr>
          <w:p>
            <w:pPr>
              <w:jc w:val="center"/>
              <w:ind w:left="1126"/>
              <w:spacing w:after="0"/>
              <w:rPr>
                <w:sz w:val="20"/>
                <w:szCs w:val="20"/>
                <w:color w:val="auto"/>
              </w:rPr>
            </w:pPr>
            <w:r>
              <w:rPr>
                <w:rFonts w:ascii="Courier New" w:cs="Courier New" w:eastAsia="Courier New" w:hAnsi="Courier New"/>
                <w:sz w:val="15"/>
                <w:szCs w:val="15"/>
                <w:color w:val="auto"/>
                <w:w w:val="98"/>
              </w:rPr>
              <w:t>Australia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Australia Investment Pty Ltd.</w:t>
            </w:r>
          </w:p>
        </w:tc>
        <w:tc>
          <w:tcPr>
            <w:tcW w:w="2520" w:type="dxa"/>
            <w:vAlign w:val="bottom"/>
          </w:tcPr>
          <w:p>
            <w:pPr>
              <w:jc w:val="center"/>
              <w:ind w:left="1126"/>
              <w:spacing w:after="0"/>
              <w:rPr>
                <w:sz w:val="20"/>
                <w:szCs w:val="20"/>
                <w:color w:val="auto"/>
              </w:rPr>
            </w:pPr>
            <w:r>
              <w:rPr>
                <w:rFonts w:ascii="Courier New" w:cs="Courier New" w:eastAsia="Courier New" w:hAnsi="Courier New"/>
                <w:sz w:val="15"/>
                <w:szCs w:val="15"/>
                <w:color w:val="auto"/>
                <w:w w:val="98"/>
              </w:rPr>
              <w:t>Australia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Australia,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Clearview,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Delaware Properties,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International,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Investments,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Jersey,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MCN,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Oaks,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Raystay Holdings,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West,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Lenfest York,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Liberty Ventures Group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LVO Cable Properties,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OK</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 H Lightnet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MarketLink Indianapolis Cable Advertising, LLC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MediaOne Brasil Comercio e Participacoes Ltda.</w:t>
            </w:r>
          </w:p>
        </w:tc>
        <w:tc>
          <w:tcPr>
            <w:tcW w:w="252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MediaOne Financial Services Foreign Sales, Inc.</w:t>
            </w:r>
          </w:p>
        </w:tc>
        <w:tc>
          <w:tcPr>
            <w:tcW w:w="2520" w:type="dxa"/>
            <w:vAlign w:val="bottom"/>
          </w:tcPr>
          <w:p>
            <w:pPr>
              <w:jc w:val="center"/>
              <w:ind w:left="1126"/>
              <w:spacing w:after="0"/>
              <w:rPr>
                <w:sz w:val="20"/>
                <w:szCs w:val="20"/>
                <w:color w:val="auto"/>
              </w:rPr>
            </w:pPr>
            <w:r>
              <w:rPr>
                <w:rFonts w:ascii="Courier New" w:cs="Courier New" w:eastAsia="Courier New" w:hAnsi="Courier New"/>
                <w:sz w:val="15"/>
                <w:szCs w:val="15"/>
                <w:color w:val="auto"/>
                <w:w w:val="99"/>
              </w:rPr>
              <w:t>UNITED STATES</w:t>
            </w:r>
          </w:p>
        </w:tc>
      </w:tr>
      <w:tr>
        <w:trPr>
          <w:trHeight w:val="171"/>
        </w:trPr>
        <w:tc>
          <w:tcPr>
            <w:tcW w:w="6080" w:type="dxa"/>
            <w:vAlign w:val="bottom"/>
          </w:tcPr>
          <w:p>
            <w:pPr>
              <w:spacing w:after="0"/>
              <w:rPr>
                <w:sz w:val="14"/>
                <w:szCs w:val="14"/>
                <w:color w:val="auto"/>
              </w:rPr>
            </w:pPr>
          </w:p>
        </w:tc>
        <w:tc>
          <w:tcPr>
            <w:tcW w:w="252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8"/>
              </w:rPr>
              <w:t>VIRGIN ISLANDS</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MediaOne FSC One, Ltd.</w:t>
            </w:r>
          </w:p>
        </w:tc>
        <w:tc>
          <w:tcPr>
            <w:tcW w:w="2520" w:type="dxa"/>
            <w:vAlign w:val="bottom"/>
          </w:tcPr>
          <w:p>
            <w:pPr>
              <w:jc w:val="center"/>
              <w:ind w:left="1106"/>
              <w:spacing w:after="0"/>
              <w:rPr>
                <w:sz w:val="20"/>
                <w:szCs w:val="20"/>
                <w:color w:val="auto"/>
              </w:rPr>
            </w:pPr>
            <w:r>
              <w:rPr>
                <w:rFonts w:ascii="Courier New" w:cs="Courier New" w:eastAsia="Courier New" w:hAnsi="Courier New"/>
                <w:sz w:val="15"/>
                <w:szCs w:val="15"/>
                <w:color w:val="auto"/>
                <w:w w:val="98"/>
              </w:rPr>
              <w:t>Bermuda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MediaOne FSC Three, Ltd.</w:t>
            </w:r>
          </w:p>
        </w:tc>
        <w:tc>
          <w:tcPr>
            <w:tcW w:w="2520" w:type="dxa"/>
            <w:vAlign w:val="bottom"/>
          </w:tcPr>
          <w:p>
            <w:pPr>
              <w:jc w:val="center"/>
              <w:ind w:left="1106"/>
              <w:spacing w:after="0"/>
              <w:rPr>
                <w:sz w:val="20"/>
                <w:szCs w:val="20"/>
                <w:color w:val="auto"/>
              </w:rPr>
            </w:pPr>
            <w:r>
              <w:rPr>
                <w:rFonts w:ascii="Courier New" w:cs="Courier New" w:eastAsia="Courier New" w:hAnsi="Courier New"/>
                <w:sz w:val="15"/>
                <w:szCs w:val="15"/>
                <w:color w:val="auto"/>
                <w:w w:val="98"/>
              </w:rPr>
              <w:t>Bermuda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MediaOne FSC Two, Ltd.</w:t>
            </w:r>
          </w:p>
        </w:tc>
        <w:tc>
          <w:tcPr>
            <w:tcW w:w="2520" w:type="dxa"/>
            <w:vAlign w:val="bottom"/>
          </w:tcPr>
          <w:p>
            <w:pPr>
              <w:jc w:val="center"/>
              <w:ind w:left="1106"/>
              <w:spacing w:after="0"/>
              <w:rPr>
                <w:sz w:val="20"/>
                <w:szCs w:val="20"/>
                <w:color w:val="auto"/>
              </w:rPr>
            </w:pPr>
            <w:r>
              <w:rPr>
                <w:rFonts w:ascii="Courier New" w:cs="Courier New" w:eastAsia="Courier New" w:hAnsi="Courier New"/>
                <w:sz w:val="15"/>
                <w:szCs w:val="15"/>
                <w:color w:val="auto"/>
                <w:w w:val="98"/>
              </w:rPr>
              <w:t>Bermuda</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Micro-Relay, Inc.</w:t>
            </w:r>
          </w:p>
        </w:tc>
        <w:tc>
          <w:tcPr>
            <w:tcW w:w="2520" w:type="dxa"/>
            <w:vAlign w:val="bottom"/>
          </w:tcPr>
          <w:p>
            <w:pPr>
              <w:jc w:val="center"/>
              <w:ind w:left="1186"/>
              <w:spacing w:after="0"/>
              <w:rPr>
                <w:sz w:val="20"/>
                <w:szCs w:val="20"/>
                <w:color w:val="auto"/>
              </w:rPr>
            </w:pPr>
            <w:r>
              <w:rPr>
                <w:rFonts w:ascii="Courier New" w:cs="Courier New" w:eastAsia="Courier New" w:hAnsi="Courier New"/>
                <w:sz w:val="15"/>
                <w:szCs w:val="15"/>
                <w:color w:val="auto"/>
                <w:w w:val="99"/>
              </w:rPr>
              <w:t>MD</w:t>
            </w:r>
          </w:p>
        </w:tc>
      </w:tr>
      <w:tr>
        <w:trPr>
          <w:trHeight w:val="341"/>
        </w:trPr>
        <w:tc>
          <w:tcPr>
            <w:tcW w:w="6080" w:type="dxa"/>
            <w:vAlign w:val="bottom"/>
          </w:tcPr>
          <w:p>
            <w:pPr>
              <w:ind w:left="3360"/>
              <w:spacing w:after="0"/>
              <w:rPr>
                <w:sz w:val="20"/>
                <w:szCs w:val="20"/>
                <w:color w:val="auto"/>
              </w:rPr>
            </w:pPr>
            <w:r>
              <w:rPr>
                <w:rFonts w:ascii="Courier New" w:cs="Courier New" w:eastAsia="Courier New" w:hAnsi="Courier New"/>
                <w:sz w:val="15"/>
                <w:szCs w:val="15"/>
                <w:color w:val="auto"/>
              </w:rPr>
              <w:t>-13-</w:t>
            </w:r>
          </w:p>
        </w:tc>
        <w:tc>
          <w:tcPr>
            <w:tcW w:w="25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9" w:name="page500"/>
    <w:bookmarkEnd w:id="4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Mobile Enterprises,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MOC Holdco 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MOC Holdco II,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MOTH Holdings,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Mountain Cable Network,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Mountain States General Partner Co.</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Mountain States Limited Partner Co.</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Mt. Clemens Cable TV Investors,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MI</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MTCB S.A.</w:t>
            </w:r>
          </w:p>
        </w:tc>
        <w:tc>
          <w:tcPr>
            <w:tcW w:w="2740" w:type="dxa"/>
            <w:vAlign w:val="bottom"/>
          </w:tcPr>
          <w:p>
            <w:pPr>
              <w:jc w:val="center"/>
              <w:ind w:left="178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National Digital Television Center,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NDTC Technology,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New England Microwave,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Northwest Illinois Cable Corporation</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Northwest Illinois TV Cable Co.</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Ottumwa Cablevision,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IA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Outdoor Life Network, L.L.C.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Ovations Food Services,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Ovations Food Services, L.P.</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Overseas Operations II,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Overseas Operations,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Owner Trusts UT 1-3, 7-12, 15-27, 29, 33, 34</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Pacific Northwest Interconnect</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NY</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Pattison Development,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Pattison Realty,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76ers,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76ers, L.P.</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Flyers Enterprises Co.</w:t>
            </w:r>
          </w:p>
        </w:tc>
        <w:tc>
          <w:tcPr>
            <w:tcW w:w="2740" w:type="dxa"/>
            <w:vAlign w:val="bottom"/>
          </w:tcPr>
          <w:p>
            <w:pPr>
              <w:jc w:val="center"/>
              <w:ind w:left="1686"/>
              <w:spacing w:after="0"/>
              <w:rPr>
                <w:sz w:val="20"/>
                <w:szCs w:val="20"/>
                <w:color w:val="auto"/>
              </w:rPr>
            </w:pPr>
            <w:r>
              <w:rPr>
                <w:rFonts w:ascii="Courier New" w:cs="Courier New" w:eastAsia="Courier New" w:hAnsi="Courier New"/>
                <w:sz w:val="15"/>
                <w:szCs w:val="15"/>
                <w:color w:val="auto"/>
                <w:w w:val="98"/>
              </w:rPr>
              <w:t>Nova Scotia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Flyers, L.P.</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Flyers, LLC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Phantoms,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Phantoms, L.P.</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Sports Media,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Philadelphia Sports Media, L.P.</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Pioneer Studios,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Preview Magazine Corporation</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NY</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Prime Telecom Potomac, LLC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 the Music,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Q2,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NY</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QC Marks,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QCOM TV Partners</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QCOM TV,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NC</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QDirect Ventures,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QExhibits,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QFit,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QHealth,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QK Holdings,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Britain</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Britain 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Britain II,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Britain III,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Call Center GmbH &amp; Co. KG</w:t>
            </w:r>
          </w:p>
        </w:tc>
        <w:tc>
          <w:tcPr>
            <w:tcW w:w="2740" w:type="dxa"/>
            <w:vAlign w:val="bottom"/>
          </w:tcPr>
          <w:p>
            <w:pPr>
              <w:jc w:val="center"/>
              <w:ind w:left="168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Call Center Verwaltungs GmbH</w:t>
            </w:r>
          </w:p>
        </w:tc>
        <w:tc>
          <w:tcPr>
            <w:tcW w:w="2740" w:type="dxa"/>
            <w:vAlign w:val="bottom"/>
          </w:tcPr>
          <w:p>
            <w:pPr>
              <w:jc w:val="center"/>
              <w:ind w:left="168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Chesapeake,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China Domain Limited</w:t>
            </w:r>
          </w:p>
        </w:tc>
        <w:tc>
          <w:tcPr>
            <w:tcW w:w="2740" w:type="dxa"/>
            <w:vAlign w:val="bottom"/>
          </w:tcPr>
          <w:p>
            <w:pPr>
              <w:jc w:val="center"/>
              <w:ind w:left="1706"/>
              <w:spacing w:after="0"/>
              <w:rPr>
                <w:sz w:val="20"/>
                <w:szCs w:val="20"/>
                <w:color w:val="auto"/>
              </w:rPr>
            </w:pPr>
            <w:r>
              <w:rPr>
                <w:rFonts w:ascii="Courier New" w:cs="Courier New" w:eastAsia="Courier New" w:hAnsi="Courier New"/>
                <w:sz w:val="15"/>
                <w:szCs w:val="15"/>
                <w:color w:val="auto"/>
                <w:w w:val="98"/>
              </w:rPr>
              <w:t>Hong Kong</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QVC China, Inc.</w:t>
            </w:r>
          </w:p>
        </w:tc>
        <w:tc>
          <w:tcPr>
            <w:tcW w:w="27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9"/>
              </w:rPr>
              <w:t>DE</w:t>
            </w:r>
          </w:p>
        </w:tc>
      </w:tr>
      <w:tr>
        <w:trPr>
          <w:trHeight w:val="341"/>
        </w:trPr>
        <w:tc>
          <w:tcPr>
            <w:tcW w:w="5680" w:type="dxa"/>
            <w:vAlign w:val="bottom"/>
          </w:tcPr>
          <w:p>
            <w:pPr>
              <w:ind w:left="3360"/>
              <w:spacing w:after="0"/>
              <w:rPr>
                <w:sz w:val="20"/>
                <w:szCs w:val="20"/>
                <w:color w:val="auto"/>
              </w:rPr>
            </w:pPr>
            <w:r>
              <w:rPr>
                <w:rFonts w:ascii="Courier New" w:cs="Courier New" w:eastAsia="Courier New" w:hAnsi="Courier New"/>
                <w:sz w:val="15"/>
                <w:szCs w:val="15"/>
                <w:color w:val="auto"/>
              </w:rPr>
              <w:t>-14-</w:t>
            </w:r>
          </w:p>
        </w:tc>
        <w:tc>
          <w:tcPr>
            <w:tcW w:w="27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500" w:name="page501"/>
    <w:bookmarkEnd w:id="5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de Mexico de C.V.</w:t>
            </w:r>
          </w:p>
        </w:tc>
        <w:tc>
          <w:tcPr>
            <w:tcW w:w="2440" w:type="dxa"/>
            <w:vAlign w:val="bottom"/>
          </w:tcPr>
          <w:p>
            <w:pPr>
              <w:jc w:val="center"/>
              <w:ind w:left="1846"/>
              <w:spacing w:after="0"/>
              <w:rPr>
                <w:sz w:val="20"/>
                <w:szCs w:val="20"/>
                <w:color w:val="auto"/>
              </w:rPr>
            </w:pPr>
            <w:r>
              <w:rPr>
                <w:rFonts w:ascii="Courier New" w:cs="Courier New" w:eastAsia="Courier New" w:hAnsi="Courier New"/>
                <w:sz w:val="15"/>
                <w:szCs w:val="15"/>
                <w:color w:val="auto"/>
                <w:w w:val="96"/>
              </w:rPr>
              <w:t>Mexico</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Delaware,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Deutschland GmbH</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eDistribution, Inc.</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eServices, Inc.</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Germany I,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Germany II,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Handel GmbH</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Holdings,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International,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Japan Holdings,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Japan Services,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Japan, Inc.</w:t>
            </w:r>
          </w:p>
        </w:tc>
        <w:tc>
          <w:tcPr>
            <w:tcW w:w="24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7"/>
              </w:rPr>
              <w:t>Japan</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Local,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Logistik GmbH</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Mexico II,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Mexico III,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Mexico,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Middle East,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ProductWorks,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Properties, Ltd.</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UK</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Publishing,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Realty,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Rocky Mount,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NC</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RS Naples,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San Antonio,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TX</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Satellite, Ltd.</w:t>
            </w:r>
          </w:p>
        </w:tc>
        <w:tc>
          <w:tcPr>
            <w:tcW w:w="2440" w:type="dxa"/>
            <w:vAlign w:val="bottom"/>
          </w:tcPr>
          <w:p>
            <w:pPr>
              <w:jc w:val="center"/>
              <w:ind w:left="1766"/>
              <w:spacing w:after="0"/>
              <w:rPr>
                <w:sz w:val="20"/>
                <w:szCs w:val="20"/>
                <w:color w:val="auto"/>
              </w:rPr>
            </w:pPr>
            <w:r>
              <w:rPr>
                <w:rFonts w:ascii="Courier New" w:cs="Courier New" w:eastAsia="Courier New" w:hAnsi="Courier New"/>
                <w:sz w:val="15"/>
                <w:szCs w:val="15"/>
                <w:color w:val="auto"/>
                <w:w w:val="97"/>
              </w:rPr>
              <w:t>Japan</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St. Lucie,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Studio GmbH</w:t>
            </w:r>
          </w:p>
        </w:tc>
        <w:tc>
          <w:tcPr>
            <w:tcW w:w="2440" w:type="dxa"/>
            <w:vAlign w:val="bottom"/>
          </w:tcPr>
          <w:p>
            <w:pPr>
              <w:jc w:val="center"/>
              <w:ind w:left="1746"/>
              <w:spacing w:after="0"/>
              <w:rPr>
                <w:sz w:val="20"/>
                <w:szCs w:val="20"/>
                <w:color w:val="auto"/>
              </w:rPr>
            </w:pPr>
            <w:r>
              <w:rPr>
                <w:rFonts w:ascii="Courier New" w:cs="Courier New" w:eastAsia="Courier New" w:hAnsi="Courier New"/>
                <w:sz w:val="15"/>
                <w:szCs w:val="15"/>
                <w:color w:val="auto"/>
                <w:w w:val="98"/>
              </w:rPr>
              <w:t>Germany</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Virginia,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VA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QVC,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Raystay Co.</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Roberts Broadcasting Corporation</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PA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Robin Cable Systems of Sierra Vista, L.P.</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RS Marks,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RS Myrtle Beach,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SC</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 Ventures (Delaware),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 Ventures II,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 Ventures,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MA</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Satellite Services of Puerto Rico,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Satellite Services,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Saturn Cable TV,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SCC Programs,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IL</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34,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36,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37,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38,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48,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SCI 55,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Selkirk Communications (Delaware) Corporation</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Shorebirds, L.P.</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MD</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SIFD One, Ltd.</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SIFD Three, Ltd.</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SIFD Two, Ltd.</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Southwest Telecable,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TX</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Southwest Washington Cable, Inc.</w:t>
            </w:r>
          </w:p>
        </w:tc>
        <w:tc>
          <w:tcPr>
            <w:tcW w:w="2440" w:type="dxa"/>
            <w:vAlign w:val="bottom"/>
          </w:tcPr>
          <w:p>
            <w:pPr>
              <w:jc w:val="center"/>
              <w:ind w:left="1826"/>
              <w:spacing w:after="0"/>
              <w:rPr>
                <w:sz w:val="20"/>
                <w:szCs w:val="20"/>
                <w:color w:val="auto"/>
              </w:rPr>
            </w:pPr>
            <w:r>
              <w:rPr>
                <w:rFonts w:ascii="Courier New" w:cs="Courier New" w:eastAsia="Courier New" w:hAnsi="Courier New"/>
                <w:sz w:val="15"/>
                <w:szCs w:val="15"/>
                <w:color w:val="auto"/>
                <w:w w:val="99"/>
              </w:rPr>
              <w:t>WA</w:t>
            </w:r>
          </w:p>
        </w:tc>
      </w:tr>
      <w:tr>
        <w:trPr>
          <w:trHeight w:val="341"/>
        </w:trPr>
        <w:tc>
          <w:tcPr>
            <w:tcW w:w="5800" w:type="dxa"/>
            <w:vAlign w:val="bottom"/>
          </w:tcPr>
          <w:p>
            <w:pPr>
              <w:ind w:left="3360"/>
              <w:spacing w:after="0"/>
              <w:rPr>
                <w:sz w:val="20"/>
                <w:szCs w:val="20"/>
                <w:color w:val="auto"/>
              </w:rPr>
            </w:pPr>
            <w:r>
              <w:rPr>
                <w:rFonts w:ascii="Courier New" w:cs="Courier New" w:eastAsia="Courier New" w:hAnsi="Courier New"/>
                <w:sz w:val="15"/>
                <w:szCs w:val="15"/>
                <w:color w:val="auto"/>
              </w:rPr>
              <w:t>-15-</w:t>
            </w:r>
          </w:p>
        </w:tc>
        <w:tc>
          <w:tcPr>
            <w:tcW w:w="24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501" w:name="page502"/>
    <w:bookmarkEnd w:id="5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Spectacor Adjoining Real Estate New Arena, L.P.</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Spectrum Arena Limited Partnership</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SSI 2,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NV</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St. Louis Tele-Communications,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MO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Stage II, L.P.</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PA</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Storer Administration,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Sural LLC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TATV,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Taurus Properties,</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Adelphia Holdings, LLC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AIT,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Atlantic, LLC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Baton Rouge</w:t>
            </w:r>
          </w:p>
        </w:tc>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Ventures,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Bay Interconnect,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CA</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Bay,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Bresnan LLC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Business Alliance and Technology Co.,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Cable Adnet,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Cable Investments, LLC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Associates,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Alabama,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AL</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Baker/Zachary,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California Century Holdings, LLC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Kentucky,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KY</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Leesville,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Massachusetts,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MA</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Michigan,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MI</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Minnesota,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MN</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Nebraska,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NE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Nevada,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NV</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New Hampshire,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NH</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North Central Kentucky,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KY</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Sierra Vista II,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Sierra Vista,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South Dakota,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SD</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St. Bernard,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LA</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Cablevision</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Vermont, 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TCI California Holdings, LLC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Capital Corp.</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WY</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Central, Inc.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CH,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Command II,</w:t>
            </w:r>
          </w:p>
        </w:tc>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Inc.</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Command, Inc.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TCI Communications</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Financing I</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TCI Communications</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Financing II</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TCI Communications</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Financing III</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TCI Communications</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Financing IV</w:t>
            </w: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DE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TCI CSC II,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NY</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CSC III, Inc.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TCI CSC IV,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TCI CSC IX,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CSC V,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TCI CSC VI,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TCI CSC VII, Inc.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TCI CSC VIII, Inc.</w:t>
            </w: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TCI CSC X, Inc.</w:t>
            </w: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5"/>
                <w:szCs w:val="15"/>
                <w:color w:val="auto"/>
                <w:w w:val="88"/>
              </w:rPr>
              <w:t>CO</w:t>
            </w:r>
          </w:p>
        </w:tc>
      </w:tr>
      <w:tr>
        <w:trPr>
          <w:trHeight w:val="341"/>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ind w:left="1720"/>
              <w:spacing w:after="0"/>
              <w:rPr>
                <w:sz w:val="20"/>
                <w:szCs w:val="20"/>
                <w:color w:val="auto"/>
              </w:rPr>
            </w:pPr>
            <w:r>
              <w:rPr>
                <w:rFonts w:ascii="Courier New" w:cs="Courier New" w:eastAsia="Courier New" w:hAnsi="Courier New"/>
                <w:sz w:val="15"/>
                <w:szCs w:val="15"/>
                <w:color w:val="auto"/>
              </w:rPr>
              <w:t>-16-</w:t>
            </w:r>
          </w:p>
        </w:tc>
        <w:tc>
          <w:tcPr>
            <w:tcW w:w="18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502" w:name="page503"/>
    <w:bookmarkEnd w:id="502"/>
    <w:p>
      <w:pPr>
        <w:spacing w:after="0"/>
        <w:rPr>
          <w:sz w:val="20"/>
          <w:szCs w:val="20"/>
          <w:color w:val="auto"/>
        </w:rPr>
      </w:pPr>
      <w:r>
        <w:rPr>
          <w:rFonts w:ascii="Courier New" w:cs="Courier New" w:eastAsia="Courier New" w:hAnsi="Courier New"/>
          <w:sz w:val="15"/>
          <w:szCs w:val="15"/>
          <w:color w:val="auto"/>
        </w:rPr>
        <w:t>TCI CSC XI,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Development,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Digital TV,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Evangola,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Falcon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Alabama,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California,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Missouri,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Northern California,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Northwest,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Oregon,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Redding,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Washington,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FCLP Wenatchee,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Fleet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Gilbert Uplink,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Great Lakes,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Hits At Home,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Hits,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Holdings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ICM III,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ICM VI,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IL - Holdings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IL -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Internet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Internet Services,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IP-VI,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IT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K-1,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Lake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Lake,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Lenfest,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Magma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Materials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Michigan,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Microwave,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Midcontinent,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Music Holdings,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TCI National Digital Television Center - Hong Kong,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New York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News,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News-Damn Right,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News-Presidential,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Northeast,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Northwest,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Arkansas,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Bloomington/Normal,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Columbus,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Connecticut,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Council Bluffs,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D.C.,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Decatur,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Delaware,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Greenwich,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Houston,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74" w:lineRule="exact"/>
        <w:rPr>
          <w:sz w:val="20"/>
          <w:szCs w:val="20"/>
          <w:color w:val="auto"/>
        </w:rPr>
      </w:pPr>
    </w:p>
    <w:p>
      <w:pPr>
        <w:sectPr>
          <w:pgSz w:w="11900" w:h="16838" w:orient="portrait"/>
          <w:cols w:equalWidth="0" w:num="2">
            <w:col w:w="7160" w:space="720"/>
            <w:col w:w="2339"/>
          </w:cols>
          <w:pgMar w:left="240" w:top="628"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628" w:right="1440" w:bottom="1440" w:gutter="0" w:footer="0" w:header="0"/>
          <w:type w:val="continuous"/>
        </w:sectPr>
      </w:pPr>
    </w:p>
    <w:bookmarkStart w:id="503" w:name="page504"/>
    <w:bookmarkEnd w:id="503"/>
    <w:p>
      <w:pPr>
        <w:spacing w:after="0"/>
        <w:rPr>
          <w:sz w:val="20"/>
          <w:szCs w:val="20"/>
          <w:color w:val="auto"/>
        </w:rPr>
      </w:pPr>
      <w:r>
        <w:rPr>
          <w:rFonts w:ascii="Courier New" w:cs="Courier New" w:eastAsia="Courier New" w:hAnsi="Courier New"/>
          <w:sz w:val="15"/>
          <w:szCs w:val="15"/>
          <w:color w:val="auto"/>
        </w:rPr>
        <w:t>TCI of Indiana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Indiana Insgt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Iowa,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Kokomo,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Lee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Lexington,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Maine,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Mississippi,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Missouri,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New Jersey,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North Central Kentucky,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North Dakota,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Overland Park,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Paterson,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Racine,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Radcliff,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Rhode Island,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Roanoke Rapids,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Selma,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South Dakota,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Southern Minnesota,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Springfield,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Tennessee,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of Watertown,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Ohio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Oscar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Pacific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Pacific Microwave,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Pacific,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Payroll,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PCS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Pennsylvania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Private Ventures,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Programming Holding Company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Realty,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Shell One - De,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South Carolina IP-I,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TCI Southeast Divisional Headquarters,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Southeast,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Spartanburg IP-IV,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Starz,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STS-MTVI,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Technology Management,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Telecom,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Texas Cable Holdings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Texas 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Cable 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Cable II,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Alabama,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Dallas,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Florida,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Georgia,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Houston,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Jefferson County,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 TKR of Metro Dade,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174" w:lineRule="exact"/>
        <w:rPr>
          <w:sz w:val="20"/>
          <w:szCs w:val="20"/>
          <w:color w:val="auto"/>
        </w:rPr>
      </w:pPr>
    </w:p>
    <w:p>
      <w:pPr>
        <w:sectPr>
          <w:pgSz w:w="11900" w:h="16838" w:orient="portrait"/>
          <w:cols w:equalWidth="0" w:num="2">
            <w:col w:w="7160" w:space="720"/>
            <w:col w:w="2339"/>
          </w:cols>
          <w:pgMar w:left="240" w:top="628"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19"/>
          </w:cols>
          <w:pgMar w:left="240" w:top="628" w:right="1440" w:bottom="1440" w:gutter="0" w:footer="0" w:header="0"/>
          <w:type w:val="continuous"/>
        </w:sectPr>
      </w:pPr>
    </w:p>
    <w:bookmarkStart w:id="504" w:name="page505"/>
    <w:bookmarkEnd w:id="504"/>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TKR of Southeast Texas,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TKR of Wyoming,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WY</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TKR,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TVC,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TW Texas JV Holdings II,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TW Texas JV Holdings III,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TW Texas JV Holdings IV,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TW Texas JV Holdings V,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USC,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VCI,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Ventures Five,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Ventures Four,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Ventures Group-Airplanes,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Ventures Group-Financing,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Ventures,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Washington Associates, L.P.</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 West,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TCI.net of California,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TCI.net of Washington,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TCI.net,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TCI/CA Acquisition Sub Corp.</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TCI/CI Merger Sub Corp.</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Data Transport,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of Carson,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CA</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of Chicago,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IL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of Florida,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of Michigan,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of South Chicago,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IL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Partners II,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Partners,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 X*press,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TCID-Commercial Music,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TCID-ICP III,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TCID-IP III,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TCID-IP IV,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TCID-IP V,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TCI-UC,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Tele-Communications of Colorado,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Tele-Link Telecomunicacoes S.A.</w:t>
            </w:r>
          </w:p>
        </w:tc>
        <w:tc>
          <w:tcPr>
            <w:tcW w:w="4920" w:type="dxa"/>
            <w:vAlign w:val="bottom"/>
          </w:tcPr>
          <w:p>
            <w:pPr>
              <w:jc w:val="center"/>
              <w:ind w:left="432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Group Joint Venture</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Group,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NV</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of Colorado,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of Florida,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WY</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of Powder River,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WY</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Televents of Wyoming,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WY</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Televester,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Tempo DBS,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Tempo Development Corporation</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OK</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TGC,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TGW Telecomunicacoes S.A.</w:t>
            </w:r>
          </w:p>
        </w:tc>
        <w:tc>
          <w:tcPr>
            <w:tcW w:w="4920" w:type="dxa"/>
            <w:vAlign w:val="bottom"/>
          </w:tcPr>
          <w:p>
            <w:pPr>
              <w:jc w:val="center"/>
              <w:ind w:left="4326"/>
              <w:spacing w:after="0"/>
              <w:rPr>
                <w:sz w:val="20"/>
                <w:szCs w:val="20"/>
                <w:color w:val="auto"/>
              </w:rPr>
            </w:pPr>
            <w:r>
              <w:rPr>
                <w:rFonts w:ascii="Courier New" w:cs="Courier New" w:eastAsia="Courier New" w:hAnsi="Courier New"/>
                <w:sz w:val="15"/>
                <w:szCs w:val="15"/>
                <w:color w:val="auto"/>
                <w:w w:val="96"/>
              </w:rPr>
              <w:t>Brazil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The Comcast Foundation</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The Intercable Group, Ltd.</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CO</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The Sacramento Interconnect, LLC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TheGolfChannel.com, Inc.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FL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THOG Productions, LLC</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DE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Trans-Muskingum, Incorporated</w:t>
            </w:r>
          </w:p>
        </w:tc>
        <w:tc>
          <w:tcPr>
            <w:tcW w:w="4920" w:type="dxa"/>
            <w:vAlign w:val="bottom"/>
          </w:tcPr>
          <w:p>
            <w:pPr>
              <w:jc w:val="center"/>
              <w:ind w:left="4306"/>
              <w:spacing w:after="0"/>
              <w:rPr>
                <w:sz w:val="20"/>
                <w:szCs w:val="20"/>
                <w:color w:val="auto"/>
              </w:rPr>
            </w:pPr>
            <w:r>
              <w:rPr>
                <w:rFonts w:ascii="Courier New" w:cs="Courier New" w:eastAsia="Courier New" w:hAnsi="Courier New"/>
                <w:sz w:val="15"/>
                <w:szCs w:val="15"/>
                <w:color w:val="auto"/>
                <w:w w:val="99"/>
              </w:rPr>
              <w:t>WV</w:t>
            </w:r>
          </w:p>
        </w:tc>
      </w:tr>
      <w:tr>
        <w:trPr>
          <w:trHeight w:val="341"/>
        </w:trPr>
        <w:tc>
          <w:tcPr>
            <w:tcW w:w="3320" w:type="dxa"/>
            <w:vAlign w:val="bottom"/>
          </w:tcPr>
          <w:p>
            <w:pPr>
              <w:spacing w:after="0"/>
              <w:rPr>
                <w:sz w:val="24"/>
                <w:szCs w:val="24"/>
                <w:color w:val="auto"/>
              </w:rPr>
            </w:pPr>
          </w:p>
        </w:tc>
        <w:tc>
          <w:tcPr>
            <w:tcW w:w="4920" w:type="dxa"/>
            <w:vAlign w:val="bottom"/>
          </w:tcPr>
          <w:p>
            <w:pPr>
              <w:jc w:val="right"/>
              <w:ind w:right="4446"/>
              <w:spacing w:after="0"/>
              <w:rPr>
                <w:sz w:val="20"/>
                <w:szCs w:val="20"/>
                <w:color w:val="auto"/>
              </w:rPr>
            </w:pPr>
            <w:r>
              <w:rPr>
                <w:rFonts w:ascii="Courier New" w:cs="Courier New" w:eastAsia="Courier New" w:hAnsi="Courier New"/>
                <w:sz w:val="15"/>
                <w:szCs w:val="15"/>
                <w:color w:val="auto"/>
              </w:rPr>
              <w:t>-19-</w:t>
            </w:r>
          </w:p>
        </w:tc>
      </w:tr>
    </w:tbl>
    <w:p>
      <w:pPr>
        <w:sectPr>
          <w:pgSz w:w="11900" w:h="16838" w:orient="portrait"/>
          <w:cols w:equalWidth="0" w:num="1">
            <w:col w:w="10219"/>
          </w:cols>
          <w:pgMar w:left="240" w:top="627" w:right="1440" w:bottom="1440" w:gutter="0" w:footer="0" w:header="0"/>
        </w:sectPr>
      </w:pPr>
    </w:p>
    <w:bookmarkStart w:id="505" w:name="page506"/>
    <w:bookmarkEnd w:id="5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Tribune Company Cable of Michigan,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Tribune-United Cable of</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Oakland County</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MI</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TWE Holdings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 Trust</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TWE Holdings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II LLC</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TWE Holdings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III Trust</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U S West (India) Private Limited</w:t>
            </w:r>
          </w:p>
        </w:tc>
        <w:tc>
          <w:tcPr>
            <w:tcW w:w="2220" w:type="dxa"/>
            <w:vAlign w:val="bottom"/>
          </w:tcPr>
          <w:p>
            <w:pPr>
              <w:ind w:left="1700"/>
              <w:spacing w:after="0"/>
              <w:rPr>
                <w:sz w:val="20"/>
                <w:szCs w:val="20"/>
                <w:color w:val="auto"/>
              </w:rPr>
            </w:pPr>
            <w:r>
              <w:rPr>
                <w:rFonts w:ascii="Courier New" w:cs="Courier New" w:eastAsia="Courier New" w:hAnsi="Courier New"/>
                <w:sz w:val="15"/>
                <w:szCs w:val="15"/>
                <w:color w:val="auto"/>
              </w:rPr>
              <w:t>INDIA</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UACC Midwest</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Insgt Holdings, LLC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UA-Columbia Alpine Tower,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NJ</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UA-Columbia Cablevision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Massachusetts,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MA</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UA-Columbia Cablevision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New Jersey,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NJ</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UATC Merger Corp.</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NY</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UCTC LP Company</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United Artists Cable Holdings,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United Artists Holdings,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United Artists Holdings, LLC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Investment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Baltimore,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MD</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Corporation of Michigan</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MI</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Baldwin Park,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Chaska,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Illinois Valley,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IL</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Los Angeles,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CA</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Oakland County, Ltd.</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Pico Rivera,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Sarpy County,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NE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of Scottsdale,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AZ</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Real Estate Corporation</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Television</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Services of Colorado,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7"/>
              </w:rPr>
              <w:t>US West Deutschland GmbH</w:t>
            </w:r>
          </w:p>
        </w:tc>
        <w:tc>
          <w:tcPr>
            <w:tcW w:w="3900" w:type="dxa"/>
            <w:vAlign w:val="bottom"/>
          </w:tcPr>
          <w:p>
            <w:pPr>
              <w:spacing w:after="0"/>
              <w:rPr>
                <w:sz w:val="14"/>
                <w:szCs w:val="14"/>
                <w:color w:val="auto"/>
              </w:rPr>
            </w:pPr>
          </w:p>
        </w:tc>
        <w:tc>
          <w:tcPr>
            <w:tcW w:w="2220" w:type="dxa"/>
            <w:vAlign w:val="bottom"/>
          </w:tcPr>
          <w:p>
            <w:pPr>
              <w:ind w:left="1600"/>
              <w:spacing w:after="0"/>
              <w:rPr>
                <w:sz w:val="20"/>
                <w:szCs w:val="20"/>
                <w:color w:val="auto"/>
              </w:rPr>
            </w:pPr>
            <w:r>
              <w:rPr>
                <w:rFonts w:ascii="Courier New" w:cs="Courier New" w:eastAsia="Courier New" w:hAnsi="Courier New"/>
                <w:sz w:val="15"/>
                <w:szCs w:val="15"/>
                <w:color w:val="auto"/>
                <w:w w:val="95"/>
              </w:rPr>
              <w:t>Germany</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USWFS Borrower Trust</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USWFS Direct</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 Beazer</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USWFS Direct</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 Grand Trunk</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USWFS Direct</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 United No. 13</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USWFS Direct</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 United No. 14</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7"/>
              </w:rPr>
              <w:t>USWFS Intermediary Trust</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UTI Purchase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Valertex, Inc.</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TX</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Waltham Tele-Communications</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MA</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Waltham Tele-Communications,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Watch What You Play Music, LLC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Western Community TV,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MT</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Western Range Insurance</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VT</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Western Satellite 2,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Westmarc Cable Group,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Westmarc Cable Holding,</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DE</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Westmarc Development II,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Westmarc Development III,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Westmarc Development IV,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Westmarc Development, Inc.</w:t>
            </w: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Westmarc Realty, Inc.</w:t>
            </w:r>
          </w:p>
        </w:tc>
        <w:tc>
          <w:tcPr>
            <w:tcW w:w="3900" w:type="dxa"/>
            <w:vAlign w:val="bottom"/>
          </w:tcPr>
          <w:p>
            <w:pPr>
              <w:spacing w:after="0"/>
              <w:rPr>
                <w:sz w:val="14"/>
                <w:szCs w:val="14"/>
                <w:color w:val="auto"/>
              </w:rPr>
            </w:pPr>
          </w:p>
        </w:tc>
        <w:tc>
          <w:tcPr>
            <w:tcW w:w="2220" w:type="dxa"/>
            <w:vAlign w:val="bottom"/>
          </w:tcPr>
          <w:p>
            <w:pPr>
              <w:ind w:left="1860"/>
              <w:spacing w:after="0"/>
              <w:rPr>
                <w:sz w:val="20"/>
                <w:szCs w:val="20"/>
                <w:color w:val="auto"/>
              </w:rPr>
            </w:pPr>
            <w:r>
              <w:rPr>
                <w:rFonts w:ascii="Courier New" w:cs="Courier New" w:eastAsia="Courier New" w:hAnsi="Courier New"/>
                <w:sz w:val="15"/>
                <w:szCs w:val="15"/>
                <w:color w:val="auto"/>
              </w:rPr>
              <w:t>CO</w:t>
            </w:r>
          </w:p>
        </w:tc>
      </w:tr>
      <w:tr>
        <w:trPr>
          <w:trHeight w:val="512"/>
        </w:trPr>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00" w:type="dxa"/>
            <w:vAlign w:val="bottom"/>
          </w:tcPr>
          <w:p>
            <w:pPr>
              <w:ind w:left="1240"/>
              <w:spacing w:after="0"/>
              <w:rPr>
                <w:sz w:val="20"/>
                <w:szCs w:val="20"/>
                <w:color w:val="auto"/>
              </w:rPr>
            </w:pPr>
            <w:r>
              <w:rPr>
                <w:rFonts w:ascii="Courier New" w:cs="Courier New" w:eastAsia="Courier New" w:hAnsi="Courier New"/>
                <w:sz w:val="15"/>
                <w:szCs w:val="15"/>
                <w:color w:val="auto"/>
              </w:rPr>
              <w:t>-20-</w:t>
            </w:r>
          </w:p>
        </w:tc>
        <w:tc>
          <w:tcPr>
            <w:tcW w:w="222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506" w:name="page507"/>
    <w:bookmarkEnd w:id="5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7" w:name="page508"/>
    <w:bookmarkEnd w:id="507"/>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consent to the incorporation by reference in Registration Statements of Comcast Corporation (formerly AT&amp;T Comcast Corporation) on Form S-8 (Nos. 333-101645 and 333-101295), Form S-3 (No. 333-101861), and Form S-4 (No. 333-101264) of our reports dated March 17, 2003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this Annual Report on Form 10-K of Comcast Corporation for the year ended December 31, 2002.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2003</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E2C8BA"/>
    <w:multiLevelType w:val="hybridMultilevel"/>
    <w:lvl w:ilvl="0">
      <w:lvlJc w:val="left"/>
      <w:lvlText w:val="["/>
      <w:numFmt w:val="bullet"/>
      <w:start w:val="1"/>
    </w:lvl>
  </w:abstractNum>
  <w:abstractNum w:abstractNumId="1">
    <w:nsid w:val="7B14914E"/>
    <w:multiLevelType w:val="hybridMultilevel"/>
    <w:lvl w:ilvl="0">
      <w:lvlJc w:val="left"/>
      <w:lvlText w:val="["/>
      <w:numFmt w:val="bullet"/>
      <w:start w:val="1"/>
    </w:lvl>
  </w:abstractNum>
  <w:abstractNum w:abstractNumId="2">
    <w:nsid w:val="6F0939F8"/>
    <w:multiLevelType w:val="hybridMultilevel"/>
    <w:lvl w:ilvl="0">
      <w:lvlJc w:val="left"/>
      <w:lvlText w:val="(%1)"/>
      <w:numFmt w:val="decimal"/>
      <w:start w:val="1"/>
    </w:lvl>
  </w:abstractNum>
  <w:abstractNum w:abstractNumId="3">
    <w:nsid w:val="154291F6"/>
    <w:multiLevelType w:val="hybridMultilevel"/>
    <w:lvl w:ilvl="0">
      <w:lvlJc w:val="left"/>
      <w:lvlText w:val="o"/>
      <w:numFmt w:val="bullet"/>
      <w:start w:val="1"/>
    </w:lvl>
  </w:abstractNum>
  <w:abstractNum w:abstractNumId="4">
    <w:nsid w:val="3CEBD7C7"/>
    <w:multiLevelType w:val="hybridMultilevel"/>
    <w:lvl w:ilvl="0">
      <w:lvlJc w:val="left"/>
      <w:lvlText w:val="o"/>
      <w:numFmt w:val="bullet"/>
      <w:start w:val="1"/>
    </w:lvl>
  </w:abstractNum>
  <w:abstractNum w:abstractNumId="5">
    <w:nsid w:val="60EE9C16"/>
    <w:multiLevelType w:val="hybridMultilevel"/>
    <w:lvl w:ilvl="0">
      <w:lvlJc w:val="left"/>
      <w:lvlText w:val="o"/>
      <w:numFmt w:val="bullet"/>
      <w:start w:val="1"/>
    </w:lvl>
  </w:abstractNum>
  <w:abstractNum w:abstractNumId="6">
    <w:nsid w:val="6385489E"/>
    <w:multiLevelType w:val="hybridMultilevel"/>
    <w:lvl w:ilvl="0">
      <w:lvlJc w:val="left"/>
      <w:lvlText w:val="(%1)"/>
      <w:numFmt w:val="decimal"/>
      <w:start w:val="1"/>
    </w:lvl>
  </w:abstractNum>
  <w:abstractNum w:abstractNumId="7">
    <w:nsid w:val="E4B973"/>
    <w:multiLevelType w:val="hybridMultilevel"/>
    <w:lvl w:ilvl="0">
      <w:lvlJc w:val="left"/>
      <w:lvlText w:val="o"/>
      <w:numFmt w:val="bullet"/>
      <w:start w:val="1"/>
    </w:lvl>
  </w:abstractNum>
  <w:abstractNum w:abstractNumId="8">
    <w:nsid w:val="4A0FFA11"/>
    <w:multiLevelType w:val="hybridMultilevel"/>
    <w:lvl w:ilvl="0">
      <w:lvlJc w:val="left"/>
      <w:lvlText w:val="o"/>
      <w:numFmt w:val="bullet"/>
      <w:start w:val="1"/>
    </w:lvl>
  </w:abstractNum>
  <w:abstractNum w:abstractNumId="9">
    <w:nsid w:val="5E446208"/>
    <w:multiLevelType w:val="hybridMultilevel"/>
    <w:lvl w:ilvl="0">
      <w:lvlJc w:val="left"/>
      <w:lvlText w:val="o"/>
      <w:numFmt w:val="bullet"/>
      <w:start w:val="1"/>
    </w:lvl>
  </w:abstractNum>
  <w:abstractNum w:abstractNumId="10">
    <w:nsid w:val="5F3272DB"/>
    <w:multiLevelType w:val="hybridMultilevel"/>
    <w:lvl w:ilvl="0">
      <w:lvlJc w:val="left"/>
      <w:lvlText w:val="o"/>
      <w:numFmt w:val="bullet"/>
      <w:start w:val="1"/>
    </w:lvl>
  </w:abstractNum>
  <w:abstractNum w:abstractNumId="11">
    <w:nsid w:val="7616D704"/>
    <w:multiLevelType w:val="hybridMultilevel"/>
    <w:lvl w:ilvl="0">
      <w:lvlJc w:val="left"/>
      <w:lvlText w:val="o"/>
      <w:numFmt w:val="bullet"/>
      <w:start w:val="1"/>
    </w:lvl>
    <w:lvl w:ilvl="1">
      <w:lvlJc w:val="left"/>
      <w:lvlText w:val="-"/>
      <w:numFmt w:val="bullet"/>
      <w:start w:val="1"/>
    </w:lvl>
  </w:abstractNum>
  <w:abstractNum w:abstractNumId="12">
    <w:nsid w:val="C56F860"/>
    <w:multiLevelType w:val="hybridMultilevel"/>
    <w:lvl w:ilvl="0">
      <w:lvlJc w:val="left"/>
      <w:lvlText w:val="o"/>
      <w:numFmt w:val="bullet"/>
      <w:start w:val="1"/>
    </w:lvl>
  </w:abstractNum>
  <w:abstractNum w:abstractNumId="13">
    <w:nsid w:val="64D17722"/>
    <w:multiLevelType w:val="hybridMultilevel"/>
    <w:lvl w:ilvl="0">
      <w:lvlJc w:val="left"/>
      <w:lvlText w:val="o"/>
      <w:numFmt w:val="bullet"/>
      <w:start w:val="1"/>
    </w:lvl>
  </w:abstractNum>
  <w:abstractNum w:abstractNumId="14">
    <w:nsid w:val="7924CA0A"/>
    <w:multiLevelType w:val="hybridMultilevel"/>
    <w:lvl w:ilvl="0">
      <w:lvlJc w:val="left"/>
      <w:lvlText w:val="A"/>
      <w:numFmt w:val="bullet"/>
      <w:start w:val="1"/>
    </w:lvl>
  </w:abstractNum>
  <w:abstractNum w:abstractNumId="15">
    <w:nsid w:val="CFD4EA7"/>
    <w:multiLevelType w:val="hybridMultilevel"/>
    <w:lvl w:ilvl="0">
      <w:lvlJc w:val="left"/>
      <w:lvlText w:val="o"/>
      <w:numFmt w:val="bullet"/>
      <w:start w:val="1"/>
    </w:lvl>
    <w:lvl w:ilvl="1">
      <w:lvlJc w:val="left"/>
      <w:lvlText w:val="-"/>
      <w:numFmt w:val="bullet"/>
      <w:start w:val="1"/>
    </w:lvl>
  </w:abstractNum>
  <w:abstractNum w:abstractNumId="16">
    <w:nsid w:val="232FCF4D"/>
    <w:multiLevelType w:val="hybridMultilevel"/>
    <w:lvl w:ilvl="0">
      <w:lvlJc w:val="left"/>
      <w:lvlText w:val="o"/>
      <w:numFmt w:val="bullet"/>
      <w:start w:val="1"/>
    </w:lvl>
  </w:abstractNum>
  <w:abstractNum w:abstractNumId="17">
    <w:nsid w:val="1EA21031"/>
    <w:multiLevelType w:val="hybridMultilevel"/>
    <w:lvl w:ilvl="0">
      <w:lvlJc w:val="left"/>
      <w:lvlText w:val="%1."/>
      <w:numFmt w:val="upperLetter"/>
      <w:start w:val="3"/>
    </w:lvl>
  </w:abstractNum>
  <w:abstractNum w:abstractNumId="18">
    <w:nsid w:val="67A5A6B5"/>
    <w:multiLevelType w:val="hybridMultilevel"/>
    <w:lvl w:ilvl="0">
      <w:lvlJc w:val="left"/>
      <w:lvlText w:val="&amp;"/>
      <w:numFmt w:val="bullet"/>
      <w:start w:val="1"/>
    </w:lvl>
  </w:abstractNum>
  <w:abstractNum w:abstractNumId="19">
    <w:nsid w:val="C2A5C5B"/>
    <w:multiLevelType w:val="hybridMultilevel"/>
    <w:lvl w:ilvl="0">
      <w:lvlJc w:val="left"/>
      <w:lvlText w:val="(%1)"/>
      <w:numFmt w:val="decimal"/>
      <w:start w:val="1"/>
    </w:lvl>
  </w:abstractNum>
  <w:abstractNum w:abstractNumId="20">
    <w:nsid w:val="5F94DC03"/>
    <w:multiLevelType w:val="hybridMultilevel"/>
    <w:lvl w:ilvl="0">
      <w:lvlJc w:val="left"/>
      <w:lvlText w:val="o"/>
      <w:numFmt w:val="bullet"/>
      <w:start w:val="1"/>
    </w:lvl>
  </w:abstractNum>
  <w:abstractNum w:abstractNumId="21">
    <w:nsid w:val="237BBCA0"/>
    <w:multiLevelType w:val="hybridMultilevel"/>
    <w:lvl w:ilvl="0">
      <w:lvlJc w:val="left"/>
      <w:lvlText w:val="o"/>
      <w:numFmt w:val="bullet"/>
      <w:start w:val="1"/>
    </w:lvl>
  </w:abstractNum>
  <w:abstractNum w:abstractNumId="22">
    <w:nsid w:val="162EB70D"/>
    <w:multiLevelType w:val="hybridMultilevel"/>
    <w:lvl w:ilvl="0">
      <w:lvlJc w:val="left"/>
      <w:lvlText w:val="(%1)"/>
      <w:numFmt w:val="decimal"/>
      <w:start w:val="1"/>
    </w:lvl>
    <w:lvl w:ilvl="1">
      <w:lvlJc w:val="left"/>
      <w:lvlText w:val="-"/>
      <w:numFmt w:val="bullet"/>
      <w:start w:val="1"/>
    </w:lvl>
  </w:abstractNum>
  <w:abstractNum w:abstractNumId="23">
    <w:nsid w:val="78070222"/>
    <w:multiLevelType w:val="hybridMultilevel"/>
    <w:lvl w:ilvl="0">
      <w:lvlJc w:val="left"/>
      <w:lvlText w:val="(%1)"/>
      <w:numFmt w:val="decimal"/>
      <w:start w:val="2"/>
    </w:lvl>
  </w:abstractNum>
  <w:abstractNum w:abstractNumId="24">
    <w:nsid w:val="6163ED0D"/>
    <w:multiLevelType w:val="hybridMultilevel"/>
    <w:lvl w:ilvl="0">
      <w:lvlJc w:val="left"/>
      <w:lvlText w:val="o"/>
      <w:numFmt w:val="bullet"/>
      <w:start w:val="1"/>
    </w:lvl>
  </w:abstractNum>
  <w:abstractNum w:abstractNumId="25">
    <w:nsid w:val="C600E47"/>
    <w:multiLevelType w:val="hybridMultilevel"/>
    <w:lvl w:ilvl="0">
      <w:lvlJc w:val="left"/>
      <w:lvlText w:val="(%1)"/>
      <w:numFmt w:val="decimal"/>
      <w:start w:val="1"/>
    </w:lvl>
    <w:lvl w:ilvl="1">
      <w:lvlJc w:val="left"/>
      <w:lvlText w:val="-"/>
      <w:numFmt w:val="bullet"/>
      <w:start w:val="1"/>
    </w:lvl>
  </w:abstractNum>
  <w:abstractNum w:abstractNumId="26">
    <w:nsid w:val="7D94F75D"/>
    <w:multiLevelType w:val="hybridMultilevel"/>
    <w:lvl w:ilvl="0">
      <w:lvlJc w:val="left"/>
      <w:lvlText w:val="$"/>
      <w:numFmt w:val="bullet"/>
      <w:start w:val="1"/>
    </w:lvl>
  </w:abstractNum>
  <w:abstractNum w:abstractNumId="27">
    <w:nsid w:val="6C31E7CD"/>
    <w:multiLevelType w:val="hybridMultilevel"/>
    <w:lvl w:ilvl="0">
      <w:lvlJc w:val="left"/>
      <w:lvlText w:val="$"/>
      <w:numFmt w:val="bullet"/>
      <w:start w:val="1"/>
    </w:lvl>
  </w:abstractNum>
  <w:abstractNum w:abstractNumId="28">
    <w:nsid w:val="2BB7929B"/>
    <w:multiLevelType w:val="hybridMultilevel"/>
    <w:lvl w:ilvl="0">
      <w:lvlJc w:val="left"/>
      <w:lvlText w:val="%1"/>
      <w:numFmt w:val="decimal"/>
      <w:start w:val="810"/>
    </w:lvl>
  </w:abstractNum>
  <w:abstractNum w:abstractNumId="29">
    <w:nsid w:val="58A2A487"/>
    <w:multiLevelType w:val="hybridMultilevel"/>
    <w:lvl w:ilvl="0">
      <w:lvlJc w:val="left"/>
      <w:lvlText w:val="%1."/>
      <w:numFmt w:val="decimal"/>
      <w:start w:val="2"/>
    </w:lvl>
    <w:lvl w:ilvl="1">
      <w:lvlJc w:val="left"/>
      <w:lvlText w:val="-"/>
      <w:numFmt w:val="bullet"/>
      <w:start w:val="1"/>
    </w:lvl>
  </w:abstractNum>
  <w:abstractNum w:abstractNumId="30">
    <w:nsid w:val="3A6F0E78"/>
    <w:multiLevelType w:val="hybridMultilevel"/>
    <w:lvl w:ilvl="0">
      <w:lvlJc w:val="left"/>
      <w:lvlText w:val="%1"/>
      <w:numFmt w:val="decimal"/>
      <w:start w:val="46"/>
    </w:lvl>
  </w:abstractNum>
  <w:abstractNum w:abstractNumId="31">
    <w:nsid w:val="379A5B56"/>
    <w:multiLevelType w:val="hybridMultilevel"/>
    <w:lvl w:ilvl="0">
      <w:lvlJc w:val="left"/>
      <w:lvlText w:val="%1."/>
      <w:numFmt w:val="decimal"/>
      <w:start w:val="3"/>
    </w:lvl>
    <w:lvl w:ilvl="1">
      <w:lvlJc w:val="left"/>
      <w:lvlText w:val="-"/>
      <w:numFmt w:val="bullet"/>
      <w:start w:val="1"/>
    </w:lvl>
  </w:abstractNum>
  <w:abstractNum w:abstractNumId="32">
    <w:nsid w:val="53B735D5"/>
    <w:multiLevelType w:val="hybridMultilevel"/>
    <w:lvl w:ilvl="0">
      <w:lvlJc w:val="left"/>
      <w:lvlText w:val="%1."/>
      <w:numFmt w:val="decimal"/>
      <w:start w:val="4"/>
    </w:lvl>
    <w:lvl w:ilvl="1">
      <w:lvlJc w:val="left"/>
      <w:lvlText w:val="-"/>
      <w:numFmt w:val="bullet"/>
      <w:start w:val="1"/>
    </w:lvl>
  </w:abstractNum>
  <w:abstractNum w:abstractNumId="33">
    <w:nsid w:val="29784870"/>
    <w:multiLevelType w:val="hybridMultilevel"/>
    <w:lvl w:ilvl="0">
      <w:lvlJc w:val="left"/>
      <w:lvlText w:val="%1."/>
      <w:numFmt w:val="decimal"/>
      <w:start w:val="5"/>
    </w:lvl>
    <w:lvl w:ilvl="1">
      <w:lvlJc w:val="left"/>
      <w:lvlText w:val="-"/>
      <w:numFmt w:val="bullet"/>
      <w:start w:val="1"/>
    </w:lvl>
  </w:abstractNum>
  <w:abstractNum w:abstractNumId="34">
    <w:nsid w:val="4CDCED4C"/>
    <w:multiLevelType w:val="hybridMultilevel"/>
    <w:lvl w:ilvl="0">
      <w:lvlJc w:val="left"/>
      <w:lvlText w:val="%1."/>
      <w:numFmt w:val="decimal"/>
      <w:start w:val="9"/>
    </w:lvl>
    <w:lvl w:ilvl="1">
      <w:lvlJc w:val="left"/>
      <w:lvlText w:val="-"/>
      <w:numFmt w:val="bullet"/>
      <w:start w:val="1"/>
    </w:lvl>
  </w:abstractNum>
  <w:abstractNum w:abstractNumId="35">
    <w:nsid w:val="10A30D9C"/>
    <w:multiLevelType w:val="hybridMultilevel"/>
    <w:lvl w:ilvl="0">
      <w:lvlJc w:val="left"/>
      <w:lvlText w:val="%1."/>
      <w:numFmt w:val="decimal"/>
      <w:start w:val="11"/>
    </w:lvl>
  </w:abstractNum>
  <w:abstractNum w:abstractNumId="36">
    <w:nsid w:val="A66E486"/>
    <w:multiLevelType w:val="hybridMultilevel"/>
    <w:lvl w:ilvl="0">
      <w:lvlJc w:val="left"/>
      <w:lvlText w:val="%1."/>
      <w:numFmt w:val="decimal"/>
      <w:start w:val="12"/>
    </w:lvl>
  </w:abstractNum>
  <w:abstractNum w:abstractNumId="37">
    <w:nsid w:val="306235EA"/>
    <w:multiLevelType w:val="hybridMultilevel"/>
    <w:lvl w:ilvl="0">
      <w:lvlJc w:val="left"/>
      <w:lvlText w:val="%1."/>
      <w:numFmt w:val="decimal"/>
      <w:start w:val="13"/>
    </w:lvl>
    <w:lvl w:ilvl="1">
      <w:lvlJc w:val="left"/>
      <w:lvlText w:val="-"/>
      <w:numFmt w:val="bullet"/>
      <w:start w:val="1"/>
    </w:lvl>
  </w:abstractNum>
  <w:abstractNum w:abstractNumId="38">
    <w:nsid w:val="1187C70F"/>
    <w:multiLevelType w:val="hybridMultilevel"/>
    <w:lvl w:ilvl="0">
      <w:lvlJc w:val="left"/>
      <w:lvlText w:val="(%1)"/>
      <w:numFmt w:val="decimal"/>
      <w:start w:val="1"/>
    </w:lvl>
    <w:lvl w:ilvl="1">
      <w:lvlJc w:val="left"/>
      <w:lvlText w:val="-"/>
      <w:numFmt w:val="bullet"/>
      <w:start w:val="1"/>
    </w:lvl>
  </w:abstractNum>
  <w:abstractNum w:abstractNumId="39">
    <w:nsid w:val="5476DE98"/>
    <w:multiLevelType w:val="hybridMultilevel"/>
    <w:lvl w:ilvl="0">
      <w:lvlJc w:val="left"/>
      <w:lvlText w:val="(%1)"/>
      <w:numFmt w:val="lowerLetter"/>
      <w:start w:val="1"/>
    </w:lvl>
  </w:abstractNum>
  <w:abstractNum w:abstractNumId="40">
    <w:nsid w:val="EA697F2"/>
    <w:multiLevelType w:val="hybridMultilevel"/>
    <w:lvl w:ilvl="0">
      <w:lvlJc w:val="left"/>
      <w:lvlText w:val="(%1)"/>
      <w:numFmt w:val="lowerLetter"/>
      <w:start w:val="1"/>
    </w:lvl>
  </w:abstractNum>
  <w:abstractNum w:abstractNumId="41">
    <w:nsid w:val="70BA39E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2">
    <w:nsid w:val="4A8DB59C"/>
    <w:multiLevelType w:val="hybridMultilevel"/>
    <w:lvl w:ilvl="0">
      <w:lvlJc w:val="left"/>
      <w:lvlText w:val="(%1)"/>
      <w:numFmt w:val="lowerRoman"/>
      <w:start w:val="2"/>
    </w:lvl>
  </w:abstractNum>
  <w:abstractNum w:abstractNumId="43">
    <w:nsid w:val="1AFD9053"/>
    <w:multiLevelType w:val="hybridMultilevel"/>
    <w:lvl w:ilvl="0">
      <w:lvlJc w:val="left"/>
      <w:lvlText w:val="%1"/>
      <w:numFmt w:val="upperLetter"/>
      <w:start w:val="35"/>
    </w:lvl>
  </w:abstractNum>
  <w:abstractNum w:abstractNumId="44">
    <w:nsid w:val="558BB10D"/>
    <w:multiLevelType w:val="hybridMultilevel"/>
    <w:lvl w:ilvl="0">
      <w:lvlJc w:val="left"/>
      <w:lvlText w:val="*"/>
      <w:numFmt w:val="bullet"/>
      <w:start w:val="1"/>
    </w:lvl>
    <w:lvl w:ilvl="1">
      <w:lvlJc w:val="left"/>
      <w:lvlText w:val="-"/>
      <w:numFmt w:val="bullet"/>
      <w:start w:val="1"/>
    </w:lvl>
  </w:abstractNum>
  <w:abstractNum w:abstractNumId="45">
    <w:nsid w:val="43B27FA7"/>
    <w:multiLevelType w:val="hybridMultilevel"/>
    <w:lvl w:ilvl="0">
      <w:lvlJc w:val="left"/>
      <w:lvlText w:val="(%1)"/>
      <w:numFmt w:val="upperLetter"/>
      <w:start w:val="1"/>
    </w:lvl>
    <w:lvl w:ilvl="1">
      <w:lvlJc w:val="left"/>
      <w:lvlText w:val="-"/>
      <w:numFmt w:val="bullet"/>
      <w:start w:val="1"/>
    </w:lvl>
  </w:abstractNum>
  <w:abstractNum w:abstractNumId="46">
    <w:nsid w:val="27FADEFA"/>
    <w:multiLevelType w:val="hybridMultilevel"/>
    <w:lvl w:ilvl="0">
      <w:lvlJc w:val="left"/>
      <w:lvlText w:val="%1."/>
      <w:numFmt w:val="decimal"/>
      <w:start w:val="1"/>
    </w:lvl>
    <w:lvl w:ilvl="1">
      <w:lvlJc w:val="left"/>
      <w:lvlText w:val="%2)"/>
      <w:numFmt w:val="lowerLetter"/>
      <w:start w:val="1"/>
    </w:lvl>
  </w:abstractNum>
  <w:abstractNum w:abstractNumId="47">
    <w:nsid w:val="78BB805A"/>
    <w:multiLevelType w:val="hybridMultilevel"/>
    <w:lvl w:ilvl="0">
      <w:lvlJc w:val="left"/>
      <w:lvlText w:val="-"/>
      <w:numFmt w:val="bullet"/>
      <w:start w:val="1"/>
    </w:lvl>
    <w:lvl w:ilvl="1">
      <w:lvlJc w:val="left"/>
      <w:lvlText w:val="-"/>
      <w:numFmt w:val="bullet"/>
      <w:start w:val="1"/>
    </w:lvl>
  </w:abstractNum>
  <w:abstractNum w:abstractNumId="48">
    <w:nsid w:val="62548FD8"/>
    <w:multiLevelType w:val="hybridMultilevel"/>
    <w:lvl w:ilvl="0">
      <w:lvlJc w:val="left"/>
      <w:lvlText w:val="%1."/>
      <w:numFmt w:val="decimal"/>
      <w:start w:val="1"/>
    </w:lvl>
    <w:lvl w:ilvl="1">
      <w:lvlJc w:val="left"/>
      <w:lvlText w:val="%2)"/>
      <w:numFmt w:val="lowerLetter"/>
      <w:start w:val="1"/>
    </w:lvl>
  </w:abstractNum>
  <w:abstractNum w:abstractNumId="49">
    <w:nsid w:val="FA085B0"/>
    <w:multiLevelType w:val="hybridMultilevel"/>
    <w:lvl w:ilvl="0">
      <w:lvlJc w:val="left"/>
      <w:lvlText w:val="-"/>
      <w:numFmt w:val="bullet"/>
      <w:start w:val="1"/>
    </w:lvl>
    <w:lvl w:ilvl="1">
      <w:lvlJc w:val="left"/>
      <w:lvlText w:val="-"/>
      <w:numFmt w:val="bullet"/>
      <w:start w:val="1"/>
    </w:lvl>
  </w:abstractNum>
  <w:abstractNum w:abstractNumId="50">
    <w:nsid w:val="4E5DCB5"/>
    <w:multiLevelType w:val="hybridMultilevel"/>
    <w:lvl w:ilvl="0">
      <w:lvlJc w:val="left"/>
      <w:lvlText w:val="%1."/>
      <w:numFmt w:val="decimal"/>
      <w:start w:val="1"/>
    </w:lvl>
    <w:lvl w:ilvl="1">
      <w:lvlJc w:val="left"/>
      <w:lvlText w:val="%2)"/>
      <w:numFmt w:val="lowerLetter"/>
      <w:start w:val="1"/>
    </w:lvl>
  </w:abstractNum>
  <w:abstractNum w:abstractNumId="51">
    <w:nsid w:val="41E96BDB"/>
    <w:multiLevelType w:val="hybridMultilevel"/>
    <w:lvl w:ilvl="0">
      <w:lvlJc w:val="left"/>
      <w:lvlText w:val="-"/>
      <w:numFmt w:val="bullet"/>
      <w:start w:val="1"/>
    </w:lvl>
    <w:lvl w:ilvl="1">
      <w:lvlJc w:val="left"/>
      <w:lvlText w:val="-"/>
      <w:numFmt w:val="bullet"/>
      <w:start w:val="1"/>
    </w:lvl>
  </w:abstractNum>
  <w:abstractNum w:abstractNumId="52">
    <w:nsid w:val="331C4250"/>
    <w:multiLevelType w:val="hybridMultilevel"/>
    <w:lvl w:ilvl="0">
      <w:lvlJc w:val="left"/>
      <w:lvlText w:val="%1"/>
      <w:numFmt w:val="lowerLetter"/>
      <w:start w:val="1"/>
    </w:lvl>
    <w:lvl w:ilvl="1">
      <w:lvlJc w:val="left"/>
      <w:lvlText w:val="(%2)"/>
      <w:numFmt w:val="lowerLetter"/>
      <w:start w:val="1"/>
    </w:lvl>
  </w:abstractNum>
  <w:abstractNum w:abstractNumId="53">
    <w:nsid w:val="1B1493C2"/>
    <w:multiLevelType w:val="hybridMultilevel"/>
    <w:lvl w:ilvl="0">
      <w:lvlJc w:val="left"/>
      <w:lvlText w:val="(%1)"/>
      <w:numFmt w:val="lowerLetter"/>
      <w:start w:val="9"/>
    </w:lvl>
    <w:lvl w:ilvl="1">
      <w:lvlJc w:val="left"/>
      <w:lvlText w:val="(%2)"/>
      <w:numFmt w:val="lowerLetter"/>
      <w:start w:val="2"/>
    </w:lvl>
  </w:abstractNum>
  <w:abstractNum w:abstractNumId="54">
    <w:nsid w:val="39F06DFD"/>
    <w:multiLevelType w:val="hybridMultilevel"/>
    <w:lvl w:ilvl="0">
      <w:lvlJc w:val="left"/>
      <w:lvlText w:val="(%1)"/>
      <w:numFmt w:val="lowerLetter"/>
      <w:start w:val="1"/>
    </w:lvl>
  </w:abstractNum>
  <w:abstractNum w:abstractNumId="55">
    <w:nsid w:val="14802F5D"/>
    <w:multiLevelType w:val="hybridMultilevel"/>
    <w:lvl w:ilvl="0">
      <w:lvlJc w:val="left"/>
      <w:lvlText w:val="(%1)"/>
      <w:numFmt w:val="lowerLetter"/>
      <w:start w:val="5"/>
    </w:lvl>
  </w:abstractNum>
  <w:abstractNum w:abstractNumId="56">
    <w:nsid w:val="2774A209"/>
    <w:multiLevelType w:val="hybridMultilevel"/>
    <w:lvl w:ilvl="0">
      <w:lvlJc w:val="left"/>
      <w:lvlText w:val="(%1)"/>
      <w:numFmt w:val="lowerLetter"/>
      <w:start w:val="1"/>
    </w:lvl>
  </w:abstractNum>
  <w:abstractNum w:abstractNumId="57">
    <w:nsid w:val="3785655A"/>
    <w:multiLevelType w:val="hybridMultilevel"/>
    <w:lvl w:ilvl="0">
      <w:lvlJc w:val="left"/>
      <w:lvlText w:val="%1"/>
      <w:numFmt w:val="lowerLetter"/>
      <w:start w:val="1"/>
    </w:lvl>
    <w:lvl w:ilvl="1">
      <w:lvlJc w:val="left"/>
      <w:lvlText w:val="(%2)"/>
      <w:numFmt w:val="lowerRoman"/>
      <w:start w:val="1"/>
    </w:lvl>
  </w:abstractNum>
  <w:abstractNum w:abstractNumId="58">
    <w:nsid w:val="B2172A"/>
    <w:multiLevelType w:val="hybridMultilevel"/>
    <w:lvl w:ilvl="0">
      <w:lvlJc w:val="left"/>
      <w:lvlText w:val="(%1)"/>
      <w:numFmt w:val="lowerLetter"/>
      <w:start w:val="2"/>
    </w:lvl>
    <w:lvl w:ilvl="1">
      <w:lvlJc w:val="left"/>
      <w:lvlText w:val="%2"/>
      <w:numFmt w:val="lowerRoman"/>
      <w:start w:val="1"/>
    </w:lvl>
  </w:abstractNum>
  <w:abstractNum w:abstractNumId="59">
    <w:nsid w:val="532C34A5"/>
    <w:multiLevelType w:val="hybridMultilevel"/>
    <w:lvl w:ilvl="0">
      <w:lvlJc w:val="left"/>
      <w:lvlText w:val="(%1)"/>
      <w:numFmt w:val="lowerLetter"/>
      <w:start w:val="1"/>
    </w:lvl>
    <w:lvl w:ilvl="1">
      <w:lvlJc w:val="left"/>
      <w:lvlText w:val="(%2)"/>
      <w:numFmt w:val="lowerRoman"/>
      <w:start w:val="1"/>
    </w:lvl>
  </w:abstractNum>
  <w:abstractNum w:abstractNumId="60">
    <w:nsid w:val="102809E2"/>
    <w:multiLevelType w:val="hybridMultilevel"/>
    <w:lvl w:ilvl="0">
      <w:lvlJc w:val="left"/>
      <w:lvlText w:val="(%1)"/>
      <w:numFmt w:val="lowerLetter"/>
      <w:start w:val="2"/>
    </w:lvl>
  </w:abstractNum>
  <w:abstractNum w:abstractNumId="61">
    <w:nsid w:val="3B2125A3"/>
    <w:multiLevelType w:val="hybridMultilevel"/>
    <w:lvl w:ilvl="0">
      <w:lvlJc w:val="left"/>
      <w:lvlText w:val="(%1)"/>
      <w:numFmt w:val="lowerRoman"/>
      <w:start w:val="1"/>
    </w:lvl>
  </w:abstractNum>
  <w:abstractNum w:abstractNumId="62">
    <w:nsid w:val="AC68FFB"/>
    <w:multiLevelType w:val="hybridMultilevel"/>
    <w:lvl w:ilvl="0">
      <w:lvlJc w:val="left"/>
      <w:lvlText w:val="(%1)"/>
      <w:numFmt w:val="lowerLetter"/>
      <w:start w:val="2"/>
    </w:lvl>
  </w:abstractNum>
  <w:abstractNum w:abstractNumId="63">
    <w:nsid w:val="63DF3FB7"/>
    <w:multiLevelType w:val="hybridMultilevel"/>
    <w:lvl w:ilvl="0">
      <w:lvlJc w:val="left"/>
      <w:lvlText w:val="(%1)"/>
      <w:numFmt w:val="lowerLetter"/>
      <w:start w:val="1"/>
    </w:lvl>
    <w:lvl w:ilvl="1">
      <w:lvlJc w:val="left"/>
      <w:lvlText w:val="(%2)"/>
      <w:numFmt w:val="lowerRoman"/>
      <w:start w:val="1"/>
    </w:lvl>
  </w:abstractNum>
  <w:abstractNum w:abstractNumId="64">
    <w:nsid w:val="64996E13"/>
    <w:multiLevelType w:val="hybridMultilevel"/>
    <w:lvl w:ilvl="0">
      <w:lvlJc w:val="left"/>
      <w:lvlText w:val="(%1)"/>
      <w:numFmt w:val="lowerLetter"/>
      <w:start w:val="2"/>
    </w:lvl>
  </w:abstractNum>
  <w:abstractNum w:abstractNumId="65">
    <w:nsid w:val="57A37D47"/>
    <w:multiLevelType w:val="hybridMultilevel"/>
    <w:lvl w:ilvl="0">
      <w:lvlJc w:val="left"/>
      <w:lvlText w:val="(%1)"/>
      <w:numFmt w:val="lowerLetter"/>
      <w:start w:val="1"/>
    </w:lvl>
  </w:abstractNum>
  <w:abstractNum w:abstractNumId="66">
    <w:nsid w:val="74824D54"/>
    <w:multiLevelType w:val="hybridMultilevel"/>
    <w:lvl w:ilvl="0">
      <w:lvlJc w:val="left"/>
      <w:lvlText w:val="(%1)"/>
      <w:numFmt w:val="lowerLetter"/>
      <w:start w:val="1"/>
    </w:lvl>
    <w:lvl w:ilvl="1">
      <w:lvlJc w:val="left"/>
      <w:lvlText w:val="(%2)"/>
      <w:numFmt w:val="lowerRoman"/>
      <w:start w:val="1"/>
    </w:lvl>
  </w:abstractNum>
  <w:abstractNum w:abstractNumId="67">
    <w:nsid w:val="6F00529A"/>
    <w:multiLevelType w:val="hybridMultilevel"/>
    <w:lvl w:ilvl="0">
      <w:lvlJc w:val="left"/>
      <w:lvlText w:val="(%1)"/>
      <w:numFmt w:val="lowerLetter"/>
      <w:start w:val="1"/>
    </w:lvl>
  </w:abstractNum>
  <w:abstractNum w:abstractNumId="68">
    <w:nsid w:val="805B331"/>
    <w:multiLevelType w:val="hybridMultilevel"/>
    <w:lvl w:ilvl="0">
      <w:lvlJc w:val="left"/>
      <w:lvlText w:val="(%1)"/>
      <w:numFmt w:val="lowerLetter"/>
      <w:start w:val="1"/>
    </w:lvl>
  </w:abstractNum>
  <w:abstractNum w:abstractNumId="69">
    <w:nsid w:val="60A1463"/>
    <w:multiLevelType w:val="hybridMultilevel"/>
    <w:lvl w:ilvl="0">
      <w:lvlJc w:val="left"/>
      <w:lvlText w:val="(%1)"/>
      <w:numFmt w:val="lowerLetter"/>
      <w:start w:val="1"/>
    </w:lvl>
    <w:lvl w:ilvl="1">
      <w:lvlJc w:val="left"/>
      <w:lvlText w:val="(%2)"/>
      <w:numFmt w:val="lowerLetter"/>
      <w:start w:val="9"/>
    </w:lvl>
  </w:abstractNum>
  <w:abstractNum w:abstractNumId="70">
    <w:nsid w:val="43773132"/>
    <w:multiLevelType w:val="hybridMultilevel"/>
    <w:lvl w:ilvl="0">
      <w:lvlJc w:val="left"/>
      <w:lvlText w:val="%1"/>
      <w:numFmt w:val="lowerLetter"/>
      <w:start w:val="1"/>
    </w:lvl>
    <w:lvl w:ilvl="1">
      <w:lvlJc w:val="left"/>
      <w:lvlText w:val="(%2)"/>
      <w:numFmt w:val="lowerLetter"/>
      <w:start w:val="35"/>
    </w:lvl>
  </w:abstractNum>
  <w:abstractNum w:abstractNumId="71">
    <w:nsid w:val="16AC4B23"/>
    <w:multiLevelType w:val="hybridMultilevel"/>
    <w:lvl w:ilvl="0">
      <w:lvlJc w:val="left"/>
      <w:lvlText w:val="(%1)"/>
      <w:numFmt w:val="lowerLetter"/>
      <w:start w:val="2"/>
    </w:lvl>
    <w:lvl w:ilvl="1">
      <w:lvlJc w:val="left"/>
      <w:lvlText w:val="(%2)"/>
      <w:numFmt w:val="lowerLetter"/>
      <w:start w:val="9"/>
    </w:lvl>
  </w:abstractNum>
  <w:abstractNum w:abstractNumId="72">
    <w:nsid w:val="76C44E4E"/>
    <w:multiLevelType w:val="hybridMultilevel"/>
    <w:lvl w:ilvl="0">
      <w:lvlJc w:val="left"/>
      <w:lvlText w:val="(%1)"/>
      <w:numFmt w:val="upperLetter"/>
      <w:start w:val="1"/>
    </w:lvl>
  </w:abstractNum>
  <w:abstractNum w:abstractNumId="73">
    <w:nsid w:val="E04E6C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74">
    <w:nsid w:val="31A9DB76"/>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lvl w:ilvl="3">
      <w:lvlJc w:val="left"/>
      <w:lvlText w:val="(%4)"/>
      <w:numFmt w:val="upperLetter"/>
      <w:start w:val="3"/>
    </w:lvl>
  </w:abstractNum>
  <w:abstractNum w:abstractNumId="75">
    <w:nsid w:val="4C4FFF5B"/>
    <w:multiLevelType w:val="hybridMultilevel"/>
    <w:lvl w:ilvl="0">
      <w:lvlJc w:val="left"/>
      <w:lvlText w:val="(%1)"/>
      <w:numFmt w:val="lowerRoman"/>
      <w:start w:val="4"/>
    </w:lvl>
  </w:abstractNum>
  <w:abstractNum w:abstractNumId="76">
    <w:nsid w:val="51B76675"/>
    <w:multiLevelType w:val="hybridMultilevel"/>
    <w:lvl w:ilvl="0">
      <w:lvlJc w:val="left"/>
      <w:lvlText w:val="(%1)"/>
      <w:numFmt w:val="lowerLetter"/>
      <w:start w:val="4"/>
    </w:lvl>
    <w:lvl w:ilvl="1">
      <w:lvlJc w:val="left"/>
      <w:lvlText w:val="(%2)"/>
      <w:numFmt w:val="lowerRoman"/>
      <w:start w:val="1"/>
    </w:lvl>
  </w:abstractNum>
  <w:abstractNum w:abstractNumId="77">
    <w:nsid w:val="59A4BA7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8">
    <w:nsid w:val="450B7FB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9">
    <w:nsid w:val="340BF64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0">
    <w:nsid w:val="69454021"/>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3"/>
    </w:lvl>
    <w:lvl w:ilvl="3">
      <w:lvlJc w:val="left"/>
      <w:lvlText w:val="%4"/>
      <w:numFmt w:val="upperLetter"/>
      <w:start w:val="1"/>
    </w:lvl>
  </w:abstractNum>
  <w:abstractNum w:abstractNumId="81">
    <w:nsid w:val="49F15C6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2">
    <w:nsid w:val="75F56228"/>
    <w:multiLevelType w:val="hybridMultilevel"/>
    <w:lvl w:ilvl="0">
      <w:lvlJc w:val="left"/>
      <w:lvlText w:val="(%1)"/>
      <w:numFmt w:val="lowerRoman"/>
      <w:start w:val="2"/>
    </w:lvl>
    <w:lvl w:ilvl="1">
      <w:lvlJc w:val="left"/>
      <w:lvlText w:val="(%2)"/>
      <w:numFmt w:val="upperLetter"/>
      <w:start w:val="1"/>
    </w:lvl>
  </w:abstractNum>
  <w:abstractNum w:abstractNumId="83">
    <w:nsid w:val="1C618271"/>
    <w:multiLevelType w:val="hybridMultilevel"/>
    <w:lvl w:ilvl="0">
      <w:lvlJc w:val="left"/>
      <w:lvlText w:val="(%1)"/>
      <w:numFmt w:val="lowerLetter"/>
      <w:start w:val="8"/>
    </w:lvl>
  </w:abstractNum>
  <w:abstractNum w:abstractNumId="84">
    <w:nsid w:val="6505F02E"/>
    <w:multiLevelType w:val="hybridMultilevel"/>
    <w:lvl w:ilvl="0">
      <w:lvlJc w:val="left"/>
      <w:lvlText w:val="(%1)"/>
      <w:numFmt w:val="lowerLetter"/>
      <w:start w:val="1"/>
    </w:lvl>
  </w:abstractNum>
  <w:abstractNum w:abstractNumId="85">
    <w:nsid w:val="2FE5D025"/>
    <w:multiLevelType w:val="hybridMultilevel"/>
    <w:lvl w:ilvl="0">
      <w:lvlJc w:val="left"/>
      <w:lvlText w:val="(%1)"/>
      <w:numFmt w:val="lowerLetter"/>
      <w:start w:val="2"/>
    </w:lvl>
  </w:abstractNum>
  <w:abstractNum w:abstractNumId="86">
    <w:nsid w:val="30E1B1CF"/>
    <w:multiLevelType w:val="hybridMultilevel"/>
    <w:lvl w:ilvl="0">
      <w:lvlJc w:val="left"/>
      <w:lvlText w:val="(%1)"/>
      <w:numFmt w:val="lowerLetter"/>
      <w:start w:val="3"/>
    </w:lvl>
  </w:abstractNum>
  <w:abstractNum w:abstractNumId="87">
    <w:nsid w:val="C7A9237"/>
    <w:multiLevelType w:val="hybridMultilevel"/>
    <w:lvl w:ilvl="0">
      <w:lvlJc w:val="left"/>
      <w:lvlText w:val="%1"/>
      <w:numFmt w:val="lowerLetter"/>
      <w:start w:val="1"/>
    </w:lvl>
    <w:lvl w:ilvl="1">
      <w:lvlJc w:val="left"/>
      <w:lvlText w:val="(%2)"/>
      <w:numFmt w:val="lowerLetter"/>
      <w:start w:val="1"/>
    </w:lvl>
  </w:abstractNum>
  <w:abstractNum w:abstractNumId="88">
    <w:nsid w:val="676B3580"/>
    <w:multiLevelType w:val="hybridMultilevel"/>
    <w:lvl w:ilvl="0">
      <w:lvlJc w:val="left"/>
      <w:lvlText w:val="(%1)"/>
      <w:numFmt w:val="lowerLetter"/>
      <w:start w:val="35"/>
    </w:lvl>
    <w:lvl w:ilvl="1">
      <w:lvlJc w:val="left"/>
      <w:lvlText w:val="(%2)"/>
      <w:numFmt w:val="lowerLetter"/>
      <w:start w:val="2"/>
    </w:lvl>
  </w:abstractNum>
  <w:abstractNum w:abstractNumId="89">
    <w:nsid w:val="3193C8F9"/>
    <w:multiLevelType w:val="hybridMultilevel"/>
    <w:lvl w:ilvl="0">
      <w:lvlJc w:val="left"/>
      <w:lvlText w:val="(%1)"/>
      <w:numFmt w:val="lowerLetter"/>
      <w:start w:val="3"/>
    </w:lvl>
  </w:abstractNum>
  <w:abstractNum w:abstractNumId="90">
    <w:nsid w:val="5FA6C6DC"/>
    <w:multiLevelType w:val="hybridMultilevel"/>
    <w:lvl w:ilvl="0">
      <w:lvlJc w:val="left"/>
      <w:lvlText w:val="(%1)"/>
      <w:numFmt w:val="lowerLetter"/>
      <w:start w:val="1"/>
    </w:lvl>
  </w:abstractNum>
  <w:abstractNum w:abstractNumId="91">
    <w:nsid w:val="77933F62"/>
    <w:multiLevelType w:val="hybridMultilevel"/>
    <w:lvl w:ilvl="0">
      <w:lvlJc w:val="left"/>
      <w:lvlText w:val="(%1)"/>
      <w:numFmt w:val="lowerLetter"/>
      <w:start w:val="2"/>
    </w:lvl>
  </w:abstractNum>
  <w:abstractNum w:abstractNumId="92">
    <w:nsid w:val="6CB4EE9C"/>
    <w:multiLevelType w:val="hybridMultilevel"/>
    <w:lvl w:ilvl="0">
      <w:lvlJc w:val="left"/>
      <w:lvlText w:val="(%1)"/>
      <w:numFmt w:val="lowerLetter"/>
      <w:start w:val="1"/>
    </w:lvl>
  </w:abstractNum>
  <w:abstractNum w:abstractNumId="93">
    <w:nsid w:val="6A6D56D7"/>
    <w:multiLevelType w:val="hybridMultilevel"/>
    <w:lvl w:ilvl="0">
      <w:lvlJc w:val="left"/>
      <w:lvlText w:val="(%1)"/>
      <w:numFmt w:val="lowerLetter"/>
      <w:start w:val="2"/>
    </w:lvl>
  </w:abstractNum>
  <w:abstractNum w:abstractNumId="94">
    <w:nsid w:val="5B727F19"/>
    <w:multiLevelType w:val="hybridMultilevel"/>
    <w:lvl w:ilvl="0">
      <w:lvlJc w:val="left"/>
      <w:lvlText w:val="(%1)"/>
      <w:numFmt w:val="lowerLetter"/>
      <w:start w:val="1"/>
    </w:lvl>
  </w:abstractNum>
  <w:abstractNum w:abstractNumId="95">
    <w:nsid w:val="514E5CB0"/>
    <w:multiLevelType w:val="hybridMultilevel"/>
    <w:lvl w:ilvl="0">
      <w:lvlJc w:val="left"/>
      <w:lvlText w:val="(%1)"/>
      <w:numFmt w:val="lowerLetter"/>
      <w:start w:val="1"/>
    </w:lvl>
  </w:abstractNum>
  <w:abstractNum w:abstractNumId="96">
    <w:nsid w:val="4210D41E"/>
    <w:multiLevelType w:val="hybridMultilevel"/>
    <w:lvl w:ilvl="0">
      <w:lvlJc w:val="left"/>
      <w:lvlText w:val="(%1)"/>
      <w:numFmt w:val="lowerLetter"/>
      <w:start w:val="2"/>
    </w:lvl>
  </w:abstractNum>
  <w:abstractNum w:abstractNumId="97">
    <w:nsid w:val="4FF4CC6D"/>
    <w:multiLevelType w:val="hybridMultilevel"/>
    <w:lvl w:ilvl="0">
      <w:lvlJc w:val="left"/>
      <w:lvlText w:val="(%1)"/>
      <w:numFmt w:val="lowerLetter"/>
      <w:start w:val="1"/>
    </w:lvl>
  </w:abstractNum>
  <w:abstractNum w:abstractNumId="98">
    <w:nsid w:val="404EAF4A"/>
    <w:multiLevelType w:val="hybridMultilevel"/>
    <w:lvl w:ilvl="0">
      <w:lvlJc w:val="left"/>
      <w:lvlText w:val="(%1)"/>
      <w:numFmt w:val="lowerLetter"/>
      <w:start w:val="3"/>
    </w:lvl>
  </w:abstractNum>
  <w:abstractNum w:abstractNumId="99">
    <w:nsid w:val="4A16874F"/>
    <w:multiLevelType w:val="hybridMultilevel"/>
    <w:lvl w:ilvl="0">
      <w:lvlJc w:val="left"/>
      <w:lvlText w:val="(%1)"/>
      <w:numFmt w:val="lowerLetter"/>
      <w:start w:val="1"/>
    </w:lvl>
  </w:abstractNum>
  <w:abstractNum w:abstractNumId="100">
    <w:nsid w:val="55FEE0D1"/>
    <w:multiLevelType w:val="hybridMultilevel"/>
    <w:lvl w:ilvl="0">
      <w:lvlJc w:val="left"/>
      <w:lvlText w:val="(%1)"/>
      <w:numFmt w:val="lowerLetter"/>
      <w:start w:val="4"/>
    </w:lvl>
  </w:abstractNum>
  <w:abstractNum w:abstractNumId="101">
    <w:nsid w:val="3C5E07C"/>
    <w:multiLevelType w:val="hybridMultilevel"/>
    <w:lvl w:ilvl="0">
      <w:lvlJc w:val="left"/>
      <w:lvlText w:val="(%1)"/>
      <w:numFmt w:val="lowerRoman"/>
      <w:start w:val="1"/>
    </w:lvl>
  </w:abstractNum>
  <w:abstractNum w:abstractNumId="102">
    <w:nsid w:val="60C2D273"/>
    <w:multiLevelType w:val="hybridMultilevel"/>
    <w:lvl w:ilvl="0">
      <w:lvlJc w:val="left"/>
      <w:lvlText w:val="(%1)"/>
      <w:numFmt w:val="lowerLetter"/>
      <w:start w:val="1"/>
    </w:lvl>
  </w:abstractNum>
  <w:abstractNum w:abstractNumId="103">
    <w:nsid w:val="4CC32F1F"/>
    <w:multiLevelType w:val="hybridMultilevel"/>
    <w:lvl w:ilvl="0">
      <w:lvlJc w:val="left"/>
      <w:lvlText w:val="(%1)"/>
      <w:numFmt w:val="lowerLetter"/>
      <w:start w:val="4"/>
    </w:lvl>
  </w:abstractNum>
  <w:abstractNum w:abstractNumId="104">
    <w:nsid w:val="11CAC74A"/>
    <w:multiLevelType w:val="hybridMultilevel"/>
    <w:lvl w:ilvl="0">
      <w:lvlJc w:val="left"/>
      <w:lvlText w:val="(%1)"/>
      <w:numFmt w:val="lowerLetter"/>
      <w:start w:val="1"/>
    </w:lvl>
  </w:abstractNum>
  <w:abstractNum w:abstractNumId="105">
    <w:nsid w:val="126CADE9"/>
    <w:multiLevelType w:val="hybridMultilevel"/>
    <w:lvl w:ilvl="0">
      <w:lvlJc w:val="left"/>
      <w:lvlText w:val="(%1)"/>
      <w:numFmt w:val="lowerLetter"/>
      <w:start w:val="1"/>
    </w:lvl>
  </w:abstractNum>
  <w:abstractNum w:abstractNumId="106">
    <w:nsid w:val="19132E7B"/>
    <w:multiLevelType w:val="hybridMultilevel"/>
    <w:lvl w:ilvl="0">
      <w:lvlJc w:val="left"/>
      <w:lvlText w:val="(%1)"/>
      <w:numFmt w:val="lowerLetter"/>
      <w:start w:val="1"/>
    </w:lvl>
    <w:lvl w:ilvl="1">
      <w:lvlJc w:val="left"/>
      <w:lvlText w:val="(%2)"/>
      <w:numFmt w:val="lowerRoman"/>
      <w:start w:val="1"/>
    </w:lvl>
  </w:abstractNum>
  <w:abstractNum w:abstractNumId="107">
    <w:nsid w:val="63822DC0"/>
    <w:multiLevelType w:val="hybridMultilevel"/>
    <w:lvl w:ilvl="0">
      <w:lvlJc w:val="left"/>
      <w:lvlText w:val="(%1)"/>
      <w:numFmt w:val="lowerLetter"/>
      <w:start w:val="3"/>
    </w:lvl>
  </w:abstractNum>
  <w:abstractNum w:abstractNumId="108">
    <w:nsid w:val="6C11685A"/>
    <w:multiLevelType w:val="hybridMultilevel"/>
    <w:lvl w:ilvl="0">
      <w:lvlJc w:val="left"/>
      <w:lvlText w:val="(%1)"/>
      <w:numFmt w:val="lowerRoman"/>
      <w:start w:val="1"/>
    </w:lvl>
  </w:abstractNum>
  <w:abstractNum w:abstractNumId="109">
    <w:nsid w:val="5E1EAE31"/>
    <w:multiLevelType w:val="hybridMultilevel"/>
    <w:lvl w:ilvl="0">
      <w:lvlJc w:val="left"/>
      <w:lvlText w:val="(%1)"/>
      <w:numFmt w:val="lowerLetter"/>
      <w:start w:val="1"/>
    </w:lvl>
  </w:abstractNum>
  <w:abstractNum w:abstractNumId="110">
    <w:nsid w:val="178E240D"/>
    <w:multiLevelType w:val="hybridMultilevel"/>
    <w:lvl w:ilvl="0">
      <w:lvlJc w:val="left"/>
      <w:lvlText w:val="(%1)"/>
      <w:numFmt w:val="lowerLetter"/>
      <w:start w:val="1"/>
    </w:lvl>
    <w:lvl w:ilvl="1">
      <w:lvlJc w:val="left"/>
      <w:lvlText w:val="(%2)"/>
      <w:numFmt w:val="lowerRoman"/>
      <w:start w:val="1"/>
    </w:lvl>
  </w:abstractNum>
  <w:abstractNum w:abstractNumId="111">
    <w:nsid w:val="5556A87B"/>
    <w:multiLevelType w:val="hybridMultilevel"/>
    <w:lvl w:ilvl="0">
      <w:lvlJc w:val="left"/>
      <w:lvlText w:val="(%1)"/>
      <w:numFmt w:val="lowerRoman"/>
      <w:start w:val="4"/>
    </w:lvl>
  </w:abstractNum>
  <w:abstractNum w:abstractNumId="112">
    <w:nsid w:val="28100A9C"/>
    <w:multiLevelType w:val="hybridMultilevel"/>
    <w:lvl w:ilvl="0">
      <w:lvlJc w:val="left"/>
      <w:lvlText w:val="(%1)"/>
      <w:numFmt w:val="lowerLetter"/>
      <w:start w:val="1"/>
    </w:lvl>
  </w:abstractNum>
  <w:abstractNum w:abstractNumId="113">
    <w:nsid w:val="D838636"/>
    <w:multiLevelType w:val="hybridMultilevel"/>
    <w:lvl w:ilvl="0">
      <w:lvlJc w:val="left"/>
      <w:lvlText w:val="(%1)"/>
      <w:numFmt w:val="lowerLetter"/>
      <w:start w:val="1"/>
    </w:lvl>
    <w:lvl w:ilvl="1">
      <w:lvlJc w:val="left"/>
      <w:lvlText w:val="(%2)"/>
      <w:numFmt w:val="lowerRoman"/>
      <w:start w:val="1"/>
    </w:lvl>
  </w:abstractNum>
  <w:abstractNum w:abstractNumId="114">
    <w:nsid w:val="71B82AED"/>
    <w:multiLevelType w:val="hybridMultilevel"/>
    <w:lvl w:ilvl="0">
      <w:lvlJc w:val="left"/>
      <w:lvlText w:val="(%1)"/>
      <w:numFmt w:val="lowerLetter"/>
      <w:start w:val="2"/>
    </w:lvl>
  </w:abstractNum>
  <w:abstractNum w:abstractNumId="115">
    <w:nsid w:val="D15FACA"/>
    <w:multiLevelType w:val="hybridMultilevel"/>
    <w:lvl w:ilvl="0">
      <w:lvlJc w:val="left"/>
      <w:lvlText w:val="(%1)"/>
      <w:numFmt w:val="lowerLetter"/>
      <w:start w:val="1"/>
    </w:lvl>
  </w:abstractNum>
  <w:abstractNum w:abstractNumId="116">
    <w:nsid w:val="3D69565B"/>
    <w:multiLevelType w:val="hybridMultilevel"/>
    <w:lvl w:ilvl="0">
      <w:lvlJc w:val="left"/>
      <w:lvlText w:val="%1."/>
      <w:numFmt w:val="decimal"/>
      <w:start w:val="1"/>
    </w:lvl>
  </w:abstractNum>
  <w:abstractNum w:abstractNumId="117">
    <w:nsid w:val="2299DCBC"/>
    <w:multiLevelType w:val="hybridMultilevel"/>
    <w:lvl w:ilvl="0">
      <w:lvlJc w:val="left"/>
      <w:lvlText w:val="%1."/>
      <w:numFmt w:val="decimal"/>
      <w:start w:val="2"/>
    </w:lvl>
    <w:lvl w:ilvl="1">
      <w:lvlJc w:val="left"/>
      <w:lvlText w:val="(%2)"/>
      <w:numFmt w:val="lowerLetter"/>
      <w:start w:val="1"/>
    </w:lvl>
  </w:abstractNum>
  <w:abstractNum w:abstractNumId="118">
    <w:nsid w:val="19908D02"/>
    <w:multiLevelType w:val="hybridMultilevel"/>
    <w:lvl w:ilvl="0">
      <w:lvlJc w:val="left"/>
      <w:lvlText w:val="(%1)"/>
      <w:numFmt w:val="lowerLetter"/>
      <w:start w:val="2"/>
    </w:lvl>
  </w:abstractNum>
  <w:abstractNum w:abstractNumId="119">
    <w:nsid w:val="24D48BDB"/>
    <w:multiLevelType w:val="hybridMultilevel"/>
    <w:lvl w:ilvl="0">
      <w:lvlJc w:val="left"/>
      <w:lvlText w:val="1"/>
      <w:numFmt w:val="bullet"/>
      <w:start w:val="1"/>
    </w:lvl>
  </w:abstractNum>
  <w:abstractNum w:abstractNumId="120">
    <w:nsid w:val="542DA5B5"/>
    <w:multiLevelType w:val="hybridMultilevel"/>
    <w:lvl w:ilvl="0">
      <w:lvlJc w:val="left"/>
      <w:lvlText w:val="%1."/>
      <w:numFmt w:val="decimal"/>
      <w:start w:val="3"/>
    </w:lvl>
  </w:abstractNum>
  <w:abstractNum w:abstractNumId="121">
    <w:nsid w:val="793753DE"/>
    <w:multiLevelType w:val="hybridMultilevel"/>
    <w:lvl w:ilvl="0">
      <w:lvlJc w:val="left"/>
      <w:lvlText w:val="%1."/>
      <w:numFmt w:val="decimal"/>
      <w:start w:val="4"/>
    </w:lvl>
  </w:abstractNum>
  <w:abstractNum w:abstractNumId="122">
    <w:nsid w:val="1C67CB3D"/>
    <w:multiLevelType w:val="hybridMultilevel"/>
    <w:lvl w:ilvl="0">
      <w:lvlJc w:val="left"/>
      <w:lvlText w:val="%1."/>
      <w:numFmt w:val="decimal"/>
      <w:start w:val="5"/>
    </w:lvl>
  </w:abstractNum>
  <w:abstractNum w:abstractNumId="123">
    <w:nsid w:val="40E29452"/>
    <w:multiLevelType w:val="hybridMultilevel"/>
    <w:lvl w:ilvl="0">
      <w:lvlJc w:val="left"/>
      <w:lvlText w:val="%1."/>
      <w:numFmt w:val="decimal"/>
      <w:start w:val="6"/>
    </w:lvl>
  </w:abstractNum>
  <w:abstractNum w:abstractNumId="124">
    <w:nsid w:val="63A4AAB6"/>
    <w:multiLevelType w:val="hybridMultilevel"/>
    <w:lvl w:ilvl="0">
      <w:lvlJc w:val="left"/>
      <w:lvlText w:val="%1."/>
      <w:numFmt w:val="decimal"/>
      <w:start w:val="7"/>
    </w:lvl>
  </w:abstractNum>
  <w:abstractNum w:abstractNumId="125">
    <w:nsid w:val="77DA4A57"/>
    <w:multiLevelType w:val="hybridMultilevel"/>
    <w:lvl w:ilvl="0">
      <w:lvlJc w:val="left"/>
      <w:lvlText w:val="%1."/>
      <w:numFmt w:val="decimal"/>
      <w:start w:val="8"/>
    </w:lvl>
  </w:abstractNum>
  <w:abstractNum w:abstractNumId="126">
    <w:nsid w:val="1230F102"/>
    <w:multiLevelType w:val="hybridMultilevel"/>
    <w:lvl w:ilvl="0">
      <w:lvlJc w:val="left"/>
      <w:lvlText w:val="%1."/>
      <w:numFmt w:val="decimal"/>
      <w:start w:val="1"/>
    </w:lvl>
  </w:abstractNum>
  <w:abstractNum w:abstractNumId="127">
    <w:nsid w:val="25B57ED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8">
    <w:nsid w:val="47CF16C4"/>
    <w:multiLevelType w:val="hybridMultilevel"/>
    <w:lvl w:ilvl="0">
      <w:lvlJc w:val="left"/>
      <w:lvlText w:val="(%1)"/>
      <w:numFmt w:val="lowerLetter"/>
      <w:start w:val="2"/>
    </w:lvl>
  </w:abstractNum>
  <w:abstractNum w:abstractNumId="129">
    <w:nsid w:val="527FA04C"/>
    <w:multiLevelType w:val="hybridMultilevel"/>
    <w:lvl w:ilvl="0">
      <w:lvlJc w:val="left"/>
      <w:lvlText w:val="%1."/>
      <w:numFmt w:val="decimal"/>
      <w:start w:val="3"/>
    </w:lvl>
  </w:abstractNum>
  <w:abstractNum w:abstractNumId="130">
    <w:nsid w:val="6FCC0624"/>
    <w:multiLevelType w:val="hybridMultilevel"/>
    <w:lvl w:ilvl="0">
      <w:lvlJc w:val="left"/>
      <w:lvlText w:val="%1."/>
      <w:numFmt w:val="decimal"/>
      <w:start w:val="5"/>
    </w:lvl>
  </w:abstractNum>
  <w:abstractNum w:abstractNumId="131">
    <w:nsid w:val="1DCDF795"/>
    <w:multiLevelType w:val="hybridMultilevel"/>
    <w:lvl w:ilvl="0">
      <w:lvlJc w:val="left"/>
      <w:lvlText w:val="%1."/>
      <w:numFmt w:val="decimal"/>
      <w:start w:val="6"/>
    </w:lvl>
  </w:abstractNum>
  <w:abstractNum w:abstractNumId="132">
    <w:nsid w:val="564580C8"/>
    <w:multiLevelType w:val="hybridMultilevel"/>
    <w:lvl w:ilvl="0">
      <w:lvlJc w:val="left"/>
      <w:lvlText w:val="%1."/>
      <w:numFmt w:val="decimal"/>
      <w:start w:val="7"/>
    </w:lvl>
  </w:abstractNum>
  <w:abstractNum w:abstractNumId="133">
    <w:nsid w:val="508ED897"/>
    <w:multiLevelType w:val="hybridMultilevel"/>
    <w:lvl w:ilvl="0">
      <w:lvlJc w:val="left"/>
      <w:lvlText w:val="%1."/>
      <w:numFmt w:val="decimal"/>
      <w:start w:val="8"/>
    </w:lvl>
  </w:abstractNum>
  <w:abstractNum w:abstractNumId="134">
    <w:nsid w:val="6A9126B5"/>
    <w:multiLevelType w:val="hybridMultilevel"/>
    <w:lvl w:ilvl="0">
      <w:lvlJc w:val="left"/>
      <w:lvlText w:val="2"/>
      <w:numFmt w:val="bullet"/>
      <w:start w:val="1"/>
    </w:lvl>
  </w:abstractNum>
  <w:abstractNum w:abstractNumId="135">
    <w:nsid w:val="68104812"/>
    <w:multiLevelType w:val="hybridMultilevel"/>
    <w:lvl w:ilvl="0">
      <w:lvlJc w:val="left"/>
      <w:lvlText w:val="%1."/>
      <w:numFmt w:val="decimal"/>
      <w:start w:val="1"/>
    </w:lvl>
  </w:abstractNum>
  <w:abstractNum w:abstractNumId="136">
    <w:nsid w:val="62FB8680"/>
    <w:multiLevelType w:val="hybridMultilevel"/>
    <w:lvl w:ilvl="0">
      <w:lvlJc w:val="left"/>
      <w:lvlText w:val="%1."/>
      <w:numFmt w:val="decimal"/>
      <w:start w:val="2"/>
    </w:lvl>
  </w:abstractNum>
  <w:abstractNum w:abstractNumId="137">
    <w:nsid w:val="3A45530"/>
    <w:multiLevelType w:val="hybridMultilevel"/>
    <w:lvl w:ilvl="0">
      <w:lvlJc w:val="left"/>
      <w:lvlText w:val="(%1)"/>
      <w:numFmt w:val="lowerLetter"/>
      <w:start w:val="1"/>
    </w:lvl>
  </w:abstractNum>
  <w:abstractNum w:abstractNumId="138">
    <w:nsid w:val="4B9275D2"/>
    <w:multiLevelType w:val="hybridMultilevel"/>
    <w:lvl w:ilvl="0">
      <w:lvlJc w:val="left"/>
      <w:lvlText w:val="(%1)"/>
      <w:numFmt w:val="lowerLetter"/>
      <w:start w:val="3"/>
    </w:lvl>
  </w:abstractNum>
  <w:abstractNum w:abstractNumId="139">
    <w:nsid w:val="4F0CEEDB"/>
    <w:multiLevelType w:val="hybridMultilevel"/>
    <w:lvl w:ilvl="0">
      <w:lvlJc w:val="left"/>
      <w:lvlText w:val="(%1)"/>
      <w:numFmt w:val="lowerRoman"/>
      <w:start w:val="2"/>
    </w:lvl>
  </w:abstractNum>
  <w:abstractNum w:abstractNumId="140">
    <w:nsid w:val="61C30361"/>
    <w:multiLevelType w:val="hybridMultilevel"/>
    <w:lvl w:ilvl="0">
      <w:lvlJc w:val="left"/>
      <w:lvlText w:val="(%1)"/>
      <w:numFmt w:val="lowerLetter"/>
      <w:start w:val="4"/>
    </w:lvl>
  </w:abstractNum>
  <w:abstractNum w:abstractNumId="141">
    <w:nsid w:val="632099E0"/>
    <w:multiLevelType w:val="hybridMultilevel"/>
    <w:lvl w:ilvl="0">
      <w:lvlJc w:val="left"/>
      <w:lvlText w:val="%1."/>
      <w:numFmt w:val="decimal"/>
      <w:start w:val="3"/>
    </w:lvl>
  </w:abstractNum>
  <w:abstractNum w:abstractNumId="142">
    <w:nsid w:val="24639756"/>
    <w:multiLevelType w:val="hybridMultilevel"/>
    <w:lvl w:ilvl="0">
      <w:lvlJc w:val="left"/>
      <w:lvlText w:val="%1."/>
      <w:numFmt w:val="decimal"/>
      <w:start w:val="4"/>
    </w:lvl>
  </w:abstractNum>
  <w:abstractNum w:abstractNumId="143">
    <w:nsid w:val="9D30DFD"/>
    <w:multiLevelType w:val="hybridMultilevel"/>
    <w:lvl w:ilvl="0">
      <w:lvlJc w:val="left"/>
      <w:lvlText w:val="%1."/>
      <w:numFmt w:val="decimal"/>
      <w:start w:val="5"/>
    </w:lvl>
  </w:abstractNum>
  <w:abstractNum w:abstractNumId="144">
    <w:nsid w:val="70A42016"/>
    <w:multiLevelType w:val="hybridMultilevel"/>
    <w:lvl w:ilvl="0">
      <w:lvlJc w:val="left"/>
      <w:lvlText w:val="%1."/>
      <w:numFmt w:val="decimal"/>
      <w:start w:val="6"/>
    </w:lvl>
  </w:abstractNum>
  <w:abstractNum w:abstractNumId="145">
    <w:nsid w:val="161BC243"/>
    <w:multiLevelType w:val="hybridMultilevel"/>
    <w:lvl w:ilvl="0">
      <w:lvlJc w:val="left"/>
      <w:lvlText w:val="%1."/>
      <w:numFmt w:val="decimal"/>
      <w:start w:val="7"/>
    </w:lvl>
  </w:abstractNum>
  <w:abstractNum w:abstractNumId="146">
    <w:nsid w:val="16E908C8"/>
    <w:multiLevelType w:val="hybridMultilevel"/>
    <w:lvl w:ilvl="0">
      <w:lvlJc w:val="left"/>
      <w:lvlText w:val="(%1)"/>
      <w:numFmt w:val="lowerLetter"/>
      <w:start w:val="1"/>
    </w:lvl>
  </w:abstractNum>
  <w:abstractNum w:abstractNumId="147">
    <w:nsid w:val="2E0D7671"/>
    <w:multiLevelType w:val="hybridMultilevel"/>
    <w:lvl w:ilvl="0">
      <w:lvlJc w:val="left"/>
      <w:lvlText w:val="(%1)"/>
      <w:numFmt w:val="lowerLetter"/>
      <w:start w:val="3"/>
    </w:lvl>
  </w:abstractNum>
  <w:abstractNum w:abstractNumId="148">
    <w:nsid w:val="38B59EFF"/>
    <w:multiLevelType w:val="hybridMultilevel"/>
    <w:lvl w:ilvl="0">
      <w:lvlJc w:val="left"/>
      <w:lvlText w:val="%1."/>
      <w:numFmt w:val="decimal"/>
      <w:start w:val="8"/>
    </w:lvl>
  </w:abstractNum>
  <w:abstractNum w:abstractNumId="149">
    <w:nsid w:val="307995CA"/>
    <w:multiLevelType w:val="hybridMultilevel"/>
    <w:lvl w:ilvl="0">
      <w:lvlJc w:val="left"/>
      <w:lvlText w:val="%1."/>
      <w:numFmt w:val="decimal"/>
      <w:start w:val="9"/>
    </w:lvl>
  </w:abstractNum>
  <w:abstractNum w:abstractNumId="150">
    <w:nsid w:val="52E2024D"/>
    <w:multiLevelType w:val="hybridMultilevel"/>
    <w:lvl w:ilvl="0">
      <w:lvlJc w:val="left"/>
      <w:lvlText w:val="%1."/>
      <w:numFmt w:val="decimal"/>
      <w:start w:val="10"/>
    </w:lvl>
  </w:abstractNum>
  <w:abstractNum w:abstractNumId="151">
    <w:nsid w:val="CE344B5"/>
    <w:multiLevelType w:val="hybridMultilevel"/>
    <w:lvl w:ilvl="0">
      <w:lvlJc w:val="left"/>
      <w:lvlText w:val="%1."/>
      <w:numFmt w:val="decimal"/>
      <w:start w:val="11"/>
    </w:lvl>
  </w:abstractNum>
  <w:abstractNum w:abstractNumId="152">
    <w:nsid w:val="29B0E9A8"/>
    <w:multiLevelType w:val="hybridMultilevel"/>
    <w:lvl w:ilvl="0">
      <w:lvlJc w:val="left"/>
      <w:lvlText w:val="%1."/>
      <w:numFmt w:val="decimal"/>
      <w:start w:val="12"/>
    </w:lvl>
  </w:abstractNum>
  <w:abstractNum w:abstractNumId="153">
    <w:nsid w:val="6F49CD8A"/>
    <w:multiLevelType w:val="hybridMultilevel"/>
    <w:lvl w:ilvl="0">
      <w:lvlJc w:val="left"/>
      <w:lvlText w:val="%1."/>
      <w:numFmt w:val="decimal"/>
      <w:start w:val="13"/>
    </w:lvl>
    <w:lvl w:ilvl="1">
      <w:lvlJc w:val="left"/>
      <w:lvlText w:val="(%2)"/>
      <w:numFmt w:val="lowerLetter"/>
      <w:start w:val="1"/>
    </w:lvl>
  </w:abstractNum>
  <w:abstractNum w:abstractNumId="154">
    <w:nsid w:val="4DC5D907"/>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155">
    <w:nsid w:val="D55945E"/>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56">
    <w:nsid w:val="672417E1"/>
    <w:multiLevelType w:val="hybridMultilevel"/>
    <w:lvl w:ilvl="0">
      <w:lvlJc w:val="left"/>
      <w:lvlText w:val="%1"/>
      <w:numFmt w:val="decimal"/>
      <w:start w:val="1"/>
    </w:lvl>
    <w:lvl w:ilvl="1">
      <w:lvlJc w:val="left"/>
      <w:lvlText w:val="(%2)"/>
      <w:numFmt w:val="lowerLetter"/>
      <w:start w:val="2"/>
    </w:lvl>
  </w:abstractNum>
  <w:abstractNum w:abstractNumId="157">
    <w:nsid w:val="5FF6CA09"/>
    <w:multiLevelType w:val="hybridMultilevel"/>
    <w:lvl w:ilvl="0">
      <w:lvlJc w:val="left"/>
      <w:lvlText w:val="%1."/>
      <w:numFmt w:val="decimal"/>
      <w:start w:val="15"/>
    </w:lvl>
    <w:lvl w:ilvl="1">
      <w:lvlJc w:val="left"/>
      <w:lvlText w:val="(%2)"/>
      <w:numFmt w:val="lowerLetter"/>
      <w:start w:val="1"/>
    </w:lvl>
  </w:abstractNum>
  <w:abstractNum w:abstractNumId="158">
    <w:nsid w:val="330B1333"/>
    <w:multiLevelType w:val="hybridMultilevel"/>
    <w:lvl w:ilvl="0">
      <w:lvlJc w:val="left"/>
      <w:lvlText w:val="(%1)"/>
      <w:numFmt w:val="lowerLetter"/>
      <w:start w:val="2"/>
    </w:lvl>
  </w:abstractNum>
  <w:abstractNum w:abstractNumId="159">
    <w:nsid w:val="2EF32EA6"/>
    <w:multiLevelType w:val="hybridMultilevel"/>
    <w:lvl w:ilvl="0">
      <w:lvlJc w:val="left"/>
      <w:lvlText w:val="(%1)"/>
      <w:numFmt w:val="lowerLetter"/>
      <w:start w:val="3"/>
    </w:lvl>
  </w:abstractNum>
  <w:abstractNum w:abstractNumId="160">
    <w:nsid w:val="32766A55"/>
    <w:multiLevelType w:val="hybridMultilevel"/>
    <w:lvl w:ilvl="0">
      <w:lvlJc w:val="left"/>
      <w:lvlText w:val="(%1)"/>
      <w:numFmt w:val="lowerLetter"/>
      <w:start w:val="4"/>
    </w:lvl>
  </w:abstractNum>
  <w:abstractNum w:abstractNumId="161">
    <w:nsid w:val="22D71957"/>
    <w:multiLevelType w:val="hybridMultilevel"/>
    <w:lvl w:ilvl="0">
      <w:lvlJc w:val="left"/>
      <w:lvlText w:val="(%1)"/>
      <w:numFmt w:val="lowerLetter"/>
      <w:start w:val="5"/>
    </w:lvl>
  </w:abstractNum>
  <w:abstractNum w:abstractNumId="162">
    <w:nsid w:val="4CC1263B"/>
    <w:multiLevelType w:val="hybridMultilevel"/>
    <w:lvl w:ilvl="0">
      <w:lvlJc w:val="left"/>
      <w:lvlText w:val="(%1)"/>
      <w:numFmt w:val="lowerRoman"/>
      <w:start w:val="1"/>
    </w:lvl>
    <w:lvl w:ilvl="1">
      <w:lvlJc w:val="left"/>
      <w:lvlText w:val="(%2)"/>
      <w:numFmt w:val="upperLetter"/>
      <w:start w:val="1"/>
    </w:lvl>
  </w:abstractNum>
  <w:abstractNum w:abstractNumId="163">
    <w:nsid w:val="8BBEB1D"/>
    <w:multiLevelType w:val="hybridMultilevel"/>
    <w:lvl w:ilvl="0">
      <w:lvlJc w:val="left"/>
      <w:lvlText w:val="(%1)"/>
      <w:numFmt w:val="lowerLetter"/>
      <w:start w:val="6"/>
    </w:lvl>
  </w:abstractNum>
  <w:abstractNum w:abstractNumId="164">
    <w:nsid w:val="7365F1EE"/>
    <w:multiLevelType w:val="hybridMultilevel"/>
    <w:lvl w:ilvl="0">
      <w:lvlJc w:val="left"/>
      <w:lvlText w:val="(%1)"/>
      <w:numFmt w:val="lowerLetter"/>
      <w:start w:val="7"/>
    </w:lvl>
  </w:abstractNum>
  <w:abstractNum w:abstractNumId="165">
    <w:nsid w:val="37524CF0"/>
    <w:multiLevelType w:val="hybridMultilevel"/>
    <w:lvl w:ilvl="0">
      <w:lvlJc w:val="left"/>
      <w:lvlText w:val="(%1)"/>
      <w:numFmt w:val="lowerLetter"/>
      <w:start w:val="8"/>
    </w:lvl>
  </w:abstractNum>
  <w:abstractNum w:abstractNumId="166">
    <w:nsid w:val="70CC332F"/>
    <w:multiLevelType w:val="hybridMultilevel"/>
    <w:lvl w:ilvl="0">
      <w:lvlJc w:val="left"/>
      <w:lvlText w:val="(%1)"/>
      <w:numFmt w:val="lowerRoman"/>
      <w:start w:val="1"/>
    </w:lvl>
  </w:abstractNum>
  <w:abstractNum w:abstractNumId="167">
    <w:nsid w:val="5661786E"/>
    <w:multiLevelType w:val="hybridMultilevel"/>
    <w:lvl w:ilvl="0">
      <w:lvlJc w:val="left"/>
      <w:lvlText w:val="(%1)"/>
      <w:numFmt w:val="lowerRoman"/>
      <w:start w:val="1"/>
    </w:lvl>
  </w:abstractNum>
  <w:abstractNum w:abstractNumId="168">
    <w:nsid w:val="3AF6A220"/>
    <w:multiLevelType w:val="hybridMultilevel"/>
    <w:lvl w:ilvl="0">
      <w:lvlJc w:val="left"/>
      <w:lvlText w:val="%1."/>
      <w:numFmt w:val="decimal"/>
      <w:start w:val="1"/>
    </w:lvl>
  </w:abstractNum>
  <w:abstractNum w:abstractNumId="169">
    <w:nsid w:val="3C5EA902"/>
    <w:multiLevelType w:val="hybridMultilevel"/>
    <w:lvl w:ilvl="0">
      <w:lvlJc w:val="left"/>
      <w:lvlText w:val="(%1)"/>
      <w:numFmt w:val="lowerLetter"/>
      <w:start w:val="1"/>
    </w:lvl>
  </w:abstractNum>
  <w:abstractNum w:abstractNumId="170">
    <w:nsid w:val="256E6749"/>
    <w:multiLevelType w:val="hybridMultilevel"/>
    <w:lvl w:ilvl="0">
      <w:lvlJc w:val="left"/>
      <w:lvlText w:val="(%1)"/>
      <w:numFmt w:val="lowerLetter"/>
      <w:start w:val="2"/>
    </w:lvl>
  </w:abstractNum>
  <w:abstractNum w:abstractNumId="171">
    <w:nsid w:val="1CB9A581"/>
    <w:multiLevelType w:val="hybridMultilevel"/>
    <w:lvl w:ilvl="0">
      <w:lvlJc w:val="left"/>
      <w:lvlText w:val="%1."/>
      <w:numFmt w:val="decimal"/>
      <w:start w:val="2"/>
    </w:lvl>
    <w:lvl w:ilvl="1">
      <w:lvlJc w:val="left"/>
      <w:lvlText w:val="(%2)"/>
      <w:numFmt w:val="lowerLetter"/>
      <w:start w:val="1"/>
    </w:lvl>
  </w:abstractNum>
  <w:abstractNum w:abstractNumId="172">
    <w:nsid w:val="1F7F42E2"/>
    <w:multiLevelType w:val="hybridMultilevel"/>
    <w:lvl w:ilvl="0">
      <w:lvlJc w:val="left"/>
      <w:lvlText w:val="(%1)"/>
      <w:numFmt w:val="lowerLetter"/>
      <w:start w:val="3"/>
    </w:lvl>
  </w:abstractNum>
  <w:abstractNum w:abstractNumId="173">
    <w:nsid w:val="49D1FEA0"/>
    <w:multiLevelType w:val="hybridMultilevel"/>
    <w:lvl w:ilvl="0">
      <w:lvlJc w:val="left"/>
      <w:lvlText w:val="(%1)"/>
      <w:numFmt w:val="lowerLetter"/>
      <w:start w:val="4"/>
    </w:lvl>
  </w:abstractNum>
  <w:abstractNum w:abstractNumId="174">
    <w:nsid w:val="268CB37F"/>
    <w:multiLevelType w:val="hybridMultilevel"/>
    <w:lvl w:ilvl="0">
      <w:lvlJc w:val="left"/>
      <w:lvlText w:val="(%1)"/>
      <w:numFmt w:val="lowerLetter"/>
      <w:start w:val="5"/>
    </w:lvl>
  </w:abstractNum>
  <w:abstractNum w:abstractNumId="175">
    <w:nsid w:val="102362F8"/>
    <w:multiLevelType w:val="hybridMultilevel"/>
    <w:lvl w:ilvl="0">
      <w:lvlJc w:val="left"/>
      <w:lvlText w:val="(%1)"/>
      <w:numFmt w:val="lowerRoman"/>
      <w:start w:val="10"/>
    </w:lvl>
  </w:abstractNum>
  <w:abstractNum w:abstractNumId="176">
    <w:nsid w:val="5FEDC0E3"/>
    <w:multiLevelType w:val="hybridMultilevel"/>
    <w:lvl w:ilvl="0">
      <w:lvlJc w:val="left"/>
      <w:lvlText w:val="(%1)"/>
      <w:numFmt w:val="lowerLetter"/>
      <w:start w:val="6"/>
    </w:lvl>
  </w:abstractNum>
  <w:abstractNum w:abstractNumId="177">
    <w:nsid w:val="3D75BC47"/>
    <w:multiLevelType w:val="hybridMultilevel"/>
    <w:lvl w:ilvl="0">
      <w:lvlJc w:val="left"/>
      <w:lvlText w:val="(%1)"/>
      <w:numFmt w:val="lowerLetter"/>
      <w:start w:val="7"/>
    </w:lvl>
  </w:abstractNum>
  <w:abstractNum w:abstractNumId="178">
    <w:nsid w:val="3E30D969"/>
    <w:multiLevelType w:val="hybridMultilevel"/>
    <w:lvl w:ilvl="0">
      <w:lvlJc w:val="left"/>
      <w:lvlText w:val="(%1)"/>
      <w:numFmt w:val="lowerLetter"/>
      <w:start w:val="8"/>
    </w:lvl>
  </w:abstractNum>
  <w:abstractNum w:abstractNumId="179">
    <w:nsid w:val="18A35FE3"/>
    <w:multiLevelType w:val="hybridMultilevel"/>
    <w:lvl w:ilvl="0">
      <w:lvlJc w:val="left"/>
      <w:lvlText w:val="(%1)"/>
      <w:numFmt w:val="lowerRoman"/>
      <w:start w:val="1"/>
    </w:lvl>
  </w:abstractNum>
  <w:abstractNum w:abstractNumId="180">
    <w:nsid w:val="6DEF5211"/>
    <w:multiLevelType w:val="hybridMultilevel"/>
    <w:lvl w:ilvl="0">
      <w:lvlJc w:val="left"/>
      <w:lvlText w:val="(%1)"/>
      <w:numFmt w:val="lowerRoman"/>
      <w:start w:val="1"/>
    </w:lvl>
  </w:abstractNum>
  <w:abstractNum w:abstractNumId="181">
    <w:nsid w:val="1112DBB6"/>
    <w:multiLevelType w:val="hybridMultilevel"/>
    <w:lvl w:ilvl="0">
      <w:lvlJc w:val="left"/>
      <w:lvlText w:val="(%1)"/>
      <w:numFmt w:val="lowerLetter"/>
      <w:start w:val="10"/>
    </w:lvl>
  </w:abstractNum>
  <w:abstractNum w:abstractNumId="182">
    <w:nsid w:val="2586A498"/>
    <w:multiLevelType w:val="hybridMultilevel"/>
    <w:lvl w:ilvl="0">
      <w:lvlJc w:val="left"/>
      <w:lvlText w:val="(%1)"/>
      <w:numFmt w:val="lowerLetter"/>
      <w:start w:val="11"/>
    </w:lvl>
  </w:abstractNum>
  <w:abstractNum w:abstractNumId="183">
    <w:nsid w:val="17A03BB9"/>
    <w:multiLevelType w:val="hybridMultilevel"/>
    <w:lvl w:ilvl="0">
      <w:lvlJc w:val="left"/>
      <w:lvlText w:val="(%1)"/>
      <w:numFmt w:val="lowerLetter"/>
      <w:start w:val="12"/>
    </w:lvl>
  </w:abstractNum>
  <w:abstractNum w:abstractNumId="184">
    <w:nsid w:val="5CA941"/>
    <w:multiLevelType w:val="hybridMultilevel"/>
    <w:lvl w:ilvl="0">
      <w:lvlJc w:val="left"/>
      <w:lvlText w:val="(%1)"/>
      <w:numFmt w:val="lowerLetter"/>
      <w:start w:val="13"/>
    </w:lvl>
  </w:abstractNum>
  <w:abstractNum w:abstractNumId="185">
    <w:nsid w:val="734C7D9F"/>
    <w:multiLevelType w:val="hybridMultilevel"/>
    <w:lvl w:ilvl="0">
      <w:lvlJc w:val="left"/>
      <w:lvlText w:val="(%1)"/>
      <w:numFmt w:val="lowerLetter"/>
      <w:start w:val="14"/>
    </w:lvl>
  </w:abstractNum>
  <w:abstractNum w:abstractNumId="186">
    <w:nsid w:val="24F5D018"/>
    <w:multiLevelType w:val="hybridMultilevel"/>
    <w:lvl w:ilvl="0">
      <w:lvlJc w:val="left"/>
      <w:lvlText w:val="(%1)"/>
      <w:numFmt w:val="lowerLetter"/>
      <w:start w:val="15"/>
    </w:lvl>
  </w:abstractNum>
  <w:abstractNum w:abstractNumId="187">
    <w:nsid w:val="6780C122"/>
    <w:multiLevelType w:val="hybridMultilevel"/>
    <w:lvl w:ilvl="0">
      <w:lvlJc w:val="left"/>
      <w:lvlText w:val="(%1)"/>
      <w:numFmt w:val="lowerLetter"/>
      <w:start w:val="16"/>
    </w:lvl>
  </w:abstractNum>
  <w:abstractNum w:abstractNumId="188">
    <w:nsid w:val="534347A8"/>
    <w:multiLevelType w:val="hybridMultilevel"/>
    <w:lvl w:ilvl="0">
      <w:lvlJc w:val="left"/>
      <w:lvlText w:val="(%1)"/>
      <w:numFmt w:val="lowerLetter"/>
      <w:start w:val="17"/>
    </w:lvl>
  </w:abstractNum>
  <w:abstractNum w:abstractNumId="189">
    <w:nsid w:val="5800E34B"/>
    <w:multiLevelType w:val="hybridMultilevel"/>
    <w:lvl w:ilvl="0">
      <w:lvlJc w:val="left"/>
      <w:lvlText w:val="(%1)"/>
      <w:numFmt w:val="lowerLetter"/>
      <w:start w:val="18"/>
    </w:lvl>
    <w:lvl w:ilvl="1">
      <w:lvlJc w:val="left"/>
      <w:lvlText w:val="(%2)"/>
      <w:numFmt w:val="lowerRoman"/>
      <w:start w:val="1"/>
    </w:lvl>
  </w:abstractNum>
  <w:abstractNum w:abstractNumId="190">
    <w:nsid w:val="1673EFC8"/>
    <w:multiLevelType w:val="hybridMultilevel"/>
    <w:lvl w:ilvl="0">
      <w:lvlJc w:val="left"/>
      <w:lvlText w:val="(%1)"/>
      <w:numFmt w:val="lowerLetter"/>
      <w:start w:val="20"/>
    </w:lvl>
  </w:abstractNum>
  <w:abstractNum w:abstractNumId="191">
    <w:nsid w:val="5B9B1FD"/>
    <w:multiLevelType w:val="hybridMultilevel"/>
    <w:lvl w:ilvl="0">
      <w:lvlJc w:val="left"/>
      <w:lvlText w:val="(%1)"/>
      <w:numFmt w:val="lowerLetter"/>
      <w:start w:val="21"/>
    </w:lvl>
  </w:abstractNum>
  <w:abstractNum w:abstractNumId="192">
    <w:nsid w:val="7AD7FCA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93">
    <w:nsid w:val="63351604"/>
    <w:multiLevelType w:val="hybridMultilevel"/>
    <w:lvl w:ilvl="0">
      <w:lvlJc w:val="left"/>
      <w:lvlText w:val="(%1)"/>
      <w:numFmt w:val="lowerRoman"/>
      <w:start w:val="5"/>
    </w:lvl>
  </w:abstractNum>
  <w:abstractNum w:abstractNumId="194">
    <w:nsid w:val="E759D1A"/>
    <w:multiLevelType w:val="hybridMultilevel"/>
    <w:lvl w:ilvl="0">
      <w:lvlJc w:val="left"/>
      <w:lvlText w:val="(%1)"/>
      <w:numFmt w:val="lowerLetter"/>
      <w:start w:val="23"/>
    </w:lvl>
  </w:abstractNum>
  <w:abstractNum w:abstractNumId="195">
    <w:nsid w:val="6E3DEE90"/>
    <w:multiLevelType w:val="hybridMultilevel"/>
    <w:lvl w:ilvl="0">
      <w:lvlJc w:val="left"/>
      <w:lvlText w:val="(%1)"/>
      <w:numFmt w:val="lowerRoman"/>
      <w:start w:val="10"/>
    </w:lvl>
  </w:abstractNum>
  <w:abstractNum w:abstractNumId="196">
    <w:nsid w:val="1A8762F4"/>
    <w:multiLevelType w:val="hybridMultilevel"/>
    <w:lvl w:ilvl="0">
      <w:lvlJc w:val="left"/>
      <w:lvlText w:val="(%1)"/>
      <w:numFmt w:val="lowerLetter"/>
      <w:start w:val="25"/>
    </w:lvl>
    <w:lvl w:ilvl="1">
      <w:lvlJc w:val="left"/>
      <w:lvlText w:val="-----"/>
      <w:numFmt w:val="bullet"/>
      <w:start w:val="1"/>
    </w:lvl>
    <w:lvl w:ilvl="2">
      <w:lvlJc w:val="left"/>
      <w:lvlText w:val="(%3)"/>
      <w:numFmt w:val="lowerRoman"/>
      <w:start w:val="1"/>
    </w:lvl>
  </w:abstractNum>
  <w:abstractNum w:abstractNumId="197">
    <w:nsid w:val="7F41D049"/>
    <w:multiLevelType w:val="hybridMultilevel"/>
    <w:lvl w:ilvl="0">
      <w:lvlJc w:val="left"/>
      <w:lvlText w:val="(%1)"/>
      <w:numFmt w:val="lowerLetter"/>
      <w:start w:val="26"/>
    </w:lvl>
  </w:abstractNum>
  <w:abstractNum w:abstractNumId="198">
    <w:nsid w:val="449F66FE"/>
    <w:multiLevelType w:val="hybridMultilevel"/>
    <w:lvl w:ilvl="0">
      <w:lvlJc w:val="left"/>
      <w:lvlText w:val="(%1)"/>
      <w:numFmt w:val="lowerLetter"/>
      <w:start w:val="27"/>
    </w:lvl>
  </w:abstractNum>
  <w:abstractNum w:abstractNumId="199">
    <w:nsid w:val="557E0515"/>
    <w:multiLevelType w:val="hybridMultilevel"/>
    <w:lvl w:ilvl="0">
      <w:lvlJc w:val="left"/>
      <w:lvlText w:val="(%1)"/>
      <w:numFmt w:val="lowerLetter"/>
      <w:start w:val="28"/>
    </w:lvl>
  </w:abstractNum>
  <w:abstractNum w:abstractNumId="200">
    <w:nsid w:val="3BA0794B"/>
    <w:multiLevelType w:val="hybridMultilevel"/>
    <w:lvl w:ilvl="0">
      <w:lvlJc w:val="left"/>
      <w:lvlText w:val="(%1)"/>
      <w:numFmt w:val="lowerLetter"/>
      <w:start w:val="29"/>
    </w:lvl>
  </w:abstractNum>
  <w:abstractNum w:abstractNumId="201">
    <w:nsid w:val="6A0DCE48"/>
    <w:multiLevelType w:val="hybridMultilevel"/>
    <w:lvl w:ilvl="0">
      <w:lvlJc w:val="left"/>
      <w:lvlText w:val="(%1)"/>
      <w:numFmt w:val="lowerLetter"/>
      <w:start w:val="30"/>
    </w:lvl>
    <w:lvl w:ilvl="1">
      <w:lvlJc w:val="left"/>
      <w:lvlText w:val="(%2)"/>
      <w:numFmt w:val="lowerRoman"/>
      <w:start w:val="1"/>
    </w:lvl>
  </w:abstractNum>
  <w:abstractNum w:abstractNumId="202">
    <w:nsid w:val="7237AA96"/>
    <w:multiLevelType w:val="hybridMultilevel"/>
    <w:lvl w:ilvl="0">
      <w:lvlJc w:val="left"/>
      <w:lvlText w:val="(%1)"/>
      <w:numFmt w:val="lowerLetter"/>
      <w:start w:val="32"/>
    </w:lvl>
  </w:abstractNum>
  <w:abstractNum w:abstractNumId="203">
    <w:nsid w:val="5B1FBC2D"/>
    <w:multiLevelType w:val="hybridMultilevel"/>
    <w:lvl w:ilvl="0">
      <w:lvlJc w:val="left"/>
      <w:lvlText w:val="(%1)"/>
      <w:numFmt w:val="lowerLetter"/>
      <w:start w:val="33"/>
    </w:lvl>
  </w:abstractNum>
  <w:abstractNum w:abstractNumId="204">
    <w:nsid w:val="33DFCCE8"/>
    <w:multiLevelType w:val="hybridMultilevel"/>
    <w:lvl w:ilvl="0">
      <w:lvlJc w:val="left"/>
      <w:lvlText w:val="%1."/>
      <w:numFmt w:val="decimal"/>
      <w:start w:val="3"/>
    </w:lvl>
    <w:lvl w:ilvl="1">
      <w:lvlJc w:val="left"/>
      <w:lvlText w:val="(%2)"/>
      <w:numFmt w:val="lowerLetter"/>
      <w:start w:val="1"/>
    </w:lvl>
  </w:abstractNum>
  <w:abstractNum w:abstractNumId="205">
    <w:nsid w:val="18C45E15"/>
    <w:multiLevelType w:val="hybridMultilevel"/>
    <w:lvl w:ilvl="0">
      <w:lvlJc w:val="left"/>
      <w:lvlText w:val="(%1)"/>
      <w:numFmt w:val="lowerRoman"/>
      <w:start w:val="1"/>
    </w:lvl>
  </w:abstractNum>
  <w:abstractNum w:abstractNumId="206">
    <w:nsid w:val="6B431F25"/>
    <w:multiLevelType w:val="hybridMultilevel"/>
    <w:lvl w:ilvl="0">
      <w:lvlJc w:val="left"/>
      <w:lvlText w:val="(%1)"/>
      <w:numFmt w:val="lowerRoman"/>
      <w:start w:val="2"/>
    </w:lvl>
  </w:abstractNum>
  <w:abstractNum w:abstractNumId="207">
    <w:nsid w:val="13CD8DCB"/>
    <w:multiLevelType w:val="hybridMultilevel"/>
    <w:lvl w:ilvl="0">
      <w:lvlJc w:val="left"/>
      <w:lvlText w:val="(%1)"/>
      <w:numFmt w:val="lowerLetter"/>
      <w:start w:val="2"/>
    </w:lvl>
  </w:abstractNum>
  <w:abstractNum w:abstractNumId="208">
    <w:nsid w:val="563A1A5C"/>
    <w:multiLevelType w:val="hybridMultilevel"/>
    <w:lvl w:ilvl="0">
      <w:lvlJc w:val="left"/>
      <w:lvlText w:val="%1."/>
      <w:numFmt w:val="decimal"/>
      <w:start w:val="4"/>
    </w:lvl>
  </w:abstractNum>
  <w:abstractNum w:abstractNumId="209">
    <w:nsid w:val="2973F88F"/>
    <w:multiLevelType w:val="hybridMultilevel"/>
    <w:lvl w:ilvl="0">
      <w:lvlJc w:val="left"/>
      <w:lvlText w:val="%1."/>
      <w:numFmt w:val="decimal"/>
      <w:start w:val="5"/>
    </w:lvl>
    <w:lvl w:ilvl="1">
      <w:lvlJc w:val="left"/>
      <w:lvlText w:val="(%2)"/>
      <w:numFmt w:val="lowerLetter"/>
      <w:start w:val="1"/>
    </w:lvl>
  </w:abstractNum>
  <w:abstractNum w:abstractNumId="210">
    <w:nsid w:val="2C70EDAE"/>
    <w:multiLevelType w:val="hybridMultilevel"/>
    <w:lvl w:ilvl="0">
      <w:lvlJc w:val="left"/>
      <w:lvlText w:val="(%1)"/>
      <w:numFmt w:val="lowerLetter"/>
      <w:start w:val="2"/>
    </w:lvl>
  </w:abstractNum>
  <w:abstractNum w:abstractNumId="211">
    <w:nsid w:val="44296C6D"/>
    <w:multiLevelType w:val="hybridMultilevel"/>
    <w:lvl w:ilvl="0">
      <w:lvlJc w:val="left"/>
      <w:lvlText w:val="(%1)"/>
      <w:numFmt w:val="lowerRoman"/>
      <w:start w:val="1"/>
    </w:lvl>
  </w:abstractNum>
  <w:abstractNum w:abstractNumId="212">
    <w:nsid w:val="3A86D445"/>
    <w:multiLevelType w:val="hybridMultilevel"/>
    <w:lvl w:ilvl="0">
      <w:lvlJc w:val="left"/>
      <w:lvlText w:val="(%1)"/>
      <w:numFmt w:val="lowerLetter"/>
      <w:start w:val="3"/>
    </w:lvl>
  </w:abstractNum>
  <w:abstractNum w:abstractNumId="213">
    <w:nsid w:val="51F79246"/>
    <w:multiLevelType w:val="hybridMultilevel"/>
    <w:lvl w:ilvl="0">
      <w:lvlJc w:val="left"/>
      <w:lvlText w:val="(%1)"/>
      <w:numFmt w:val="lowerLetter"/>
      <w:start w:val="4"/>
    </w:lvl>
  </w:abstractNum>
  <w:abstractNum w:abstractNumId="214">
    <w:nsid w:val="5BC9A827"/>
    <w:multiLevelType w:val="hybridMultilevel"/>
    <w:lvl w:ilvl="0">
      <w:lvlJc w:val="left"/>
      <w:lvlText w:val="(%1)"/>
      <w:numFmt w:val="lowerLetter"/>
      <w:start w:val="5"/>
    </w:lvl>
  </w:abstractNum>
  <w:abstractNum w:abstractNumId="215">
    <w:nsid w:val="3AE37D86"/>
    <w:multiLevelType w:val="hybridMultilevel"/>
    <w:lvl w:ilvl="0">
      <w:lvlJc w:val="left"/>
      <w:lvlText w:val="%1."/>
      <w:numFmt w:val="decimal"/>
      <w:start w:val="6"/>
    </w:lvl>
    <w:lvl w:ilvl="1">
      <w:lvlJc w:val="left"/>
      <w:lvlText w:val="(%2)"/>
      <w:numFmt w:val="lowerLetter"/>
      <w:start w:val="1"/>
    </w:lvl>
  </w:abstractNum>
  <w:abstractNum w:abstractNumId="216">
    <w:nsid w:val="45440FE5"/>
    <w:multiLevelType w:val="hybridMultilevel"/>
    <w:lvl w:ilvl="0">
      <w:lvlJc w:val="left"/>
      <w:lvlText w:val="(%1)"/>
      <w:numFmt w:val="lowerLetter"/>
      <w:start w:val="1"/>
    </w:lvl>
  </w:abstractNum>
  <w:abstractNum w:abstractNumId="217">
    <w:nsid w:val="BF783F"/>
    <w:multiLevelType w:val="hybridMultilevel"/>
    <w:lvl w:ilvl="0">
      <w:lvlJc w:val="left"/>
      <w:lvlText w:val="(%1)"/>
      <w:numFmt w:val="lowerLetter"/>
      <w:start w:val="2"/>
    </w:lvl>
  </w:abstractNum>
  <w:abstractNum w:abstractNumId="218">
    <w:nsid w:val="22643EA9"/>
    <w:multiLevelType w:val="hybridMultilevel"/>
    <w:lvl w:ilvl="0">
      <w:lvlJc w:val="left"/>
      <w:lvlText w:val="(%1)"/>
      <w:numFmt w:val="lowerLetter"/>
      <w:start w:val="3"/>
    </w:lvl>
  </w:abstractNum>
  <w:abstractNum w:abstractNumId="219">
    <w:nsid w:val="1887578D"/>
    <w:multiLevelType w:val="hybridMultilevel"/>
    <w:lvl w:ilvl="0">
      <w:lvlJc w:val="left"/>
      <w:lvlText w:val="(%1)"/>
      <w:numFmt w:val="lowerLetter"/>
      <w:start w:val="4"/>
    </w:lvl>
  </w:abstractNum>
  <w:abstractNum w:abstractNumId="220">
    <w:nsid w:val="58C05B8A"/>
    <w:multiLevelType w:val="hybridMultilevel"/>
    <w:lvl w:ilvl="0">
      <w:lvlJc w:val="left"/>
      <w:lvlText w:val="(%1)"/>
      <w:numFmt w:val="lowerLetter"/>
      <w:start w:val="5"/>
    </w:lvl>
  </w:abstractNum>
  <w:abstractNum w:abstractNumId="221">
    <w:nsid w:val="38D82E71"/>
    <w:multiLevelType w:val="hybridMultilevel"/>
    <w:lvl w:ilvl="0">
      <w:lvlJc w:val="left"/>
      <w:lvlText w:val="(%1)"/>
      <w:numFmt w:val="lowerLetter"/>
      <w:start w:val="6"/>
    </w:lvl>
  </w:abstractNum>
  <w:abstractNum w:abstractNumId="222">
    <w:nsid w:val="1E41098A"/>
    <w:multiLevelType w:val="hybridMultilevel"/>
    <w:lvl w:ilvl="0">
      <w:lvlJc w:val="left"/>
      <w:lvlText w:val="(%1)"/>
      <w:numFmt w:val="lowerLetter"/>
      <w:start w:val="7"/>
    </w:lvl>
  </w:abstractNum>
  <w:abstractNum w:abstractNumId="223">
    <w:nsid w:val="5398582C"/>
    <w:multiLevelType w:val="hybridMultilevel"/>
    <w:lvl w:ilvl="0">
      <w:lvlJc w:val="left"/>
      <w:lvlText w:val="(%1)"/>
      <w:numFmt w:val="lowerRoman"/>
      <w:start w:val="1"/>
    </w:lvl>
  </w:abstractNum>
  <w:abstractNum w:abstractNumId="224">
    <w:nsid w:val="1C0D4475"/>
    <w:multiLevelType w:val="hybridMultilevel"/>
    <w:lvl w:ilvl="0">
      <w:lvlJc w:val="left"/>
      <w:lvlText w:val="(%1)"/>
      <w:numFmt w:val="lowerRoman"/>
      <w:start w:val="2"/>
    </w:lvl>
  </w:abstractNum>
  <w:abstractNum w:abstractNumId="225">
    <w:nsid w:val="2CB6A6A4"/>
    <w:multiLevelType w:val="hybridMultilevel"/>
    <w:lvl w:ilvl="0">
      <w:lvlJc w:val="left"/>
      <w:lvlText w:val="(%1)"/>
      <w:numFmt w:val="lowerLetter"/>
      <w:start w:val="8"/>
    </w:lvl>
  </w:abstractNum>
  <w:abstractNum w:abstractNumId="226">
    <w:nsid w:val="41D646BC"/>
    <w:multiLevelType w:val="hybridMultilevel"/>
    <w:lvl w:ilvl="0">
      <w:lvlJc w:val="left"/>
      <w:lvlText w:val="(%1)"/>
      <w:numFmt w:val="lowerRoman"/>
      <w:start w:val="1"/>
    </w:lvl>
  </w:abstractNum>
  <w:abstractNum w:abstractNumId="227">
    <w:nsid w:val="3694A76A"/>
    <w:multiLevelType w:val="hybridMultilevel"/>
    <w:lvl w:ilvl="0">
      <w:lvlJc w:val="left"/>
      <w:lvlText w:val="(%1)"/>
      <w:numFmt w:val="lowerRoman"/>
      <w:start w:val="1"/>
    </w:lvl>
  </w:abstractNum>
  <w:abstractNum w:abstractNumId="228">
    <w:nsid w:val="2BF876EE"/>
    <w:multiLevelType w:val="hybridMultilevel"/>
    <w:lvl w:ilvl="0">
      <w:lvlJc w:val="left"/>
      <w:lvlText w:val="%1"/>
      <w:numFmt w:val="decimal"/>
      <w:start w:val="1"/>
    </w:lvl>
    <w:lvl w:ilvl="1">
      <w:lvlJc w:val="left"/>
      <w:lvlText w:val="(%2)"/>
      <w:numFmt w:val="lowerRoman"/>
      <w:start w:val="2"/>
    </w:lvl>
  </w:abstractNum>
  <w:abstractNum w:abstractNumId="229">
    <w:nsid w:val="675ADBA"/>
    <w:multiLevelType w:val="hybridMultilevel"/>
    <w:lvl w:ilvl="0">
      <w:lvlJc w:val="left"/>
      <w:lvlText w:val="%1."/>
      <w:numFmt w:val="decimal"/>
      <w:start w:val="8"/>
    </w:lvl>
    <w:lvl w:ilvl="1">
      <w:lvlJc w:val="left"/>
      <w:lvlText w:val="%2"/>
      <w:numFmt w:val="lowerRoman"/>
      <w:start w:val="1"/>
    </w:lvl>
  </w:abstractNum>
  <w:abstractNum w:abstractNumId="230">
    <w:nsid w:val="C12AC7F"/>
    <w:multiLevelType w:val="hybridMultilevel"/>
    <w:lvl w:ilvl="0">
      <w:lvlJc w:val="left"/>
      <w:lvlText w:val="%1."/>
      <w:numFmt w:val="decimal"/>
      <w:start w:val="9"/>
    </w:lvl>
  </w:abstractNum>
  <w:abstractNum w:abstractNumId="231">
    <w:nsid w:val="6798F039"/>
    <w:multiLevelType w:val="hybridMultilevel"/>
    <w:lvl w:ilvl="0">
      <w:lvlJc w:val="left"/>
      <w:lvlText w:val="%1."/>
      <w:numFmt w:val="decimal"/>
      <w:start w:val="10"/>
    </w:lvl>
  </w:abstractNum>
  <w:abstractNum w:abstractNumId="232">
    <w:nsid w:val="70837C02"/>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233">
    <w:nsid w:val="7E4A5715"/>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2"/>
    </w:lvl>
  </w:abstractNum>
  <w:abstractNum w:abstractNumId="234">
    <w:nsid w:val="42B8AC67"/>
    <w:multiLevelType w:val="hybridMultilevel"/>
    <w:lvl w:ilvl="0">
      <w:lvlJc w:val="left"/>
      <w:lvlText w:val="%1."/>
      <w:numFmt w:val="decimal"/>
      <w:start w:val="13"/>
    </w:lvl>
    <w:lvl w:ilvl="1">
      <w:lvlJc w:val="left"/>
      <w:lvlText w:val="(%2)"/>
      <w:numFmt w:val="lowerLetter"/>
      <w:start w:val="1"/>
    </w:lvl>
  </w:abstractNum>
  <w:abstractNum w:abstractNumId="235">
    <w:nsid w:val="246348EA"/>
    <w:multiLevelType w:val="hybridMultilevel"/>
    <w:lvl w:ilvl="0">
      <w:lvlJc w:val="left"/>
      <w:lvlText w:val="(%1)"/>
      <w:numFmt w:val="lowerLetter"/>
      <w:start w:val="2"/>
    </w:lvl>
  </w:abstractNum>
  <w:abstractNum w:abstractNumId="236">
    <w:nsid w:val="170EB52B"/>
    <w:multiLevelType w:val="hybridMultilevel"/>
    <w:lvl w:ilvl="0">
      <w:lvlJc w:val="left"/>
      <w:lvlText w:val="%1."/>
      <w:numFmt w:val="decimal"/>
      <w:start w:val="14"/>
    </w:lvl>
    <w:lvl w:ilvl="1">
      <w:lvlJc w:val="left"/>
      <w:lvlText w:val="(%2)"/>
      <w:numFmt w:val="lowerLetter"/>
      <w:start w:val="1"/>
    </w:lvl>
  </w:abstractNum>
  <w:abstractNum w:abstractNumId="237">
    <w:nsid w:val="2DFBCB8C"/>
    <w:multiLevelType w:val="hybridMultilevel"/>
    <w:lvl w:ilvl="0">
      <w:lvlJc w:val="left"/>
      <w:lvlText w:val="(%1)"/>
      <w:numFmt w:val="lowerLetter"/>
      <w:start w:val="2"/>
    </w:lvl>
  </w:abstractNum>
  <w:abstractNum w:abstractNumId="238">
    <w:nsid w:val="3830D6B6"/>
    <w:multiLevelType w:val="hybridMultilevel"/>
    <w:lvl w:ilvl="0">
      <w:lvlJc w:val="left"/>
      <w:lvlText w:val="(%1)"/>
      <w:numFmt w:val="lowerRoman"/>
      <w:start w:val="1"/>
    </w:lvl>
  </w:abstractNum>
  <w:abstractNum w:abstractNumId="239">
    <w:nsid w:val="6D48CF87"/>
    <w:multiLevelType w:val="hybridMultilevel"/>
    <w:lvl w:ilvl="0">
      <w:lvlJc w:val="left"/>
      <w:lvlText w:val="(%1)"/>
      <w:numFmt w:val="lowerLetter"/>
      <w:start w:val="3"/>
    </w:lvl>
  </w:abstractNum>
  <w:abstractNum w:abstractNumId="240">
    <w:nsid w:val="576FC41B"/>
    <w:multiLevelType w:val="hybridMultilevel"/>
    <w:lvl w:ilvl="0">
      <w:lvlJc w:val="left"/>
      <w:lvlText w:val="%1."/>
      <w:numFmt w:val="decimal"/>
      <w:start w:val="15"/>
    </w:lvl>
    <w:lvl w:ilvl="1">
      <w:lvlJc w:val="left"/>
      <w:lvlText w:val="(%2)"/>
      <w:numFmt w:val="lowerLetter"/>
      <w:start w:val="1"/>
    </w:lvl>
  </w:abstractNum>
  <w:abstractNum w:abstractNumId="241">
    <w:nsid w:val="64A1C464"/>
    <w:multiLevelType w:val="hybridMultilevel"/>
    <w:lvl w:ilvl="0">
      <w:lvlJc w:val="left"/>
      <w:lvlText w:val="%1."/>
      <w:numFmt w:val="decimal"/>
      <w:start w:val="17"/>
    </w:lvl>
  </w:abstractNum>
  <w:abstractNum w:abstractNumId="242">
    <w:nsid w:val="31723BF5"/>
    <w:multiLevelType w:val="hybridMultilevel"/>
    <w:lvl w:ilvl="0">
      <w:lvlJc w:val="left"/>
      <w:lvlText w:val="%1."/>
      <w:numFmt w:val="decimal"/>
      <w:start w:val="1"/>
    </w:lvl>
  </w:abstractNum>
  <w:abstractNum w:abstractNumId="243">
    <w:nsid w:val="11F69861"/>
    <w:multiLevelType w:val="hybridMultilevel"/>
    <w:lvl w:ilvl="0">
      <w:lvlJc w:val="left"/>
      <w:lvlText w:val="(%1)"/>
      <w:numFmt w:val="lowerLetter"/>
      <w:start w:val="1"/>
    </w:lvl>
  </w:abstractNum>
  <w:abstractNum w:abstractNumId="244">
    <w:nsid w:val="369956AB"/>
    <w:multiLevelType w:val="hybridMultilevel"/>
    <w:lvl w:ilvl="0">
      <w:lvlJc w:val="left"/>
      <w:lvlText w:val="(%1)"/>
      <w:numFmt w:val="lowerLetter"/>
      <w:start w:val="2"/>
    </w:lvl>
  </w:abstractNum>
  <w:abstractNum w:abstractNumId="245">
    <w:nsid w:val="D3BE41C"/>
    <w:multiLevelType w:val="hybridMultilevel"/>
    <w:lvl w:ilvl="0">
      <w:lvlJc w:val="left"/>
      <w:lvlText w:val="%1."/>
      <w:numFmt w:val="decimal"/>
      <w:start w:val="2"/>
    </w:lvl>
    <w:lvl w:ilvl="1">
      <w:lvlJc w:val="left"/>
      <w:lvlText w:val="(%2)"/>
      <w:numFmt w:val="lowerLetter"/>
      <w:start w:val="1"/>
    </w:lvl>
  </w:abstractNum>
  <w:abstractNum w:abstractNumId="246">
    <w:nsid w:val="4CDA15E7"/>
    <w:multiLevelType w:val="hybridMultilevel"/>
    <w:lvl w:ilvl="0">
      <w:lvlJc w:val="left"/>
      <w:lvlText w:val="(%1)"/>
      <w:numFmt w:val="lowerLetter"/>
      <w:start w:val="2"/>
    </w:lvl>
  </w:abstractNum>
  <w:abstractNum w:abstractNumId="247">
    <w:nsid w:val="7BDD6690"/>
    <w:multiLevelType w:val="hybridMultilevel"/>
    <w:lvl w:ilvl="0">
      <w:lvlJc w:val="left"/>
      <w:lvlText w:val="(%1)"/>
      <w:numFmt w:val="lowerLetter"/>
      <w:start w:val="3"/>
    </w:lvl>
  </w:abstractNum>
  <w:abstractNum w:abstractNumId="248">
    <w:nsid w:val="DFB5C5B"/>
    <w:multiLevelType w:val="hybridMultilevel"/>
    <w:lvl w:ilvl="0">
      <w:lvlJc w:val="left"/>
      <w:lvlText w:val="(%1)"/>
      <w:numFmt w:val="lowerLetter"/>
      <w:start w:val="4"/>
    </w:lvl>
  </w:abstractNum>
  <w:abstractNum w:abstractNumId="249">
    <w:nsid w:val="6F3E5490"/>
    <w:multiLevelType w:val="hybridMultilevel"/>
    <w:lvl w:ilvl="0">
      <w:lvlJc w:val="left"/>
      <w:lvlText w:val="(%1)"/>
      <w:numFmt w:val="lowerLetter"/>
      <w:start w:val="5"/>
    </w:lvl>
  </w:abstractNum>
  <w:abstractNum w:abstractNumId="250">
    <w:nsid w:val="1464BE1E"/>
    <w:multiLevelType w:val="hybridMultilevel"/>
    <w:lvl w:ilvl="0">
      <w:lvlJc w:val="left"/>
      <w:lvlText w:val="(%1)"/>
      <w:numFmt w:val="lowerRoman"/>
      <w:start w:val="10"/>
    </w:lvl>
  </w:abstractNum>
  <w:abstractNum w:abstractNumId="251">
    <w:nsid w:val="66BBB7E5"/>
    <w:multiLevelType w:val="hybridMultilevel"/>
    <w:lvl w:ilvl="0">
      <w:lvlJc w:val="left"/>
      <w:lvlText w:val="(%1)"/>
      <w:numFmt w:val="lowerLetter"/>
      <w:start w:val="6"/>
    </w:lvl>
  </w:abstractNum>
  <w:abstractNum w:abstractNumId="252">
    <w:nsid w:val="28168302"/>
    <w:multiLevelType w:val="hybridMultilevel"/>
    <w:lvl w:ilvl="0">
      <w:lvlJc w:val="left"/>
      <w:lvlText w:val="(%1)"/>
      <w:numFmt w:val="lowerLetter"/>
      <w:start w:val="7"/>
    </w:lvl>
  </w:abstractNum>
  <w:abstractNum w:abstractNumId="253">
    <w:nsid w:val="32A5C7A8"/>
    <w:multiLevelType w:val="hybridMultilevel"/>
    <w:lvl w:ilvl="0">
      <w:lvlJc w:val="left"/>
      <w:lvlText w:val="(%1)"/>
      <w:numFmt w:val="lowerLetter"/>
      <w:start w:val="8"/>
    </w:lvl>
  </w:abstractNum>
  <w:abstractNum w:abstractNumId="254">
    <w:nsid w:val="3A541011"/>
    <w:multiLevelType w:val="hybridMultilevel"/>
    <w:lvl w:ilvl="0">
      <w:lvlJc w:val="left"/>
      <w:lvlText w:val="(%1)"/>
      <w:numFmt w:val="lowerRoman"/>
      <w:start w:val="1"/>
    </w:lvl>
  </w:abstractNum>
  <w:abstractNum w:abstractNumId="255">
    <w:nsid w:val="4423C777"/>
    <w:multiLevelType w:val="hybridMultilevel"/>
    <w:lvl w:ilvl="0">
      <w:lvlJc w:val="left"/>
      <w:lvlText w:val="(%1)"/>
      <w:numFmt w:val="lowerRoman"/>
      <w:start w:val="1"/>
    </w:lvl>
  </w:abstractNum>
  <w:abstractNum w:abstractNumId="256">
    <w:nsid w:val="5F5C6E4D"/>
    <w:multiLevelType w:val="hybridMultilevel"/>
    <w:lvl w:ilvl="0">
      <w:lvlJc w:val="left"/>
      <w:lvlText w:val="(%1)"/>
      <w:numFmt w:val="lowerLetter"/>
      <w:start w:val="11"/>
    </w:lvl>
  </w:abstractNum>
  <w:abstractNum w:abstractNumId="257">
    <w:nsid w:val="7C2A56CD"/>
    <w:multiLevelType w:val="hybridMultilevel"/>
    <w:lvl w:ilvl="0">
      <w:lvlJc w:val="left"/>
      <w:lvlText w:val="(%1)"/>
      <w:numFmt w:val="lowerLetter"/>
      <w:start w:val="12"/>
    </w:lvl>
  </w:abstractNum>
  <w:abstractNum w:abstractNumId="258">
    <w:nsid w:val="7AB86EE1"/>
    <w:multiLevelType w:val="hybridMultilevel"/>
    <w:lvl w:ilvl="0">
      <w:lvlJc w:val="left"/>
      <w:lvlText w:val="(%1)"/>
      <w:numFmt w:val="lowerLetter"/>
      <w:start w:val="13"/>
    </w:lvl>
  </w:abstractNum>
  <w:abstractNum w:abstractNumId="259">
    <w:nsid w:val="B54E53B"/>
    <w:multiLevelType w:val="hybridMultilevel"/>
    <w:lvl w:ilvl="0">
      <w:lvlJc w:val="left"/>
      <w:lvlText w:val="(%1)"/>
      <w:numFmt w:val="lowerLetter"/>
      <w:start w:val="14"/>
    </w:lvl>
  </w:abstractNum>
  <w:abstractNum w:abstractNumId="260">
    <w:nsid w:val="2A00487"/>
    <w:multiLevelType w:val="hybridMultilevel"/>
    <w:lvl w:ilvl="0">
      <w:lvlJc w:val="left"/>
      <w:lvlText w:val="(%1)"/>
      <w:numFmt w:val="lowerLetter"/>
      <w:start w:val="15"/>
    </w:lvl>
  </w:abstractNum>
  <w:abstractNum w:abstractNumId="261">
    <w:nsid w:val="6CB1B60"/>
    <w:multiLevelType w:val="hybridMultilevel"/>
    <w:lvl w:ilvl="0">
      <w:lvlJc w:val="left"/>
      <w:lvlText w:val="(%1)"/>
      <w:numFmt w:val="lowerLetter"/>
      <w:start w:val="16"/>
    </w:lvl>
  </w:abstractNum>
  <w:abstractNum w:abstractNumId="262">
    <w:nsid w:val="72EDD574"/>
    <w:multiLevelType w:val="hybridMultilevel"/>
    <w:lvl w:ilvl="0">
      <w:lvlJc w:val="left"/>
      <w:lvlText w:val="(%1)"/>
      <w:numFmt w:val="lowerLetter"/>
      <w:start w:val="17"/>
    </w:lvl>
  </w:abstractNum>
  <w:abstractNum w:abstractNumId="263">
    <w:nsid w:val="7323808A"/>
    <w:multiLevelType w:val="hybridMultilevel"/>
    <w:lvl w:ilvl="0">
      <w:lvlJc w:val="left"/>
      <w:lvlText w:val="(%1)"/>
      <w:numFmt w:val="lowerLetter"/>
      <w:start w:val="18"/>
    </w:lvl>
    <w:lvl w:ilvl="1">
      <w:lvlJc w:val="left"/>
      <w:lvlText w:val="(%2)"/>
      <w:numFmt w:val="lowerRoman"/>
      <w:start w:val="1"/>
    </w:lvl>
  </w:abstractNum>
  <w:abstractNum w:abstractNumId="264">
    <w:nsid w:val="5157276"/>
    <w:multiLevelType w:val="hybridMultilevel"/>
    <w:lvl w:ilvl="0">
      <w:lvlJc w:val="left"/>
      <w:lvlText w:val="(%1)"/>
      <w:numFmt w:val="lowerLetter"/>
      <w:start w:val="20"/>
    </w:lvl>
  </w:abstractNum>
  <w:abstractNum w:abstractNumId="265">
    <w:nsid w:val="35A681DB"/>
    <w:multiLevelType w:val="hybridMultilevel"/>
    <w:lvl w:ilvl="0">
      <w:lvlJc w:val="left"/>
      <w:lvlText w:val="(%1)"/>
      <w:numFmt w:val="lowerLetter"/>
      <w:start w:val="21"/>
    </w:lvl>
  </w:abstractNum>
  <w:abstractNum w:abstractNumId="266">
    <w:nsid w:val="1786C974"/>
    <w:multiLevelType w:val="hybridMultilevel"/>
    <w:lvl w:ilvl="0">
      <w:lvlJc w:val="left"/>
      <w:lvlText w:val="(%1)"/>
      <w:numFmt w:val="lowerRoman"/>
      <w:start w:val="5"/>
    </w:lvl>
  </w:abstractNum>
  <w:abstractNum w:abstractNumId="267">
    <w:nsid w:val="1C2427A1"/>
    <w:multiLevelType w:val="hybridMultilevel"/>
    <w:lvl w:ilvl="0">
      <w:lvlJc w:val="left"/>
      <w:lvlText w:val="(%1)"/>
      <w:numFmt w:val="lowerRoman"/>
      <w:start w:val="1"/>
    </w:lvl>
    <w:lvl w:ilvl="1">
      <w:lvlJc w:val="left"/>
      <w:lvlText w:val="(%2)"/>
      <w:numFmt w:val="upperLetter"/>
      <w:start w:val="1"/>
    </w:lvl>
  </w:abstractNum>
  <w:abstractNum w:abstractNumId="268">
    <w:nsid w:val="63A24D68"/>
    <w:multiLevelType w:val="hybridMultilevel"/>
    <w:lvl w:ilvl="0">
      <w:lvlJc w:val="left"/>
      <w:lvlText w:val="(%1)"/>
      <w:numFmt w:val="lowerLetter"/>
      <w:start w:val="23"/>
    </w:lvl>
  </w:abstractNum>
  <w:abstractNum w:abstractNumId="269">
    <w:nsid w:val="4FB7A02A"/>
    <w:multiLevelType w:val="hybridMultilevel"/>
    <w:lvl w:ilvl="0">
      <w:lvlJc w:val="left"/>
      <w:lvlText w:val="(%1)"/>
      <w:numFmt w:val="lowerRoman"/>
      <w:start w:val="10"/>
    </w:lvl>
  </w:abstractNum>
  <w:abstractNum w:abstractNumId="270">
    <w:nsid w:val="96CF728"/>
    <w:multiLevelType w:val="hybridMultilevel"/>
    <w:lvl w:ilvl="0">
      <w:lvlJc w:val="left"/>
      <w:lvlText w:val="(%1)"/>
      <w:numFmt w:val="lowerLetter"/>
      <w:start w:val="25"/>
    </w:lvl>
  </w:abstractNum>
  <w:abstractNum w:abstractNumId="271">
    <w:nsid w:val="3B121183"/>
    <w:multiLevelType w:val="hybridMultilevel"/>
    <w:lvl w:ilvl="0">
      <w:lvlJc w:val="left"/>
      <w:lvlText w:val="(%1)"/>
      <w:numFmt w:val="lowerLetter"/>
      <w:start w:val="26"/>
    </w:lvl>
    <w:lvl w:ilvl="1">
      <w:lvlJc w:val="left"/>
      <w:lvlText w:val="-----"/>
      <w:numFmt w:val="bullet"/>
      <w:start w:val="1"/>
    </w:lvl>
    <w:lvl w:ilvl="2">
      <w:lvlJc w:val="left"/>
      <w:lvlText w:val="(%3)"/>
      <w:numFmt w:val="lowerRoman"/>
      <w:start w:val="1"/>
    </w:lvl>
  </w:abstractNum>
  <w:abstractNum w:abstractNumId="272">
    <w:nsid w:val="3459648F"/>
    <w:multiLevelType w:val="hybridMultilevel"/>
    <w:lvl w:ilvl="0">
      <w:lvlJc w:val="left"/>
      <w:lvlText w:val="(%1)"/>
      <w:numFmt w:val="lowerLetter"/>
      <w:start w:val="27"/>
    </w:lvl>
  </w:abstractNum>
  <w:abstractNum w:abstractNumId="273">
    <w:nsid w:val="3ADF331D"/>
    <w:multiLevelType w:val="hybridMultilevel"/>
    <w:lvl w:ilvl="0">
      <w:lvlJc w:val="left"/>
      <w:lvlText w:val="(%1)"/>
      <w:numFmt w:val="lowerLetter"/>
      <w:start w:val="28"/>
    </w:lvl>
  </w:abstractNum>
  <w:abstractNum w:abstractNumId="274">
    <w:nsid w:val="4D08A9E4"/>
    <w:multiLevelType w:val="hybridMultilevel"/>
    <w:lvl w:ilvl="0">
      <w:lvlJc w:val="left"/>
      <w:lvlText w:val="(%1)"/>
      <w:numFmt w:val="lowerLetter"/>
      <w:start w:val="29"/>
    </w:lvl>
  </w:abstractNum>
  <w:abstractNum w:abstractNumId="275">
    <w:nsid w:val="6AF2BB3A"/>
    <w:multiLevelType w:val="hybridMultilevel"/>
    <w:lvl w:ilvl="0">
      <w:lvlJc w:val="left"/>
      <w:lvlText w:val="(%1)"/>
      <w:numFmt w:val="lowerLetter"/>
      <w:start w:val="30"/>
    </w:lvl>
  </w:abstractNum>
  <w:abstractNum w:abstractNumId="276">
    <w:nsid w:val="481B1739"/>
    <w:multiLevelType w:val="hybridMultilevel"/>
    <w:lvl w:ilvl="0">
      <w:lvlJc w:val="left"/>
      <w:lvlText w:val="(%1)"/>
      <w:numFmt w:val="lowerLetter"/>
      <w:start w:val="31"/>
    </w:lvl>
  </w:abstractNum>
  <w:abstractNum w:abstractNumId="277">
    <w:nsid w:val="19E2BFCC"/>
    <w:multiLevelType w:val="hybridMultilevel"/>
    <w:lvl w:ilvl="0">
      <w:lvlJc w:val="left"/>
      <w:lvlText w:val="(%1)"/>
      <w:numFmt w:val="lowerRoman"/>
      <w:start w:val="1"/>
    </w:lvl>
  </w:abstractNum>
  <w:abstractNum w:abstractNumId="278">
    <w:nsid w:val="66D021CA"/>
    <w:multiLevelType w:val="hybridMultilevel"/>
    <w:lvl w:ilvl="0">
      <w:lvlJc w:val="left"/>
      <w:lvlText w:val="(%1)"/>
      <w:numFmt w:val="lowerLetter"/>
      <w:start w:val="32"/>
    </w:lvl>
  </w:abstractNum>
  <w:abstractNum w:abstractNumId="279">
    <w:nsid w:val="56167394"/>
    <w:multiLevelType w:val="hybridMultilevel"/>
    <w:lvl w:ilvl="0">
      <w:lvlJc w:val="left"/>
      <w:lvlText w:val="(%1)"/>
      <w:numFmt w:val="lowerLetter"/>
      <w:start w:val="33"/>
    </w:lvl>
  </w:abstractNum>
  <w:abstractNum w:abstractNumId="280">
    <w:nsid w:val="921145C"/>
    <w:multiLevelType w:val="hybridMultilevel"/>
    <w:lvl w:ilvl="0">
      <w:lvlJc w:val="left"/>
      <w:lvlText w:val="(%1)"/>
      <w:numFmt w:val="lowerLetter"/>
      <w:start w:val="34"/>
    </w:lvl>
  </w:abstractNum>
  <w:abstractNum w:abstractNumId="281">
    <w:nsid w:val="7B34DFE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82">
    <w:nsid w:val="3CD22B79"/>
    <w:multiLevelType w:val="hybridMultilevel"/>
    <w:lvl w:ilvl="0">
      <w:lvlJc w:val="left"/>
      <w:lvlText w:val="(%1)"/>
      <w:numFmt w:val="lowerRoman"/>
      <w:start w:val="2"/>
    </w:lvl>
  </w:abstractNum>
  <w:abstractNum w:abstractNumId="283">
    <w:nsid w:val="3137975E"/>
    <w:multiLevelType w:val="hybridMultilevel"/>
    <w:lvl w:ilvl="0">
      <w:lvlJc w:val="left"/>
      <w:lvlText w:val="(%1)"/>
      <w:numFmt w:val="lowerLetter"/>
      <w:start w:val="2"/>
    </w:lvl>
  </w:abstractNum>
  <w:abstractNum w:abstractNumId="284">
    <w:nsid w:val="2DDAA791"/>
    <w:multiLevelType w:val="hybridMultilevel"/>
    <w:lvl w:ilvl="0">
      <w:lvlJc w:val="left"/>
      <w:lvlText w:val="%1."/>
      <w:numFmt w:val="decimal"/>
      <w:start w:val="4"/>
    </w:lvl>
  </w:abstractNum>
  <w:abstractNum w:abstractNumId="285">
    <w:nsid w:val="77263B8A"/>
    <w:multiLevelType w:val="hybridMultilevel"/>
    <w:lvl w:ilvl="0">
      <w:lvlJc w:val="left"/>
      <w:lvlText w:val="%1."/>
      <w:numFmt w:val="decimal"/>
      <w:start w:val="5"/>
    </w:lvl>
  </w:abstractNum>
  <w:abstractNum w:abstractNumId="286">
    <w:nsid w:val="755B5ED6"/>
    <w:multiLevelType w:val="hybridMultilevel"/>
    <w:lvl w:ilvl="0">
      <w:lvlJc w:val="left"/>
      <w:lvlText w:val="(%1)"/>
      <w:numFmt w:val="lowerLetter"/>
      <w:start w:val="1"/>
    </w:lvl>
  </w:abstractNum>
  <w:abstractNum w:abstractNumId="287">
    <w:nsid w:val="D3715DE"/>
    <w:multiLevelType w:val="hybridMultilevel"/>
    <w:lvl w:ilvl="0">
      <w:lvlJc w:val="left"/>
      <w:lvlText w:val="(%1)"/>
      <w:numFmt w:val="lowerLetter"/>
      <w:start w:val="2"/>
    </w:lvl>
  </w:abstractNum>
  <w:abstractNum w:abstractNumId="288">
    <w:nsid w:val="73509257"/>
    <w:multiLevelType w:val="hybridMultilevel"/>
    <w:lvl w:ilvl="0">
      <w:lvlJc w:val="left"/>
      <w:lvlText w:val="(%1)"/>
      <w:numFmt w:val="lowerRoman"/>
      <w:start w:val="1"/>
    </w:lvl>
  </w:abstractNum>
  <w:abstractNum w:abstractNumId="289">
    <w:nsid w:val="7013CDB7"/>
    <w:multiLevelType w:val="hybridMultilevel"/>
    <w:lvl w:ilvl="0">
      <w:lvlJc w:val="left"/>
      <w:lvlText w:val="%1"/>
      <w:numFmt w:val="lowerLetter"/>
      <w:start w:val="1"/>
    </w:lvl>
    <w:lvl w:ilvl="1">
      <w:lvlJc w:val="left"/>
      <w:lvlText w:val="(%2)"/>
      <w:numFmt w:val="lowerLetter"/>
      <w:start w:val="61"/>
    </w:lvl>
  </w:abstractNum>
  <w:abstractNum w:abstractNumId="290">
    <w:nsid w:val="188BFB19"/>
    <w:multiLevelType w:val="hybridMultilevel"/>
    <w:lvl w:ilvl="0">
      <w:lvlJc w:val="left"/>
      <w:lvlText w:val="(%1)"/>
      <w:numFmt w:val="lowerLetter"/>
      <w:start w:val="3"/>
    </w:lvl>
    <w:lvl w:ilvl="1">
      <w:lvlJc w:val="left"/>
      <w:lvlText w:val="%2"/>
      <w:numFmt w:val="lowerLetter"/>
      <w:start w:val="1"/>
    </w:lvl>
  </w:abstractNum>
  <w:abstractNum w:abstractNumId="291">
    <w:nsid w:val="75F096DF"/>
    <w:multiLevelType w:val="hybridMultilevel"/>
    <w:lvl w:ilvl="0">
      <w:lvlJc w:val="left"/>
      <w:lvlText w:val="(%1)"/>
      <w:numFmt w:val="lowerLetter"/>
      <w:start w:val="4"/>
    </w:lvl>
  </w:abstractNum>
  <w:abstractNum w:abstractNumId="292">
    <w:nsid w:val="76DEE918"/>
    <w:multiLevelType w:val="hybridMultilevel"/>
    <w:lvl w:ilvl="0">
      <w:lvlJc w:val="left"/>
      <w:lvlText w:val="(%1)"/>
      <w:numFmt w:val="lowerLetter"/>
      <w:start w:val="5"/>
    </w:lvl>
  </w:abstractNum>
  <w:abstractNum w:abstractNumId="293">
    <w:nsid w:val="B79D08D"/>
    <w:multiLevelType w:val="hybridMultilevel"/>
    <w:lvl w:ilvl="0">
      <w:lvlJc w:val="left"/>
      <w:lvlText w:val="%1."/>
      <w:numFmt w:val="decimal"/>
      <w:start w:val="6"/>
    </w:lvl>
    <w:lvl w:ilvl="1">
      <w:lvlJc w:val="left"/>
      <w:lvlText w:val="(%2)"/>
      <w:numFmt w:val="lowerLetter"/>
      <w:start w:val="1"/>
    </w:lvl>
  </w:abstractNum>
  <w:abstractNum w:abstractNumId="294">
    <w:nsid w:val="69141769"/>
    <w:multiLevelType w:val="hybridMultilevel"/>
    <w:lvl w:ilvl="0">
      <w:lvlJc w:val="left"/>
      <w:lvlText w:val="%1."/>
      <w:numFmt w:val="decimal"/>
      <w:start w:val="7"/>
    </w:lvl>
  </w:abstractNum>
  <w:abstractNum w:abstractNumId="295">
    <w:nsid w:val="7BF45B8E"/>
    <w:multiLevelType w:val="hybridMultilevel"/>
    <w:lvl w:ilvl="0">
      <w:lvlJc w:val="left"/>
      <w:lvlText w:val="(%1)"/>
      <w:numFmt w:val="lowerLetter"/>
      <w:start w:val="1"/>
    </w:lvl>
  </w:abstractNum>
  <w:abstractNum w:abstractNumId="296">
    <w:nsid w:val="41205269"/>
    <w:multiLevelType w:val="hybridMultilevel"/>
    <w:lvl w:ilvl="0">
      <w:lvlJc w:val="left"/>
      <w:lvlText w:val="(%1)"/>
      <w:numFmt w:val="lowerLetter"/>
      <w:start w:val="2"/>
    </w:lvl>
  </w:abstractNum>
  <w:abstractNum w:abstractNumId="297">
    <w:nsid w:val="9AE0DD"/>
    <w:multiLevelType w:val="hybridMultilevel"/>
    <w:lvl w:ilvl="0">
      <w:lvlJc w:val="left"/>
      <w:lvlText w:val="(%1)"/>
      <w:numFmt w:val="lowerLetter"/>
      <w:start w:val="3"/>
    </w:lvl>
  </w:abstractNum>
  <w:abstractNum w:abstractNumId="298">
    <w:nsid w:val="1818832F"/>
    <w:multiLevelType w:val="hybridMultilevel"/>
    <w:lvl w:ilvl="0">
      <w:lvlJc w:val="left"/>
      <w:lvlText w:val="(%1)"/>
      <w:numFmt w:val="lowerLetter"/>
      <w:start w:val="4"/>
    </w:lvl>
  </w:abstractNum>
  <w:abstractNum w:abstractNumId="299">
    <w:nsid w:val="24C29FD1"/>
    <w:multiLevelType w:val="hybridMultilevel"/>
    <w:lvl w:ilvl="0">
      <w:lvlJc w:val="left"/>
      <w:lvlText w:val="(%1)"/>
      <w:numFmt w:val="lowerLetter"/>
      <w:start w:val="5"/>
    </w:lvl>
  </w:abstractNum>
  <w:abstractNum w:abstractNumId="300">
    <w:nsid w:val="50528108"/>
    <w:multiLevelType w:val="hybridMultilevel"/>
    <w:lvl w:ilvl="0">
      <w:lvlJc w:val="left"/>
      <w:lvlText w:val="(%1)"/>
      <w:numFmt w:val="lowerLetter"/>
      <w:start w:val="6"/>
    </w:lvl>
  </w:abstractNum>
  <w:abstractNum w:abstractNumId="301">
    <w:nsid w:val="21857A57"/>
    <w:multiLevelType w:val="hybridMultilevel"/>
    <w:lvl w:ilvl="0">
      <w:lvlJc w:val="left"/>
      <w:lvlText w:val="(%1)"/>
      <w:numFmt w:val="lowerLetter"/>
      <w:start w:val="7"/>
    </w:lvl>
  </w:abstractNum>
  <w:abstractNum w:abstractNumId="302">
    <w:nsid w:val="5FD4B154"/>
    <w:multiLevelType w:val="hybridMultilevel"/>
    <w:lvl w:ilvl="0">
      <w:lvlJc w:val="left"/>
      <w:lvlText w:val="(%1)"/>
      <w:numFmt w:val="lowerRoman"/>
      <w:start w:val="1"/>
    </w:lvl>
  </w:abstractNum>
  <w:abstractNum w:abstractNumId="303">
    <w:nsid w:val="4ABE597"/>
    <w:multiLevelType w:val="hybridMultilevel"/>
    <w:lvl w:ilvl="0">
      <w:lvlJc w:val="left"/>
      <w:lvlText w:val="(%1)"/>
      <w:numFmt w:val="lowerLetter"/>
      <w:start w:val="8"/>
    </w:lvl>
  </w:abstractNum>
  <w:abstractNum w:abstractNumId="304">
    <w:nsid w:val="5C64AD75"/>
    <w:multiLevelType w:val="hybridMultilevel"/>
    <w:lvl w:ilvl="0">
      <w:lvlJc w:val="left"/>
      <w:lvlText w:val="(%1)"/>
      <w:numFmt w:val="lowerRoman"/>
      <w:start w:val="1"/>
    </w:lvl>
  </w:abstractNum>
  <w:abstractNum w:abstractNumId="305">
    <w:nsid w:val="2CDD5B39"/>
    <w:multiLevelType w:val="hybridMultilevel"/>
    <w:lvl w:ilvl="0">
      <w:lvlJc w:val="left"/>
      <w:lvlText w:val="%1"/>
      <w:numFmt w:val="decimal"/>
      <w:start w:val="1"/>
    </w:lvl>
    <w:lvl w:ilvl="1">
      <w:lvlJc w:val="left"/>
      <w:lvlText w:val="(%2)"/>
      <w:numFmt w:val="lowerRoman"/>
      <w:start w:val="1"/>
    </w:lvl>
  </w:abstractNum>
  <w:abstractNum w:abstractNumId="306">
    <w:nsid w:val="6F9EA0D1"/>
    <w:multiLevelType w:val="hybridMultilevel"/>
    <w:lvl w:ilvl="0">
      <w:lvlJc w:val="left"/>
      <w:lvlText w:val="%1."/>
      <w:numFmt w:val="decimal"/>
      <w:start w:val="8"/>
    </w:lvl>
    <w:lvl w:ilvl="1">
      <w:lvlJc w:val="left"/>
      <w:lvlText w:val="%2"/>
      <w:numFmt w:val="lowerRoman"/>
      <w:start w:val="1"/>
    </w:lvl>
  </w:abstractNum>
  <w:abstractNum w:abstractNumId="307">
    <w:nsid w:val="247FC4AE"/>
    <w:multiLevelType w:val="hybridMultilevel"/>
    <w:lvl w:ilvl="0">
      <w:lvlJc w:val="left"/>
      <w:lvlText w:val="%1."/>
      <w:numFmt w:val="decimal"/>
      <w:start w:val="9"/>
    </w:lvl>
  </w:abstractNum>
  <w:abstractNum w:abstractNumId="308">
    <w:nsid w:val="46C01B05"/>
    <w:multiLevelType w:val="hybridMultilevel"/>
    <w:lvl w:ilvl="0">
      <w:lvlJc w:val="left"/>
      <w:lvlText w:val="%1."/>
      <w:numFmt w:val="decimal"/>
      <w:start w:val="10"/>
    </w:lvl>
  </w:abstractNum>
  <w:abstractNum w:abstractNumId="309">
    <w:nsid w:val="566EC29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10">
    <w:nsid w:val="7A963843"/>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2"/>
    </w:lvl>
  </w:abstractNum>
  <w:abstractNum w:abstractNumId="311">
    <w:nsid w:val="4FE12F61"/>
    <w:multiLevelType w:val="hybridMultilevel"/>
    <w:lvl w:ilvl="0">
      <w:lvlJc w:val="left"/>
      <w:lvlText w:val="%1."/>
      <w:numFmt w:val="decimal"/>
      <w:start w:val="13"/>
    </w:lvl>
    <w:lvl w:ilvl="1">
      <w:lvlJc w:val="left"/>
      <w:lvlText w:val="(%2)"/>
      <w:numFmt w:val="lowerLetter"/>
      <w:start w:val="1"/>
    </w:lvl>
  </w:abstractNum>
  <w:abstractNum w:abstractNumId="312">
    <w:nsid w:val="51A3A284"/>
    <w:multiLevelType w:val="hybridMultilevel"/>
    <w:lvl w:ilvl="0">
      <w:lvlJc w:val="left"/>
      <w:lvlText w:val="(%1)"/>
      <w:numFmt w:val="lowerLetter"/>
      <w:start w:val="2"/>
    </w:lvl>
  </w:abstractNum>
  <w:abstractNum w:abstractNumId="313">
    <w:nsid w:val="376863BC"/>
    <w:multiLevelType w:val="hybridMultilevel"/>
    <w:lvl w:ilvl="0">
      <w:lvlJc w:val="left"/>
      <w:lvlText w:val="%1."/>
      <w:numFmt w:val="decimal"/>
      <w:start w:val="14"/>
    </w:lvl>
    <w:lvl w:ilvl="1">
      <w:lvlJc w:val="left"/>
      <w:lvlText w:val="(%2)"/>
      <w:numFmt w:val="lowerLetter"/>
      <w:start w:val="1"/>
    </w:lvl>
  </w:abstractNum>
  <w:abstractNum w:abstractNumId="314">
    <w:nsid w:val="118C6C0"/>
    <w:multiLevelType w:val="hybridMultilevel"/>
    <w:lvl w:ilvl="0">
      <w:lvlJc w:val="left"/>
      <w:lvlText w:val="(%1)"/>
      <w:numFmt w:val="lowerLetter"/>
      <w:start w:val="2"/>
    </w:lvl>
  </w:abstractNum>
  <w:abstractNum w:abstractNumId="315">
    <w:nsid w:val="7F7E4A15"/>
    <w:multiLevelType w:val="hybridMultilevel"/>
    <w:lvl w:ilvl="0">
      <w:lvlJc w:val="left"/>
      <w:lvlText w:val="(%1)"/>
      <w:numFmt w:val="lowerRoman"/>
      <w:start w:val="1"/>
    </w:lvl>
  </w:abstractNum>
  <w:abstractNum w:abstractNumId="316">
    <w:nsid w:val="2E8E9F47"/>
    <w:multiLevelType w:val="hybridMultilevel"/>
    <w:lvl w:ilvl="0">
      <w:lvlJc w:val="left"/>
      <w:lvlText w:val="(%1)"/>
      <w:numFmt w:val="lowerLetter"/>
      <w:start w:val="3"/>
    </w:lvl>
  </w:abstractNum>
  <w:abstractNum w:abstractNumId="317">
    <w:nsid w:val="76742596"/>
    <w:multiLevelType w:val="hybridMultilevel"/>
    <w:lvl w:ilvl="0">
      <w:lvlJc w:val="left"/>
      <w:lvlText w:val="%1."/>
      <w:numFmt w:val="decimal"/>
      <w:start w:val="15"/>
    </w:lvl>
    <w:lvl w:ilvl="1">
      <w:lvlJc w:val="left"/>
      <w:lvlText w:val="(%2)"/>
      <w:numFmt w:val="lowerLetter"/>
      <w:start w:val="1"/>
    </w:lvl>
  </w:abstractNum>
  <w:abstractNum w:abstractNumId="318">
    <w:nsid w:val="CB55FF3"/>
    <w:multiLevelType w:val="hybridMultilevel"/>
    <w:lvl w:ilvl="0">
      <w:lvlJc w:val="left"/>
      <w:lvlText w:val="(%1)"/>
      <w:numFmt w:val="lowerLetter"/>
      <w:start w:val="3"/>
    </w:lvl>
  </w:abstractNum>
  <w:abstractNum w:abstractNumId="319">
    <w:nsid w:val="21DF319E"/>
    <w:multiLevelType w:val="hybridMultilevel"/>
    <w:lvl w:ilvl="0">
      <w:lvlJc w:val="left"/>
      <w:lvlText w:val="%1."/>
      <w:numFmt w:val="decimal"/>
      <w:start w:val="17"/>
    </w:lvl>
  </w:abstractNum>
  <w:abstractNum w:abstractNumId="320">
    <w:nsid w:val="6687F34D"/>
    <w:multiLevelType w:val="hybridMultilevel"/>
    <w:lvl w:ilvl="0">
      <w:lvlJc w:val="left"/>
      <w:lvlText w:val="(%1)"/>
      <w:numFmt w:val="lowerLetter"/>
      <w:start w:val="2"/>
    </w:lvl>
  </w:abstractNum>
  <w:abstractNum w:abstractNumId="321">
    <w:nsid w:val="25415B0C"/>
    <w:multiLevelType w:val="hybridMultilevel"/>
    <w:lvl w:ilvl="0">
      <w:lvlJc w:val="left"/>
      <w:lvlText w:val="(%1)"/>
      <w:numFmt w:val="lowerLetter"/>
      <w:start w:val="1"/>
    </w:lvl>
  </w:abstractNum>
  <w:abstractNum w:abstractNumId="322">
    <w:nsid w:val="17CFC87D"/>
    <w:multiLevelType w:val="hybridMultilevel"/>
    <w:lvl w:ilvl="0">
      <w:lvlJc w:val="left"/>
      <w:lvlText w:val="(%1)"/>
      <w:numFmt w:val="lowerLetter"/>
      <w:start w:val="1"/>
    </w:lvl>
  </w:abstractNum>
  <w:abstractNum w:abstractNumId="323">
    <w:nsid w:val="5D66DC65"/>
    <w:multiLevelType w:val="hybridMultilevel"/>
    <w:lvl w:ilvl="0">
      <w:lvlJc w:val="left"/>
      <w:lvlText w:val="(%1)"/>
      <w:numFmt w:val="lowerLetter"/>
      <w:start w:val="1"/>
    </w:lvl>
  </w:abstractNum>
  <w:abstractNum w:abstractNumId="324">
    <w:nsid w:val="30BB2B99"/>
    <w:multiLevelType w:val="hybridMultilevel"/>
    <w:lvl w:ilvl="0">
      <w:lvlJc w:val="left"/>
      <w:lvlText w:val="(%1)"/>
      <w:numFmt w:val="lowerLetter"/>
      <w:start w:val="1"/>
    </w:lvl>
  </w:abstractNum>
  <w:abstractNum w:abstractNumId="325">
    <w:nsid w:val="E3DFE6"/>
    <w:multiLevelType w:val="hybridMultilevel"/>
    <w:lvl w:ilvl="0">
      <w:lvlJc w:val="left"/>
      <w:lvlText w:val="(%1)"/>
      <w:numFmt w:val="lowerLetter"/>
      <w:start w:val="1"/>
    </w:lvl>
  </w:abstractNum>
  <w:abstractNum w:abstractNumId="326">
    <w:nsid w:val="595B37F3"/>
    <w:multiLevelType w:val="hybridMultilevel"/>
    <w:lvl w:ilvl="0">
      <w:lvlJc w:val="left"/>
      <w:lvlText w:val="(%1)"/>
      <w:numFmt w:val="lowerLetter"/>
      <w:start w:val="6"/>
    </w:lvl>
  </w:abstractNum>
  <w:abstractNum w:abstractNumId="327">
    <w:nsid w:val="71DB7E02"/>
    <w:multiLevelType w:val="hybridMultilevel"/>
    <w:lvl w:ilvl="0">
      <w:lvlJc w:val="left"/>
      <w:lvlText w:val="(%1)"/>
      <w:numFmt w:val="lowerRoman"/>
      <w:start w:val="10"/>
    </w:lvl>
  </w:abstractNum>
  <w:abstractNum w:abstractNumId="328">
    <w:nsid w:val="17EC0C4"/>
    <w:multiLevelType w:val="hybridMultilevel"/>
    <w:lvl w:ilvl="0">
      <w:lvlJc w:val="left"/>
      <w:lvlText w:val="(%1)"/>
      <w:numFmt w:val="lowerLetter"/>
      <w:start w:val="1"/>
    </w:lvl>
  </w:abstractNum>
  <w:abstractNum w:abstractNumId="329">
    <w:nsid w:val="7173BB22"/>
    <w:multiLevelType w:val="hybridMultilevel"/>
    <w:lvl w:ilvl="0">
      <w:lvlJc w:val="left"/>
      <w:lvlText w:val="(%1)"/>
      <w:numFmt w:val="lowerLetter"/>
      <w:start w:val="1"/>
    </w:lvl>
  </w:abstractNum>
  <w:abstractNum w:abstractNumId="330">
    <w:nsid w:val="169E1DD3"/>
    <w:multiLevelType w:val="hybridMultilevel"/>
    <w:lvl w:ilvl="0">
      <w:lvlJc w:val="left"/>
      <w:lvlText w:val="(%1)"/>
      <w:numFmt w:val="lowerLetter"/>
      <w:start w:val="1"/>
    </w:lvl>
    <w:lvl w:ilvl="1">
      <w:lvlJc w:val="left"/>
      <w:lvlText w:val="(%2)"/>
      <w:numFmt w:val="lowerLetter"/>
      <w:start w:val="9"/>
    </w:lvl>
  </w:abstractNum>
  <w:abstractNum w:abstractNumId="331">
    <w:nsid w:val="51D141CC"/>
    <w:multiLevelType w:val="hybridMultilevel"/>
    <w:lvl w:ilvl="0">
      <w:lvlJc w:val="left"/>
      <w:lvlText w:val="%1"/>
      <w:numFmt w:val="lowerLetter"/>
      <w:start w:val="1"/>
    </w:lvl>
    <w:lvl w:ilvl="1">
      <w:lvlJc w:val="left"/>
      <w:lvlText w:val="(%2)"/>
      <w:numFmt w:val="lowerRoman"/>
      <w:start w:val="2"/>
    </w:lvl>
  </w:abstractNum>
  <w:abstractNum w:abstractNumId="332">
    <w:nsid w:val="12F9357A"/>
    <w:multiLevelType w:val="hybridMultilevel"/>
    <w:lvl w:ilvl="0">
      <w:lvlJc w:val="left"/>
      <w:lvlText w:val="(%1)"/>
      <w:numFmt w:val="lowerLetter"/>
      <w:start w:val="2"/>
    </w:lvl>
    <w:lvl w:ilvl="1">
      <w:lvlJc w:val="left"/>
      <w:lvlText w:val="(%2)"/>
      <w:numFmt w:val="lowerRoman"/>
      <w:start w:val="1"/>
    </w:lvl>
  </w:abstractNum>
  <w:abstractNum w:abstractNumId="333">
    <w:nsid w:val="7672CF28"/>
    <w:multiLevelType w:val="hybridMultilevel"/>
    <w:lvl w:ilvl="0">
      <w:lvlJc w:val="left"/>
      <w:lvlText w:val="(%1)"/>
      <w:numFmt w:val="lowerLetter"/>
      <w:start w:val="1"/>
    </w:lvl>
  </w:abstractNum>
  <w:abstractNum w:abstractNumId="334">
    <w:nsid w:val="567D2763"/>
    <w:multiLevelType w:val="hybridMultilevel"/>
    <w:lvl w:ilvl="0">
      <w:lvlJc w:val="left"/>
      <w:lvlText w:val="(%1)"/>
      <w:numFmt w:val="lowerLetter"/>
      <w:start w:val="1"/>
    </w:lvl>
  </w:abstractNum>
  <w:abstractNum w:abstractNumId="335">
    <w:nsid w:val="6F5DE2EF"/>
    <w:multiLevelType w:val="hybridMultilevel"/>
    <w:lvl w:ilvl="0">
      <w:lvlJc w:val="left"/>
      <w:lvlText w:val="(%1)"/>
      <w:numFmt w:val="lowerLetter"/>
      <w:start w:val="7"/>
    </w:lvl>
  </w:abstractNum>
  <w:abstractNum w:abstractNumId="336">
    <w:nsid w:val="23502A61"/>
    <w:multiLevelType w:val="hybridMultilevel"/>
    <w:lvl w:ilvl="0">
      <w:lvlJc w:val="left"/>
      <w:lvlText w:val="(%1)"/>
      <w:numFmt w:val="lowerLetter"/>
      <w:start w:val="1"/>
    </w:lvl>
  </w:abstractNum>
  <w:abstractNum w:abstractNumId="337">
    <w:nsid w:val="461BC834"/>
    <w:multiLevelType w:val="hybridMultilevel"/>
    <w:lvl w:ilvl="0">
      <w:lvlJc w:val="left"/>
      <w:lvlText w:val="(%1)"/>
      <w:numFmt w:val="lowerLetter"/>
      <w:start w:val="1"/>
    </w:lvl>
  </w:abstractNum>
  <w:abstractNum w:abstractNumId="338">
    <w:nsid w:val="13DDA79D"/>
    <w:multiLevelType w:val="hybridMultilevel"/>
    <w:lvl w:ilvl="0">
      <w:lvlJc w:val="left"/>
      <w:lvlText w:val="(%1)"/>
      <w:numFmt w:val="lowerLetter"/>
      <w:start w:val="2"/>
    </w:lvl>
  </w:abstractNum>
  <w:abstractNum w:abstractNumId="339">
    <w:nsid w:val="6A104566"/>
    <w:multiLevelType w:val="hybridMultilevel"/>
    <w:lvl w:ilvl="0">
      <w:lvlJc w:val="left"/>
      <w:lvlText w:val="(%1)"/>
      <w:numFmt w:val="lowerLetter"/>
      <w:start w:val="1"/>
    </w:lvl>
  </w:abstractNum>
  <w:abstractNum w:abstractNumId="340">
    <w:nsid w:val="1C8A8ACF"/>
    <w:multiLevelType w:val="hybridMultilevel"/>
    <w:lvl w:ilvl="0">
      <w:lvlJc w:val="left"/>
      <w:lvlText w:val="(%1)"/>
      <w:numFmt w:val="lowerLetter"/>
      <w:start w:val="2"/>
    </w:lvl>
  </w:abstractNum>
  <w:abstractNum w:abstractNumId="341">
    <w:nsid w:val="E73DFE0"/>
    <w:multiLevelType w:val="hybridMultilevel"/>
    <w:lvl w:ilvl="0">
      <w:lvlJc w:val="left"/>
      <w:lvlText w:val="(%1)"/>
      <w:numFmt w:val="lowerLetter"/>
      <w:start w:val="1"/>
    </w:lvl>
  </w:abstractNum>
  <w:abstractNum w:abstractNumId="342">
    <w:nsid w:val="39F174C7"/>
    <w:multiLevelType w:val="hybridMultilevel"/>
    <w:lvl w:ilvl="0">
      <w:lvlJc w:val="left"/>
      <w:lvlText w:val="(%1)"/>
      <w:numFmt w:val="lowerLetter"/>
      <w:start w:val="1"/>
    </w:lvl>
  </w:abstractNum>
  <w:abstractNum w:abstractNumId="343">
    <w:nsid w:val="6E2E2D53"/>
    <w:multiLevelType w:val="hybridMultilevel"/>
    <w:lvl w:ilvl="0">
      <w:lvlJc w:val="left"/>
      <w:lvlText w:val="(%1)"/>
      <w:numFmt w:val="lowerLetter"/>
      <w:start w:val="2"/>
    </w:lvl>
  </w:abstractNum>
  <w:abstractNum w:abstractNumId="344">
    <w:nsid w:val="45DC439D"/>
    <w:multiLevelType w:val="hybridMultilevel"/>
    <w:lvl w:ilvl="0">
      <w:lvlJc w:val="left"/>
      <w:lvlText w:val="(%1)"/>
      <w:numFmt w:val="lowerLetter"/>
      <w:start w:val="3"/>
    </w:lvl>
    <w:lvl w:ilvl="1">
      <w:lvlJc w:val="left"/>
      <w:lvlText w:val="(%2)"/>
      <w:numFmt w:val="lowerRoman"/>
      <w:start w:val="1"/>
    </w:lvl>
  </w:abstractNum>
  <w:abstractNum w:abstractNumId="345">
    <w:nsid w:val="3B0A3B87"/>
    <w:multiLevelType w:val="hybridMultilevel"/>
    <w:lvl w:ilvl="0">
      <w:lvlJc w:val="left"/>
      <w:lvlText w:val="(%1)"/>
      <w:numFmt w:val="lowerRoman"/>
      <w:start w:val="2"/>
    </w:lvl>
  </w:abstractNum>
  <w:abstractNum w:abstractNumId="346">
    <w:nsid w:val="6DAC7768"/>
    <w:multiLevelType w:val="hybridMultilevel"/>
    <w:lvl w:ilvl="0">
      <w:lvlJc w:val="left"/>
      <w:lvlText w:val="(%1)"/>
      <w:numFmt w:val="lowerRoman"/>
      <w:start w:val="1"/>
    </w:lvl>
  </w:abstractNum>
  <w:abstractNum w:abstractNumId="347">
    <w:nsid w:val="746AE2E4"/>
    <w:multiLevelType w:val="hybridMultilevel"/>
    <w:lvl w:ilvl="0">
      <w:lvlJc w:val="left"/>
      <w:lvlText w:val="(%1)"/>
      <w:numFmt w:val="lowerRoman"/>
      <w:start w:val="2"/>
    </w:lvl>
  </w:abstractNum>
  <w:abstractNum w:abstractNumId="348">
    <w:nsid w:val="317E611D"/>
    <w:multiLevelType w:val="hybridMultilevel"/>
    <w:lvl w:ilvl="0">
      <w:lvlJc w:val="left"/>
      <w:lvlText w:val="(%1)"/>
      <w:numFmt w:val="lowerLetter"/>
      <w:start w:val="5"/>
    </w:lvl>
  </w:abstractNum>
  <w:abstractNum w:abstractNumId="349">
    <w:nsid w:val="7A61D75B"/>
    <w:multiLevelType w:val="hybridMultilevel"/>
    <w:lvl w:ilvl="0">
      <w:lvlJc w:val="left"/>
      <w:lvlText w:val="%1"/>
      <w:numFmt w:val="upperLetter"/>
      <w:start w:val="1"/>
    </w:lvl>
    <w:lvl w:ilvl="1">
      <w:lvlJc w:val="left"/>
      <w:lvlText w:val="(%2)"/>
      <w:numFmt w:val="lowerRoman"/>
      <w:start w:val="1"/>
    </w:lvl>
  </w:abstractNum>
  <w:abstractNum w:abstractNumId="350">
    <w:nsid w:val="164A1482"/>
    <w:multiLevelType w:val="hybridMultilevel"/>
    <w:lvl w:ilvl="0">
      <w:lvlJc w:val="left"/>
      <w:lvlText w:val="(%1)"/>
      <w:numFmt w:val="upperLetter"/>
      <w:start w:val="1"/>
    </w:lvl>
    <w:lvl w:ilvl="1">
      <w:lvlJc w:val="left"/>
      <w:lvlText w:val="%2"/>
      <w:numFmt w:val="lowerRoman"/>
      <w:start w:val="1"/>
    </w:lvl>
  </w:abstractNum>
  <w:abstractNum w:abstractNumId="351">
    <w:nsid w:val="1806546B"/>
    <w:multiLevelType w:val="hybridMultilevel"/>
    <w:lvl w:ilvl="0">
      <w:lvlJc w:val="left"/>
      <w:lvlText w:val="(%1)"/>
      <w:numFmt w:val="lowerLetter"/>
      <w:start w:val="6"/>
    </w:lvl>
  </w:abstractNum>
  <w:abstractNum w:abstractNumId="352">
    <w:nsid w:val="1FA33267"/>
    <w:multiLevelType w:val="hybridMultilevel"/>
    <w:lvl w:ilvl="0">
      <w:lvlJc w:val="left"/>
      <w:lvlText w:val="(%1)"/>
      <w:numFmt w:val="lowerLetter"/>
      <w:start w:val="7"/>
    </w:lvl>
  </w:abstractNum>
  <w:abstractNum w:abstractNumId="353">
    <w:nsid w:val="2E19DD00"/>
    <w:multiLevelType w:val="hybridMultilevel"/>
    <w:lvl w:ilvl="0">
      <w:lvlJc w:val="left"/>
      <w:lvlText w:val="(%1)"/>
      <w:numFmt w:val="lowerLetter"/>
      <w:start w:val="8"/>
    </w:lvl>
  </w:abstractNum>
  <w:abstractNum w:abstractNumId="354">
    <w:nsid w:val="756D30D0"/>
    <w:multiLevelType w:val="hybridMultilevel"/>
    <w:lvl w:ilvl="0">
      <w:lvlJc w:val="left"/>
      <w:lvlText w:val="(%1)"/>
      <w:numFmt w:val="lowerRoman"/>
      <w:start w:val="1"/>
    </w:lvl>
  </w:abstractNum>
  <w:abstractNum w:abstractNumId="355">
    <w:nsid w:val="505E5E01"/>
    <w:multiLevelType w:val="hybridMultilevel"/>
    <w:lvl w:ilvl="0">
      <w:lvlJc w:val="left"/>
      <w:lvlText w:val="(%1)"/>
      <w:numFmt w:val="lowerLetter"/>
      <w:start w:val="1"/>
    </w:lvl>
    <w:lvl w:ilvl="1">
      <w:lvlJc w:val="left"/>
      <w:lvlText w:val="(%2)"/>
      <w:numFmt w:val="lowerRoman"/>
      <w:start w:val="1"/>
    </w:lvl>
  </w:abstractNum>
  <w:abstractNum w:abstractNumId="356">
    <w:nsid w:val="2EFDBCE6"/>
    <w:multiLevelType w:val="hybridMultilevel"/>
    <w:lvl w:ilvl="0">
      <w:lvlJc w:val="left"/>
      <w:lvlText w:val="(%1)"/>
      <w:numFmt w:val="lowerRoman"/>
      <w:start w:val="6"/>
    </w:lvl>
  </w:abstractNum>
  <w:abstractNum w:abstractNumId="357">
    <w:nsid w:val="4EC868C4"/>
    <w:multiLevelType w:val="hybridMultilevel"/>
    <w:lvl w:ilvl="0">
      <w:lvlJc w:val="left"/>
      <w:lvlText w:val="(%1)"/>
      <w:numFmt w:val="lowerLetter"/>
      <w:start w:val="1"/>
    </w:lvl>
    <w:lvl w:ilvl="1">
      <w:lvlJc w:val="left"/>
      <w:lvlText w:val="(%2)"/>
      <w:numFmt w:val="lowerLetter"/>
      <w:start w:val="35"/>
    </w:lvl>
  </w:abstractNum>
  <w:abstractNum w:abstractNumId="358">
    <w:nsid w:val="4239DC03"/>
    <w:multiLevelType w:val="hybridMultilevel"/>
    <w:lvl w:ilvl="0">
      <w:lvlJc w:val="left"/>
      <w:lvlText w:val="(%1)"/>
      <w:numFmt w:val="lowerLetter"/>
      <w:start w:val="1"/>
    </w:lvl>
  </w:abstractNum>
  <w:abstractNum w:abstractNumId="359">
    <w:nsid w:val="307C7DAA"/>
    <w:multiLevelType w:val="hybridMultilevel"/>
    <w:lvl w:ilvl="0">
      <w:lvlJc w:val="left"/>
      <w:lvlText w:val="(%1)"/>
      <w:numFmt w:val="lowerLetter"/>
      <w:start w:val="2"/>
    </w:lvl>
    <w:lvl w:ilvl="1">
      <w:lvlJc w:val="left"/>
      <w:lvlText w:val="(%2)"/>
      <w:numFmt w:val="lowerRoman"/>
      <w:start w:val="1"/>
    </w:lvl>
  </w:abstractNum>
  <w:abstractNum w:abstractNumId="360">
    <w:nsid w:val="403C23E6"/>
    <w:multiLevelType w:val="hybridMultilevel"/>
    <w:lvl w:ilvl="0">
      <w:lvlJc w:val="left"/>
      <w:lvlText w:val="(%1)"/>
      <w:numFmt w:val="lowerLetter"/>
      <w:start w:val="4"/>
    </w:lvl>
  </w:abstractNum>
  <w:abstractNum w:abstractNumId="361">
    <w:nsid w:val="58D7F9D7"/>
    <w:multiLevelType w:val="hybridMultilevel"/>
    <w:lvl w:ilvl="0">
      <w:lvlJc w:val="left"/>
      <w:lvlText w:val="(%1)"/>
      <w:numFmt w:val="lowerLetter"/>
      <w:start w:val="1"/>
    </w:lvl>
  </w:abstractNum>
  <w:abstractNum w:abstractNumId="362">
    <w:nsid w:val="24DBF76"/>
    <w:multiLevelType w:val="hybridMultilevel"/>
    <w:lvl w:ilvl="0">
      <w:lvlJc w:val="left"/>
      <w:lvlText w:val="(%1)"/>
      <w:numFmt w:val="lowerLetter"/>
      <w:start w:val="2"/>
    </w:lvl>
  </w:abstractNum>
  <w:abstractNum w:abstractNumId="363">
    <w:nsid w:val="53355960"/>
    <w:multiLevelType w:val="hybridMultilevel"/>
    <w:lvl w:ilvl="0">
      <w:lvlJc w:val="left"/>
      <w:lvlText w:val="%1"/>
      <w:numFmt w:val="lowerLetter"/>
      <w:start w:val="1"/>
    </w:lvl>
    <w:lvl w:ilvl="1">
      <w:lvlJc w:val="left"/>
      <w:lvlText w:val="(%2)"/>
      <w:numFmt w:val="lowerLetter"/>
      <w:start w:val="1"/>
    </w:lvl>
  </w:abstractNum>
  <w:abstractNum w:abstractNumId="364">
    <w:nsid w:val="4F4AC8FF"/>
    <w:multiLevelType w:val="hybridMultilevel"/>
    <w:lvl w:ilvl="0">
      <w:lvlJc w:val="left"/>
      <w:lvlText w:val="(%1)"/>
      <w:numFmt w:val="lowerLetter"/>
      <w:start w:val="35"/>
    </w:lvl>
    <w:lvl w:ilvl="1">
      <w:lvlJc w:val="left"/>
      <w:lvlText w:val="(%2)"/>
      <w:numFmt w:val="lowerLetter"/>
      <w:start w:val="2"/>
    </w:lvl>
  </w:abstractNum>
  <w:abstractNum w:abstractNumId="365">
    <w:nsid w:val="58CAE6D9"/>
    <w:multiLevelType w:val="hybridMultilevel"/>
    <w:lvl w:ilvl="0">
      <w:lvlJc w:val="left"/>
      <w:lvlText w:val="(%1)"/>
      <w:numFmt w:val="lowerLetter"/>
      <w:start w:val="1"/>
    </w:lvl>
  </w:abstractNum>
  <w:abstractNum w:abstractNumId="366">
    <w:nsid w:val="42933C4F"/>
    <w:multiLevelType w:val="hybridMultilevel"/>
    <w:lvl w:ilvl="0">
      <w:lvlJc w:val="left"/>
      <w:lvlText w:val="(%1)"/>
      <w:numFmt w:val="lowerLetter"/>
      <w:start w:val="1"/>
    </w:lvl>
  </w:abstractNum>
  <w:abstractNum w:abstractNumId="367">
    <w:nsid w:val="729AF360"/>
    <w:multiLevelType w:val="hybridMultilevel"/>
    <w:lvl w:ilvl="0">
      <w:lvlJc w:val="left"/>
      <w:lvlText w:val="(%1)"/>
      <w:numFmt w:val="lowerLetter"/>
      <w:start w:val="3"/>
    </w:lvl>
  </w:abstractNum>
  <w:abstractNum w:abstractNumId="368">
    <w:nsid w:val="1EE6AF0D"/>
    <w:multiLevelType w:val="hybridMultilevel"/>
    <w:lvl w:ilvl="0">
      <w:lvlJc w:val="left"/>
      <w:lvlText w:val="(%1)"/>
      <w:numFmt w:val="lowerLetter"/>
      <w:start w:val="1"/>
    </w:lvl>
  </w:abstractNum>
  <w:abstractNum w:abstractNumId="369">
    <w:nsid w:val="5670E3ED"/>
    <w:multiLevelType w:val="hybridMultilevel"/>
    <w:lvl w:ilvl="0">
      <w:lvlJc w:val="left"/>
      <w:lvlText w:val="(%1)"/>
      <w:numFmt w:val="lowerLetter"/>
      <w:start w:val="1"/>
    </w:lvl>
  </w:abstractNum>
  <w:abstractNum w:abstractNumId="370">
    <w:nsid w:val="5CAB38C6"/>
    <w:multiLevelType w:val="hybridMultilevel"/>
    <w:lvl w:ilvl="0">
      <w:lvlJc w:val="left"/>
      <w:lvlText w:val="(%1)"/>
      <w:numFmt w:val="lowerLetter"/>
      <w:start w:val="1"/>
    </w:lvl>
  </w:abstractNum>
  <w:abstractNum w:abstractNumId="371">
    <w:nsid w:val="3B7139DD"/>
    <w:multiLevelType w:val="hybridMultilevel"/>
    <w:lvl w:ilvl="0">
      <w:lvlJc w:val="left"/>
      <w:lvlText w:val="(%1)"/>
      <w:numFmt w:val="lowerLetter"/>
      <w:start w:val="1"/>
    </w:lvl>
  </w:abstractNum>
  <w:abstractNum w:abstractNumId="372">
    <w:nsid w:val="64E4C3CD"/>
    <w:multiLevelType w:val="hybridMultilevel"/>
    <w:lvl w:ilvl="0">
      <w:lvlJc w:val="left"/>
      <w:lvlText w:val="(%1)"/>
      <w:numFmt w:val="lowerLetter"/>
      <w:start w:val="1"/>
    </w:lvl>
  </w:abstractNum>
  <w:abstractNum w:abstractNumId="373">
    <w:nsid w:val="169CAD8D"/>
    <w:multiLevelType w:val="hybridMultilevel"/>
    <w:lvl w:ilvl="0">
      <w:lvlJc w:val="left"/>
      <w:lvlText w:val="(%1)"/>
      <w:numFmt w:val="lowerLetter"/>
      <w:start w:val="2"/>
    </w:lvl>
  </w:abstractNum>
  <w:abstractNum w:abstractNumId="374">
    <w:nsid w:val="299F67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5">
    <w:nsid w:val="2AC1076A"/>
    <w:multiLevelType w:val="hybridMultilevel"/>
    <w:lvl w:ilvl="0">
      <w:lvlJc w:val="left"/>
      <w:lvlText w:val="-----"/>
      <w:numFmt w:val="bullet"/>
      <w:start w:val="1"/>
    </w:lvl>
    <w:lvl w:ilvl="1">
      <w:lvlJc w:val="left"/>
      <w:lvlText w:val="(%2)"/>
      <w:numFmt w:val="lowerLetter"/>
      <w:start w:val="1"/>
    </w:lvl>
  </w:abstractNum>
  <w:abstractNum w:abstractNumId="376">
    <w:nsid w:val="51A6E915"/>
    <w:multiLevelType w:val="hybridMultilevel"/>
    <w:lvl w:ilvl="0">
      <w:lvlJc w:val="left"/>
      <w:lvlText w:val="(%1)"/>
      <w:numFmt w:val="lowerLetter"/>
      <w:start w:val="1"/>
    </w:lvl>
  </w:abstractNum>
  <w:abstractNum w:abstractNumId="377">
    <w:nsid w:val="174BDE99"/>
    <w:multiLevelType w:val="hybridMultilevel"/>
    <w:lvl w:ilvl="0">
      <w:lvlJc w:val="left"/>
      <w:lvlText w:val="(%1)"/>
      <w:numFmt w:val="lowerLetter"/>
      <w:start w:val="1"/>
    </w:lvl>
  </w:abstractNum>
  <w:abstractNum w:abstractNumId="378">
    <w:nsid w:val="1F2BEA4E"/>
    <w:multiLevelType w:val="hybridMultilevel"/>
    <w:lvl w:ilvl="0">
      <w:lvlJc w:val="left"/>
      <w:lvlText w:val="(%1)"/>
      <w:numFmt w:val="lowerLetter"/>
      <w:start w:val="2"/>
    </w:lvl>
  </w:abstractNum>
  <w:abstractNum w:abstractNumId="379">
    <w:nsid w:val="3254A32"/>
    <w:multiLevelType w:val="hybridMultilevel"/>
    <w:lvl w:ilvl="0">
      <w:lvlJc w:val="left"/>
      <w:lvlText w:val="(%1)"/>
      <w:numFmt w:val="lowerLetter"/>
      <w:start w:val="1"/>
    </w:lvl>
  </w:abstractNum>
  <w:abstractNum w:abstractNumId="380">
    <w:nsid w:val="11ADB5F4"/>
    <w:multiLevelType w:val="hybridMultilevel"/>
    <w:lvl w:ilvl="0">
      <w:lvlJc w:val="left"/>
      <w:lvlText w:val="(%1)"/>
      <w:numFmt w:val="lowerLetter"/>
      <w:start w:val="2"/>
    </w:lvl>
    <w:lvl w:ilvl="1">
      <w:lvlJc w:val="left"/>
      <w:lvlText w:val="(%2)"/>
      <w:numFmt w:val="lowerRoman"/>
      <w:start w:val="1"/>
    </w:lvl>
  </w:abstractNum>
  <w:abstractNum w:abstractNumId="381">
    <w:nsid w:val="3575FED1"/>
    <w:multiLevelType w:val="hybridMultilevel"/>
    <w:lvl w:ilvl="0">
      <w:lvlJc w:val="left"/>
      <w:lvlText w:val="(%1)"/>
      <w:numFmt w:val="lowerRoman"/>
      <w:start w:val="2"/>
    </w:lvl>
  </w:abstractNum>
  <w:abstractNum w:abstractNumId="382">
    <w:nsid w:val="1B2B9E9D"/>
    <w:multiLevelType w:val="hybridMultilevel"/>
    <w:lvl w:ilvl="0">
      <w:lvlJc w:val="left"/>
      <w:lvlText w:val="(%1)"/>
      <w:numFmt w:val="lowerRoman"/>
      <w:start w:val="1"/>
    </w:lvl>
  </w:abstractNum>
  <w:abstractNum w:abstractNumId="383">
    <w:nsid w:val="3150E85C"/>
    <w:multiLevelType w:val="hybridMultilevel"/>
    <w:lvl w:ilvl="0">
      <w:lvlJc w:val="left"/>
      <w:lvlText w:val="(%1)"/>
      <w:numFmt w:val="lowerRoman"/>
      <w:start w:val="2"/>
    </w:lvl>
  </w:abstractNum>
  <w:abstractNum w:abstractNumId="384">
    <w:nsid w:val="638FDBD1"/>
    <w:multiLevelType w:val="hybridMultilevel"/>
    <w:lvl w:ilvl="0">
      <w:lvlJc w:val="left"/>
      <w:lvlText w:val="(%1)"/>
      <w:numFmt w:val="lowerLetter"/>
      <w:start w:val="4"/>
    </w:lvl>
  </w:abstractNum>
  <w:abstractNum w:abstractNumId="385">
    <w:nsid w:val="1098CF6E"/>
    <w:multiLevelType w:val="hybridMultilevel"/>
    <w:lvl w:ilvl="0">
      <w:lvlJc w:val="left"/>
      <w:lvlText w:val="%1"/>
      <w:numFmt w:val="decimal"/>
      <w:start w:val="1"/>
    </w:lvl>
    <w:lvl w:ilvl="1">
      <w:lvlJc w:val="left"/>
      <w:lvlText w:val="(%2)"/>
      <w:numFmt w:val="lowerRoman"/>
      <w:start w:val="1"/>
    </w:lvl>
  </w:abstractNum>
  <w:abstractNum w:abstractNumId="386">
    <w:nsid w:val="1AF465D"/>
    <w:multiLevelType w:val="hybridMultilevel"/>
    <w:lvl w:ilvl="0">
      <w:lvlJc w:val="left"/>
      <w:lvlText w:val="(%1)"/>
      <w:numFmt w:val="decimal"/>
      <w:start w:val="6"/>
    </w:lvl>
    <w:lvl w:ilvl="1">
      <w:lvlJc w:val="left"/>
      <w:lvlText w:val="%2"/>
      <w:numFmt w:val="lowerRoman"/>
      <w:start w:val="1"/>
    </w:lvl>
  </w:abstractNum>
  <w:abstractNum w:abstractNumId="387">
    <w:nsid w:val="128D98B7"/>
    <w:multiLevelType w:val="hybridMultilevel"/>
    <w:lvl w:ilvl="0">
      <w:lvlJc w:val="left"/>
      <w:lvlText w:val="(%1)"/>
      <w:numFmt w:val="lowerLetter"/>
      <w:start w:val="6"/>
    </w:lvl>
  </w:abstractNum>
  <w:abstractNum w:abstractNumId="388">
    <w:nsid w:val="5F613832"/>
    <w:multiLevelType w:val="hybridMultilevel"/>
    <w:lvl w:ilvl="0">
      <w:lvlJc w:val="left"/>
      <w:lvlText w:val="(%1)"/>
      <w:numFmt w:val="lowerLetter"/>
      <w:start w:val="1"/>
    </w:lvl>
    <w:lvl w:ilvl="1">
      <w:lvlJc w:val="left"/>
      <w:lvlText w:val="(%2)"/>
      <w:numFmt w:val="lowerRoman"/>
      <w:start w:val="1"/>
    </w:lvl>
  </w:abstractNum>
  <w:abstractNum w:abstractNumId="389">
    <w:nsid w:val="43E92260"/>
    <w:multiLevelType w:val="hybridMultilevel"/>
    <w:lvl w:ilvl="0">
      <w:lvlJc w:val="left"/>
      <w:lvlText w:val="(%1)"/>
      <w:numFmt w:val="lowerRoman"/>
      <w:start w:val="5"/>
    </w:lvl>
  </w:abstractNum>
  <w:abstractNum w:abstractNumId="390">
    <w:nsid w:val="430A1662"/>
    <w:multiLevelType w:val="hybridMultilevel"/>
    <w:lvl w:ilvl="0">
      <w:lvlJc w:val="left"/>
      <w:lvlText w:val="(%1)"/>
      <w:numFmt w:val="lowerLetter"/>
      <w:start w:val="1"/>
    </w:lvl>
  </w:abstractNum>
  <w:abstractNum w:abstractNumId="391">
    <w:nsid w:val="1F9D5C18"/>
    <w:multiLevelType w:val="hybridMultilevel"/>
    <w:lvl w:ilvl="0">
      <w:lvlJc w:val="left"/>
      <w:lvlText w:val="(%1)"/>
      <w:numFmt w:val="lowerLetter"/>
      <w:start w:val="1"/>
    </w:lvl>
  </w:abstractNum>
  <w:abstractNum w:abstractNumId="392">
    <w:nsid w:val="1CC11C37"/>
    <w:multiLevelType w:val="hybridMultilevel"/>
    <w:lvl w:ilvl="0">
      <w:lvlJc w:val="left"/>
      <w:lvlText w:val="(%1)"/>
      <w:numFmt w:val="lowerLetter"/>
      <w:start w:val="2"/>
    </w:lvl>
  </w:abstractNum>
  <w:abstractNum w:abstractNumId="393">
    <w:nsid w:val="4557D5D8"/>
    <w:multiLevelType w:val="hybridMultilevel"/>
    <w:lvl w:ilvl="0">
      <w:lvlJc w:val="left"/>
      <w:lvlText w:val="(%1)"/>
      <w:numFmt w:val="lowerRoman"/>
      <w:start w:val="1"/>
    </w:lvl>
  </w:abstractNum>
  <w:abstractNum w:abstractNumId="394">
    <w:nsid w:val="72D2B579"/>
    <w:multiLevelType w:val="hybridMultilevel"/>
    <w:lvl w:ilvl="0">
      <w:lvlJc w:val="left"/>
      <w:lvlText w:val="(%1)"/>
      <w:numFmt w:val="lowerRoman"/>
      <w:start w:val="2"/>
    </w:lvl>
  </w:abstractNum>
  <w:abstractNum w:abstractNumId="395">
    <w:nsid w:val="6C0BE536"/>
    <w:multiLevelType w:val="hybridMultilevel"/>
    <w:lvl w:ilvl="0">
      <w:lvlJc w:val="left"/>
      <w:lvlText w:val="(%1)"/>
      <w:numFmt w:val="lowerLetter"/>
      <w:start w:val="3"/>
    </w:lvl>
  </w:abstractNum>
  <w:abstractNum w:abstractNumId="396">
    <w:nsid w:val="1E22BCB2"/>
    <w:multiLevelType w:val="hybridMultilevel"/>
    <w:lvl w:ilvl="0">
      <w:lvlJc w:val="left"/>
      <w:lvlText w:val="(%1)"/>
      <w:numFmt w:val="lowerLetter"/>
      <w:start w:val="1"/>
    </w:lvl>
  </w:abstractNum>
  <w:abstractNum w:abstractNumId="397">
    <w:nsid w:val="3565F1C8"/>
    <w:multiLevelType w:val="hybridMultilevel"/>
    <w:lvl w:ilvl="0">
      <w:lvlJc w:val="left"/>
      <w:lvlText w:val="(%1)"/>
      <w:numFmt w:val="lowerLetter"/>
      <w:start w:val="1"/>
    </w:lvl>
  </w:abstractNum>
  <w:abstractNum w:abstractNumId="398">
    <w:nsid w:val="5EA6D896"/>
    <w:multiLevelType w:val="hybridMultilevel"/>
    <w:lvl w:ilvl="0">
      <w:lvlJc w:val="left"/>
      <w:lvlText w:val="%1."/>
      <w:numFmt w:val="decimal"/>
      <w:start w:val="1"/>
    </w:lvl>
  </w:abstractNum>
  <w:abstractNum w:abstractNumId="399">
    <w:nsid w:val="3D096BB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0">
    <w:nsid w:val="BD6D5B5"/>
    <w:multiLevelType w:val="hybridMultilevel"/>
    <w:lvl w:ilvl="0">
      <w:lvlJc w:val="left"/>
      <w:lvlText w:val="(%1)"/>
      <w:numFmt w:val="lowerLetter"/>
      <w:start w:val="14"/>
    </w:lvl>
    <w:lvl w:ilvl="1">
      <w:lvlJc w:val="left"/>
      <w:lvlText w:val="(%2)"/>
      <w:numFmt w:val="lowerRoman"/>
      <w:start w:val="1"/>
    </w:lvl>
  </w:abstractNum>
  <w:abstractNum w:abstractNumId="401">
    <w:nsid w:val="3B52115C"/>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02">
    <w:nsid w:val="787AA59C"/>
    <w:multiLevelType w:val="hybridMultilevel"/>
    <w:lvl w:ilvl="0">
      <w:lvlJc w:val="left"/>
      <w:lvlText w:val="(%1)"/>
      <w:numFmt w:val="lowerLetter"/>
      <w:start w:val="19"/>
    </w:lvl>
    <w:lvl w:ilvl="1">
      <w:lvlJc w:val="left"/>
      <w:lvlText w:val="(%2)"/>
      <w:numFmt w:val="lowerRoman"/>
      <w:start w:val="1"/>
    </w:lvl>
  </w:abstractNum>
  <w:abstractNum w:abstractNumId="403">
    <w:nsid w:val="70BB9983"/>
    <w:multiLevelType w:val="hybridMultilevel"/>
    <w:lvl w:ilvl="0">
      <w:lvlJc w:val="left"/>
      <w:lvlText w:val="(%1)"/>
      <w:numFmt w:val="lowerLetter"/>
      <w:start w:val="27"/>
    </w:lvl>
    <w:lvl w:ilvl="1">
      <w:lvlJc w:val="left"/>
      <w:lvlText w:val="(%2)"/>
      <w:numFmt w:val="lowerRoman"/>
      <w:start w:val="1"/>
    </w:lvl>
  </w:abstractNum>
  <w:abstractNum w:abstractNumId="404">
    <w:nsid w:val="51EEBEEA"/>
    <w:multiLevelType w:val="hybridMultilevel"/>
    <w:lvl w:ilvl="0">
      <w:lvlJc w:val="left"/>
      <w:lvlText w:val="%1"/>
      <w:numFmt w:val="decimal"/>
      <w:start w:val="1"/>
    </w:lvl>
    <w:lvl w:ilvl="1">
      <w:lvlJc w:val="left"/>
      <w:lvlText w:val="(%2)"/>
      <w:numFmt w:val="lowerLetter"/>
      <w:start w:val="29"/>
    </w:lvl>
  </w:abstractNum>
  <w:abstractNum w:abstractNumId="405">
    <w:nsid w:val="221A0CCD"/>
    <w:multiLevelType w:val="hybridMultilevel"/>
    <w:lvl w:ilvl="0">
      <w:lvlJc w:val="left"/>
      <w:lvlText w:val="%1."/>
      <w:numFmt w:val="decimal"/>
      <w:start w:val="3"/>
    </w:lvl>
    <w:lvl w:ilvl="1">
      <w:lvlJc w:val="left"/>
      <w:lvlText w:val="%2"/>
      <w:numFmt w:val="lowerLetter"/>
      <w:start w:val="1"/>
    </w:lvl>
  </w:abstractNum>
  <w:abstractNum w:abstractNumId="406">
    <w:nsid w:val="1B7CA0E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7">
    <w:nsid w:val="2395A7FF"/>
    <w:multiLevelType w:val="hybridMultilevel"/>
    <w:lvl w:ilvl="0">
      <w:lvlJc w:val="left"/>
      <w:lvlText w:val="(%1)"/>
      <w:numFmt w:val="lowerLetter"/>
      <w:start w:val="3"/>
    </w:lvl>
  </w:abstractNum>
  <w:abstractNum w:abstractNumId="408">
    <w:nsid w:val="3965EB6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9">
    <w:nsid w:val="3AA88B3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10">
    <w:nsid w:val="26BAF231"/>
    <w:multiLevelType w:val="hybridMultilevel"/>
    <w:lvl w:ilvl="0">
      <w:lvlJc w:val="left"/>
      <w:lvlText w:val="%1."/>
      <w:numFmt w:val="decimal"/>
      <w:start w:val="7"/>
    </w:lvl>
  </w:abstractNum>
  <w:abstractNum w:abstractNumId="411">
    <w:nsid w:val="4B13A15A"/>
    <w:multiLevelType w:val="hybridMultilevel"/>
    <w:lvl w:ilvl="0">
      <w:lvlJc w:val="left"/>
      <w:lvlText w:val="(%1)"/>
      <w:numFmt w:val="lowerLetter"/>
      <w:start w:val="1"/>
    </w:lvl>
  </w:abstractNum>
  <w:abstractNum w:abstractNumId="412">
    <w:nsid w:val="701E8A0D"/>
    <w:multiLevelType w:val="hybridMultilevel"/>
    <w:lvl w:ilvl="0">
      <w:lvlJc w:val="left"/>
      <w:lvlText w:val="(%1)"/>
      <w:numFmt w:val="lowerLetter"/>
      <w:start w:val="2"/>
    </w:lvl>
  </w:abstractNum>
  <w:abstractNum w:abstractNumId="413">
    <w:nsid w:val="41E690CF"/>
    <w:multiLevelType w:val="hybridMultilevel"/>
    <w:lvl w:ilvl="0">
      <w:lvlJc w:val="left"/>
      <w:lvlText w:val="%1."/>
      <w:numFmt w:val="decimal"/>
      <w:start w:val="8"/>
    </w:lvl>
  </w:abstractNum>
  <w:abstractNum w:abstractNumId="414">
    <w:nsid w:val="7C6489B6"/>
    <w:multiLevelType w:val="hybridMultilevel"/>
    <w:lvl w:ilvl="0">
      <w:lvlJc w:val="left"/>
      <w:lvlText w:val="(%1)"/>
      <w:numFmt w:val="lowerLetter"/>
      <w:start w:val="1"/>
    </w:lvl>
    <w:lvl w:ilvl="1">
      <w:lvlJc w:val="left"/>
      <w:lvlText w:val="(%2)"/>
      <w:numFmt w:val="lowerRoman"/>
      <w:start w:val="1"/>
    </w:lvl>
  </w:abstractNum>
  <w:abstractNum w:abstractNumId="415">
    <w:nsid w:val="53AE65DE"/>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5"/>
    </w:lvl>
  </w:abstractNum>
  <w:abstractNum w:abstractNumId="416">
    <w:nsid w:val="527F60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24"/>
    </w:lvl>
  </w:abstractNum>
  <w:abstractNum w:abstractNumId="417">
    <w:nsid w:val="7E13D01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418">
    <w:nsid w:val="663BFE9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19">
    <w:nsid w:val="31E0986F"/>
    <w:multiLevelType w:val="hybridMultilevel"/>
    <w:lvl w:ilvl="0">
      <w:lvlJc w:val="left"/>
      <w:lvlText w:val="(%1)"/>
      <w:numFmt w:val="lowerLetter"/>
      <w:start w:val="2"/>
    </w:lvl>
    <w:lvl w:ilvl="1">
      <w:lvlJc w:val="left"/>
      <w:lvlText w:val="(%2)"/>
      <w:numFmt w:val="lowerRoman"/>
      <w:start w:val="1"/>
    </w:lvl>
  </w:abstractNum>
  <w:abstractNum w:abstractNumId="420">
    <w:nsid w:val="41FCF274"/>
    <w:multiLevelType w:val="hybridMultilevel"/>
    <w:lvl w:ilvl="0">
      <w:lvlJc w:val="left"/>
      <w:lvlText w:val="%1."/>
      <w:numFmt w:val="decimal"/>
      <w:start w:val="10"/>
    </w:lvl>
  </w:abstractNum>
  <w:abstractNum w:abstractNumId="421">
    <w:nsid w:val="294614F7"/>
    <w:multiLevelType w:val="hybridMultilevel"/>
    <w:lvl w:ilvl="0">
      <w:lvlJc w:val="left"/>
      <w:lvlText w:val="%1."/>
      <w:numFmt w:val="decimal"/>
      <w:start w:val="11"/>
    </w:lvl>
  </w:abstractNum>
  <w:abstractNum w:abstractNumId="422">
    <w:nsid w:val="517DF487"/>
    <w:multiLevelType w:val="hybridMultilevel"/>
    <w:lvl w:ilvl="0">
      <w:lvlJc w:val="left"/>
      <w:lvlText w:val="%1."/>
      <w:numFmt w:val="decimal"/>
      <w:start w:val="12"/>
    </w:lvl>
  </w:abstractNum>
  <w:abstractNum w:abstractNumId="423">
    <w:nsid w:val="5EBE0EAB"/>
    <w:multiLevelType w:val="hybridMultilevel"/>
    <w:lvl w:ilvl="0">
      <w:lvlJc w:val="left"/>
      <w:lvlText w:val="%1."/>
      <w:numFmt w:val="decimal"/>
      <w:start w:val="13"/>
    </w:lvl>
  </w:abstractNum>
  <w:abstractNum w:abstractNumId="424">
    <w:nsid w:val="6E9DEAD0"/>
    <w:multiLevelType w:val="hybridMultilevel"/>
    <w:lvl w:ilvl="0">
      <w:lvlJc w:val="left"/>
      <w:lvlText w:val="%1."/>
      <w:numFmt w:val="decimal"/>
      <w:start w:val="14"/>
    </w:lvl>
  </w:abstractNum>
  <w:abstractNum w:abstractNumId="425">
    <w:nsid w:val="4450AA00"/>
    <w:multiLevelType w:val="hybridMultilevel"/>
    <w:lvl w:ilvl="0">
      <w:lvlJc w:val="left"/>
      <w:lvlText w:val="%1."/>
      <w:numFmt w:val="decimal"/>
      <w:start w:val="2"/>
    </w:lvl>
    <w:lvl w:ilvl="1">
      <w:lvlJc w:val="left"/>
      <w:lvlText w:val="(%2)"/>
      <w:numFmt w:val="lowerLetter"/>
      <w:start w:val="1"/>
    </w:lvl>
  </w:abstractNum>
  <w:abstractNum w:abstractNumId="426">
    <w:nsid w:val="4AC9F3E2"/>
    <w:multiLevelType w:val="hybridMultilevel"/>
    <w:lvl w:ilvl="0">
      <w:lvlJc w:val="left"/>
      <w:lvlText w:val="(%1)"/>
      <w:numFmt w:val="lowerLetter"/>
      <w:start w:val="6"/>
    </w:lvl>
  </w:abstractNum>
  <w:abstractNum w:abstractNumId="427">
    <w:nsid w:val="CC0A782"/>
    <w:multiLevelType w:val="hybridMultilevel"/>
    <w:lvl w:ilvl="0">
      <w:lvlJc w:val="left"/>
      <w:lvlText w:val="(%1)"/>
      <w:numFmt w:val="lowerLetter"/>
      <w:start w:val="15"/>
    </w:lvl>
    <w:lvl w:ilvl="1">
      <w:lvlJc w:val="left"/>
      <w:lvlText w:val="(%2)"/>
      <w:numFmt w:val="lowerRoman"/>
      <w:start w:val="1"/>
    </w:lvl>
  </w:abstractNum>
  <w:abstractNum w:abstractNumId="428">
    <w:nsid w:val="79B69BC9"/>
    <w:multiLevelType w:val="hybridMultilevel"/>
    <w:lvl w:ilvl="0">
      <w:lvlJc w:val="left"/>
      <w:lvlText w:val="%1."/>
      <w:numFmt w:val="decimal"/>
      <w:start w:val="4"/>
    </w:lvl>
    <w:lvl w:ilvl="1">
      <w:lvlJc w:val="left"/>
      <w:lvlText w:val="(%2)"/>
      <w:numFmt w:val="lowerLetter"/>
      <w:start w:val="1"/>
    </w:lvl>
  </w:abstractNum>
  <w:abstractNum w:abstractNumId="429">
    <w:nsid w:val="2970CC78"/>
    <w:multiLevelType w:val="hybridMultilevel"/>
    <w:lvl w:ilvl="0">
      <w:lvlJc w:val="left"/>
      <w:lvlText w:val="(%1)"/>
      <w:numFmt w:val="lowerLetter"/>
      <w:start w:val="2"/>
    </w:lvl>
    <w:lvl w:ilvl="1">
      <w:lvlJc w:val="left"/>
      <w:lvlText w:val="(%2)"/>
      <w:numFmt w:val="lowerRoman"/>
      <w:start w:val="1"/>
    </w:lvl>
  </w:abstractNum>
  <w:abstractNum w:abstractNumId="430">
    <w:nsid w:val="49CA1341"/>
    <w:multiLevelType w:val="hybridMultilevel"/>
    <w:lvl w:ilvl="0">
      <w:lvlJc w:val="left"/>
      <w:lvlText w:val="%1"/>
      <w:numFmt w:val="decimal"/>
      <w:start w:val="1"/>
    </w:lvl>
    <w:lvl w:ilvl="1">
      <w:lvlJc w:val="left"/>
      <w:lvlText w:val="(%2)"/>
      <w:numFmt w:val="lowerLetter"/>
      <w:start w:val="3"/>
    </w:lvl>
  </w:abstractNum>
  <w:abstractNum w:abstractNumId="431">
    <w:nsid w:val="58D717E"/>
    <w:multiLevelType w:val="hybridMultilevel"/>
    <w:lvl w:ilvl="0">
      <w:lvlJc w:val="left"/>
      <w:lvlText w:val="%1."/>
      <w:numFmt w:val="decimal"/>
      <w:start w:val="5"/>
    </w:lvl>
    <w:lvl w:ilvl="1">
      <w:lvlJc w:val="left"/>
      <w:lvlText w:val="%2"/>
      <w:numFmt w:val="lowerLetter"/>
      <w:start w:val="1"/>
    </w:lvl>
  </w:abstractNum>
  <w:abstractNum w:abstractNumId="432">
    <w:nsid w:val="64C2DDD5"/>
    <w:multiLevelType w:val="hybridMultilevel"/>
    <w:lvl w:ilvl="0">
      <w:lvlJc w:val="left"/>
      <w:lvlText w:val="(%1)"/>
      <w:numFmt w:val="lowerLetter"/>
      <w:start w:val="1"/>
    </w:lvl>
    <w:lvl w:ilvl="1">
      <w:lvlJc w:val="left"/>
      <w:lvlText w:val="(%2)"/>
      <w:numFmt w:val="decimal"/>
      <w:start w:val="1"/>
    </w:lvl>
    <w:lvl w:ilvl="2">
      <w:lvlJc w:val="left"/>
      <w:lvlText w:val="%3."/>
      <w:numFmt w:val="decimal"/>
      <w:start w:val="7"/>
    </w:lvl>
  </w:abstractNum>
  <w:abstractNum w:abstractNumId="433">
    <w:nsid w:val="4244B8DE"/>
    <w:multiLevelType w:val="hybridMultilevel"/>
    <w:lvl w:ilvl="0">
      <w:lvlJc w:val="left"/>
      <w:lvlText w:val="%1."/>
      <w:numFmt w:val="decimal"/>
      <w:start w:val="1"/>
    </w:lvl>
  </w:abstractNum>
  <w:abstractNum w:abstractNumId="434">
    <w:nsid w:val="76490B01"/>
    <w:multiLevelType w:val="hybridMultilevel"/>
    <w:lvl w:ilvl="0">
      <w:lvlJc w:val="left"/>
      <w:lvlText w:val="%1."/>
      <w:numFmt w:val="decimal"/>
      <w:start w:val="2"/>
    </w:lvl>
  </w:abstractNum>
  <w:abstractNum w:abstractNumId="435">
    <w:nsid w:val="36B19CBF"/>
    <w:multiLevelType w:val="hybridMultilevel"/>
    <w:lvl w:ilvl="0">
      <w:lvlJc w:val="left"/>
      <w:lvlText w:val="%1."/>
      <w:numFmt w:val="decimal"/>
      <w:start w:val="3"/>
    </w:lvl>
  </w:abstractNum>
  <w:abstractNum w:abstractNumId="436">
    <w:nsid w:val="645EC5AB"/>
    <w:multiLevelType w:val="hybridMultilevel"/>
    <w:lvl w:ilvl="0">
      <w:lvlJc w:val="left"/>
      <w:lvlText w:val="%1."/>
      <w:numFmt w:val="decimal"/>
      <w:start w:val="4"/>
    </w:lvl>
  </w:abstractNum>
  <w:abstractNum w:abstractNumId="437">
    <w:nsid w:val="11C5ABEF"/>
    <w:multiLevelType w:val="hybridMultilevel"/>
    <w:lvl w:ilvl="0">
      <w:lvlJc w:val="left"/>
      <w:lvlText w:val="%1."/>
      <w:numFmt w:val="decimal"/>
      <w:start w:val="5"/>
    </w:lvl>
  </w:abstractNum>
  <w:abstractNum w:abstractNumId="438">
    <w:nsid w:val="5A4744BE"/>
    <w:multiLevelType w:val="hybridMultilevel"/>
    <w:lvl w:ilvl="0">
      <w:lvlJc w:val="left"/>
      <w:lvlText w:val="%1."/>
      <w:numFmt w:val="decimal"/>
      <w:start w:val="6"/>
    </w:lvl>
  </w:abstractNum>
  <w:abstractNum w:abstractNumId="439">
    <w:nsid w:val="1DC4B111"/>
    <w:multiLevelType w:val="hybridMultilevel"/>
    <w:lvl w:ilvl="0">
      <w:lvlJc w:val="left"/>
      <w:lvlText w:val="(%1)"/>
      <w:numFmt w:val="lowerLetter"/>
      <w:start w:val="1"/>
    </w:lvl>
  </w:abstractNum>
  <w:abstractNum w:abstractNumId="440">
    <w:nsid w:val="4C6E372B"/>
    <w:multiLevelType w:val="hybridMultilevel"/>
    <w:lvl w:ilvl="0">
      <w:lvlJc w:val="left"/>
      <w:lvlText w:val="%1."/>
      <w:numFmt w:val="decimal"/>
      <w:start w:val="7"/>
    </w:lvl>
  </w:abstractNum>
  <w:abstractNum w:abstractNumId="441">
    <w:nsid w:val="10236EF"/>
    <w:multiLevelType w:val="hybridMultilevel"/>
    <w:lvl w:ilvl="0">
      <w:lvlJc w:val="left"/>
      <w:lvlText w:val="(%1)"/>
      <w:numFmt w:val="lowerLetter"/>
      <w:start w:val="1"/>
    </w:lvl>
    <w:lvl w:ilvl="1">
      <w:lvlJc w:val="left"/>
      <w:lvlText w:val="(%2)"/>
      <w:numFmt w:val="lowerRoman"/>
      <w:start w:val="1"/>
    </w:lvl>
  </w:abstractNum>
  <w:abstractNum w:abstractNumId="442">
    <w:nsid w:val="68D8526B"/>
    <w:multiLevelType w:val="hybridMultilevel"/>
    <w:lvl w:ilvl="0">
      <w:lvlJc w:val="left"/>
      <w:lvlText w:val="(%1)"/>
      <w:numFmt w:val="lowerLetter"/>
      <w:start w:val="2"/>
    </w:lvl>
  </w:abstractNum>
  <w:abstractNum w:abstractNumId="443">
    <w:nsid w:val="3C8CC138"/>
    <w:multiLevelType w:val="hybridMultilevel"/>
    <w:lvl w:ilvl="0">
      <w:lvlJc w:val="left"/>
      <w:lvlText w:val="(%1)"/>
      <w:numFmt w:val="lowerLetter"/>
      <w:start w:val="5"/>
    </w:lvl>
  </w:abstractNum>
  <w:abstractNum w:abstractNumId="444">
    <w:nsid w:val="42E8C7BE"/>
    <w:multiLevelType w:val="hybridMultilevel"/>
    <w:lvl w:ilvl="0">
      <w:lvlJc w:val="left"/>
      <w:lvlText w:val="%1."/>
      <w:numFmt w:val="decimal"/>
      <w:start w:val="8"/>
    </w:lvl>
  </w:abstractNum>
  <w:abstractNum w:abstractNumId="445">
    <w:nsid w:val="653CDC22"/>
    <w:multiLevelType w:val="hybridMultilevel"/>
    <w:lvl w:ilvl="0">
      <w:lvlJc w:val="left"/>
      <w:lvlText w:val="%1."/>
      <w:numFmt w:val="decimal"/>
      <w:start w:val="9"/>
    </w:lvl>
  </w:abstractNum>
  <w:abstractNum w:abstractNumId="446">
    <w:nsid w:val="103B2716"/>
    <w:multiLevelType w:val="hybridMultilevel"/>
    <w:lvl w:ilvl="0">
      <w:lvlJc w:val="left"/>
      <w:lvlText w:val="(%1)"/>
      <w:numFmt w:val="lowerLetter"/>
      <w:start w:val="1"/>
    </w:lvl>
  </w:abstractNum>
  <w:abstractNum w:abstractNumId="447">
    <w:nsid w:val="156827FB"/>
    <w:multiLevelType w:val="hybridMultilevel"/>
    <w:lvl w:ilvl="0">
      <w:lvlJc w:val="left"/>
      <w:lvlText w:val="(%1)"/>
      <w:numFmt w:val="lowerLetter"/>
      <w:start w:val="5"/>
    </w:lvl>
  </w:abstractNum>
  <w:abstractNum w:abstractNumId="448">
    <w:nsid w:val="6350AC35"/>
    <w:multiLevelType w:val="hybridMultilevel"/>
    <w:lvl w:ilvl="0">
      <w:lvlJc w:val="left"/>
      <w:lvlText w:val="(%1)"/>
      <w:numFmt w:val="lowerLetter"/>
      <w:start w:val="7"/>
    </w:lvl>
  </w:abstractNum>
  <w:abstractNum w:abstractNumId="449">
    <w:nsid w:val="767725AB"/>
    <w:multiLevelType w:val="hybridMultilevel"/>
    <w:lvl w:ilvl="0">
      <w:lvlJc w:val="left"/>
      <w:lvlText w:val="%1."/>
      <w:numFmt w:val="decimal"/>
      <w:start w:val="2"/>
    </w:lvl>
    <w:lvl w:ilvl="1">
      <w:lvlJc w:val="left"/>
      <w:lvlText w:val="(%2)"/>
      <w:numFmt w:val="lowerLetter"/>
      <w:start w:val="1"/>
    </w:lvl>
  </w:abstractNum>
  <w:abstractNum w:abstractNumId="450">
    <w:nsid w:val="4748C06A"/>
    <w:multiLevelType w:val="hybridMultilevel"/>
    <w:lvl w:ilvl="0">
      <w:lvlJc w:val="left"/>
      <w:lvlText w:val="(%1)"/>
      <w:numFmt w:val="lowerLetter"/>
      <w:start w:val="16"/>
    </w:lvl>
    <w:lvl w:ilvl="1">
      <w:lvlJc w:val="left"/>
      <w:lvlText w:val="(%2)"/>
      <w:numFmt w:val="lowerRoman"/>
      <w:start w:val="1"/>
    </w:lvl>
  </w:abstractNum>
  <w:abstractNum w:abstractNumId="451">
    <w:nsid w:val="254D9EA9"/>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452">
    <w:nsid w:val="1FBD3A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3">
    <w:nsid w:val="18C6B4F2"/>
    <w:multiLevelType w:val="hybridMultilevel"/>
    <w:lvl w:ilvl="0">
      <w:lvlJc w:val="left"/>
      <w:lvlText w:val="%1"/>
      <w:numFmt w:val="decimal"/>
      <w:start w:val="1"/>
    </w:lvl>
    <w:lvl w:ilvl="1">
      <w:lvlJc w:val="left"/>
      <w:lvlText w:val="(%2)"/>
      <w:numFmt w:val="lowerLetter"/>
      <w:start w:val="2"/>
    </w:lvl>
  </w:abstractNum>
  <w:abstractNum w:abstractNumId="454">
    <w:nsid w:val="40BAD55"/>
    <w:multiLevelType w:val="hybridMultilevel"/>
    <w:lvl w:ilvl="0">
      <w:lvlJc w:val="left"/>
      <w:lvlText w:val="%1."/>
      <w:numFmt w:val="decimal"/>
      <w:start w:val="4"/>
    </w:lvl>
    <w:lvl w:ilvl="1">
      <w:lvlJc w:val="left"/>
      <w:lvlText w:val="%2"/>
      <w:numFmt w:val="lowerLetter"/>
      <w:start w:val="1"/>
    </w:lvl>
  </w:abstractNum>
  <w:abstractNum w:abstractNumId="455">
    <w:nsid w:val="E5B2573"/>
    <w:multiLevelType w:val="hybridMultilevel"/>
    <w:lvl w:ilvl="0">
      <w:lvlJc w:val="left"/>
      <w:lvlText w:val="(%1)"/>
      <w:numFmt w:val="lowerLetter"/>
      <w:start w:val="1"/>
    </w:lvl>
    <w:lvl w:ilvl="1">
      <w:lvlJc w:val="left"/>
      <w:lvlText w:val="(%2)"/>
      <w:numFmt w:val="lowerRoman"/>
      <w:start w:val="1"/>
    </w:lvl>
  </w:abstractNum>
  <w:abstractNum w:abstractNumId="456">
    <w:nsid w:val="5D175EF2"/>
    <w:multiLevelType w:val="hybridMultilevel"/>
    <w:lvl w:ilvl="0">
      <w:lvlJc w:val="left"/>
      <w:lvlText w:val="(%1)"/>
      <w:numFmt w:val="lowerLetter"/>
      <w:start w:val="5"/>
    </w:lvl>
    <w:lvl w:ilvl="1">
      <w:lvlJc w:val="left"/>
      <w:lvlText w:val="(%2)"/>
      <w:numFmt w:val="decimal"/>
      <w:start w:val="1"/>
    </w:lvl>
  </w:abstractNum>
  <w:abstractNum w:abstractNumId="457">
    <w:nsid w:val="4ED5A13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58">
    <w:nsid w:val="1B1BCCF5"/>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459">
    <w:nsid w:val="56CDFAB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60">
    <w:nsid w:val="78466DAF"/>
    <w:multiLevelType w:val="hybridMultilevel"/>
    <w:lvl w:ilvl="0">
      <w:lvlJc w:val="left"/>
      <w:lvlText w:val="%1."/>
      <w:numFmt w:val="decimal"/>
      <w:start w:val="8"/>
    </w:lvl>
    <w:lvl w:ilvl="1">
      <w:lvlJc w:val="left"/>
      <w:lvlText w:val="(%2)"/>
      <w:numFmt w:val="lowerLetter"/>
      <w:start w:val="1"/>
    </w:lvl>
  </w:abstractNum>
  <w:abstractNum w:abstractNumId="461">
    <w:nsid w:val="64E5E036"/>
    <w:multiLevelType w:val="hybridMultilevel"/>
    <w:lvl w:ilvl="0">
      <w:lvlJc w:val="left"/>
      <w:lvlText w:val="%1"/>
      <w:numFmt w:val="decimal"/>
      <w:start w:val="1"/>
    </w:lvl>
    <w:lvl w:ilvl="1">
      <w:lvlJc w:val="left"/>
      <w:lvlText w:val="(%2)"/>
      <w:numFmt w:val="lowerLetter"/>
      <w:start w:val="3"/>
    </w:lvl>
  </w:abstractNum>
  <w:abstractNum w:abstractNumId="462">
    <w:nsid w:val="5C5B6C3A"/>
    <w:multiLevelType w:val="hybridMultilevel"/>
    <w:lvl w:ilvl="0">
      <w:lvlJc w:val="left"/>
      <w:lvlText w:val="%1."/>
      <w:numFmt w:val="decimal"/>
      <w:start w:val="9"/>
    </w:lvl>
    <w:lvl w:ilvl="1">
      <w:lvlJc w:val="left"/>
      <w:lvlText w:val="%2"/>
      <w:numFmt w:val="lowerLetter"/>
      <w:start w:val="1"/>
    </w:lvl>
  </w:abstractNum>
  <w:abstractNum w:abstractNumId="463">
    <w:nsid w:val="5D094B84"/>
    <w:multiLevelType w:val="hybridMultilevel"/>
    <w:lvl w:ilvl="0">
      <w:lvlJc w:val="left"/>
      <w:lvlText w:val="%1."/>
      <w:numFmt w:val="decimal"/>
      <w:start w:val="10"/>
    </w:lvl>
  </w:abstractNum>
  <w:abstractNum w:abstractNumId="464">
    <w:nsid w:val="272A991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5">
    <w:nsid w:val="52A477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6">
    <w:nsid w:val="13BAE843"/>
    <w:multiLevelType w:val="hybridMultilevel"/>
    <w:lvl w:ilvl="0">
      <w:lvlJc w:val="left"/>
      <w:lvlText w:val="(%1)"/>
      <w:numFmt w:val="lowerRoman"/>
      <w:start w:val="10"/>
    </w:lvl>
  </w:abstractNum>
  <w:abstractNum w:abstractNumId="467">
    <w:nsid w:val="B895EBF"/>
    <w:multiLevelType w:val="hybridMultilevel"/>
    <w:lvl w:ilvl="0">
      <w:lvlJc w:val="left"/>
      <w:lvlText w:val="-"/>
      <w:numFmt w:val="bullet"/>
      <w:start w:val="1"/>
    </w:lvl>
    <w:lvl w:ilvl="1">
      <w:lvlJc w:val="left"/>
      <w:lvlText w:val="(%2)"/>
      <w:numFmt w:val="lowerRoman"/>
      <w:start w:val="10"/>
    </w:lvl>
    <w:lvl w:ilvl="2">
      <w:lvlJc w:val="left"/>
      <w:lvlText w:val="(%3)"/>
      <w:numFmt w:val="upperLetter"/>
      <w:start w:val="1"/>
    </w:lvl>
  </w:abstractNum>
  <w:abstractNum w:abstractNumId="468">
    <w:nsid w:val="646A232A"/>
    <w:multiLevelType w:val="hybridMultilevel"/>
    <w:lvl w:ilvl="0">
      <w:lvlJc w:val="left"/>
      <w:lvlText w:val="%1"/>
      <w:numFmt w:val="lowerLetter"/>
      <w:start w:val="1"/>
    </w:lvl>
    <w:lvl w:ilvl="1">
      <w:lvlJc w:val="left"/>
      <w:lvlText w:val="(%2)"/>
      <w:numFmt w:val="upperLetter"/>
      <w:start w:val="2"/>
    </w:lvl>
  </w:abstractNum>
  <w:abstractNum w:abstractNumId="469">
    <w:nsid w:val="6E022D01"/>
    <w:multiLevelType w:val="hybridMultilevel"/>
    <w:lvl w:ilvl="0">
      <w:lvlJc w:val="left"/>
      <w:lvlText w:val="(%1)"/>
      <w:numFmt w:val="lowerLetter"/>
      <w:start w:val="2"/>
    </w:lvl>
    <w:lvl w:ilvl="1">
      <w:lvlJc w:val="left"/>
      <w:lvlText w:val="%2"/>
      <w:numFmt w:val="upperLetter"/>
      <w:start w:val="1"/>
    </w:lvl>
  </w:abstractNum>
  <w:abstractNum w:abstractNumId="470">
    <w:nsid w:val="294E0FD0"/>
    <w:multiLevelType w:val="hybridMultilevel"/>
    <w:lvl w:ilvl="0">
      <w:lvlJc w:val="left"/>
      <w:lvlText w:val="%1"/>
      <w:numFmt w:val="decimal"/>
      <w:start w:val="1"/>
    </w:lvl>
    <w:lvl w:ilvl="1">
      <w:lvlJc w:val="left"/>
      <w:lvlText w:val="(%2)"/>
      <w:numFmt w:val="lowerRoman"/>
      <w:start w:val="1"/>
    </w:lvl>
  </w:abstractNum>
  <w:abstractNum w:abstractNumId="471">
    <w:nsid w:val="30D85A55"/>
    <w:multiLevelType w:val="hybridMultilevel"/>
    <w:lvl w:ilvl="0">
      <w:lvlJc w:val="left"/>
      <w:lvlText w:val="%1."/>
      <w:numFmt w:val="decimal"/>
      <w:start w:val="4"/>
    </w:lvl>
    <w:lvl w:ilvl="1">
      <w:lvlJc w:val="left"/>
      <w:lvlText w:val="%2"/>
      <w:numFmt w:val="lowerRoman"/>
      <w:start w:val="1"/>
    </w:lvl>
  </w:abstractNum>
  <w:abstractNum w:abstractNumId="472">
    <w:nsid w:val="6F0463F1"/>
    <w:multiLevelType w:val="hybridMultilevel"/>
    <w:lvl w:ilvl="0">
      <w:lvlJc w:val="left"/>
      <w:lvlText w:val="%1"/>
      <w:numFmt w:val="lowerLetter"/>
      <w:start w:val="1"/>
    </w:lvl>
    <w:lvl w:ilvl="1">
      <w:lvlJc w:val="left"/>
      <w:lvlText w:val="%2."/>
      <w:numFmt w:val="decimal"/>
      <w:start w:val="1"/>
    </w:lvl>
  </w:abstractNum>
  <w:abstractNum w:abstractNumId="473">
    <w:nsid w:val="1226623C"/>
    <w:multiLevelType w:val="hybridMultilevel"/>
    <w:lvl w:ilvl="0">
      <w:lvlJc w:val="left"/>
      <w:lvlText w:val="(%1)"/>
      <w:numFmt w:val="lowerLetter"/>
      <w:start w:val="2"/>
    </w:lvl>
    <w:lvl w:ilvl="1">
      <w:lvlJc w:val="left"/>
      <w:lvlText w:val="%2."/>
      <w:numFmt w:val="decimal"/>
      <w:start w:val="3"/>
    </w:lvl>
  </w:abstractNum>
  <w:abstractNum w:abstractNumId="474">
    <w:nsid w:val="6D651B8D"/>
    <w:multiLevelType w:val="hybridMultilevel"/>
    <w:lvl w:ilvl="0">
      <w:lvlJc w:val="left"/>
      <w:lvlText w:val="%1."/>
      <w:numFmt w:val="decimal"/>
      <w:start w:val="4"/>
    </w:lvl>
  </w:abstractNum>
  <w:abstractNum w:abstractNumId="475">
    <w:nsid w:val="31ED2BAF"/>
    <w:multiLevelType w:val="hybridMultilevel"/>
    <w:lvl w:ilvl="0">
      <w:lvlJc w:val="left"/>
      <w:lvlText w:val="%1."/>
      <w:numFmt w:val="decimal"/>
      <w:start w:val="5"/>
    </w:lvl>
    <w:lvl w:ilvl="1">
      <w:lvlJc w:val="left"/>
      <w:lvlText w:val="(%2)"/>
      <w:numFmt w:val="lowerLetter"/>
      <w:start w:val="1"/>
    </w:lvl>
  </w:abstractNum>
  <w:abstractNum w:abstractNumId="476">
    <w:nsid w:val="77633E5E"/>
    <w:multiLevelType w:val="hybridMultilevel"/>
    <w:lvl w:ilvl="0">
      <w:lvlJc w:val="left"/>
      <w:lvlText w:val="(%1)"/>
      <w:numFmt w:val="lowerRoman"/>
      <w:start w:val="1"/>
    </w:lvl>
  </w:abstractNum>
  <w:abstractNum w:abstractNumId="477">
    <w:nsid w:val="7DA042A3"/>
    <w:multiLevelType w:val="hybridMultilevel"/>
    <w:lvl w:ilvl="0">
      <w:lvlJc w:val="left"/>
      <w:lvlText w:val="%1"/>
      <w:numFmt w:val="decimal"/>
      <w:start w:val="1"/>
    </w:lvl>
    <w:lvl w:ilvl="1">
      <w:lvlJc w:val="left"/>
      <w:lvlText w:val="(%2)"/>
      <w:numFmt w:val="lowerLetter"/>
      <w:start w:val="2"/>
    </w:lvl>
  </w:abstractNum>
  <w:abstractNum w:abstractNumId="478">
    <w:nsid w:val="475553AB"/>
    <w:multiLevelType w:val="hybridMultilevel"/>
    <w:lvl w:ilvl="0">
      <w:lvlJc w:val="left"/>
      <w:lvlText w:val="%1."/>
      <w:numFmt w:val="decimal"/>
      <w:start w:val="6"/>
    </w:lvl>
    <w:lvl w:ilvl="1">
      <w:lvlJc w:val="left"/>
      <w:lvlText w:val="%2"/>
      <w:numFmt w:val="lowerLetter"/>
      <w:start w:val="1"/>
    </w:lvl>
  </w:abstractNum>
  <w:abstractNum w:abstractNumId="479">
    <w:nsid w:val="5AB3EA9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80">
    <w:nsid w:val="7417684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81">
    <w:nsid w:val="E9E1415"/>
    <w:multiLevelType w:val="hybridMultilevel"/>
    <w:lvl w:ilvl="0">
      <w:lvlJc w:val="left"/>
      <w:lvlText w:val="(%1)"/>
      <w:numFmt w:val="lowerRoman"/>
      <w:start w:val="3"/>
    </w:lvl>
  </w:abstractNum>
  <w:abstractNum w:abstractNumId="482">
    <w:nsid w:val="1893D"/>
    <w:multiLevelType w:val="hybridMultilevel"/>
    <w:lvl w:ilvl="0">
      <w:lvlJc w:val="left"/>
      <w:lvlText w:val="%1"/>
      <w:numFmt w:val="lowerLetter"/>
      <w:start w:val="1"/>
    </w:lvl>
    <w:lvl w:ilvl="1">
      <w:lvlJc w:val="left"/>
      <w:lvlText w:val="(%2)"/>
      <w:numFmt w:val="lowerRoman"/>
      <w:start w:val="4"/>
    </w:lvl>
  </w:abstractNum>
  <w:abstractNum w:abstractNumId="483">
    <w:nsid w:val="13D4A2F2"/>
    <w:multiLevelType w:val="hybridMultilevel"/>
    <w:lvl w:ilvl="0">
      <w:lvlJc w:val="left"/>
      <w:lvlText w:val="(%1)"/>
      <w:numFmt w:val="lowerLetter"/>
      <w:start w:val="8"/>
    </w:lvl>
    <w:lvl w:ilvl="1">
      <w:lvlJc w:val="left"/>
      <w:lvlText w:val="(%2)"/>
      <w:numFmt w:val="lowerRoman"/>
      <w:start w:val="1"/>
    </w:lvl>
  </w:abstractNum>
  <w:abstractNum w:abstractNumId="484">
    <w:nsid w:val="2764C907"/>
    <w:multiLevelType w:val="hybridMultilevel"/>
    <w:lvl w:ilvl="0">
      <w:lvlJc w:val="left"/>
      <w:lvlText w:val="%1"/>
      <w:numFmt w:val="lowerLetter"/>
      <w:start w:val="1"/>
    </w:lvl>
    <w:lvl w:ilvl="1">
      <w:lvlJc w:val="left"/>
      <w:lvlText w:val="(%2)"/>
      <w:numFmt w:val="lowerLetter"/>
      <w:start w:val="10"/>
    </w:lvl>
  </w:abstractNum>
  <w:abstractNum w:abstractNumId="485">
    <w:nsid w:val="40D3692"/>
    <w:multiLevelType w:val="hybridMultilevel"/>
    <w:lvl w:ilvl="0">
      <w:lvlJc w:val="left"/>
      <w:lvlText w:val="(%1)"/>
      <w:numFmt w:val="lowerLetter"/>
      <w:start w:val="11"/>
    </w:lvl>
    <w:lvl w:ilvl="1">
      <w:lvlJc w:val="left"/>
      <w:lvlText w:val="%2"/>
      <w:numFmt w:val="lowerLetter"/>
      <w:start w:val="1"/>
    </w:lvl>
  </w:abstractNum>
  <w:abstractNum w:abstractNumId="486">
    <w:nsid w:val="222FC865"/>
    <w:multiLevelType w:val="hybridMultilevel"/>
    <w:lvl w:ilvl="0">
      <w:lvlJc w:val="left"/>
      <w:lvlText w:val="(%1)"/>
      <w:numFmt w:val="lowerLetter"/>
      <w:start w:val="21"/>
    </w:lvl>
  </w:abstractNum>
  <w:abstractNum w:abstractNumId="487">
    <w:nsid w:val="47C27FA"/>
    <w:multiLevelType w:val="hybridMultilevel"/>
    <w:lvl w:ilvl="0">
      <w:lvlJc w:val="left"/>
      <w:lvlText w:val="(%1)"/>
      <w:numFmt w:val="lowerLetter"/>
      <w:start w:val="1"/>
    </w:lvl>
  </w:abstractNum>
  <w:abstractNum w:abstractNumId="488">
    <w:nsid w:val="52E2D7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89">
    <w:nsid w:val="3D4B955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90">
    <w:nsid w:val="5B4A22B5"/>
    <w:multiLevelType w:val="hybridMultilevel"/>
    <w:lvl w:ilvl="0">
      <w:lvlJc w:val="left"/>
      <w:lvlText w:val="(%1)"/>
      <w:numFmt w:val="lowerLetter"/>
      <w:start w:val="1"/>
    </w:lvl>
  </w:abstractNum>
  <w:abstractNum w:abstractNumId="491">
    <w:nsid w:val="4B294578"/>
    <w:multiLevelType w:val="hybridMultilevel"/>
    <w:lvl w:ilvl="0">
      <w:lvlJc w:val="left"/>
      <w:lvlText w:val="(%1)"/>
      <w:numFmt w:val="lowerLetter"/>
      <w:start w:val="1"/>
    </w:lvl>
  </w:abstractNum>
  <w:abstractNum w:abstractNumId="492">
    <w:nsid w:val="22317590"/>
    <w:multiLevelType w:val="hybridMultilevel"/>
    <w:lvl w:ilvl="0">
      <w:lvlJc w:val="left"/>
      <w:lvlText w:val="(%1)"/>
      <w:numFmt w:val="lowerLetter"/>
      <w:start w:val="2"/>
    </w:lvl>
  </w:abstractNum>
  <w:abstractNum w:abstractNumId="493">
    <w:nsid w:val="37A58EE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94">
    <w:nsid w:val="283290FD"/>
    <w:multiLevelType w:val="hybridMultilevel"/>
    <w:lvl w:ilvl="0">
      <w:lvlJc w:val="left"/>
      <w:lvlText w:val="(%1)"/>
      <w:numFmt w:val="lowerLetter"/>
      <w:start w:val="2"/>
    </w:lvl>
    <w:lvl w:ilvl="1">
      <w:lvlJc w:val="left"/>
      <w:lvlText w:val="(%2)"/>
      <w:numFmt w:val="lowerRoman"/>
      <w:start w:val="1"/>
    </w:lvl>
  </w:abstractNum>
  <w:abstractNum w:abstractNumId="495">
    <w:nsid w:val="495C0EA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96">
    <w:nsid w:val="A4A062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5"/>
    </w:lvl>
  </w:abstractNum>
  <w:abstractNum w:abstractNumId="497">
    <w:nsid w:val="3BED7940"/>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498">
    <w:nsid w:val="54E56D64"/>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499">
    <w:nsid w:val="6EB42955"/>
    <w:multiLevelType w:val="hybridMultilevel"/>
    <w:lvl w:ilvl="0">
      <w:lvlJc w:val="left"/>
      <w:lvlText w:val="(%1)"/>
      <w:numFmt w:val="lowerRoman"/>
      <w:start w:val="2"/>
    </w:lvl>
  </w:abstractNum>
  <w:abstractNum w:abstractNumId="500">
    <w:nsid w:val="29EFA642"/>
    <w:multiLevelType w:val="hybridMultilevel"/>
    <w:lvl w:ilvl="0">
      <w:lvlJc w:val="left"/>
      <w:lvlText w:val="(%1)"/>
      <w:numFmt w:val="upperLetter"/>
      <w:start w:val="1"/>
    </w:lvl>
  </w:abstractNum>
  <w:abstractNum w:abstractNumId="501">
    <w:nsid w:val="7E337D35"/>
    <w:multiLevelType w:val="hybridMultilevel"/>
    <w:lvl w:ilvl="0">
      <w:lvlJc w:val="left"/>
      <w:lvlText w:val="(%1)"/>
      <w:numFmt w:val="lowerLetter"/>
      <w:start w:val="7"/>
    </w:lvl>
    <w:lvl w:ilvl="1">
      <w:lvlJc w:val="left"/>
      <w:lvlText w:val="(%2)"/>
      <w:numFmt w:val="lowerRoman"/>
      <w:start w:val="1"/>
    </w:lvl>
  </w:abstractNum>
  <w:abstractNum w:abstractNumId="502">
    <w:nsid w:val="1F8C83AB"/>
    <w:multiLevelType w:val="hybridMultilevel"/>
    <w:lvl w:ilvl="0">
      <w:lvlJc w:val="left"/>
      <w:lvlText w:val="%1"/>
      <w:numFmt w:val="lowerLetter"/>
      <w:start w:val="1"/>
    </w:lvl>
    <w:lvl w:ilvl="1">
      <w:lvlJc w:val="left"/>
      <w:lvlText w:val="(%2)"/>
      <w:numFmt w:val="lowerRoman"/>
      <w:start w:val="3"/>
    </w:lvl>
  </w:abstractNum>
  <w:abstractNum w:abstractNumId="503">
    <w:nsid w:val="18F40A33"/>
    <w:multiLevelType w:val="hybridMultilevel"/>
    <w:lvl w:ilvl="0">
      <w:lvlJc w:val="left"/>
      <w:lvlText w:val="(%1)"/>
      <w:numFmt w:val="lowerLetter"/>
      <w:start w:val="8"/>
    </w:lvl>
    <w:lvl w:ilvl="1">
      <w:lvlJc w:val="left"/>
      <w:lvlText w:val="(%2)"/>
      <w:numFmt w:val="lowerRoman"/>
      <w:start w:val="1"/>
    </w:lvl>
  </w:abstractNum>
  <w:abstractNum w:abstractNumId="504">
    <w:nsid w:val="1059DF71"/>
    <w:multiLevelType w:val="hybridMultilevel"/>
    <w:lvl w:ilvl="0">
      <w:lvlJc w:val="left"/>
      <w:lvlText w:val="%1"/>
      <w:numFmt w:val="lowerLetter"/>
      <w:start w:val="1"/>
    </w:lvl>
    <w:lvl w:ilvl="1">
      <w:lvlJc w:val="left"/>
      <w:lvlText w:val="(%2)"/>
      <w:numFmt w:val="lowerLetter"/>
      <w:start w:val="1"/>
    </w:lvl>
  </w:abstractNum>
  <w:abstractNum w:abstractNumId="505">
    <w:nsid w:val="CF19F38"/>
    <w:multiLevelType w:val="hybridMultilevel"/>
    <w:lvl w:ilvl="0">
      <w:lvlJc w:val="left"/>
      <w:lvlText w:val="(%1)"/>
      <w:numFmt w:val="lowerLetter"/>
      <w:start w:val="9"/>
    </w:lvl>
    <w:lvl w:ilvl="1">
      <w:lvlJc w:val="left"/>
      <w:lvlText w:val="%2"/>
      <w:numFmt w:val="lowerLetter"/>
      <w:start w:val="1"/>
    </w:lvl>
  </w:abstractNum>
  <w:abstractNum w:abstractNumId="506">
    <w:nsid w:val="4AE135E2"/>
    <w:multiLevelType w:val="hybridMultilevel"/>
    <w:lvl w:ilvl="0">
      <w:lvlJc w:val="left"/>
      <w:lvlText w:val="(%1)"/>
      <w:numFmt w:val="lowerLetter"/>
      <w:start w:val="2"/>
    </w:lvl>
  </w:abstractNum>
  <w:abstractNum w:abstractNumId="507">
    <w:nsid w:val="7BD1DCF"/>
    <w:multiLevelType w:val="hybridMultilevel"/>
    <w:lvl w:ilvl="0">
      <w:lvlJc w:val="left"/>
      <w:lvlText w:val="(%1)"/>
      <w:numFmt w:val="lowerLetter"/>
      <w:start w:val="1"/>
    </w:lvl>
  </w:abstractNum>
  <w:abstractNum w:abstractNumId="508">
    <w:nsid w:val="A91E1DC"/>
    <w:multiLevelType w:val="hybridMultilevel"/>
    <w:lvl w:ilvl="0">
      <w:lvlJc w:val="left"/>
      <w:lvlText w:val="(%1)"/>
      <w:numFmt w:val="lowerLetter"/>
      <w:start w:val="3"/>
    </w:lvl>
  </w:abstractNum>
  <w:abstractNum w:abstractNumId="509">
    <w:nsid w:val="1236898D"/>
    <w:multiLevelType w:val="hybridMultilevel"/>
    <w:lvl w:ilvl="0">
      <w:lvlJc w:val="left"/>
      <w:lvlText w:val="(%1)"/>
      <w:numFmt w:val="lowerLetter"/>
      <w:start w:val="1"/>
    </w:lvl>
  </w:abstractNum>
  <w:abstractNum w:abstractNumId="510">
    <w:nsid w:val="62710862"/>
    <w:multiLevelType w:val="hybridMultilevel"/>
    <w:lvl w:ilvl="0">
      <w:lvlJc w:val="left"/>
      <w:lvlText w:val="(%1)"/>
      <w:numFmt w:val="lowerLetter"/>
      <w:start w:val="2"/>
    </w:lvl>
  </w:abstractNum>
  <w:abstractNum w:abstractNumId="511">
    <w:nsid w:val="7EA94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2">
    <w:nsid w:val="20D49DA3"/>
    <w:multiLevelType w:val="hybridMultilevel"/>
    <w:lvl w:ilvl="0">
      <w:lvlJc w:val="left"/>
      <w:lvlText w:val="(%1)"/>
      <w:numFmt w:val="lowerLetter"/>
      <w:start w:val="3"/>
    </w:lvl>
  </w:abstractNum>
  <w:abstractNum w:abstractNumId="513">
    <w:nsid w:val="6272919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14">
    <w:nsid w:val="127DED1D"/>
    <w:multiLevelType w:val="hybridMultilevel"/>
    <w:lvl w:ilvl="0">
      <w:lvlJc w:val="left"/>
      <w:lvlText w:val="%1"/>
      <w:numFmt w:val="decimal"/>
      <w:start w:val="1"/>
    </w:lvl>
    <w:lvl w:ilvl="1">
      <w:lvlJc w:val="left"/>
      <w:lvlText w:val="(%2)"/>
      <w:numFmt w:val="lowerLetter"/>
      <w:start w:val="2"/>
    </w:lvl>
  </w:abstractNum>
  <w:abstractNum w:abstractNumId="515">
    <w:nsid w:val="483966AA"/>
    <w:multiLevelType w:val="hybridMultilevel"/>
    <w:lvl w:ilvl="0">
      <w:lvlJc w:val="left"/>
      <w:lvlText w:val="%1."/>
      <w:numFmt w:val="decimal"/>
      <w:start w:val="4"/>
    </w:lvl>
    <w:lvl w:ilvl="1">
      <w:lvlJc w:val="left"/>
      <w:lvlText w:val="%2"/>
      <w:numFmt w:val="lowerLetter"/>
      <w:start w:val="1"/>
    </w:lvl>
  </w:abstractNum>
  <w:abstractNum w:abstractNumId="516">
    <w:nsid w:val="667FC831"/>
    <w:multiLevelType w:val="hybridMultilevel"/>
    <w:lvl w:ilvl="0">
      <w:lvlJc w:val="left"/>
      <w:lvlText w:val="(%1)"/>
      <w:numFmt w:val="lowerLetter"/>
      <w:start w:val="1"/>
    </w:lvl>
  </w:abstractNum>
  <w:abstractNum w:abstractNumId="517">
    <w:nsid w:val="34ADB582"/>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518">
    <w:nsid w:val="4CB58EA4"/>
    <w:multiLevelType w:val="hybridMultilevel"/>
    <w:lvl w:ilvl="0">
      <w:lvlJc w:val="left"/>
      <w:lvlText w:val="(%1)"/>
      <w:numFmt w:val="upperLetter"/>
      <w:start w:val="2"/>
    </w:lvl>
    <w:lvl w:ilvl="1">
      <w:lvlJc w:val="left"/>
      <w:lvlText w:val="(%2)"/>
      <w:numFmt w:val="lowerLetter"/>
      <w:start w:val="61"/>
    </w:lvl>
    <w:lvl w:ilvl="2">
      <w:lvlJc w:val="left"/>
      <w:lvlText w:val="(%3)"/>
      <w:numFmt w:val="lowerRoman"/>
      <w:start w:val="2"/>
    </w:lvl>
  </w:abstractNum>
  <w:abstractNum w:abstractNumId="519">
    <w:nsid w:val="39629FFA"/>
    <w:multiLevelType w:val="hybridMultilevel"/>
    <w:lvl w:ilvl="0">
      <w:lvlJc w:val="left"/>
      <w:lvlText w:val="(%1)"/>
      <w:numFmt w:val="lowerLetter"/>
      <w:start w:val="3"/>
    </w:lvl>
  </w:abstractNum>
  <w:abstractNum w:abstractNumId="520">
    <w:nsid w:val="71F94ADC"/>
    <w:multiLevelType w:val="hybridMultilevel"/>
    <w:lvl w:ilvl="0">
      <w:lvlJc w:val="left"/>
      <w:lvlText w:val="%1"/>
      <w:numFmt w:val="lowerLetter"/>
      <w:start w:val="1"/>
    </w:lvl>
    <w:lvl w:ilvl="1">
      <w:lvlJc w:val="left"/>
      <w:lvlText w:val="(%2)"/>
      <w:numFmt w:val="lowerRoman"/>
      <w:start w:val="4"/>
    </w:lvl>
  </w:abstractNum>
  <w:abstractNum w:abstractNumId="521">
    <w:nsid w:val="27FFB15A"/>
    <w:multiLevelType w:val="hybridMultilevel"/>
    <w:lvl w:ilvl="0">
      <w:lvlJc w:val="left"/>
      <w:lvlText w:val="(%1)"/>
      <w:numFmt w:val="lowerLetter"/>
      <w:start w:val="7"/>
    </w:lvl>
    <w:lvl w:ilvl="1">
      <w:lvlJc w:val="left"/>
      <w:lvlText w:val="(%2)"/>
      <w:numFmt w:val="lowerRoman"/>
      <w:start w:val="1"/>
    </w:lvl>
  </w:abstractNum>
  <w:abstractNum w:abstractNumId="522">
    <w:nsid w:val="48BE573"/>
    <w:multiLevelType w:val="hybridMultilevel"/>
    <w:lvl w:ilvl="0">
      <w:lvlJc w:val="left"/>
      <w:lvlText w:val="(%1)"/>
      <w:numFmt w:val="lowerLetter"/>
      <w:start w:val="9"/>
    </w:lvl>
  </w:abstractNum>
  <w:abstractNum w:abstractNumId="523">
    <w:nsid w:val="142AC06C"/>
    <w:multiLevelType w:val="hybridMultilevel"/>
    <w:lvl w:ilvl="0">
      <w:lvlJc w:val="left"/>
      <w:lvlText w:val="(%1)"/>
      <w:numFmt w:val="lowerLetter"/>
      <w:start w:val="1"/>
    </w:lvl>
  </w:abstractNum>
  <w:abstractNum w:abstractNumId="524">
    <w:nsid w:val="5FA54049"/>
    <w:multiLevelType w:val="hybridMultilevel"/>
    <w:lvl w:ilvl="0">
      <w:lvlJc w:val="left"/>
      <w:lvlText w:val="(%1)"/>
      <w:numFmt w:val="lowerLetter"/>
      <w:start w:val="1"/>
    </w:lvl>
  </w:abstractNum>
  <w:abstractNum w:abstractNumId="525">
    <w:nsid w:val="2CBE7670"/>
    <w:multiLevelType w:val="hybridMultilevel"/>
    <w:lvl w:ilvl="0">
      <w:lvlJc w:val="left"/>
      <w:lvlText w:val="(%1)"/>
      <w:numFmt w:val="lowerLetter"/>
      <w:start w:val="1"/>
    </w:lvl>
  </w:abstractNum>
  <w:abstractNum w:abstractNumId="526">
    <w:nsid w:val="5D86CF11"/>
    <w:multiLevelType w:val="hybridMultilevel"/>
    <w:lvl w:ilvl="0">
      <w:lvlJc w:val="left"/>
      <w:lvlText w:val="(%1)"/>
      <w:numFmt w:val="lowerLetter"/>
      <w:start w:val="1"/>
    </w:lvl>
  </w:abstractNum>
  <w:abstractNum w:abstractNumId="527">
    <w:nsid w:val="69EF4674"/>
    <w:multiLevelType w:val="hybridMultilevel"/>
    <w:lvl w:ilvl="0">
      <w:lvlJc w:val="left"/>
      <w:lvlText w:val="(%1)"/>
      <w:numFmt w:val="lowerLetter"/>
      <w:start w:val="3"/>
    </w:lvl>
  </w:abstractNum>
  <w:abstractNum w:abstractNumId="528">
    <w:nsid w:val="68ABEFB0"/>
    <w:multiLevelType w:val="hybridMultilevel"/>
    <w:lvl w:ilvl="0">
      <w:lvlJc w:val="left"/>
      <w:lvlText w:val="(%1)"/>
      <w:numFmt w:val="lowerLetter"/>
      <w:start w:val="1"/>
    </w:lvl>
    <w:lvl w:ilvl="1">
      <w:lvlJc w:val="left"/>
      <w:lvlText w:val="(%2)"/>
      <w:numFmt w:val="lowerRoman"/>
      <w:start w:val="1"/>
    </w:lvl>
  </w:abstractNum>
  <w:abstractNum w:abstractNumId="529">
    <w:nsid w:val="326C3C76"/>
    <w:multiLevelType w:val="hybridMultilevel"/>
    <w:lvl w:ilvl="0">
      <w:lvlJc w:val="left"/>
      <w:lvlText w:val="(%1)"/>
      <w:numFmt w:val="lowerLetter"/>
      <w:start w:val="2"/>
    </w:lvl>
    <w:lvl w:ilvl="1">
      <w:lvlJc w:val="left"/>
      <w:lvlText w:val="(%2)"/>
      <w:numFmt w:val="lowerRoman"/>
      <w:start w:val="1"/>
    </w:lvl>
  </w:abstractNum>
  <w:abstractNum w:abstractNumId="530">
    <w:nsid w:val="58A36FCA"/>
    <w:multiLevelType w:val="hybridMultilevel"/>
    <w:lvl w:ilvl="0">
      <w:lvlJc w:val="left"/>
      <w:lvlText w:val="(%1)"/>
      <w:numFmt w:val="lowerLetter"/>
      <w:start w:val="3"/>
    </w:lvl>
    <w:lvl w:ilvl="1">
      <w:lvlJc w:val="left"/>
      <w:lvlText w:val="(%2)"/>
      <w:numFmt w:val="lowerRoman"/>
      <w:start w:val="1"/>
    </w:lvl>
  </w:abstractNum>
  <w:abstractNum w:abstractNumId="531">
    <w:nsid w:val="129B9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2">
    <w:nsid w:val="309FB9A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3">
    <w:nsid w:val="782FF375"/>
    <w:multiLevelType w:val="hybridMultilevel"/>
    <w:lvl w:ilvl="0">
      <w:lvlJc w:val="left"/>
      <w:lvlText w:val="(%1)"/>
      <w:numFmt w:val="lowerLetter"/>
      <w:start w:val="5"/>
    </w:lvl>
    <w:lvl w:ilvl="1">
      <w:lvlJc w:val="left"/>
      <w:lvlText w:val="(%2)"/>
      <w:numFmt w:val="lowerRoman"/>
      <w:start w:val="1"/>
    </w:lvl>
  </w:abstractNum>
  <w:abstractNum w:abstractNumId="534">
    <w:nsid w:val="2B8FA025"/>
    <w:multiLevelType w:val="hybridMultilevel"/>
    <w:lvl w:ilvl="0">
      <w:lvlJc w:val="left"/>
      <w:lvlText w:val="(%1)"/>
      <w:numFmt w:val="lowerRoman"/>
      <w:start w:val="3"/>
    </w:lvl>
    <w:lvl w:ilvl="1">
      <w:lvlJc w:val="left"/>
      <w:lvlText w:val="(%2)"/>
      <w:numFmt w:val="upperLetter"/>
      <w:start w:val="1"/>
    </w:lvl>
  </w:abstractNum>
  <w:abstractNum w:abstractNumId="535">
    <w:nsid w:val="40F9991C"/>
    <w:multiLevelType w:val="hybridMultilevel"/>
    <w:lvl w:ilvl="0">
      <w:lvlJc w:val="left"/>
      <w:lvlText w:val="(%1)"/>
      <w:numFmt w:val="lowerLetter"/>
      <w:start w:val="6"/>
    </w:lvl>
    <w:lvl w:ilvl="1">
      <w:lvlJc w:val="left"/>
      <w:lvlText w:val="(%2)"/>
      <w:numFmt w:val="lowerRoman"/>
      <w:start w:val="1"/>
    </w:lvl>
  </w:abstractNum>
  <w:abstractNum w:abstractNumId="536">
    <w:nsid w:val="52192AD"/>
    <w:multiLevelType w:val="hybridMultilevel"/>
    <w:lvl w:ilvl="0">
      <w:lvlJc w:val="left"/>
      <w:lvlText w:val="(%1)"/>
      <w:numFmt w:val="lowerLetter"/>
      <w:start w:val="61"/>
    </w:lvl>
    <w:lvl w:ilvl="1">
      <w:lvlJc w:val="left"/>
      <w:lvlText w:val="(%2)"/>
      <w:numFmt w:val="lowerRoman"/>
      <w:start w:val="4"/>
    </w:lvl>
  </w:abstractNum>
  <w:abstractNum w:abstractNumId="537">
    <w:nsid w:val="7670D608"/>
    <w:multiLevelType w:val="hybridMultilevel"/>
    <w:lvl w:ilvl="0">
      <w:lvlJc w:val="left"/>
      <w:lvlText w:val="(%1)"/>
      <w:numFmt w:val="lowerLetter"/>
      <w:start w:val="7"/>
    </w:lvl>
  </w:abstractNum>
  <w:abstractNum w:abstractNumId="538">
    <w:nsid w:val="48B6B6EB"/>
    <w:multiLevelType w:val="hybridMultilevel"/>
    <w:lvl w:ilvl="0">
      <w:lvlJc w:val="left"/>
      <w:lvlText w:val="%1"/>
      <w:numFmt w:val="upperLetter"/>
      <w:start w:val="1"/>
    </w:lvl>
    <w:lvl w:ilvl="1">
      <w:lvlJc w:val="left"/>
      <w:lvlText w:val="(%2)"/>
      <w:numFmt w:val="lowerLetter"/>
      <w:start w:val="1"/>
    </w:lvl>
  </w:abstractNum>
  <w:abstractNum w:abstractNumId="539">
    <w:nsid w:val="FB37489"/>
    <w:multiLevelType w:val="hybridMultilevel"/>
    <w:lvl w:ilvl="0">
      <w:lvlJc w:val="left"/>
      <w:lvlText w:val="(%1)"/>
      <w:numFmt w:val="upperLetter"/>
      <w:start w:val="35"/>
    </w:lvl>
    <w:lvl w:ilvl="1">
      <w:lvlJc w:val="left"/>
      <w:lvlText w:val="%2"/>
      <w:numFmt w:val="lowerLetter"/>
      <w:start w:val="1"/>
    </w:lvl>
  </w:abstractNum>
  <w:abstractNum w:abstractNumId="540">
    <w:nsid w:val="8A75F95"/>
    <w:multiLevelType w:val="hybridMultilevel"/>
    <w:lvl w:ilvl="0">
      <w:lvlJc w:val="left"/>
      <w:lvlText w:val="(%1)"/>
      <w:numFmt w:val="lowerLetter"/>
      <w:start w:val="2"/>
    </w:lvl>
  </w:abstractNum>
  <w:abstractNum w:abstractNumId="541">
    <w:nsid w:val="2B27BF4D"/>
    <w:multiLevelType w:val="hybridMultilevel"/>
    <w:lvl w:ilvl="0">
      <w:lvlJc w:val="left"/>
      <w:lvlText w:val="(%1)"/>
      <w:numFmt w:val="lowerLetter"/>
      <w:start w:val="1"/>
    </w:lvl>
  </w:abstractNum>
  <w:abstractNum w:abstractNumId="542">
    <w:nsid w:val="E5CBEB4"/>
    <w:multiLevelType w:val="hybridMultilevel"/>
    <w:lvl w:ilvl="0">
      <w:lvlJc w:val="left"/>
      <w:lvlText w:val="(%1)"/>
      <w:numFmt w:val="lowerLetter"/>
      <w:start w:val="4"/>
    </w:lvl>
  </w:abstractNum>
  <w:abstractNum w:abstractNumId="543">
    <w:nsid w:val="297BFD38"/>
    <w:multiLevelType w:val="hybridMultilevel"/>
    <w:lvl w:ilvl="0">
      <w:lvlJc w:val="left"/>
      <w:lvlText w:val="(%1)"/>
      <w:numFmt w:val="lowerLetter"/>
      <w:start w:val="1"/>
    </w:lvl>
  </w:abstractNum>
  <w:abstractNum w:abstractNumId="544">
    <w:nsid w:val="D9A50ED"/>
    <w:multiLevelType w:val="hybridMultilevel"/>
    <w:lvl w:ilvl="0">
      <w:lvlJc w:val="left"/>
      <w:lvlText w:val="(%1)"/>
      <w:numFmt w:val="lowerLetter"/>
      <w:start w:val="2"/>
    </w:lvl>
  </w:abstractNum>
  <w:abstractNum w:abstractNumId="545">
    <w:nsid w:val="20DAABD1"/>
    <w:multiLevelType w:val="hybridMultilevel"/>
    <w:lvl w:ilvl="0">
      <w:lvlJc w:val="left"/>
      <w:lvlText w:val="(%1)"/>
      <w:numFmt w:val="lowerLetter"/>
      <w:start w:val="1"/>
    </w:lvl>
  </w:abstractNum>
  <w:abstractNum w:abstractNumId="546">
    <w:nsid w:val="71B563E3"/>
    <w:multiLevelType w:val="hybridMultilevel"/>
    <w:lvl w:ilvl="0">
      <w:lvlJc w:val="left"/>
      <w:lvlText w:val="%1."/>
      <w:numFmt w:val="decimal"/>
      <w:start w:val="1"/>
    </w:lvl>
  </w:abstractNum>
  <w:abstractNum w:abstractNumId="547">
    <w:nsid w:val="741A191E"/>
    <w:multiLevelType w:val="hybridMultilevel"/>
    <w:lvl w:ilvl="0">
      <w:lvlJc w:val="left"/>
      <w:lvlText w:val="%1."/>
      <w:numFmt w:val="decimal"/>
      <w:start w:val="1"/>
    </w:lvl>
  </w:abstractNum>
  <w:abstractNum w:abstractNumId="548">
    <w:nsid w:val="55886153"/>
    <w:multiLevelType w:val="hybridMultilevel"/>
    <w:lvl w:ilvl="0">
      <w:lvlJc w:val="left"/>
      <w:lvlText w:val="%1."/>
      <w:numFmt w:val="decimal"/>
      <w:start w:val="4"/>
    </w:lvl>
  </w:abstractNum>
  <w:abstractNum w:abstractNumId="549">
    <w:nsid w:val="3E6AF28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0">
    <w:nsid w:val="2D7CB9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51">
    <w:nsid w:val="4781AC2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2">
    <w:nsid w:val="666AA3E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3">
    <w:nsid w:val="32089E8C"/>
    <w:multiLevelType w:val="hybridMultilevel"/>
    <w:lvl w:ilvl="0">
      <w:lvlJc w:val="left"/>
      <w:lvlText w:val="%1."/>
      <w:numFmt w:val="decimal"/>
      <w:start w:val="1"/>
    </w:lvl>
  </w:abstractNum>
  <w:abstractNum w:abstractNumId="554">
    <w:nsid w:val="5BAC6C9C"/>
    <w:multiLevelType w:val="hybridMultilevel"/>
    <w:lvl w:ilvl="0">
      <w:lvlJc w:val="left"/>
      <w:lvlText w:val="(%1)"/>
      <w:numFmt w:val="decimal"/>
      <w:start w:val="5"/>
    </w:lvl>
  </w:abstractNum>
  <w:abstractNum w:abstractNumId="555">
    <w:nsid w:val="460FE42B"/>
    <w:multiLevelType w:val="hybridMultilevel"/>
    <w:lvl w:ilvl="0">
      <w:lvlJc w:val="left"/>
      <w:lvlText w:val="(%1)"/>
      <w:numFmt w:val="lowerLetter"/>
      <w:start w:val="3"/>
    </w:lvl>
  </w:abstractNum>
  <w:abstractNum w:abstractNumId="556">
    <w:nsid w:val="5EC714FC"/>
    <w:multiLevelType w:val="hybridMultilevel"/>
    <w:lvl w:ilvl="0">
      <w:lvlJc w:val="left"/>
      <w:lvlText w:val="%1."/>
      <w:numFmt w:val="decimal"/>
      <w:start w:val="2"/>
    </w:lvl>
  </w:abstractNum>
  <w:abstractNum w:abstractNumId="557">
    <w:nsid w:val="39333BAD"/>
    <w:multiLevelType w:val="hybridMultilevel"/>
    <w:lvl w:ilvl="0">
      <w:lvlJc w:val="left"/>
      <w:lvlText w:val="(%1)"/>
      <w:numFmt w:val="lowerLetter"/>
      <w:start w:val="1"/>
    </w:lvl>
  </w:abstractNum>
  <w:abstractNum w:abstractNumId="558">
    <w:nsid w:val="2FFF2A9F"/>
    <w:multiLevelType w:val="hybridMultilevel"/>
    <w:lvl w:ilvl="0">
      <w:lvlJc w:val="left"/>
      <w:lvlText w:val="(%1)"/>
      <w:numFmt w:val="lowerLetter"/>
      <w:start w:val="2"/>
    </w:lvl>
  </w:abstractNum>
  <w:abstractNum w:abstractNumId="559">
    <w:nsid w:val="477304AC"/>
    <w:multiLevelType w:val="hybridMultilevel"/>
    <w:lvl w:ilvl="0">
      <w:lvlJc w:val="left"/>
      <w:lvlText w:val="%1."/>
      <w:numFmt w:val="decimal"/>
      <w:start w:val="3"/>
    </w:lvl>
  </w:abstractNum>
  <w:abstractNum w:abstractNumId="560">
    <w:nsid w:val="6B9F7823"/>
    <w:multiLevelType w:val="hybridMultilevel"/>
    <w:lvl w:ilvl="0">
      <w:lvlJc w:val="left"/>
      <w:lvlText w:val="(%1)"/>
      <w:numFmt w:val="lowerLetter"/>
      <w:start w:val="1"/>
    </w:lvl>
  </w:abstractNum>
  <w:abstractNum w:abstractNumId="561">
    <w:nsid w:val="8A29A69"/>
    <w:multiLevelType w:val="hybridMultilevel"/>
    <w:lvl w:ilvl="0">
      <w:lvlJc w:val="left"/>
      <w:lvlText w:val="(%1)"/>
      <w:numFmt w:val="lowerLetter"/>
      <w:start w:val="3"/>
    </w:lvl>
  </w:abstractNum>
  <w:abstractNum w:abstractNumId="562">
    <w:nsid w:val="5A0E9A9F"/>
    <w:multiLevelType w:val="hybridMultilevel"/>
    <w:lvl w:ilvl="0">
      <w:lvlJc w:val="left"/>
      <w:lvlText w:val="(%1)"/>
      <w:numFmt w:val="lowerRoman"/>
      <w:start w:val="3"/>
    </w:lvl>
  </w:abstractNum>
  <w:abstractNum w:abstractNumId="563">
    <w:nsid w:val="1C3F31CE"/>
    <w:multiLevelType w:val="hybridMultilevel"/>
    <w:lvl w:ilvl="0">
      <w:lvlJc w:val="left"/>
      <w:lvlText w:val="%1."/>
      <w:numFmt w:val="decimal"/>
      <w:start w:val="4"/>
    </w:lvl>
  </w:abstractNum>
  <w:abstractNum w:abstractNumId="564">
    <w:nsid w:val="D28DDE"/>
    <w:multiLevelType w:val="hybridMultilevel"/>
    <w:lvl w:ilvl="0">
      <w:lvlJc w:val="left"/>
      <w:lvlText w:val="%1."/>
      <w:numFmt w:val="decimal"/>
      <w:start w:val="5"/>
    </w:lvl>
  </w:abstractNum>
  <w:abstractNum w:abstractNumId="565">
    <w:nsid w:val="59E3AC4"/>
    <w:multiLevelType w:val="hybridMultilevel"/>
    <w:lvl w:ilvl="0">
      <w:lvlJc w:val="left"/>
      <w:lvlText w:val="%1."/>
      <w:numFmt w:val="decimal"/>
      <w:start w:val="1"/>
    </w:lvl>
  </w:abstractNum>
  <w:abstractNum w:abstractNumId="566">
    <w:nsid w:val="5D38CAEA"/>
    <w:multiLevelType w:val="hybridMultilevel"/>
    <w:lvl w:ilvl="0">
      <w:lvlJc w:val="left"/>
      <w:lvlText w:val="%1."/>
      <w:numFmt w:val="decimal"/>
      <w:start w:val="2"/>
    </w:lvl>
  </w:abstractNum>
  <w:abstractNum w:abstractNumId="567">
    <w:nsid w:val="5F4208C"/>
    <w:multiLevelType w:val="hybridMultilevel"/>
    <w:lvl w:ilvl="0">
      <w:lvlJc w:val="left"/>
      <w:lvlText w:val="(%1)"/>
      <w:numFmt w:val="lowerRoman"/>
      <w:start w:val="2"/>
    </w:lvl>
  </w:abstractNum>
  <w:abstractNum w:abstractNumId="568">
    <w:nsid w:val="7C0F10CC"/>
    <w:multiLevelType w:val="hybridMultilevel"/>
    <w:lvl w:ilvl="0">
      <w:lvlJc w:val="left"/>
      <w:lvlText w:val="%1."/>
      <w:numFmt w:val="decimal"/>
      <w:start w:val="3"/>
    </w:lvl>
  </w:abstractNum>
  <w:abstractNum w:abstractNumId="569">
    <w:nsid w:val="25EF81D5"/>
    <w:multiLevelType w:val="hybridMultilevel"/>
    <w:lvl w:ilvl="0">
      <w:lvlJc w:val="left"/>
      <w:lvlText w:val="(%1)"/>
      <w:numFmt w:val="lowerRoman"/>
      <w:start w:val="2"/>
    </w:lvl>
  </w:abstractNum>
  <w:abstractNum w:abstractNumId="570">
    <w:nsid w:val="15A79515"/>
    <w:multiLevelType w:val="hybridMultilevel"/>
    <w:lvl w:ilvl="0">
      <w:lvlJc w:val="left"/>
      <w:lvlText w:val="(%1)"/>
      <w:numFmt w:val="lowerRoman"/>
      <w:start w:val="3"/>
    </w:lvl>
  </w:abstractNum>
  <w:abstractNum w:abstractNumId="571">
    <w:nsid w:val="4B67062"/>
    <w:multiLevelType w:val="hybridMultilevel"/>
    <w:lvl w:ilvl="0">
      <w:lvlJc w:val="left"/>
      <w:lvlText w:val="(%1)"/>
      <w:numFmt w:val="lowerRoman"/>
      <w:start w:val="1"/>
    </w:lvl>
  </w:abstractNum>
  <w:abstractNum w:abstractNumId="572">
    <w:nsid w:val="51174123"/>
    <w:multiLevelType w:val="hybridMultilevel"/>
    <w:lvl w:ilvl="0">
      <w:lvlJc w:val="left"/>
      <w:lvlText w:val="(%1)"/>
      <w:numFmt w:val="lowerRoman"/>
      <w:start w:val="2"/>
    </w:lvl>
  </w:abstractNum>
  <w:abstractNum w:abstractNumId="573">
    <w:nsid w:val="240453CA"/>
    <w:multiLevelType w:val="hybridMultilevel"/>
    <w:lvl w:ilvl="0">
      <w:lvlJc w:val="left"/>
      <w:lvlText w:val="(%1)"/>
      <w:numFmt w:val="lowerRoman"/>
      <w:start w:val="2"/>
    </w:lvl>
  </w:abstractNum>
  <w:abstractNum w:abstractNumId="574">
    <w:nsid w:val="2E326D9A"/>
    <w:multiLevelType w:val="hybridMultilevel"/>
    <w:lvl w:ilvl="0">
      <w:lvlJc w:val="left"/>
      <w:lvlText w:val="(%1)"/>
      <w:numFmt w:val="lowerRoman"/>
      <w:start w:val="2"/>
    </w:lvl>
  </w:abstractNum>
  <w:abstractNum w:abstractNumId="575">
    <w:nsid w:val="5EB19210"/>
    <w:multiLevelType w:val="hybridMultilevel"/>
    <w:lvl w:ilvl="0">
      <w:lvlJc w:val="left"/>
      <w:lvlText w:val="%1."/>
      <w:numFmt w:val="decimal"/>
      <w:start w:val="4"/>
    </w:lvl>
  </w:abstractNum>
  <w:abstractNum w:abstractNumId="576">
    <w:nsid w:val="44DEFF9B"/>
    <w:multiLevelType w:val="hybridMultilevel"/>
    <w:lvl w:ilvl="0">
      <w:lvlJc w:val="left"/>
      <w:lvlText w:val="%1."/>
      <w:numFmt w:val="decimal"/>
      <w:start w:val="5"/>
    </w:lvl>
  </w:abstractNum>
  <w:abstractNum w:abstractNumId="577">
    <w:nsid w:val="1FE7D17D"/>
    <w:multiLevelType w:val="hybridMultilevel"/>
    <w:lvl w:ilvl="0">
      <w:lvlJc w:val="left"/>
      <w:lvlText w:val="(%1)"/>
      <w:numFmt w:val="lowerRoman"/>
      <w:start w:val="1"/>
    </w:lvl>
  </w:abstractNum>
  <w:abstractNum w:abstractNumId="578">
    <w:nsid w:val="52CBAB2E"/>
    <w:multiLevelType w:val="hybridMultilevel"/>
    <w:lvl w:ilvl="0">
      <w:lvlJc w:val="left"/>
      <w:lvlText w:val="(%1)"/>
      <w:numFmt w:val="lowerRoman"/>
      <w:start w:val="2"/>
    </w:lvl>
  </w:abstractNum>
  <w:abstractNum w:abstractNumId="579">
    <w:nsid w:val="1A6760EF"/>
    <w:multiLevelType w:val="hybridMultilevel"/>
    <w:lvl w:ilvl="0">
      <w:lvlJc w:val="left"/>
      <w:lvlText w:val="(%1)"/>
      <w:numFmt w:val="lowerRoman"/>
      <w:start w:val="1"/>
    </w:lvl>
  </w:abstractNum>
  <w:abstractNum w:abstractNumId="580">
    <w:nsid w:val="5E52C405"/>
    <w:multiLevelType w:val="hybridMultilevel"/>
    <w:lvl w:ilvl="0">
      <w:lvlJc w:val="left"/>
      <w:lvlText w:val="%1."/>
      <w:numFmt w:val="decimal"/>
      <w:start w:val="6"/>
    </w:lvl>
  </w:abstractNum>
  <w:abstractNum w:abstractNumId="581">
    <w:nsid w:val="486447"/>
    <w:multiLevelType w:val="hybridMultilevel"/>
    <w:lvl w:ilvl="0">
      <w:lvlJc w:val="left"/>
      <w:lvlText w:val="%1."/>
      <w:numFmt w:val="decimal"/>
      <w:start w:val="7"/>
    </w:lvl>
  </w:abstractNum>
  <w:abstractNum w:abstractNumId="582">
    <w:nsid w:val="61E90D1E"/>
    <w:multiLevelType w:val="hybridMultilevel"/>
    <w:lvl w:ilvl="0">
      <w:lvlJc w:val="left"/>
      <w:lvlText w:val="(%1)"/>
      <w:numFmt w:val="lowerRoman"/>
      <w:start w:val="2"/>
    </w:lvl>
  </w:abstractNum>
  <w:abstractNum w:abstractNumId="583">
    <w:nsid w:val="44BD67E6"/>
    <w:multiLevelType w:val="hybridMultilevel"/>
    <w:lvl w:ilvl="0">
      <w:lvlJc w:val="left"/>
      <w:lvlText w:val="%1."/>
      <w:numFmt w:val="decimal"/>
      <w:start w:val="8"/>
    </w:lvl>
  </w:abstractNum>
  <w:abstractNum w:abstractNumId="584">
    <w:nsid w:val="325102D3"/>
    <w:multiLevelType w:val="hybridMultilevel"/>
    <w:lvl w:ilvl="0">
      <w:lvlJc w:val="left"/>
      <w:lvlText w:val="%1."/>
      <w:numFmt w:val="decimal"/>
      <w:start w:val="9"/>
    </w:lvl>
  </w:abstractNum>
  <w:abstractNum w:abstractNumId="585">
    <w:nsid w:val="3D9579BA"/>
    <w:multiLevelType w:val="hybridMultilevel"/>
    <w:lvl w:ilvl="0">
      <w:lvlJc w:val="left"/>
      <w:lvlText w:val="%1."/>
      <w:numFmt w:val="decimal"/>
      <w:start w:val="10"/>
    </w:lvl>
  </w:abstractNum>
  <w:abstractNum w:abstractNumId="586">
    <w:nsid w:val="ACD4C11"/>
    <w:multiLevelType w:val="hybridMultilevel"/>
    <w:lvl w:ilvl="0">
      <w:lvlJc w:val="left"/>
      <w:lvlText w:val="%1."/>
      <w:numFmt w:val="decimal"/>
      <w:start w:val="13"/>
    </w:lvl>
  </w:abstractNum>
  <w:abstractNum w:abstractNumId="587">
    <w:nsid w:val="111817CF"/>
    <w:multiLevelType w:val="hybridMultilevel"/>
    <w:lvl w:ilvl="0">
      <w:lvlJc w:val="left"/>
      <w:lvlText w:val="%1."/>
      <w:numFmt w:val="decimal"/>
      <w:start w:val="1"/>
    </w:lvl>
  </w:abstractNum>
  <w:abstractNum w:abstractNumId="588">
    <w:nsid w:val="76C8B568"/>
    <w:multiLevelType w:val="hybridMultilevel"/>
    <w:lvl w:ilvl="0">
      <w:lvlJc w:val="left"/>
      <w:lvlText w:val="(%1)"/>
      <w:numFmt w:val="lowerLetter"/>
      <w:start w:val="2"/>
    </w:lvl>
    <w:lvl w:ilvl="1">
      <w:lvlJc w:val="left"/>
      <w:lvlText w:val="%2."/>
      <w:numFmt w:val="decimal"/>
      <w:start w:val="2"/>
    </w:lvl>
  </w:abstractNum>
  <w:abstractNum w:abstractNumId="589">
    <w:nsid w:val="3ACC76B1"/>
    <w:multiLevelType w:val="hybridMultilevel"/>
    <w:lvl w:ilvl="0">
      <w:lvlJc w:val="left"/>
      <w:lvlText w:val="%1."/>
      <w:numFmt w:val="decimal"/>
      <w:start w:val="3"/>
    </w:lvl>
  </w:abstractNum>
  <w:abstractNum w:abstractNumId="590">
    <w:nsid w:val="588B1C7C"/>
    <w:multiLevelType w:val="hybridMultilevel"/>
    <w:lvl w:ilvl="0">
      <w:lvlJc w:val="left"/>
      <w:lvlText w:val="(%1)"/>
      <w:numFmt w:val="lowerLetter"/>
      <w:start w:val="1"/>
    </w:lvl>
  </w:abstractNum>
  <w:abstractNum w:abstractNumId="591">
    <w:nsid w:val="62682D8B"/>
    <w:multiLevelType w:val="hybridMultilevel"/>
    <w:lvl w:ilvl="0">
      <w:lvlJc w:val="left"/>
      <w:lvlText w:val="%1."/>
      <w:numFmt w:val="decimal"/>
      <w:start w:val="4"/>
    </w:lvl>
  </w:abstractNum>
  <w:abstractNum w:abstractNumId="592">
    <w:nsid w:val="436F111A"/>
    <w:multiLevelType w:val="hybridMultilevel"/>
    <w:lvl w:ilvl="0">
      <w:lvlJc w:val="left"/>
      <w:lvlText w:val="%1."/>
      <w:numFmt w:val="decimal"/>
      <w:start w:val="1"/>
    </w:lvl>
    <w:lvl w:ilvl="1">
      <w:lvlJc w:val="left"/>
      <w:lvlText w:val="(%2)"/>
      <w:numFmt w:val="lowerLetter"/>
      <w:start w:val="1"/>
    </w:lvl>
  </w:abstractNum>
  <w:abstractNum w:abstractNumId="593">
    <w:nsid w:val="3299B71B"/>
    <w:multiLevelType w:val="hybridMultilevel"/>
    <w:lvl w:ilvl="0">
      <w:lvlJc w:val="left"/>
      <w:lvlText w:val="%1."/>
      <w:numFmt w:val="decimal"/>
      <w:start w:val="2"/>
    </w:lvl>
    <w:lvl w:ilvl="1">
      <w:lvlJc w:val="left"/>
      <w:lvlText w:val="(%2)"/>
      <w:numFmt w:val="lowerLetter"/>
      <w:start w:val="1"/>
    </w:lvl>
  </w:abstractNum>
  <w:abstractNum w:abstractNumId="594">
    <w:nsid w:val="7EA75F5A"/>
    <w:multiLevelType w:val="hybridMultilevel"/>
    <w:lvl w:ilvl="0">
      <w:lvlJc w:val="left"/>
      <w:lvlText w:val="(%1)"/>
      <w:numFmt w:val="lowerRoman"/>
      <w:start w:val="1"/>
    </w:lvl>
  </w:abstractNum>
  <w:abstractNum w:abstractNumId="595">
    <w:nsid w:val="44419EF9"/>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abstractNum>
  <w:abstractNum w:abstractNumId="596">
    <w:nsid w:val="3837F1DF"/>
    <w:multiLevelType w:val="hybridMultilevel"/>
    <w:lvl w:ilvl="0">
      <w:lvlJc w:val="left"/>
      <w:lvlText w:val="%1."/>
      <w:numFmt w:val="decimal"/>
      <w:start w:val="6"/>
    </w:lvl>
    <w:lvl w:ilvl="1">
      <w:lvlJc w:val="left"/>
      <w:lvlText w:val="(%2)"/>
      <w:numFmt w:val="lowerLetter"/>
      <w:start w:val="1"/>
    </w:lvl>
  </w:abstractNum>
  <w:abstractNum w:abstractNumId="597">
    <w:nsid w:val="5BE02A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8">
    <w:nsid w:val="4A35BF8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9">
    <w:nsid w:val="344702A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0">
    <w:nsid w:val="1CFAC1A"/>
    <w:multiLevelType w:val="hybridMultilevel"/>
    <w:lvl w:ilvl="0">
      <w:lvlJc w:val="left"/>
      <w:lvlText w:val="(%1)"/>
      <w:numFmt w:val="lowerLetter"/>
      <w:start w:val="1"/>
    </w:lvl>
  </w:abstractNum>
  <w:abstractNum w:abstractNumId="601">
    <w:nsid w:val="5FDD549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02">
    <w:nsid w:val="38FD730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03">
    <w:nsid w:val="52E6E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04">
    <w:nsid w:val="3E1A8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05">
    <w:nsid w:val="672FE0A8"/>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606">
    <w:nsid w:val="31987F4D"/>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07">
    <w:nsid w:val="48C0A800"/>
    <w:multiLevelType w:val="hybridMultilevel"/>
    <w:lvl w:ilvl="0">
      <w:lvlJc w:val="left"/>
      <w:lvlText w:val="%1"/>
      <w:numFmt w:val="decimal"/>
      <w:start w:val="1"/>
    </w:lvl>
    <w:lvl w:ilvl="1">
      <w:lvlJc w:val="left"/>
      <w:lvlText w:val="(%2)"/>
      <w:numFmt w:val="lowerLetter"/>
      <w:start w:val="3"/>
    </w:lvl>
  </w:abstractNum>
  <w:abstractNum w:abstractNumId="608">
    <w:nsid w:val="717B226"/>
    <w:multiLevelType w:val="hybridMultilevel"/>
    <w:lvl w:ilvl="0">
      <w:lvlJc w:val="left"/>
      <w:lvlText w:val="%1."/>
      <w:numFmt w:val="decimal"/>
      <w:start w:val="12"/>
    </w:lvl>
    <w:lvl w:ilvl="1">
      <w:lvlJc w:val="left"/>
      <w:lvlText w:val="(%2)"/>
      <w:numFmt w:val="lowerLetter"/>
      <w:start w:val="1"/>
    </w:lvl>
  </w:abstractNum>
  <w:abstractNum w:abstractNumId="609">
    <w:nsid w:val="4642A7B"/>
    <w:multiLevelType w:val="hybridMultilevel"/>
    <w:lvl w:ilvl="0">
      <w:lvlJc w:val="left"/>
      <w:lvlText w:val="%1"/>
      <w:numFmt w:val="decimal"/>
      <w:start w:val="1"/>
    </w:lvl>
    <w:lvl w:ilvl="1">
      <w:lvlJc w:val="left"/>
      <w:lvlText w:val="(%2)"/>
      <w:numFmt w:val="lowerLetter"/>
      <w:start w:val="2"/>
    </w:lvl>
  </w:abstractNum>
  <w:abstractNum w:abstractNumId="610">
    <w:nsid w:val="632808EF"/>
    <w:multiLevelType w:val="hybridMultilevel"/>
    <w:lvl w:ilvl="0">
      <w:lvlJc w:val="left"/>
      <w:lvlText w:val="%1."/>
      <w:numFmt w:val="decimal"/>
      <w:start w:val="13"/>
    </w:lvl>
    <w:lvl w:ilvl="1">
      <w:lvlJc w:val="left"/>
      <w:lvlText w:val="(%2)"/>
      <w:numFmt w:val="lowerLetter"/>
      <w:start w:val="1"/>
    </w:lvl>
  </w:abstractNum>
  <w:abstractNum w:abstractNumId="611">
    <w:nsid w:val="656A762B"/>
    <w:multiLevelType w:val="hybridMultilevel"/>
    <w:lvl w:ilvl="0">
      <w:lvlJc w:val="left"/>
      <w:lvlText w:val="%1."/>
      <w:numFmt w:val="decimal"/>
      <w:start w:val="15"/>
    </w:lvl>
  </w:abstractNum>
  <w:abstractNum w:abstractNumId="612">
    <w:nsid w:val="4AC8EC3"/>
    <w:multiLevelType w:val="hybridMultilevel"/>
    <w:lvl w:ilvl="0">
      <w:lvlJc w:val="left"/>
      <w:lvlText w:val="%1."/>
      <w:numFmt w:val="decimal"/>
      <w:start w:val="1"/>
    </w:lvl>
    <w:lvl w:ilvl="1">
      <w:lvlJc w:val="left"/>
      <w:lvlText w:val="(%2)"/>
      <w:numFmt w:val="lowerLetter"/>
      <w:start w:val="1"/>
    </w:lvl>
  </w:abstractNum>
  <w:abstractNum w:abstractNumId="613">
    <w:nsid w:val="4511160D"/>
    <w:multiLevelType w:val="hybridMultilevel"/>
    <w:lvl w:ilvl="0">
      <w:lvlJc w:val="left"/>
      <w:lvlText w:val="%1."/>
      <w:numFmt w:val="upperLetter"/>
      <w:start w:val="1"/>
    </w:lvl>
  </w:abstractNum>
  <w:abstractNum w:abstractNumId="614">
    <w:nsid w:val="2A27DE11"/>
    <w:multiLevelType w:val="hybridMultilevel"/>
    <w:lvl w:ilvl="0">
      <w:lvlJc w:val="left"/>
      <w:lvlText w:val="%1."/>
      <w:numFmt w:val="upperLetter"/>
      <w:start w:val="4"/>
    </w:lvl>
  </w:abstractNum>
  <w:abstractNum w:abstractNumId="615">
    <w:nsid w:val="36FD9196"/>
    <w:multiLevelType w:val="hybridMultilevel"/>
    <w:lvl w:ilvl="0">
      <w:lvlJc w:val="left"/>
      <w:lvlText w:val="*"/>
      <w:numFmt w:val="bullet"/>
      <w:start w:val="1"/>
    </w:lvl>
  </w:abstractNum>
  <w:abstractNum w:abstractNumId="616">
    <w:nsid w:val="2A68FC8"/>
    <w:multiLevelType w:val="hybridMultilevel"/>
    <w:lvl w:ilvl="0">
      <w:lvlJc w:val="left"/>
      <w:lvlText w:val="%1."/>
      <w:numFmt w:val="decimal"/>
      <w:start w:val="1"/>
    </w:lvl>
  </w:abstractNum>
  <w:abstractNum w:abstractNumId="617">
    <w:nsid w:val="34F52A23"/>
    <w:multiLevelType w:val="hybridMultilevel"/>
    <w:lvl w:ilvl="0">
      <w:lvlJc w:val="left"/>
      <w:lvlText w:val="%1."/>
      <w:numFmt w:val="decimal"/>
      <w:start w:val="4"/>
    </w:lvl>
  </w:abstractNum>
  <w:abstractNum w:abstractNumId="618">
    <w:nsid w:val="4815A966"/>
    <w:multiLevelType w:val="hybridMultilevel"/>
    <w:lvl w:ilvl="0">
      <w:lvlJc w:val="left"/>
      <w:lvlText w:val="%1."/>
      <w:numFmt w:val="decimal"/>
      <w:start w:val="1"/>
    </w:lvl>
  </w:abstractNum>
  <w:abstractNum w:abstractNumId="619">
    <w:nsid w:val="796F4530"/>
    <w:multiLevelType w:val="hybridMultilevel"/>
    <w:lvl w:ilvl="0">
      <w:lvlJc w:val="left"/>
      <w:lvlText w:val="(%1)"/>
      <w:numFmt w:val="lowerLetter"/>
      <w:start w:val="1"/>
    </w:lvl>
  </w:abstractNum>
  <w:abstractNum w:abstractNumId="620">
    <w:nsid w:val="6FC1A0D4"/>
    <w:multiLevelType w:val="hybridMultilevel"/>
    <w:lvl w:ilvl="0">
      <w:lvlJc w:val="left"/>
      <w:lvlText w:val="%1."/>
      <w:numFmt w:val="decimal"/>
      <w:start w:val="2"/>
    </w:lvl>
  </w:abstractNum>
  <w:abstractNum w:abstractNumId="621">
    <w:nsid w:val="20A0C5E2"/>
    <w:multiLevelType w:val="hybridMultilevel"/>
    <w:lvl w:ilvl="0">
      <w:lvlJc w:val="left"/>
      <w:lvlText w:val="%1."/>
      <w:numFmt w:val="decimal"/>
      <w:start w:val="3"/>
    </w:lvl>
    <w:lvl w:ilvl="1">
      <w:lvlJc w:val="left"/>
      <w:lvlText w:val="(%2)"/>
      <w:numFmt w:val="lowerLetter"/>
      <w:start w:val="1"/>
    </w:lvl>
  </w:abstractNum>
  <w:abstractNum w:abstractNumId="622">
    <w:nsid w:val="5BD772BB"/>
    <w:multiLevelType w:val="hybridMultilevel"/>
    <w:lvl w:ilvl="0">
      <w:lvlJc w:val="left"/>
      <w:lvlText w:val="(%1)"/>
      <w:numFmt w:val="lowerLetter"/>
      <w:start w:val="2"/>
    </w:lvl>
    <w:lvl w:ilvl="1">
      <w:lvlJc w:val="left"/>
      <w:lvlText w:val="(%2)"/>
      <w:numFmt w:val="lowerLetter"/>
      <w:start w:val="9"/>
    </w:lvl>
  </w:abstractNum>
  <w:abstractNum w:abstractNumId="623">
    <w:nsid w:val="3330B1EE"/>
    <w:multiLevelType w:val="hybridMultilevel"/>
    <w:lvl w:ilvl="0">
      <w:lvlJc w:val="left"/>
      <w:lvlText w:val="%1"/>
      <w:numFmt w:val="lowerLetter"/>
      <w:start w:val="1"/>
    </w:lvl>
    <w:lvl w:ilvl="1">
      <w:lvlJc w:val="left"/>
      <w:lvlText w:val="(%2)"/>
      <w:numFmt w:val="lowerLetter"/>
      <w:start w:val="35"/>
    </w:lvl>
  </w:abstractNum>
  <w:abstractNum w:abstractNumId="624">
    <w:nsid w:val="533A7CFD"/>
    <w:multiLevelType w:val="hybridMultilevel"/>
    <w:lvl w:ilvl="0">
      <w:lvlJc w:val="left"/>
      <w:lvlText w:val="(%1)"/>
      <w:numFmt w:val="lowerLetter"/>
      <w:start w:val="3"/>
    </w:lvl>
    <w:lvl w:ilvl="1">
      <w:lvlJc w:val="left"/>
      <w:lvlText w:val="%2"/>
      <w:numFmt w:val="lowerLetter"/>
      <w:start w:val="1"/>
    </w:lvl>
  </w:abstractNum>
  <w:abstractNum w:abstractNumId="625">
    <w:nsid w:val="5A7ED215"/>
    <w:multiLevelType w:val="hybridMultilevel"/>
    <w:lvl w:ilvl="0">
      <w:lvlJc w:val="left"/>
      <w:lvlText w:val="(%1)"/>
      <w:numFmt w:val="lowerLetter"/>
      <w:start w:val="4"/>
    </w:lvl>
  </w:abstractNum>
  <w:abstractNum w:abstractNumId="626">
    <w:nsid w:val="777250E7"/>
    <w:multiLevelType w:val="hybridMultilevel"/>
    <w:lvl w:ilvl="0">
      <w:lvlJc w:val="left"/>
      <w:lvlText w:val="%1."/>
      <w:numFmt w:val="decimal"/>
      <w:start w:val="4"/>
    </w:lvl>
  </w:abstractNum>
  <w:abstractNum w:abstractNumId="627">
    <w:nsid w:val="B726EDC"/>
    <w:multiLevelType w:val="hybridMultilevel"/>
    <w:lvl w:ilvl="0">
      <w:lvlJc w:val="left"/>
      <w:lvlText w:val="%1."/>
      <w:numFmt w:val="decimal"/>
      <w:start w:val="5"/>
    </w:lvl>
  </w:abstractNum>
  <w:abstractNum w:abstractNumId="628">
    <w:nsid w:val="365EFC5A"/>
    <w:multiLevelType w:val="hybridMultilevel"/>
    <w:lvl w:ilvl="0">
      <w:lvlJc w:val="left"/>
      <w:lvlText w:val="%1."/>
      <w:numFmt w:val="decimal"/>
      <w:start w:val="6"/>
    </w:lvl>
  </w:abstractNum>
  <w:abstractNum w:abstractNumId="629">
    <w:nsid w:val="41A8106C"/>
    <w:multiLevelType w:val="hybridMultilevel"/>
    <w:lvl w:ilvl="0">
      <w:lvlJc w:val="left"/>
      <w:lvlText w:val="%1."/>
      <w:numFmt w:val="decimal"/>
      <w:start w:val="7"/>
    </w:lvl>
  </w:abstractNum>
  <w:abstractNum w:abstractNumId="630">
    <w:nsid w:val="3FB97188"/>
    <w:multiLevelType w:val="hybridMultilevel"/>
    <w:lvl w:ilvl="0">
      <w:lvlJc w:val="left"/>
      <w:lvlText w:val="(%1)"/>
      <w:numFmt w:val="lowerLetter"/>
      <w:start w:val="1"/>
    </w:lvl>
  </w:abstractNum>
  <w:abstractNum w:abstractNumId="631">
    <w:nsid w:val="382EA874"/>
    <w:multiLevelType w:val="hybridMultilevel"/>
    <w:lvl w:ilvl="0">
      <w:lvlJc w:val="left"/>
      <w:lvlText w:val="(%1)"/>
      <w:numFmt w:val="decimal"/>
      <w:start w:val="45"/>
    </w:lvl>
    <w:lvl w:ilvl="1">
      <w:lvlJc w:val="left"/>
      <w:lvlText w:val="(%2)"/>
      <w:numFmt w:val="lowerLetter"/>
      <w:start w:val="2"/>
    </w:lvl>
  </w:abstractNum>
  <w:abstractNum w:abstractNumId="632">
    <w:nsid w:val="21856507"/>
    <w:multiLevelType w:val="hybridMultilevel"/>
    <w:lvl w:ilvl="0">
      <w:lvlJc w:val="left"/>
      <w:lvlText w:val="(%1)"/>
      <w:numFmt w:val="lowerLetter"/>
      <w:start w:val="4"/>
    </w:lvl>
  </w:abstractNum>
  <w:abstractNum w:abstractNumId="633">
    <w:nsid w:val="78B6E496"/>
    <w:multiLevelType w:val="hybridMultilevel"/>
    <w:lvl w:ilvl="0">
      <w:lvlJc w:val="left"/>
      <w:lvlText w:val="%1."/>
      <w:numFmt w:val="decimal"/>
      <w:start w:val="8"/>
    </w:lvl>
  </w:abstractNum>
  <w:abstractNum w:abstractNumId="634">
    <w:nsid w:val="B1595B1"/>
    <w:multiLevelType w:val="hybridMultilevel"/>
    <w:lvl w:ilvl="0">
      <w:lvlJc w:val="left"/>
      <w:lvlText w:val="(%1)"/>
      <w:numFmt w:val="lowerLetter"/>
      <w:start w:val="1"/>
    </w:lvl>
  </w:abstractNum>
  <w:abstractNum w:abstractNumId="635">
    <w:nsid w:val="25670D6B"/>
    <w:multiLevelType w:val="hybridMultilevel"/>
    <w:lvl w:ilvl="0">
      <w:lvlJc w:val="left"/>
      <w:lvlText w:val="(%1)"/>
      <w:numFmt w:val="lowerRoman"/>
      <w:start w:val="1"/>
    </w:lvl>
  </w:abstractNum>
  <w:abstractNum w:abstractNumId="636">
    <w:nsid w:val="5FE6C53F"/>
    <w:multiLevelType w:val="hybridMultilevel"/>
    <w:lvl w:ilvl="0">
      <w:lvlJc w:val="left"/>
      <w:lvlText w:val="(%1)"/>
      <w:numFmt w:val="lowerLetter"/>
      <w:start w:val="2"/>
    </w:lvl>
  </w:abstractNum>
  <w:abstractNum w:abstractNumId="637">
    <w:nsid w:val="3CAE14FE"/>
    <w:multiLevelType w:val="hybridMultilevel"/>
    <w:lvl w:ilvl="0">
      <w:lvlJc w:val="left"/>
      <w:lvlText w:val="(%1)"/>
      <w:numFmt w:val="lowerLetter"/>
      <w:start w:val="3"/>
    </w:lvl>
  </w:abstractNum>
  <w:abstractNum w:abstractNumId="638">
    <w:nsid w:val="6E27B56B"/>
    <w:multiLevelType w:val="hybridMultilevel"/>
    <w:lvl w:ilvl="0">
      <w:lvlJc w:val="left"/>
      <w:lvlText w:val="(%1)"/>
      <w:numFmt w:val="lowerLetter"/>
      <w:start w:val="4"/>
    </w:lvl>
  </w:abstractNum>
  <w:abstractNum w:abstractNumId="639">
    <w:nsid w:val="66FE7765"/>
    <w:multiLevelType w:val="hybridMultilevel"/>
    <w:lvl w:ilvl="0">
      <w:lvlJc w:val="left"/>
      <w:lvlText w:val="%1"/>
      <w:numFmt w:val="decimal"/>
      <w:start w:val="1"/>
    </w:lvl>
    <w:lvl w:ilvl="1">
      <w:lvlJc w:val="left"/>
      <w:lvlText w:val="(%2)"/>
      <w:numFmt w:val="lowerLetter"/>
      <w:start w:val="5"/>
    </w:lvl>
  </w:abstractNum>
  <w:abstractNum w:abstractNumId="640">
    <w:nsid w:val="41123F79"/>
    <w:multiLevelType w:val="hybridMultilevel"/>
    <w:lvl w:ilvl="0">
      <w:lvlJc w:val="left"/>
      <w:lvlText w:val="%1."/>
      <w:numFmt w:val="decimal"/>
      <w:start w:val="9"/>
    </w:lvl>
    <w:lvl w:ilvl="1">
      <w:lvlJc w:val="left"/>
      <w:lvlText w:val="%2"/>
      <w:numFmt w:val="lowerLetter"/>
      <w:start w:val="1"/>
    </w:lvl>
  </w:abstractNum>
  <w:abstractNum w:abstractNumId="641">
    <w:nsid w:val="514FBE5A"/>
    <w:multiLevelType w:val="hybridMultilevel"/>
    <w:lvl w:ilvl="0">
      <w:lvlJc w:val="left"/>
      <w:lvlText w:val="(%1)"/>
      <w:numFmt w:val="lowerLetter"/>
      <w:start w:val="1"/>
    </w:lvl>
  </w:abstractNum>
  <w:abstractNum w:abstractNumId="642">
    <w:nsid w:val="4C68ED90"/>
    <w:multiLevelType w:val="hybridMultilevel"/>
    <w:lvl w:ilvl="0">
      <w:lvlJc w:val="left"/>
      <w:lvlText w:val="%1"/>
      <w:numFmt w:val="decimal"/>
      <w:start w:val="1"/>
    </w:lvl>
    <w:lvl w:ilvl="1">
      <w:lvlJc w:val="left"/>
      <w:lvlText w:val="(%2)"/>
      <w:numFmt w:val="lowerLetter"/>
      <w:start w:val="5"/>
    </w:lvl>
  </w:abstractNum>
  <w:abstractNum w:abstractNumId="643">
    <w:nsid w:val="45BECE3C"/>
    <w:multiLevelType w:val="hybridMultilevel"/>
    <w:lvl w:ilvl="0">
      <w:lvlJc w:val="left"/>
      <w:lvlText w:val="%1."/>
      <w:numFmt w:val="decimal"/>
      <w:start w:val="10"/>
    </w:lvl>
    <w:lvl w:ilvl="1">
      <w:lvlJc w:val="left"/>
      <w:lvlText w:val="(%2)"/>
      <w:numFmt w:val="lowerLetter"/>
      <w:start w:val="1"/>
    </w:lvl>
  </w:abstractNum>
  <w:abstractNum w:abstractNumId="644">
    <w:nsid w:val="1660D46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5">
    <w:nsid w:val="7690CB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6">
    <w:nsid w:val="7CBC5FD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47">
    <w:nsid w:val="19076430"/>
    <w:multiLevelType w:val="hybridMultilevel"/>
    <w:lvl w:ilvl="0">
      <w:lvlJc w:val="left"/>
      <w:lvlText w:val="%1"/>
      <w:numFmt w:val="decimal"/>
      <w:start w:val="1"/>
    </w:lvl>
    <w:lvl w:ilvl="1">
      <w:lvlJc w:val="left"/>
      <w:lvlText w:val="(%2)"/>
      <w:numFmt w:val="lowerLetter"/>
      <w:start w:val="3"/>
    </w:lvl>
  </w:abstractNum>
  <w:abstractNum w:abstractNumId="648">
    <w:nsid w:val="2B85F5C4"/>
    <w:multiLevelType w:val="hybridMultilevel"/>
    <w:lvl w:ilvl="0">
      <w:lvlJc w:val="left"/>
      <w:lvlText w:val="%1."/>
      <w:numFmt w:val="decimal"/>
      <w:start w:val="12"/>
    </w:lvl>
    <w:lvl w:ilvl="1">
      <w:lvlJc w:val="left"/>
      <w:lvlText w:val="(%2)"/>
      <w:numFmt w:val="lowerLetter"/>
      <w:start w:val="1"/>
    </w:lvl>
  </w:abstractNum>
  <w:abstractNum w:abstractNumId="649">
    <w:nsid w:val="44D2093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650">
    <w:nsid w:val="1276A960"/>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abstractNum>
  <w:abstractNum w:abstractNumId="651">
    <w:nsid w:val="1B479698"/>
    <w:multiLevelType w:val="hybridMultilevel"/>
    <w:lvl w:ilvl="0">
      <w:lvlJc w:val="left"/>
      <w:lvlText w:val="%1."/>
      <w:numFmt w:val="decimal"/>
      <w:start w:val="14"/>
    </w:lvl>
    <w:lvl w:ilvl="1">
      <w:lvlJc w:val="left"/>
      <w:lvlText w:val="(%2)"/>
      <w:numFmt w:val="lowerLetter"/>
      <w:start w:val="1"/>
    </w:lvl>
  </w:abstractNum>
  <w:abstractNum w:abstractNumId="652">
    <w:nsid w:val="6572CF1B"/>
    <w:multiLevelType w:val="hybridMultilevel"/>
    <w:lvl w:ilvl="0">
      <w:lvlJc w:val="left"/>
      <w:lvlText w:val="%1."/>
      <w:numFmt w:val="decimal"/>
      <w:start w:val="15"/>
    </w:lvl>
  </w:abstractNum>
  <w:abstractNum w:abstractNumId="653">
    <w:nsid w:val="6E4E1C1B"/>
    <w:multiLevelType w:val="hybridMultilevel"/>
    <w:lvl w:ilvl="0">
      <w:lvlJc w:val="left"/>
      <w:lvlText w:val="%1."/>
      <w:numFmt w:val="decimal"/>
      <w:start w:val="16"/>
    </w:lvl>
  </w:abstractNum>
  <w:abstractNum w:abstractNumId="654">
    <w:nsid w:val="4E784887"/>
    <w:multiLevelType w:val="hybridMultilevel"/>
    <w:lvl w:ilvl="0">
      <w:lvlJc w:val="left"/>
      <w:lvlText w:val="%1."/>
      <w:numFmt w:val="decimal"/>
      <w:start w:val="17"/>
    </w:lvl>
  </w:abstractNum>
  <w:abstractNum w:abstractNumId="655">
    <w:nsid w:val="38AD4C18"/>
    <w:multiLevelType w:val="hybridMultilevel"/>
    <w:lvl w:ilvl="0">
      <w:lvlJc w:val="left"/>
      <w:lvlText w:val="%1."/>
      <w:numFmt w:val="upperLetter"/>
      <w:start w:val="1"/>
    </w:lvl>
  </w:abstractNum>
  <w:abstractNum w:abstractNumId="656">
    <w:nsid w:val="48CCEE31"/>
    <w:multiLevelType w:val="hybridMultilevel"/>
    <w:lvl w:ilvl="0">
      <w:lvlJc w:val="left"/>
      <w:lvlText w:val="%1."/>
      <w:numFmt w:val="upperLetter"/>
      <w:start w:val="4"/>
    </w:lvl>
  </w:abstractNum>
  <w:abstractNum w:abstractNumId="657">
    <w:nsid w:val="45EA996E"/>
    <w:multiLevelType w:val="hybridMultilevel"/>
    <w:lvl w:ilvl="0">
      <w:lvlJc w:val="left"/>
      <w:lvlText w:val="*"/>
      <w:numFmt w:val="bullet"/>
      <w:start w:val="1"/>
    </w:lvl>
  </w:abstractNum>
  <w:abstractNum w:abstractNumId="658">
    <w:nsid w:val="441FBAF4"/>
    <w:multiLevelType w:val="hybridMultilevel"/>
    <w:lvl w:ilvl="0">
      <w:lvlJc w:val="left"/>
      <w:lvlText w:val="%1."/>
      <w:numFmt w:val="decimal"/>
      <w:start w:val="1"/>
    </w:lvl>
    <w:lvl w:ilvl="1">
      <w:lvlJc w:val="left"/>
      <w:lvlText w:val="(%2)"/>
      <w:numFmt w:val="lowerLetter"/>
      <w:start w:val="1"/>
    </w:lvl>
  </w:abstractNum>
  <w:abstractNum w:abstractNumId="659">
    <w:nsid w:val="7F2BEA8B"/>
    <w:multiLevelType w:val="hybridMultilevel"/>
    <w:lvl w:ilvl="0">
      <w:lvlJc w:val="left"/>
      <w:lvlText w:val="%1."/>
      <w:numFmt w:val="decimal"/>
      <w:start w:val="2"/>
    </w:lvl>
  </w:abstractNum>
  <w:abstractNum w:abstractNumId="660">
    <w:nsid w:val="792A9DB"/>
    <w:multiLevelType w:val="hybridMultilevel"/>
    <w:lvl w:ilvl="0">
      <w:lvlJc w:val="left"/>
      <w:lvlText w:val="%1."/>
      <w:numFmt w:val="decimal"/>
      <w:start w:val="3"/>
    </w:lvl>
    <w:lvl w:ilvl="1">
      <w:lvlJc w:val="left"/>
      <w:lvlText w:val="(%2)"/>
      <w:numFmt w:val="lowerLetter"/>
      <w:start w:val="1"/>
    </w:lvl>
  </w:abstractNum>
  <w:abstractNum w:abstractNumId="661">
    <w:nsid w:val="3D92C7D"/>
    <w:multiLevelType w:val="hybridMultilevel"/>
    <w:lvl w:ilvl="0">
      <w:lvlJc w:val="left"/>
      <w:lvlText w:val="(%1)"/>
      <w:numFmt w:val="lowerLetter"/>
      <w:start w:val="2"/>
    </w:lvl>
    <w:lvl w:ilvl="1">
      <w:lvlJc w:val="left"/>
      <w:lvlText w:val="(%2)"/>
      <w:numFmt w:val="lowerRoman"/>
      <w:start w:val="1"/>
    </w:lvl>
  </w:abstractNum>
  <w:abstractNum w:abstractNumId="662">
    <w:nsid w:val="375A92FF"/>
    <w:multiLevelType w:val="hybridMultilevel"/>
    <w:lvl w:ilvl="0">
      <w:lvlJc w:val="left"/>
      <w:lvlText w:val="(%1)"/>
      <w:numFmt w:val="lowerRoman"/>
      <w:start w:val="2"/>
    </w:lvl>
  </w:abstractNum>
  <w:abstractNum w:abstractNumId="663">
    <w:nsid w:val="29180EE2"/>
    <w:multiLevelType w:val="hybridMultilevel"/>
    <w:lvl w:ilvl="0">
      <w:lvlJc w:val="left"/>
      <w:lvlText w:val="(%1)"/>
      <w:numFmt w:val="lowerLetter"/>
      <w:start w:val="3"/>
    </w:lvl>
  </w:abstractNum>
  <w:abstractNum w:abstractNumId="664">
    <w:nsid w:val="7C901113"/>
    <w:multiLevelType w:val="hybridMultilevel"/>
    <w:lvl w:ilvl="0">
      <w:lvlJc w:val="left"/>
      <w:lvlText w:val="(%1)"/>
      <w:numFmt w:val="lowerLetter"/>
      <w:start w:val="4"/>
    </w:lvl>
  </w:abstractNum>
  <w:abstractNum w:abstractNumId="665">
    <w:nsid w:val="427028B0"/>
    <w:multiLevelType w:val="hybridMultilevel"/>
    <w:lvl w:ilvl="0">
      <w:lvlJc w:val="left"/>
      <w:lvlText w:val="%1."/>
      <w:numFmt w:val="decimal"/>
      <w:start w:val="4"/>
    </w:lvl>
  </w:abstractNum>
  <w:abstractNum w:abstractNumId="666">
    <w:nsid w:val="4E7F1C4D"/>
    <w:multiLevelType w:val="hybridMultilevel"/>
    <w:lvl w:ilvl="0">
      <w:lvlJc w:val="left"/>
      <w:lvlText w:val="%1."/>
      <w:numFmt w:val="decimal"/>
      <w:start w:val="5"/>
    </w:lvl>
  </w:abstractNum>
  <w:abstractNum w:abstractNumId="667">
    <w:nsid w:val="5C76D652"/>
    <w:multiLevelType w:val="hybridMultilevel"/>
    <w:lvl w:ilvl="0">
      <w:lvlJc w:val="left"/>
      <w:lvlText w:val="%1."/>
      <w:numFmt w:val="decimal"/>
      <w:start w:val="6"/>
    </w:lvl>
  </w:abstractNum>
  <w:abstractNum w:abstractNumId="668">
    <w:nsid w:val="7F1E3DAE"/>
    <w:multiLevelType w:val="hybridMultilevel"/>
    <w:lvl w:ilvl="0">
      <w:lvlJc w:val="left"/>
      <w:lvlText w:val="%1."/>
      <w:numFmt w:val="decimal"/>
      <w:start w:val="7"/>
    </w:lvl>
  </w:abstractNum>
  <w:abstractNum w:abstractNumId="669">
    <w:nsid w:val="3CA6D1B9"/>
    <w:multiLevelType w:val="hybridMultilevel"/>
    <w:lvl w:ilvl="0">
      <w:lvlJc w:val="left"/>
      <w:lvlText w:val="(%1)"/>
      <w:numFmt w:val="lowerLetter"/>
      <w:start w:val="1"/>
    </w:lvl>
  </w:abstractNum>
  <w:abstractNum w:abstractNumId="670">
    <w:nsid w:val="43754DB7"/>
    <w:multiLevelType w:val="hybridMultilevel"/>
    <w:lvl w:ilvl="0">
      <w:lvlJc w:val="left"/>
      <w:lvlText w:val="(%1)"/>
      <w:numFmt w:val="lowerLetter"/>
      <w:start w:val="2"/>
    </w:lvl>
  </w:abstractNum>
  <w:abstractNum w:abstractNumId="671">
    <w:nsid w:val="40307D27"/>
    <w:multiLevelType w:val="hybridMultilevel"/>
    <w:lvl w:ilvl="0">
      <w:lvlJc w:val="left"/>
      <w:lvlText w:val="(%1)"/>
      <w:numFmt w:val="lowerRoman"/>
      <w:start w:val="1"/>
    </w:lvl>
  </w:abstractNum>
  <w:abstractNum w:abstractNumId="672">
    <w:nsid w:val="DF69013"/>
    <w:multiLevelType w:val="hybridMultilevel"/>
    <w:lvl w:ilvl="0">
      <w:lvlJc w:val="left"/>
      <w:lvlText w:val="(%1)"/>
      <w:numFmt w:val="lowerLetter"/>
      <w:start w:val="4"/>
    </w:lvl>
  </w:abstractNum>
  <w:abstractNum w:abstractNumId="673">
    <w:nsid w:val="FDE3B47"/>
    <w:multiLevelType w:val="hybridMultilevel"/>
    <w:lvl w:ilvl="0">
      <w:lvlJc w:val="left"/>
      <w:lvlText w:val="%1."/>
      <w:numFmt w:val="decimal"/>
      <w:start w:val="8"/>
    </w:lvl>
    <w:lvl w:ilvl="1">
      <w:lvlJc w:val="left"/>
      <w:lvlText w:val="(%2)"/>
      <w:numFmt w:val="lowerLetter"/>
      <w:start w:val="1"/>
    </w:lvl>
  </w:abstractNum>
  <w:abstractNum w:abstractNumId="674">
    <w:nsid w:val="5EF4B64"/>
    <w:multiLevelType w:val="hybridMultilevel"/>
    <w:lvl w:ilvl="0">
      <w:lvlJc w:val="left"/>
      <w:lvlText w:val="(%1)"/>
      <w:numFmt w:val="lowerRoman"/>
      <w:start w:val="1"/>
    </w:lvl>
  </w:abstractNum>
  <w:abstractNum w:abstractNumId="675">
    <w:nsid w:val="2457647B"/>
    <w:multiLevelType w:val="hybridMultilevel"/>
    <w:lvl w:ilvl="0">
      <w:lvlJc w:val="left"/>
      <w:lvlText w:val="(%1)"/>
      <w:numFmt w:val="lowerLetter"/>
      <w:start w:val="2"/>
    </w:lvl>
  </w:abstractNum>
  <w:abstractNum w:abstractNumId="676">
    <w:nsid w:val="66F06E9"/>
    <w:multiLevelType w:val="hybridMultilevel"/>
    <w:lvl w:ilvl="0">
      <w:lvlJc w:val="left"/>
      <w:lvlText w:val="(%1)"/>
      <w:numFmt w:val="lowerLetter"/>
      <w:start w:val="3"/>
    </w:lvl>
  </w:abstractNum>
  <w:abstractNum w:abstractNumId="677">
    <w:nsid w:val="2ABAB37"/>
    <w:multiLevelType w:val="hybridMultilevel"/>
    <w:lvl w:ilvl="0">
      <w:lvlJc w:val="left"/>
      <w:lvlText w:val="(%1)"/>
      <w:numFmt w:val="lowerLetter"/>
      <w:start w:val="4"/>
    </w:lvl>
  </w:abstractNum>
  <w:abstractNum w:abstractNumId="678">
    <w:nsid w:val="3D5EC8AB"/>
    <w:multiLevelType w:val="hybridMultilevel"/>
    <w:lvl w:ilvl="0">
      <w:lvlJc w:val="left"/>
      <w:lvlText w:val="%1"/>
      <w:numFmt w:val="decimal"/>
      <w:start w:val="1"/>
    </w:lvl>
    <w:lvl w:ilvl="1">
      <w:lvlJc w:val="left"/>
      <w:lvlText w:val="(%2)"/>
      <w:numFmt w:val="lowerLetter"/>
      <w:start w:val="5"/>
    </w:lvl>
  </w:abstractNum>
  <w:abstractNum w:abstractNumId="679">
    <w:nsid w:val="31F4FCAD"/>
    <w:multiLevelType w:val="hybridMultilevel"/>
    <w:lvl w:ilvl="0">
      <w:lvlJc w:val="left"/>
      <w:lvlText w:val="%1."/>
      <w:numFmt w:val="decimal"/>
      <w:start w:val="9"/>
    </w:lvl>
    <w:lvl w:ilvl="1">
      <w:lvlJc w:val="left"/>
      <w:lvlText w:val="%2"/>
      <w:numFmt w:val="lowerLetter"/>
      <w:start w:val="1"/>
    </w:lvl>
  </w:abstractNum>
  <w:abstractNum w:abstractNumId="680">
    <w:nsid w:val="477DB470"/>
    <w:multiLevelType w:val="hybridMultilevel"/>
    <w:lvl w:ilvl="0">
      <w:lvlJc w:val="left"/>
      <w:lvlText w:val="(%1)"/>
      <w:numFmt w:val="lowerLetter"/>
      <w:start w:val="1"/>
    </w:lvl>
  </w:abstractNum>
  <w:abstractNum w:abstractNumId="681">
    <w:nsid w:val="4FD5720B"/>
    <w:multiLevelType w:val="hybridMultilevel"/>
    <w:lvl w:ilvl="0">
      <w:lvlJc w:val="left"/>
      <w:lvlText w:val="%1"/>
      <w:numFmt w:val="decimal"/>
      <w:start w:val="1"/>
    </w:lvl>
    <w:lvl w:ilvl="1">
      <w:lvlJc w:val="left"/>
      <w:lvlText w:val="(%2)"/>
      <w:numFmt w:val="lowerLetter"/>
      <w:start w:val="5"/>
    </w:lvl>
  </w:abstractNum>
  <w:abstractNum w:abstractNumId="682">
    <w:nsid w:val="4D3C9346"/>
    <w:multiLevelType w:val="hybridMultilevel"/>
    <w:lvl w:ilvl="0">
      <w:lvlJc w:val="left"/>
      <w:lvlText w:val="%1."/>
      <w:numFmt w:val="decimal"/>
      <w:start w:val="10"/>
    </w:lvl>
    <w:lvl w:ilvl="1">
      <w:lvlJc w:val="left"/>
      <w:lvlText w:val="(%2)"/>
      <w:numFmt w:val="lowerLetter"/>
      <w:start w:val="1"/>
    </w:lvl>
  </w:abstractNum>
  <w:abstractNum w:abstractNumId="683">
    <w:nsid w:val="2CF0838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3"/>
    </w:lvl>
  </w:abstractNum>
  <w:abstractNum w:abstractNumId="684">
    <w:nsid w:val="3E238E2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685">
    <w:nsid w:val="1BB4DBCD"/>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686">
    <w:nsid w:val="659DCFA3"/>
    <w:multiLevelType w:val="hybridMultilevel"/>
    <w:lvl w:ilvl="0">
      <w:lvlJc w:val="left"/>
      <w:lvlText w:val="%1"/>
      <w:numFmt w:val="decimal"/>
      <w:start w:val="1"/>
    </w:lvl>
    <w:lvl w:ilvl="1">
      <w:lvlJc w:val="left"/>
      <w:lvlText w:val="(%2)"/>
      <w:numFmt w:val="lowerLetter"/>
      <w:start w:val="3"/>
    </w:lvl>
  </w:abstractNum>
  <w:abstractNum w:abstractNumId="687">
    <w:nsid w:val="6F07C58"/>
    <w:multiLevelType w:val="hybridMultilevel"/>
    <w:lvl w:ilvl="0">
      <w:lvlJc w:val="left"/>
      <w:lvlText w:val="%1."/>
      <w:numFmt w:val="decimal"/>
      <w:start w:val="12"/>
    </w:lvl>
    <w:lvl w:ilvl="1">
      <w:lvlJc w:val="left"/>
      <w:lvlText w:val="(%2)"/>
      <w:numFmt w:val="lowerLetter"/>
      <w:start w:val="1"/>
    </w:lvl>
  </w:abstractNum>
  <w:abstractNum w:abstractNumId="688">
    <w:nsid w:val="619F75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689">
    <w:nsid w:val="29BD8A97"/>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abstractNum>
  <w:abstractNum w:abstractNumId="690">
    <w:nsid w:val="61C66E3"/>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691">
    <w:nsid w:val="69321F16"/>
    <w:multiLevelType w:val="hybridMultilevel"/>
    <w:lvl w:ilvl="0">
      <w:lvlJc w:val="left"/>
      <w:lvlText w:val="%1."/>
      <w:numFmt w:val="decimal"/>
      <w:start w:val="15"/>
    </w:lvl>
  </w:abstractNum>
  <w:abstractNum w:abstractNumId="692">
    <w:nsid w:val="2D96B714"/>
    <w:multiLevelType w:val="hybridMultilevel"/>
    <w:lvl w:ilvl="0">
      <w:lvlJc w:val="left"/>
      <w:lvlText w:val="%1."/>
      <w:numFmt w:val="decimal"/>
      <w:start w:val="16"/>
    </w:lvl>
  </w:abstractNum>
  <w:abstractNum w:abstractNumId="693">
    <w:nsid w:val="3D76F9E2"/>
    <w:multiLevelType w:val="hybridMultilevel"/>
    <w:lvl w:ilvl="0">
      <w:lvlJc w:val="left"/>
      <w:lvlText w:val="%1."/>
      <w:numFmt w:val="decimal"/>
      <w:start w:val="17"/>
    </w:lvl>
  </w:abstractNum>
  <w:abstractNum w:abstractNumId="694">
    <w:nsid w:val="124A2DF8"/>
    <w:multiLevelType w:val="hybridMultilevel"/>
    <w:lvl w:ilvl="0">
      <w:lvlJc w:val="left"/>
      <w:lvlText w:val="%1."/>
      <w:numFmt w:val="upperLetter"/>
      <w:start w:val="1"/>
    </w:lvl>
  </w:abstractNum>
  <w:abstractNum w:abstractNumId="695">
    <w:nsid w:val="2A26C828"/>
    <w:multiLevelType w:val="hybridMultilevel"/>
    <w:lvl w:ilvl="0">
      <w:lvlJc w:val="left"/>
      <w:lvlText w:val="%1."/>
      <w:numFmt w:val="upperLetter"/>
      <w:start w:val="4"/>
    </w:lvl>
  </w:abstractNum>
  <w:abstractNum w:abstractNumId="696">
    <w:nsid w:val="7FE72292"/>
    <w:multiLevelType w:val="hybridMultilevel"/>
    <w:lvl w:ilvl="0">
      <w:lvlJc w:val="left"/>
      <w:lvlText w:val="*"/>
      <w:numFmt w:val="bullet"/>
      <w:start w:val="1"/>
    </w:lvl>
  </w:abstractNum>
  <w:abstractNum w:abstractNumId="697">
    <w:nsid w:val="60C94A46"/>
    <w:multiLevelType w:val="hybridMultilevel"/>
    <w:lvl w:ilvl="0">
      <w:lvlJc w:val="left"/>
      <w:lvlText w:val="%1."/>
      <w:numFmt w:val="decimal"/>
      <w:start w:val="1"/>
    </w:lvl>
  </w:abstractNum>
  <w:abstractNum w:abstractNumId="698">
    <w:nsid w:val="69D9E7A"/>
    <w:multiLevelType w:val="hybridMultilevel"/>
    <w:lvl w:ilvl="0">
      <w:lvlJc w:val="left"/>
      <w:lvlText w:val="%1."/>
      <w:numFmt w:val="decimal"/>
      <w:start w:val="2"/>
    </w:lvl>
    <w:lvl w:ilvl="1">
      <w:lvlJc w:val="left"/>
      <w:lvlText w:val="(%2)"/>
      <w:numFmt w:val="lowerLetter"/>
      <w:start w:val="1"/>
    </w:lvl>
  </w:abstractNum>
  <w:abstractNum w:abstractNumId="699">
    <w:nsid w:val="7F056040"/>
    <w:multiLevelType w:val="hybridMultilevel"/>
    <w:lvl w:ilvl="0">
      <w:lvlJc w:val="left"/>
      <w:lvlText w:val="(%1)"/>
      <w:numFmt w:val="lowerLetter"/>
      <w:start w:val="2"/>
    </w:lvl>
  </w:abstractNum>
  <w:abstractNum w:abstractNumId="700">
    <w:nsid w:val="1D701BFF"/>
    <w:multiLevelType w:val="hybridMultilevel"/>
    <w:lvl w:ilvl="0">
      <w:lvlJc w:val="left"/>
      <w:lvlText w:val="(%1)"/>
      <w:numFmt w:val="lowerLetter"/>
      <w:start w:val="3"/>
    </w:lvl>
  </w:abstractNum>
  <w:abstractNum w:abstractNumId="701">
    <w:nsid w:val="4A12EC32"/>
    <w:multiLevelType w:val="hybridMultilevel"/>
    <w:lvl w:ilvl="0">
      <w:lvlJc w:val="left"/>
      <w:lvlText w:val="(%1)"/>
      <w:numFmt w:val="lowerLetter"/>
      <w:start w:val="5"/>
    </w:lvl>
  </w:abstractNum>
  <w:abstractNum w:abstractNumId="702">
    <w:nsid w:val="3F35DD67"/>
    <w:multiLevelType w:val="hybridMultilevel"/>
    <w:lvl w:ilvl="0">
      <w:lvlJc w:val="left"/>
      <w:lvlText w:val="(%1)"/>
      <w:numFmt w:val="lowerLetter"/>
      <w:start w:val="6"/>
    </w:lvl>
  </w:abstractNum>
  <w:abstractNum w:abstractNumId="703">
    <w:nsid w:val="2B66AC12"/>
    <w:multiLevelType w:val="hybridMultilevel"/>
    <w:lvl w:ilvl="0">
      <w:lvlJc w:val="left"/>
      <w:lvlText w:val="(%1)"/>
      <w:numFmt w:val="lowerRoman"/>
      <w:start w:val="1"/>
    </w:lvl>
  </w:abstractNum>
  <w:abstractNum w:abstractNumId="704">
    <w:nsid w:val="59F12779"/>
    <w:multiLevelType w:val="hybridMultilevel"/>
    <w:lvl w:ilvl="0">
      <w:lvlJc w:val="left"/>
      <w:lvlText w:val="(%1)"/>
      <w:numFmt w:val="lowerLetter"/>
      <w:start w:val="10"/>
    </w:lvl>
  </w:abstractNum>
  <w:abstractNum w:abstractNumId="705">
    <w:nsid w:val="452528CB"/>
    <w:multiLevelType w:val="hybridMultilevel"/>
    <w:lvl w:ilvl="0">
      <w:lvlJc w:val="left"/>
      <w:lvlText w:val="(%1)"/>
      <w:numFmt w:val="lowerLetter"/>
      <w:start w:val="11"/>
    </w:lvl>
  </w:abstractNum>
  <w:abstractNum w:abstractNumId="706">
    <w:nsid w:val="4FBE108E"/>
    <w:multiLevelType w:val="hybridMultilevel"/>
    <w:lvl w:ilvl="0">
      <w:lvlJc w:val="left"/>
      <w:lvlText w:val="(%1)"/>
      <w:numFmt w:val="lowerLetter"/>
      <w:start w:val="12"/>
    </w:lvl>
  </w:abstractNum>
  <w:abstractNum w:abstractNumId="707">
    <w:nsid w:val="60602E62"/>
    <w:multiLevelType w:val="hybridMultilevel"/>
    <w:lvl w:ilvl="0">
      <w:lvlJc w:val="left"/>
      <w:lvlText w:val="(%1)"/>
      <w:numFmt w:val="lowerLetter"/>
      <w:start w:val="13"/>
    </w:lvl>
  </w:abstractNum>
  <w:abstractNum w:abstractNumId="708">
    <w:nsid w:val="47D0D402"/>
    <w:multiLevelType w:val="hybridMultilevel"/>
    <w:lvl w:ilvl="0">
      <w:lvlJc w:val="left"/>
      <w:lvlText w:val="(%1)"/>
      <w:numFmt w:val="lowerLetter"/>
      <w:start w:val="14"/>
    </w:lvl>
  </w:abstractNum>
  <w:abstractNum w:abstractNumId="709">
    <w:nsid w:val="D1CD939"/>
    <w:multiLevelType w:val="hybridMultilevel"/>
    <w:lvl w:ilvl="0">
      <w:lvlJc w:val="left"/>
      <w:lvlText w:val="(%1)"/>
      <w:numFmt w:val="lowerLetter"/>
      <w:start w:val="15"/>
    </w:lvl>
  </w:abstractNum>
  <w:abstractNum w:abstractNumId="710">
    <w:nsid w:val="12552B10"/>
    <w:multiLevelType w:val="hybridMultilevel"/>
    <w:lvl w:ilvl="0">
      <w:lvlJc w:val="left"/>
      <w:lvlText w:val="(%1)"/>
      <w:numFmt w:val="lowerLetter"/>
      <w:start w:val="16"/>
    </w:lvl>
  </w:abstractNum>
  <w:abstractNum w:abstractNumId="711">
    <w:nsid w:val="F4E8872"/>
    <w:multiLevelType w:val="hybridMultilevel"/>
    <w:lvl w:ilvl="0">
      <w:lvlJc w:val="left"/>
      <w:lvlText w:val="(%1)"/>
      <w:numFmt w:val="decimal"/>
      <w:start w:val="1"/>
    </w:lvl>
  </w:abstractNum>
  <w:abstractNum w:abstractNumId="712">
    <w:nsid w:val="5CF24B45"/>
    <w:multiLevelType w:val="hybridMultilevel"/>
    <w:lvl w:ilvl="0">
      <w:lvlJc w:val="left"/>
      <w:lvlText w:val="(%1)"/>
      <w:numFmt w:val="decimal"/>
      <w:start w:val="3"/>
    </w:lvl>
  </w:abstractNum>
  <w:abstractNum w:abstractNumId="713">
    <w:nsid w:val="5F91BE56"/>
    <w:multiLevelType w:val="hybridMultilevel"/>
    <w:lvl w:ilvl="0">
      <w:lvlJc w:val="left"/>
      <w:lvlText w:val="(%1)"/>
      <w:numFmt w:val="lowerLetter"/>
      <w:start w:val="17"/>
    </w:lvl>
  </w:abstractNum>
  <w:abstractNum w:abstractNumId="714">
    <w:nsid w:val="3C3F0BFD"/>
    <w:multiLevelType w:val="hybridMultilevel"/>
    <w:lvl w:ilvl="0">
      <w:lvlJc w:val="left"/>
      <w:lvlText w:val="(%1)"/>
      <w:numFmt w:val="lowerLetter"/>
      <w:start w:val="18"/>
    </w:lvl>
  </w:abstractNum>
  <w:abstractNum w:abstractNumId="715">
    <w:nsid w:val="1B15D96C"/>
    <w:multiLevelType w:val="hybridMultilevel"/>
    <w:lvl w:ilvl="0">
      <w:lvlJc w:val="left"/>
      <w:lvlText w:val="(%1)"/>
      <w:numFmt w:val="lowerLetter"/>
      <w:start w:val="19"/>
    </w:lvl>
  </w:abstractNum>
  <w:abstractNum w:abstractNumId="716">
    <w:nsid w:val="7B469A23"/>
    <w:multiLevelType w:val="hybridMultilevel"/>
    <w:lvl w:ilvl="0">
      <w:lvlJc w:val="left"/>
      <w:lvlText w:val="(%1)"/>
      <w:numFmt w:val="lowerLetter"/>
      <w:start w:val="20"/>
    </w:lvl>
  </w:abstractNum>
  <w:abstractNum w:abstractNumId="717">
    <w:nsid w:val="21DCDBA0"/>
    <w:multiLevelType w:val="hybridMultilevel"/>
    <w:lvl w:ilvl="0">
      <w:lvlJc w:val="left"/>
      <w:lvlText w:val="(%1)"/>
      <w:numFmt w:val="lowerLetter"/>
      <w:start w:val="21"/>
    </w:lvl>
  </w:abstractNum>
  <w:abstractNum w:abstractNumId="718">
    <w:nsid w:val="220655C4"/>
    <w:multiLevelType w:val="hybridMultilevel"/>
    <w:lvl w:ilvl="0">
      <w:lvlJc w:val="left"/>
      <w:lvlText w:val="(%1)"/>
      <w:numFmt w:val="lowerRoman"/>
      <w:start w:val="5"/>
    </w:lvl>
  </w:abstractNum>
  <w:abstractNum w:abstractNumId="719">
    <w:nsid w:val="5CE60F5E"/>
    <w:multiLevelType w:val="hybridMultilevel"/>
    <w:lvl w:ilvl="0">
      <w:lvlJc w:val="left"/>
      <w:lvlText w:val="(%1)"/>
      <w:numFmt w:val="lowerLetter"/>
      <w:start w:val="23"/>
    </w:lvl>
  </w:abstractNum>
  <w:abstractNum w:abstractNumId="720">
    <w:nsid w:val="4B9A6638"/>
    <w:multiLevelType w:val="hybridMultilevel"/>
    <w:lvl w:ilvl="0">
      <w:lvlJc w:val="left"/>
      <w:lvlText w:val="(%1)"/>
      <w:numFmt w:val="lowerRoman"/>
      <w:start w:val="10"/>
    </w:lvl>
  </w:abstractNum>
  <w:abstractNum w:abstractNumId="721">
    <w:nsid w:val="2822BCA7"/>
    <w:multiLevelType w:val="hybridMultilevel"/>
    <w:lvl w:ilvl="0">
      <w:lvlJc w:val="left"/>
      <w:lvlText w:val="(%1)"/>
      <w:numFmt w:val="lowerLetter"/>
      <w:start w:val="25"/>
    </w:lvl>
  </w:abstractNum>
  <w:abstractNum w:abstractNumId="722">
    <w:nsid w:val="46182E75"/>
    <w:multiLevelType w:val="hybridMultilevel"/>
    <w:lvl w:ilvl="0">
      <w:lvlJc w:val="left"/>
      <w:lvlText w:val="(%1)"/>
      <w:numFmt w:val="lowerLetter"/>
      <w:start w:val="26"/>
    </w:lvl>
    <w:lvl w:ilvl="1">
      <w:lvlJc w:val="left"/>
      <w:lvlText w:val="(%2)"/>
      <w:numFmt w:val="decimal"/>
      <w:start w:val="1"/>
    </w:lvl>
  </w:abstractNum>
  <w:abstractNum w:abstractNumId="723">
    <w:nsid w:val="79311D4C"/>
    <w:multiLevelType w:val="hybridMultilevel"/>
    <w:lvl w:ilvl="0">
      <w:lvlJc w:val="left"/>
      <w:lvlText w:val="(%1)"/>
      <w:numFmt w:val="lowerLetter"/>
      <w:start w:val="27"/>
    </w:lvl>
  </w:abstractNum>
  <w:abstractNum w:abstractNumId="724">
    <w:nsid w:val="6599B689"/>
    <w:multiLevelType w:val="hybridMultilevel"/>
    <w:lvl w:ilvl="0">
      <w:lvlJc w:val="left"/>
      <w:lvlText w:val="(%1)"/>
      <w:numFmt w:val="lowerLetter"/>
      <w:start w:val="28"/>
    </w:lvl>
    <w:lvl w:ilvl="1">
      <w:lvlJc w:val="left"/>
      <w:lvlText w:val="(%2)"/>
      <w:numFmt w:val="decimal"/>
      <w:start w:val="1"/>
    </w:lvl>
  </w:abstractNum>
  <w:abstractNum w:abstractNumId="725">
    <w:nsid w:val="58625C6D"/>
    <w:multiLevelType w:val="hybridMultilevel"/>
    <w:lvl w:ilvl="0">
      <w:lvlJc w:val="left"/>
      <w:lvlText w:val="(%1)"/>
      <w:numFmt w:val="lowerLetter"/>
      <w:start w:val="30"/>
    </w:lvl>
    <w:lvl w:ilvl="1">
      <w:lvlJc w:val="left"/>
      <w:lvlText w:val="(%2)"/>
      <w:numFmt w:val="decimal"/>
      <w:start w:val="1"/>
    </w:lvl>
  </w:abstractNum>
  <w:abstractNum w:abstractNumId="726">
    <w:nsid w:val="2357E574"/>
    <w:multiLevelType w:val="hybridMultilevel"/>
    <w:lvl w:ilvl="0">
      <w:lvlJc w:val="left"/>
      <w:lvlText w:val="(%1)"/>
      <w:numFmt w:val="lowerLetter"/>
      <w:start w:val="32"/>
    </w:lvl>
  </w:abstractNum>
  <w:abstractNum w:abstractNumId="727">
    <w:nsid w:val="6580D91B"/>
    <w:multiLevelType w:val="hybridMultilevel"/>
    <w:lvl w:ilvl="0">
      <w:lvlJc w:val="left"/>
      <w:lvlText w:val="%1."/>
      <w:numFmt w:val="decimal"/>
      <w:start w:val="3"/>
    </w:lvl>
  </w:abstractNum>
  <w:abstractNum w:abstractNumId="728">
    <w:nsid w:val="392BA6B3"/>
    <w:multiLevelType w:val="hybridMultilevel"/>
    <w:lvl w:ilvl="0">
      <w:lvlJc w:val="left"/>
      <w:lvlText w:val="(%1)"/>
      <w:numFmt w:val="lowerLetter"/>
      <w:start w:val="1"/>
    </w:lvl>
  </w:abstractNum>
  <w:abstractNum w:abstractNumId="729">
    <w:nsid w:val="29F583EF"/>
    <w:multiLevelType w:val="hybridMultilevel"/>
    <w:lvl w:ilvl="0">
      <w:lvlJc w:val="left"/>
      <w:lvlText w:val="(%1)"/>
      <w:numFmt w:val="lowerLetter"/>
      <w:start w:val="2"/>
    </w:lvl>
  </w:abstractNum>
  <w:abstractNum w:abstractNumId="730">
    <w:nsid w:val="6486395B"/>
    <w:multiLevelType w:val="hybridMultilevel"/>
    <w:lvl w:ilvl="0">
      <w:lvlJc w:val="left"/>
      <w:lvlText w:val="(%1)"/>
      <w:numFmt w:val="decimal"/>
      <w:start w:val="1"/>
    </w:lvl>
  </w:abstractNum>
  <w:abstractNum w:abstractNumId="731">
    <w:nsid w:val="569BC2B2"/>
    <w:multiLevelType w:val="hybridMultilevel"/>
    <w:lvl w:ilvl="0">
      <w:lvlJc w:val="left"/>
      <w:lvlText w:val="(%1)"/>
      <w:numFmt w:val="lowerLetter"/>
      <w:start w:val="3"/>
    </w:lvl>
  </w:abstractNum>
  <w:abstractNum w:abstractNumId="732">
    <w:nsid w:val="74087021"/>
    <w:multiLevelType w:val="hybridMultilevel"/>
    <w:lvl w:ilvl="0">
      <w:lvlJc w:val="left"/>
      <w:lvlText w:val="%1."/>
      <w:numFmt w:val="decimal"/>
      <w:start w:val="4"/>
    </w:lvl>
  </w:abstractNum>
  <w:abstractNum w:abstractNumId="733">
    <w:nsid w:val="23BC16C2"/>
    <w:multiLevelType w:val="hybridMultilevel"/>
    <w:lvl w:ilvl="0">
      <w:lvlJc w:val="left"/>
      <w:lvlText w:val="%1."/>
      <w:numFmt w:val="decimal"/>
      <w:start w:val="5"/>
    </w:lvl>
  </w:abstractNum>
  <w:abstractNum w:abstractNumId="734">
    <w:nsid w:val="2026EC5"/>
    <w:multiLevelType w:val="hybridMultilevel"/>
    <w:lvl w:ilvl="0">
      <w:lvlJc w:val="left"/>
      <w:lvlText w:val="(%1)"/>
      <w:numFmt w:val="lowerLetter"/>
      <w:start w:val="1"/>
    </w:lvl>
  </w:abstractNum>
  <w:abstractNum w:abstractNumId="735">
    <w:nsid w:val="4DF9979A"/>
    <w:multiLevelType w:val="hybridMultilevel"/>
    <w:lvl w:ilvl="0">
      <w:lvlJc w:val="left"/>
      <w:lvlText w:val="(%1)"/>
      <w:numFmt w:val="lowerLetter"/>
      <w:start w:val="2"/>
    </w:lvl>
  </w:abstractNum>
  <w:abstractNum w:abstractNumId="736">
    <w:nsid w:val="68E13F8E"/>
    <w:multiLevelType w:val="hybridMultilevel"/>
    <w:lvl w:ilvl="0">
      <w:lvlJc w:val="left"/>
      <w:lvlText w:val="(%1)"/>
      <w:numFmt w:val="lowerLetter"/>
      <w:start w:val="3"/>
    </w:lvl>
  </w:abstractNum>
  <w:abstractNum w:abstractNumId="737">
    <w:nsid w:val="51C07F53"/>
    <w:multiLevelType w:val="hybridMultilevel"/>
    <w:lvl w:ilvl="0">
      <w:lvlJc w:val="left"/>
      <w:lvlText w:val="%1."/>
      <w:numFmt w:val="decimal"/>
      <w:start w:val="6"/>
    </w:lvl>
  </w:abstractNum>
  <w:abstractNum w:abstractNumId="738">
    <w:nsid w:val="2E59C5FD"/>
    <w:multiLevelType w:val="hybridMultilevel"/>
    <w:lvl w:ilvl="0">
      <w:lvlJc w:val="left"/>
      <w:lvlText w:val="(%1)"/>
      <w:numFmt w:val="lowerLetter"/>
      <w:start w:val="1"/>
    </w:lvl>
  </w:abstractNum>
  <w:abstractNum w:abstractNumId="739">
    <w:nsid w:val="30B21390"/>
    <w:multiLevelType w:val="hybridMultilevel"/>
    <w:lvl w:ilvl="0">
      <w:lvlJc w:val="left"/>
      <w:lvlText w:val="(%1)"/>
      <w:numFmt w:val="lowerLetter"/>
      <w:start w:val="2"/>
    </w:lvl>
  </w:abstractNum>
  <w:abstractNum w:abstractNumId="740">
    <w:nsid w:val="5EDD588C"/>
    <w:multiLevelType w:val="hybridMultilevel"/>
    <w:lvl w:ilvl="0">
      <w:lvlJc w:val="left"/>
      <w:lvlText w:val="(%1)"/>
      <w:numFmt w:val="lowerLetter"/>
      <w:start w:val="3"/>
    </w:lvl>
  </w:abstractNum>
  <w:abstractNum w:abstractNumId="741">
    <w:nsid w:val="40AEF10D"/>
    <w:multiLevelType w:val="hybridMultilevel"/>
    <w:lvl w:ilvl="0">
      <w:lvlJc w:val="left"/>
      <w:lvlText w:val="(%1)"/>
      <w:numFmt w:val="lowerLetter"/>
      <w:start w:val="4"/>
    </w:lvl>
  </w:abstractNum>
  <w:abstractNum w:abstractNumId="742">
    <w:nsid w:val="40009C03"/>
    <w:multiLevelType w:val="hybridMultilevel"/>
    <w:lvl w:ilvl="0">
      <w:lvlJc w:val="left"/>
      <w:lvlText w:val="%1."/>
      <w:numFmt w:val="decimal"/>
      <w:start w:val="7"/>
    </w:lvl>
  </w:abstractNum>
  <w:abstractNum w:abstractNumId="743">
    <w:nsid w:val="3BCFA3D1"/>
    <w:multiLevelType w:val="hybridMultilevel"/>
    <w:lvl w:ilvl="0">
      <w:lvlJc w:val="left"/>
      <w:lvlText w:val="(%1)"/>
      <w:numFmt w:val="lowerLetter"/>
      <w:start w:val="1"/>
    </w:lvl>
  </w:abstractNum>
  <w:abstractNum w:abstractNumId="744">
    <w:nsid w:val="2040AF63"/>
    <w:multiLevelType w:val="hybridMultilevel"/>
    <w:lvl w:ilvl="0">
      <w:lvlJc w:val="left"/>
      <w:lvlText w:val="(%1)"/>
      <w:numFmt w:val="lowerLetter"/>
      <w:start w:val="3"/>
    </w:lvl>
  </w:abstractNum>
  <w:abstractNum w:abstractNumId="745">
    <w:nsid w:val="7C3FA800"/>
    <w:multiLevelType w:val="hybridMultilevel"/>
    <w:lvl w:ilvl="0">
      <w:lvlJc w:val="left"/>
      <w:lvlText w:val="%1."/>
      <w:numFmt w:val="decimal"/>
      <w:start w:val="8"/>
    </w:lvl>
  </w:abstractNum>
  <w:abstractNum w:abstractNumId="746">
    <w:nsid w:val="56E57D3D"/>
    <w:multiLevelType w:val="hybridMultilevel"/>
    <w:lvl w:ilvl="0">
      <w:lvlJc w:val="left"/>
      <w:lvlText w:val="%1."/>
      <w:numFmt w:val="decimal"/>
      <w:start w:val="9"/>
    </w:lvl>
    <w:lvl w:ilvl="1">
      <w:lvlJc w:val="left"/>
      <w:lvlText w:val="(%2)"/>
      <w:numFmt w:val="lowerLetter"/>
      <w:start w:val="1"/>
    </w:lvl>
  </w:abstractNum>
  <w:abstractNum w:abstractNumId="747">
    <w:nsid w:val="1B874986"/>
    <w:multiLevelType w:val="hybridMultilevel"/>
    <w:lvl w:ilvl="0">
      <w:lvlJc w:val="left"/>
      <w:lvlText w:val="(%1)"/>
      <w:numFmt w:val="lowerLetter"/>
      <w:start w:val="2"/>
    </w:lvl>
  </w:abstractNum>
  <w:abstractNum w:abstractNumId="748">
    <w:nsid w:val="1E1C83A1"/>
    <w:multiLevelType w:val="hybridMultilevel"/>
    <w:lvl w:ilvl="0">
      <w:lvlJc w:val="left"/>
      <w:lvlText w:val="(%1)"/>
      <w:numFmt w:val="lowerLetter"/>
      <w:start w:val="4"/>
    </w:lvl>
  </w:abstractNum>
  <w:abstractNum w:abstractNumId="749">
    <w:nsid w:val="78EBD301"/>
    <w:multiLevelType w:val="hybridMultilevel"/>
    <w:lvl w:ilvl="0">
      <w:lvlJc w:val="left"/>
      <w:lvlText w:val="%1."/>
      <w:numFmt w:val="decimal"/>
      <w:start w:val="10"/>
    </w:lvl>
  </w:abstractNum>
  <w:abstractNum w:abstractNumId="750">
    <w:nsid w:val="786D58E4"/>
    <w:multiLevelType w:val="hybridMultilevel"/>
    <w:lvl w:ilvl="0">
      <w:lvlJc w:val="left"/>
      <w:lvlText w:val="%1."/>
      <w:numFmt w:val="decimal"/>
      <w:start w:val="11"/>
    </w:lvl>
  </w:abstractNum>
  <w:abstractNum w:abstractNumId="751">
    <w:nsid w:val="69B6E9D9"/>
    <w:multiLevelType w:val="hybridMultilevel"/>
    <w:lvl w:ilvl="0">
      <w:lvlJc w:val="left"/>
      <w:lvlText w:val="%1."/>
      <w:numFmt w:val="decimal"/>
      <w:start w:val="12"/>
    </w:lvl>
  </w:abstractNum>
  <w:abstractNum w:abstractNumId="752">
    <w:nsid w:val="210E8FA8"/>
    <w:multiLevelType w:val="hybridMultilevel"/>
    <w:lvl w:ilvl="0">
      <w:lvlJc w:val="left"/>
      <w:lvlText w:val="%1."/>
      <w:numFmt w:val="decimal"/>
      <w:start w:val="13"/>
    </w:lvl>
  </w:abstractNum>
  <w:abstractNum w:abstractNumId="753">
    <w:nsid w:val="3E858759"/>
    <w:multiLevelType w:val="hybridMultilevel"/>
    <w:lvl w:ilvl="0">
      <w:lvlJc w:val="left"/>
      <w:lvlText w:val="%1."/>
      <w:numFmt w:val="decimal"/>
      <w:start w:val="14"/>
    </w:lvl>
  </w:abstractNum>
  <w:abstractNum w:abstractNumId="754">
    <w:nsid w:val="62E80725"/>
    <w:multiLevelType w:val="hybridMultilevel"/>
    <w:lvl w:ilvl="0">
      <w:lvlJc w:val="left"/>
      <w:lvlText w:val="%1."/>
      <w:numFmt w:val="decimal"/>
      <w:start w:val="15"/>
    </w:lvl>
  </w:abstractNum>
  <w:abstractNum w:abstractNumId="755">
    <w:nsid w:val="6A84631"/>
    <w:multiLevelType w:val="hybridMultilevel"/>
    <w:lvl w:ilvl="0">
      <w:lvlJc w:val="left"/>
      <w:lvlText w:val="%1."/>
      <w:numFmt w:val="decimal"/>
      <w:start w:val="16"/>
    </w:lvl>
  </w:abstractNum>
  <w:abstractNum w:abstractNumId="756">
    <w:nsid w:val="16E7E3C7"/>
    <w:multiLevelType w:val="hybridMultilevel"/>
    <w:lvl w:ilvl="0">
      <w:lvlJc w:val="left"/>
      <w:lvlText w:val="(%1)"/>
      <w:numFmt w:val="lowerLetter"/>
      <w:start w:val="1"/>
    </w:lvl>
  </w:abstractNum>
  <w:abstractNum w:abstractNumId="757">
    <w:nsid w:val="63FEC9A"/>
    <w:multiLevelType w:val="hybridMultilevel"/>
    <w:lvl w:ilvl="0">
      <w:lvlJc w:val="left"/>
      <w:lvlText w:val="(%1)"/>
      <w:numFmt w:val="lowerLetter"/>
      <w:start w:val="2"/>
    </w:lvl>
  </w:abstractNum>
  <w:abstractNum w:abstractNumId="758">
    <w:nsid w:val="6C291F4C"/>
    <w:multiLevelType w:val="hybridMultilevel"/>
    <w:lvl w:ilvl="0">
      <w:lvlJc w:val="left"/>
      <w:lvlText w:val="%1."/>
      <w:numFmt w:val="decimal"/>
      <w:start w:val="17"/>
    </w:lvl>
  </w:abstractNum>
  <w:abstractNum w:abstractNumId="759">
    <w:nsid w:val="50138A7A"/>
    <w:multiLevelType w:val="hybridMultilevel"/>
    <w:lvl w:ilvl="0">
      <w:lvlJc w:val="left"/>
      <w:lvlText w:val="%1."/>
      <w:numFmt w:val="decimal"/>
      <w:start w:val="18"/>
    </w:lvl>
  </w:abstractNum>
  <w:abstractNum w:abstractNumId="760">
    <w:nsid w:val="30357089"/>
    <w:multiLevelType w:val="hybridMultilevel"/>
    <w:lvl w:ilvl="0">
      <w:lvlJc w:val="left"/>
      <w:lvlText w:val="%1."/>
      <w:numFmt w:val="decimal"/>
      <w:start w:val="19"/>
    </w:lvl>
  </w:abstractNum>
  <w:abstractNum w:abstractNumId="761">
    <w:nsid w:val="50AF58A7"/>
    <w:multiLevelType w:val="hybridMultilevel"/>
    <w:lvl w:ilvl="0">
      <w:lvlJc w:val="left"/>
      <w:lvlText w:val="%1."/>
      <w:numFmt w:val="decimal"/>
      <w:start w:val="20"/>
    </w:lvl>
  </w:abstractNum>
  <w:abstractNum w:abstractNumId="762">
    <w:nsid w:val="26AF4D2D"/>
    <w:multiLevelType w:val="hybridMultilevel"/>
    <w:lvl w:ilvl="0">
      <w:lvlJc w:val="left"/>
      <w:lvlText w:val="%1."/>
      <w:numFmt w:val="decimal"/>
      <w:start w:val="21"/>
    </w:lvl>
  </w:abstractNum>
  <w:abstractNum w:abstractNumId="763">
    <w:nsid w:val="243DE0AA"/>
    <w:multiLevelType w:val="hybridMultilevel"/>
    <w:lvl w:ilvl="0">
      <w:lvlJc w:val="left"/>
      <w:lvlText w:val="%1."/>
      <w:numFmt w:val="decimal"/>
      <w:start w:val="22"/>
    </w:lvl>
  </w:abstractNum>
  <w:abstractNum w:abstractNumId="764">
    <w:nsid w:val="746B6F6A"/>
    <w:multiLevelType w:val="hybridMultilevel"/>
    <w:lvl w:ilvl="0">
      <w:lvlJc w:val="left"/>
      <w:lvlText w:val="(%1)"/>
      <w:numFmt w:val="lowerLetter"/>
      <w:start w:val="2"/>
    </w:lvl>
  </w:abstractNum>
  <w:abstractNum w:abstractNumId="765">
    <w:nsid w:val="28B1BBF2"/>
    <w:multiLevelType w:val="hybridMultilevel"/>
    <w:lvl w:ilvl="0">
      <w:lvlJc w:val="left"/>
      <w:lvlText w:val="(%1)"/>
      <w:numFmt w:val="lowerLetter"/>
      <w:start w:val="1"/>
    </w:lvl>
  </w:abstractNum>
  <w:abstractNum w:abstractNumId="766">
    <w:nsid w:val="72377844"/>
    <w:multiLevelType w:val="hybridMultilevel"/>
    <w:lvl w:ilvl="0">
      <w:lvlJc w:val="left"/>
      <w:lvlText w:val="(%1)"/>
      <w:numFmt w:val="lowerLetter"/>
      <w:start w:val="4"/>
    </w:lvl>
  </w:abstractNum>
  <w:abstractNum w:abstractNumId="767">
    <w:nsid w:val="5D4CAEF8"/>
    <w:multiLevelType w:val="hybridMultilevel"/>
    <w:lvl w:ilvl="0">
      <w:lvlJc w:val="left"/>
      <w:lvlText w:val="(%1)"/>
      <w:numFmt w:val="lowerLetter"/>
      <w:start w:val="8"/>
    </w:lvl>
  </w:abstractNum>
  <w:abstractNum w:abstractNumId="768">
    <w:nsid w:val="7A723B45"/>
    <w:multiLevelType w:val="hybridMultilevel"/>
    <w:lvl w:ilvl="0">
      <w:lvlJc w:val="left"/>
      <w:lvlText w:val="(%1)"/>
      <w:numFmt w:val="lowerRoman"/>
      <w:start w:val="2"/>
    </w:lvl>
  </w:abstractNum>
  <w:abstractNum w:abstractNumId="769">
    <w:nsid w:val="20913E41"/>
    <w:multiLevelType w:val="hybridMultilevel"/>
    <w:lvl w:ilvl="0">
      <w:lvlJc w:val="left"/>
      <w:lvlText w:val="(%1)"/>
      <w:numFmt w:val="lowerRoman"/>
      <w:start w:val="3"/>
    </w:lvl>
  </w:abstractNum>
  <w:abstractNum w:abstractNumId="770">
    <w:nsid w:val="DFEC288"/>
    <w:multiLevelType w:val="hybridMultilevel"/>
    <w:lvl w:ilvl="0">
      <w:lvlJc w:val="left"/>
      <w:lvlText w:val="(%1)"/>
      <w:numFmt w:val="upperLetter"/>
      <w:start w:val="2"/>
    </w:lvl>
    <w:lvl w:ilvl="1">
      <w:lvlJc w:val="left"/>
      <w:lvlText w:val="(%2)"/>
      <w:numFmt w:val="lowerRoman"/>
      <w:start w:val="4"/>
    </w:lvl>
  </w:abstractNum>
  <w:abstractNum w:abstractNumId="771">
    <w:nsid w:val="594F93D1"/>
    <w:multiLevelType w:val="hybridMultilevel"/>
    <w:lvl w:ilvl="0">
      <w:lvlJc w:val="left"/>
      <w:lvlText w:val="(%1)"/>
      <w:numFmt w:val="lowerLetter"/>
      <w:start w:val="9"/>
    </w:lvl>
  </w:abstractNum>
  <w:abstractNum w:abstractNumId="772">
    <w:nsid w:val="61402F4E"/>
    <w:multiLevelType w:val="hybridMultilevel"/>
    <w:lvl w:ilvl="0">
      <w:lvlJc w:val="left"/>
      <w:lvlText w:val="(%1)"/>
      <w:numFmt w:val="lowerLetter"/>
      <w:start w:val="11"/>
    </w:lvl>
  </w:abstractNum>
  <w:abstractNum w:abstractNumId="773">
    <w:nsid w:val="4DFF5E8B"/>
    <w:multiLevelType w:val="hybridMultilevel"/>
    <w:lvl w:ilvl="0">
      <w:lvlJc w:val="left"/>
      <w:lvlText w:val="(%1)"/>
      <w:numFmt w:val="lowerLetter"/>
      <w:start w:val="23"/>
    </w:lvl>
  </w:abstractNum>
  <w:abstractNum w:abstractNumId="774">
    <w:nsid w:val="151F37A3"/>
    <w:multiLevelType w:val="hybridMultilevel"/>
    <w:lvl w:ilvl="0">
      <w:lvlJc w:val="left"/>
      <w:lvlText w:val="(%1)"/>
      <w:numFmt w:val="lowerLetter"/>
      <w:start w:val="25"/>
    </w:lvl>
  </w:abstractNum>
  <w:abstractNum w:abstractNumId="775">
    <w:nsid w:val="180DEB1"/>
    <w:multiLevelType w:val="hybridMultilevel"/>
    <w:lvl w:ilvl="0">
      <w:lvlJc w:val="left"/>
      <w:lvlText w:val="(%1)"/>
      <w:numFmt w:val="lowerLetter"/>
      <w:start w:val="27"/>
    </w:lvl>
  </w:abstractNum>
  <w:abstractNum w:abstractNumId="776">
    <w:nsid w:val="4A3F068C"/>
    <w:multiLevelType w:val="hybridMultilevel"/>
    <w:lvl w:ilvl="0">
      <w:lvlJc w:val="left"/>
      <w:lvlText w:val="(%1)"/>
      <w:numFmt w:val="lowerRoman"/>
      <w:start w:val="3"/>
    </w:lvl>
  </w:abstractNum>
  <w:abstractNum w:abstractNumId="777">
    <w:nsid w:val="6C04B4E0"/>
    <w:multiLevelType w:val="hybridMultilevel"/>
    <w:lvl w:ilvl="0">
      <w:lvlJc w:val="left"/>
      <w:lvlText w:val="(%1)"/>
      <w:numFmt w:val="lowerLetter"/>
      <w:start w:val="2"/>
    </w:lvl>
  </w:abstractNum>
  <w:abstractNum w:abstractNumId="778">
    <w:nsid w:val="1D082837"/>
    <w:multiLevelType w:val="hybridMultilevel"/>
    <w:lvl w:ilvl="0">
      <w:lvlJc w:val="left"/>
      <w:lvlText w:val="(%1)"/>
      <w:numFmt w:val="lowerLetter"/>
      <w:start w:val="2"/>
    </w:lvl>
  </w:abstractNum>
  <w:abstractNum w:abstractNumId="779">
    <w:nsid w:val="685B8A2D"/>
    <w:multiLevelType w:val="hybridMultilevel"/>
    <w:lvl w:ilvl="0">
      <w:lvlJc w:val="left"/>
      <w:lvlText w:val="(%1)"/>
      <w:numFmt w:val="lowerLetter"/>
      <w:start w:val="2"/>
    </w:lvl>
  </w:abstractNum>
  <w:abstractNum w:abstractNumId="780">
    <w:nsid w:val="64F087E2"/>
    <w:multiLevelType w:val="hybridMultilevel"/>
    <w:lvl w:ilvl="0">
      <w:lvlJc w:val="left"/>
      <w:lvlText w:val="(%1)"/>
      <w:numFmt w:val="lowerLetter"/>
      <w:start w:val="3"/>
    </w:lvl>
  </w:abstractNum>
  <w:abstractNum w:abstractNumId="781">
    <w:nsid w:val="1575811C"/>
    <w:multiLevelType w:val="hybridMultilevel"/>
    <w:lvl w:ilvl="0">
      <w:lvlJc w:val="left"/>
      <w:lvlText w:val="(%1)"/>
      <w:numFmt w:val="lowerLetter"/>
      <w:start w:val="2"/>
    </w:lvl>
  </w:abstractNum>
  <w:abstractNum w:abstractNumId="782">
    <w:nsid w:val="52127406"/>
    <w:multiLevelType w:val="hybridMultilevel"/>
    <w:lvl w:ilvl="0">
      <w:lvlJc w:val="left"/>
      <w:lvlText w:val="%1"/>
      <w:numFmt w:val="lowerLetter"/>
      <w:start w:val="1"/>
    </w:lvl>
    <w:lvl w:ilvl="1">
      <w:lvlJc w:val="left"/>
      <w:lvlText w:val="(%2)"/>
      <w:numFmt w:val="lowerRoman"/>
      <w:start w:val="1"/>
    </w:lvl>
  </w:abstractNum>
  <w:abstractNum w:abstractNumId="783">
    <w:nsid w:val="5FF178A"/>
    <w:multiLevelType w:val="hybridMultilevel"/>
    <w:lvl w:ilvl="0">
      <w:lvlJc w:val="left"/>
      <w:lvlText w:val="(%1)"/>
      <w:numFmt w:val="lowerLetter"/>
      <w:start w:val="2"/>
    </w:lvl>
    <w:lvl w:ilvl="1">
      <w:lvlJc w:val="left"/>
      <w:lvlText w:val="%2"/>
      <w:numFmt w:val="lowerRoman"/>
      <w:start w:val="1"/>
    </w:lvl>
  </w:abstractNum>
  <w:abstractNum w:abstractNumId="784">
    <w:nsid w:val="53FB0875"/>
    <w:multiLevelType w:val="hybridMultilevel"/>
    <w:lvl w:ilvl="0">
      <w:lvlJc w:val="left"/>
      <w:lvlText w:val="(%1)"/>
      <w:numFmt w:val="lowerLetter"/>
      <w:start w:val="2"/>
    </w:lvl>
  </w:abstractNum>
  <w:abstractNum w:abstractNumId="785">
    <w:nsid w:val="34FA7B2B"/>
    <w:multiLevelType w:val="hybridMultilevel"/>
    <w:lvl w:ilvl="0">
      <w:lvlJc w:val="left"/>
      <w:lvlText w:val="(%1)"/>
      <w:numFmt w:val="lowerLetter"/>
      <w:start w:val="4"/>
    </w:lvl>
  </w:abstractNum>
  <w:abstractNum w:abstractNumId="786">
    <w:nsid w:val="CA75DBC"/>
    <w:multiLevelType w:val="hybridMultilevel"/>
    <w:lvl w:ilvl="0">
      <w:lvlJc w:val="left"/>
      <w:lvlText w:val="(%1)"/>
      <w:numFmt w:val="lowerLetter"/>
      <w:start w:val="11"/>
    </w:lvl>
  </w:abstractNum>
  <w:abstractNum w:abstractNumId="787">
    <w:nsid w:val="6AE2EC3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2019-12-15T06:48:27Z</dcterms:created>
  <dcterms:modified xsi:type="dcterms:W3CDTF">2019-12-15T06:48:27Z</dcterms:modified>
</cp:coreProperties>
</file>