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3605" cy="491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4914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left="160" w:right="220"/>
        <w:spacing w:after="0" w:line="257" w:lineRule="auto"/>
        <w:rPr>
          <w:sz w:val="20"/>
          <w:szCs w:val="20"/>
          <w:color w:val="auto"/>
        </w:rPr>
      </w:pPr>
      <w:r>
        <w:rPr>
          <w:rFonts w:ascii="Arial" w:cs="Arial" w:eastAsia="Arial" w:hAnsi="Arial"/>
          <w:sz w:val="14"/>
          <w:szCs w:val="14"/>
          <w:color w:val="CE1126"/>
        </w:rPr>
        <w:t>The information in this prospectus supplement and accompanying prospectus is not complete and may be changed. A registration statement relating to these securities has been declared effective by the Securities and Exchange Commission. This preliminary prospectus supplement and the accompanying prospectus is not an offer to sell these securities and is not soliciting an offer to buy these securities in any jurisdiction where the offer or sale is not permitted.</w:t>
      </w:r>
    </w:p>
    <w:p>
      <w:pPr>
        <w:spacing w:after="0" w:line="3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Filed Pursuant to Rule 424(B)(2)</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 SUPPLEMENT (Subject to Completion)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Issued May 1, 2006</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tabs>
          <w:tab w:leader="none" w:pos="480" w:val="left"/>
        </w:tabs>
        <w:rPr>
          <w:sz w:val="20"/>
          <w:szCs w:val="20"/>
          <w:color w:val="auto"/>
        </w:rPr>
      </w:pPr>
      <w:r>
        <w:rPr>
          <w:rFonts w:ascii="Times New Roman" w:cs="Times New Roman" w:eastAsia="Times New Roman" w:hAnsi="Times New Roman"/>
          <w:sz w:val="25"/>
          <w:szCs w:val="25"/>
          <w:b w:val="1"/>
          <w:bCs w:val="1"/>
          <w:color w:val="auto"/>
        </w:rPr>
        <w:t>$250,000,000</w:t>
      </w:r>
      <w:r>
        <w:rPr>
          <w:sz w:val="20"/>
          <w:szCs w:val="20"/>
          <w:color w:val="auto"/>
        </w:rPr>
        <w:tab/>
      </w:r>
      <w:r>
        <w:rPr>
          <w:rFonts w:ascii="Times New Roman" w:cs="Times New Roman" w:eastAsia="Times New Roman" w:hAnsi="Times New Roman"/>
          <w:sz w:val="24"/>
          <w:szCs w:val="24"/>
          <w:b w:val="1"/>
          <w:bCs w:val="1"/>
          <w:color w:val="auto"/>
        </w:rPr>
        <w:t>% Notes due 2055</w:t>
      </w:r>
    </w:p>
    <w:p>
      <w:pPr>
        <w:spacing w:after="0" w:line="171" w:lineRule="exact"/>
        <w:rPr>
          <w:sz w:val="20"/>
          <w:szCs w:val="20"/>
          <w:color w:val="auto"/>
        </w:rPr>
      </w:pPr>
    </w:p>
    <w:p>
      <w:pPr>
        <w:ind w:right="120" w:firstLine="349"/>
        <w:spacing w:after="0" w:line="253" w:lineRule="auto"/>
        <w:rPr>
          <w:sz w:val="20"/>
          <w:szCs w:val="20"/>
          <w:color w:val="auto"/>
        </w:rPr>
      </w:pPr>
      <w:r>
        <w:rPr>
          <w:rFonts w:ascii="Times New Roman" w:cs="Times New Roman" w:eastAsia="Times New Roman" w:hAnsi="Times New Roman"/>
          <w:sz w:val="18"/>
          <w:szCs w:val="18"/>
          <w:color w:val="auto"/>
        </w:rPr>
        <w:t>We will pay interest on the notes on May 15, August 15, November 15 and February 15 of each year, beginning on August 15, 2006. The notes will bear interest at a rate of % per year and will mature on May 15, 2055. We may redeem the notes, in whole or in part, at any time on or after May 15, 2011 at a redemption price equal to 100% of the principal amount redeemed plus accrued and unpaid interest to the redemption date. If market conditions permit, we may increase the amount of notes we sell in this offering.</w:t>
      </w:r>
    </w:p>
    <w:p>
      <w:pPr>
        <w:spacing w:after="0" w:line="27" w:lineRule="exact"/>
        <w:rPr>
          <w:sz w:val="20"/>
          <w:szCs w:val="20"/>
          <w:color w:val="auto"/>
        </w:rPr>
      </w:pPr>
    </w:p>
    <w:p>
      <w:pPr>
        <w:ind w:right="320" w:firstLine="261"/>
        <w:spacing w:after="0" w:line="258" w:lineRule="auto"/>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20" w:lineRule="exact"/>
        <w:rPr>
          <w:sz w:val="20"/>
          <w:szCs w:val="20"/>
          <w:color w:val="auto"/>
        </w:rPr>
      </w:pPr>
    </w:p>
    <w:p>
      <w:pPr>
        <w:ind w:right="340" w:firstLine="261"/>
        <w:spacing w:after="0" w:line="258" w:lineRule="auto"/>
        <w:rPr>
          <w:sz w:val="20"/>
          <w:szCs w:val="20"/>
          <w:color w:val="auto"/>
        </w:rPr>
      </w:pPr>
      <w:r>
        <w:rPr>
          <w:rFonts w:ascii="Times New Roman" w:cs="Times New Roman" w:eastAsia="Times New Roman" w:hAnsi="Times New Roman"/>
          <w:sz w:val="18"/>
          <w:szCs w:val="18"/>
          <w:color w:val="auto"/>
        </w:rPr>
        <w:t>The notes have been approved for listing on the New York Stock Exchange and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7" w:lineRule="exact"/>
        <w:rPr>
          <w:sz w:val="20"/>
          <w:szCs w:val="20"/>
          <w:color w:val="auto"/>
        </w:rPr>
      </w:pPr>
    </w:p>
    <w:p>
      <w:pPr>
        <w:ind w:right="180" w:firstLine="37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the notes involves risks that are described in the “Risk Factors” section of our Annual Report on Form 10-K for the year ended December 31, 2005, Quarterly Report on Form 10-Q for the three months ended March 31, 2006 and beginning on page S-3 of this prospectus supplement.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60" w:type="dxa"/>
            <w:vAlign w:val="bottom"/>
            <w:gridSpan w:val="2"/>
          </w:tcPr>
          <w:p>
            <w:pPr>
              <w:jc w:val="center"/>
              <w:ind w:right="952"/>
              <w:spacing w:after="0"/>
              <w:rPr>
                <w:sz w:val="20"/>
                <w:szCs w:val="20"/>
                <w:color w:val="auto"/>
              </w:rPr>
            </w:pPr>
            <w:r>
              <w:rPr>
                <w:rFonts w:ascii="Times New Roman" w:cs="Times New Roman" w:eastAsia="Times New Roman" w:hAnsi="Times New Roman"/>
                <w:sz w:val="14"/>
                <w:szCs w:val="14"/>
                <w:b w:val="1"/>
                <w:bCs w:val="1"/>
                <w:color w:val="auto"/>
                <w:w w:val="99"/>
              </w:rPr>
              <w:t>Price to</w:t>
            </w:r>
          </w:p>
        </w:tc>
        <w:tc>
          <w:tcPr>
            <w:tcW w:w="1620" w:type="dxa"/>
            <w:vAlign w:val="bottom"/>
            <w:gridSpan w:val="2"/>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440" w:type="dxa"/>
            <w:vAlign w:val="bottom"/>
          </w:tcPr>
          <w:p>
            <w:pPr>
              <w:spacing w:after="0"/>
              <w:rPr>
                <w:sz w:val="13"/>
                <w:szCs w:val="13"/>
                <w:color w:val="auto"/>
              </w:rPr>
            </w:pPr>
          </w:p>
        </w:tc>
        <w:tc>
          <w:tcPr>
            <w:tcW w:w="1280" w:type="dxa"/>
            <w:vAlign w:val="bottom"/>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Proceeds to Us</w:t>
            </w:r>
          </w:p>
        </w:tc>
      </w:tr>
      <w:tr>
        <w:trPr>
          <w:trHeight w:val="170"/>
        </w:trPr>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60" w:type="dxa"/>
            <w:vAlign w:val="bottom"/>
            <w:gridSpan w:val="2"/>
          </w:tcPr>
          <w:p>
            <w:pPr>
              <w:jc w:val="center"/>
              <w:ind w:right="932"/>
              <w:spacing w:after="0"/>
              <w:rPr>
                <w:sz w:val="20"/>
                <w:szCs w:val="20"/>
                <w:color w:val="auto"/>
              </w:rPr>
            </w:pPr>
            <w:r>
              <w:rPr>
                <w:rFonts w:ascii="Times New Roman" w:cs="Times New Roman" w:eastAsia="Times New Roman" w:hAnsi="Times New Roman"/>
                <w:sz w:val="14"/>
                <w:szCs w:val="14"/>
                <w:b w:val="1"/>
                <w:bCs w:val="1"/>
                <w:color w:val="auto"/>
              </w:rPr>
              <w:t>Investors(1)</w:t>
            </w:r>
          </w:p>
        </w:tc>
        <w:tc>
          <w:tcPr>
            <w:tcW w:w="1620" w:type="dxa"/>
            <w:vAlign w:val="bottom"/>
            <w:gridSpan w:val="2"/>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rPr>
              <w:t>Discount(2)</w:t>
            </w:r>
          </w:p>
        </w:tc>
        <w:tc>
          <w:tcPr>
            <w:tcW w:w="440" w:type="dxa"/>
            <w:vAlign w:val="bottom"/>
          </w:tcPr>
          <w:p>
            <w:pPr>
              <w:spacing w:after="0"/>
              <w:rPr>
                <w:sz w:val="14"/>
                <w:szCs w:val="14"/>
                <w:color w:val="auto"/>
              </w:rPr>
            </w:pPr>
          </w:p>
        </w:tc>
        <w:tc>
          <w:tcPr>
            <w:tcW w:w="128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Before Expenses</w:t>
            </w:r>
          </w:p>
        </w:tc>
      </w:tr>
      <w:tr>
        <w:trPr>
          <w:trHeight w:val="200"/>
        </w:trPr>
        <w:tc>
          <w:tcPr>
            <w:tcW w:w="980" w:type="dxa"/>
            <w:vAlign w:val="bottom"/>
          </w:tcPr>
          <w:p>
            <w:pPr>
              <w:jc w:val="right"/>
              <w:ind w:right="312"/>
              <w:spacing w:after="0" w:line="200" w:lineRule="exact"/>
              <w:rPr>
                <w:sz w:val="20"/>
                <w:szCs w:val="20"/>
                <w:color w:val="auto"/>
              </w:rPr>
            </w:pPr>
            <w:r>
              <w:rPr>
                <w:rFonts w:ascii="Times New Roman" w:cs="Times New Roman" w:eastAsia="Times New Roman" w:hAnsi="Times New Roman"/>
                <w:sz w:val="18"/>
                <w:szCs w:val="18"/>
                <w:color w:val="auto"/>
                <w:w w:val="94"/>
              </w:rPr>
              <w:t>Per note</w:t>
            </w:r>
          </w:p>
        </w:tc>
        <w:tc>
          <w:tcPr>
            <w:tcW w:w="3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40" w:type="dxa"/>
            <w:vAlign w:val="bottom"/>
          </w:tcPr>
          <w:p>
            <w:pPr>
              <w:jc w:val="right"/>
              <w:ind w:right="792"/>
              <w:spacing w:after="0" w:line="200" w:lineRule="exact"/>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tcPr>
          <w:p>
            <w:pPr>
              <w:spacing w:after="0"/>
              <w:rPr>
                <w:sz w:val="17"/>
                <w:szCs w:val="17"/>
                <w:color w:val="auto"/>
              </w:rPr>
            </w:pPr>
          </w:p>
        </w:tc>
        <w:tc>
          <w:tcPr>
            <w:tcW w:w="580" w:type="dxa"/>
            <w:vAlign w:val="bottom"/>
          </w:tcPr>
          <w:p>
            <w:pPr>
              <w:jc w:val="right"/>
              <w:ind w:right="352"/>
              <w:spacing w:after="0" w:line="200" w:lineRule="exact"/>
              <w:rPr>
                <w:sz w:val="20"/>
                <w:szCs w:val="20"/>
                <w:color w:val="auto"/>
              </w:rPr>
            </w:pPr>
            <w:r>
              <w:rPr>
                <w:rFonts w:ascii="Times New Roman" w:cs="Times New Roman" w:eastAsia="Times New Roman" w:hAnsi="Times New Roman"/>
                <w:sz w:val="18"/>
                <w:szCs w:val="18"/>
                <w:color w:val="auto"/>
                <w:w w:val="79"/>
              </w:rPr>
              <w:t>%</w:t>
            </w:r>
          </w:p>
        </w:tc>
        <w:tc>
          <w:tcPr>
            <w:tcW w:w="4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spacing w:after="0"/>
              <w:rPr>
                <w:sz w:val="19"/>
                <w:szCs w:val="19"/>
                <w:color w:val="auto"/>
              </w:rPr>
            </w:pPr>
          </w:p>
        </w:tc>
        <w:tc>
          <w:tcPr>
            <w:tcW w:w="2500" w:type="dxa"/>
            <w:vAlign w:val="bottom"/>
            <w:gridSpan w:val="2"/>
          </w:tcPr>
          <w:p>
            <w:pPr>
              <w:jc w:val="right"/>
              <w:ind w:right="86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040" w:type="dxa"/>
            <w:vAlign w:val="bottom"/>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spacing w:after="0"/>
              <w:rPr>
                <w:sz w:val="19"/>
                <w:szCs w:val="19"/>
                <w:color w:val="auto"/>
              </w:rPr>
            </w:pPr>
          </w:p>
        </w:tc>
        <w:tc>
          <w:tcPr>
            <w:tcW w:w="1560" w:type="dxa"/>
            <w:vAlign w:val="bottom"/>
            <w:gridSpan w:val="2"/>
          </w:tcPr>
          <w:p>
            <w:pPr>
              <w:jc w:val="right"/>
              <w:ind w:right="94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r>
      <w:tr>
        <w:trPr>
          <w:trHeight w:val="265"/>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accrued interest, if any, from May</w:t>
            </w:r>
          </w:p>
        </w:tc>
        <w:tc>
          <w:tcPr>
            <w:tcW w:w="354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 2006, if settlement occurs after that date.</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49" w:lineRule="exact"/>
        <w:rPr>
          <w:sz w:val="20"/>
          <w:szCs w:val="20"/>
          <w:color w:val="auto"/>
        </w:rPr>
      </w:pPr>
    </w:p>
    <w:p>
      <w:pPr>
        <w:ind w:left="1160" w:right="660" w:hanging="572"/>
        <w:spacing w:after="0" w:line="271"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underwriting discount for orders by retail and institutional investors. See “Underwriting” beginning on page S-11 of this prospectus supplement for a discussion regarding underwriting discounts.</w:t>
      </w:r>
    </w:p>
    <w:p>
      <w:pPr>
        <w:spacing w:after="0" w:line="9" w:lineRule="exact"/>
        <w:rPr>
          <w:sz w:val="20"/>
          <w:szCs w:val="20"/>
          <w:color w:val="auto"/>
        </w:rPr>
      </w:pPr>
    </w:p>
    <w:p>
      <w:pPr>
        <w:ind w:right="240" w:firstLine="264"/>
        <w:spacing w:after="0" w:line="271"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 w:lineRule="exact"/>
        <w:rPr>
          <w:sz w:val="20"/>
          <w:szCs w:val="20"/>
          <w:color w:val="auto"/>
        </w:rPr>
      </w:pPr>
    </w:p>
    <w:p>
      <w:pPr>
        <w:ind w:right="200" w:firstLine="261"/>
        <w:spacing w:after="0" w:line="271" w:lineRule="auto"/>
        <w:rPr>
          <w:sz w:val="20"/>
          <w:szCs w:val="20"/>
          <w:color w:val="auto"/>
        </w:rPr>
      </w:pPr>
      <w:r>
        <w:rPr>
          <w:rFonts w:ascii="Times New Roman" w:cs="Times New Roman" w:eastAsia="Times New Roman" w:hAnsi="Times New Roman"/>
          <w:sz w:val="18"/>
          <w:szCs w:val="18"/>
          <w:color w:val="auto"/>
        </w:rPr>
        <w:t>We have granted the underwriters the right to purchase up to an additional $37,500,000 aggregate principal amount of notes to cover over-allotments. If the amount of notes sold in this offering is increased, the amount of this option may also be increased.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We expect that the notes will be ready for delivery only through The Depository Trust Company and its participants, including Euroclear and Clearstream, 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book-entry form on or about May   , 2006.</w:t>
            </w:r>
          </w:p>
        </w:tc>
        <w:tc>
          <w:tcPr>
            <w:tcW w:w="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89"/>
        </w:trPr>
        <w:tc>
          <w:tcPr>
            <w:tcW w:w="3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r>
      <w:tr>
        <w:trPr>
          <w:trHeight w:val="283"/>
        </w:trPr>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37"/>
        </w:trPr>
        <w:tc>
          <w:tcPr>
            <w:tcW w:w="344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Citigroup</w:t>
            </w: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Wachovia Securities</w:t>
            </w:r>
          </w:p>
        </w:tc>
      </w:tr>
      <w:tr>
        <w:trPr>
          <w:trHeight w:val="100"/>
        </w:trPr>
        <w:tc>
          <w:tcPr>
            <w:tcW w:w="3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r>
      <w:tr>
        <w:trPr>
          <w:trHeight w:val="298"/>
        </w:trPr>
        <w:tc>
          <w:tcPr>
            <w:tcW w:w="3440" w:type="dxa"/>
            <w:vAlign w:val="bottom"/>
          </w:tcPr>
          <w:p>
            <w:pPr>
              <w:ind w:left="1060"/>
              <w:spacing w:after="0"/>
              <w:rPr>
                <w:sz w:val="20"/>
                <w:szCs w:val="20"/>
                <w:color w:val="auto"/>
              </w:rPr>
            </w:pPr>
            <w:r>
              <w:rPr>
                <w:rFonts w:ascii="Times New Roman" w:cs="Times New Roman" w:eastAsia="Times New Roman" w:hAnsi="Times New Roman"/>
                <w:sz w:val="20"/>
                <w:szCs w:val="20"/>
                <w:b w:val="1"/>
                <w:bCs w:val="1"/>
                <w:color w:val="auto"/>
              </w:rPr>
              <w:t>Merrill Lynch &amp; Co.</w:t>
            </w:r>
          </w:p>
        </w:tc>
        <w:tc>
          <w:tcPr>
            <w:tcW w:w="500" w:type="dxa"/>
            <w:vAlign w:val="bottom"/>
          </w:tcPr>
          <w:p>
            <w:pPr>
              <w:spacing w:after="0"/>
              <w:rPr>
                <w:sz w:val="24"/>
                <w:szCs w:val="24"/>
                <w:color w:val="auto"/>
              </w:rPr>
            </w:pPr>
          </w:p>
        </w:tc>
        <w:tc>
          <w:tcPr>
            <w:tcW w:w="326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280" w:type="dxa"/>
            <w:vAlign w:val="bottom"/>
          </w:tcPr>
          <w:p>
            <w:pPr>
              <w:spacing w:after="0"/>
              <w:rPr>
                <w:sz w:val="24"/>
                <w:szCs w:val="24"/>
                <w:color w:val="auto"/>
              </w:rPr>
            </w:pPr>
          </w:p>
        </w:tc>
        <w:tc>
          <w:tcPr>
            <w:tcW w:w="3940" w:type="dxa"/>
            <w:vAlign w:val="bottom"/>
          </w:tcPr>
          <w:p>
            <w:pPr>
              <w:jc w:val="right"/>
              <w:ind w:right="523"/>
              <w:spacing w:after="0"/>
              <w:rPr>
                <w:sz w:val="20"/>
                <w:szCs w:val="20"/>
                <w:color w:val="auto"/>
              </w:rPr>
            </w:pPr>
            <w:r>
              <w:rPr>
                <w:rFonts w:ascii="Times New Roman" w:cs="Times New Roman" w:eastAsia="Times New Roman" w:hAnsi="Times New Roman"/>
                <w:sz w:val="20"/>
                <w:szCs w:val="20"/>
                <w:b w:val="1"/>
                <w:bCs w:val="1"/>
                <w:color w:val="auto"/>
              </w:rPr>
              <w:t>UBS Investment Bank</w:t>
            </w:r>
          </w:p>
        </w:tc>
      </w:tr>
      <w:tr>
        <w:trPr>
          <w:trHeight w:val="198"/>
        </w:trPr>
        <w:tc>
          <w:tcPr>
            <w:tcW w:w="3440" w:type="dxa"/>
            <w:vAlign w:val="bottom"/>
          </w:tcPr>
          <w:p>
            <w:pPr>
              <w:jc w:val="center"/>
              <w:ind w:left="485"/>
              <w:spacing w:after="0"/>
              <w:rPr>
                <w:sz w:val="20"/>
                <w:szCs w:val="20"/>
                <w:color w:val="auto"/>
              </w:rPr>
            </w:pPr>
            <w:r>
              <w:rPr>
                <w:rFonts w:ascii="Times New Roman" w:cs="Times New Roman" w:eastAsia="Times New Roman" w:hAnsi="Times New Roman"/>
                <w:sz w:val="17"/>
                <w:szCs w:val="17"/>
                <w:b w:val="1"/>
                <w:bCs w:val="1"/>
                <w:color w:val="auto"/>
                <w:w w:val="99"/>
              </w:rPr>
              <w:t>Banc of America Securities LLC</w:t>
            </w:r>
          </w:p>
        </w:tc>
        <w:tc>
          <w:tcPr>
            <w:tcW w:w="500" w:type="dxa"/>
            <w:vAlign w:val="bottom"/>
          </w:tcPr>
          <w:p>
            <w:pPr>
              <w:spacing w:after="0"/>
              <w:rPr>
                <w:sz w:val="17"/>
                <w:szCs w:val="17"/>
                <w:color w:val="auto"/>
              </w:rPr>
            </w:pPr>
          </w:p>
        </w:tc>
        <w:tc>
          <w:tcPr>
            <w:tcW w:w="3260" w:type="dxa"/>
            <w:vAlign w:val="bottom"/>
          </w:tcPr>
          <w:p>
            <w:pPr>
              <w:ind w:left="1400"/>
              <w:spacing w:after="0"/>
              <w:rPr>
                <w:sz w:val="20"/>
                <w:szCs w:val="20"/>
                <w:color w:val="auto"/>
              </w:rPr>
            </w:pPr>
            <w:r>
              <w:rPr>
                <w:rFonts w:ascii="Times New Roman" w:cs="Times New Roman" w:eastAsia="Times New Roman" w:hAnsi="Times New Roman"/>
                <w:sz w:val="17"/>
                <w:szCs w:val="17"/>
                <w:b w:val="1"/>
                <w:bCs w:val="1"/>
                <w:color w:val="auto"/>
                <w:w w:val="99"/>
              </w:rPr>
              <w:t>Deutsche Bank Securities</w:t>
            </w:r>
          </w:p>
        </w:tc>
        <w:tc>
          <w:tcPr>
            <w:tcW w:w="280" w:type="dxa"/>
            <w:vAlign w:val="bottom"/>
          </w:tcPr>
          <w:p>
            <w:pPr>
              <w:spacing w:after="0"/>
              <w:rPr>
                <w:sz w:val="17"/>
                <w:szCs w:val="17"/>
                <w:color w:val="auto"/>
              </w:rPr>
            </w:pPr>
          </w:p>
        </w:tc>
        <w:tc>
          <w:tcPr>
            <w:tcW w:w="3940" w:type="dxa"/>
            <w:vAlign w:val="bottom"/>
          </w:tcPr>
          <w:p>
            <w:pPr>
              <w:jc w:val="center"/>
              <w:ind w:left="883"/>
              <w:spacing w:after="0"/>
              <w:rPr>
                <w:sz w:val="20"/>
                <w:szCs w:val="20"/>
                <w:color w:val="auto"/>
              </w:rPr>
            </w:pPr>
            <w:r>
              <w:rPr>
                <w:rFonts w:ascii="Times New Roman" w:cs="Times New Roman" w:eastAsia="Times New Roman" w:hAnsi="Times New Roman"/>
                <w:sz w:val="17"/>
                <w:szCs w:val="17"/>
                <w:b w:val="1"/>
                <w:bCs w:val="1"/>
                <w:color w:val="auto"/>
                <w:w w:val="98"/>
              </w:rPr>
              <w:t>JPMorgan</w:t>
            </w:r>
          </w:p>
        </w:tc>
      </w:tr>
      <w:tr>
        <w:trPr>
          <w:trHeight w:val="221"/>
        </w:trPr>
        <w:tc>
          <w:tcPr>
            <w:tcW w:w="3440" w:type="dxa"/>
            <w:vAlign w:val="bottom"/>
          </w:tcPr>
          <w:p>
            <w:pPr>
              <w:jc w:val="center"/>
              <w:ind w:left="485"/>
              <w:spacing w:after="0"/>
              <w:rPr>
                <w:sz w:val="20"/>
                <w:szCs w:val="20"/>
                <w:color w:val="auto"/>
              </w:rPr>
            </w:pPr>
            <w:r>
              <w:rPr>
                <w:rFonts w:ascii="Times New Roman" w:cs="Times New Roman" w:eastAsia="Times New Roman" w:hAnsi="Times New Roman"/>
                <w:sz w:val="17"/>
                <w:szCs w:val="17"/>
                <w:b w:val="1"/>
                <w:bCs w:val="1"/>
                <w:color w:val="auto"/>
                <w:w w:val="97"/>
              </w:rPr>
              <w:t>LaSalle Financial Services, Inc.</w:t>
            </w:r>
          </w:p>
        </w:tc>
        <w:tc>
          <w:tcPr>
            <w:tcW w:w="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left="883"/>
              <w:spacing w:after="0"/>
              <w:rPr>
                <w:sz w:val="20"/>
                <w:szCs w:val="20"/>
                <w:color w:val="auto"/>
              </w:rPr>
            </w:pPr>
            <w:r>
              <w:rPr>
                <w:rFonts w:ascii="Times New Roman" w:cs="Times New Roman" w:eastAsia="Times New Roman" w:hAnsi="Times New Roman"/>
                <w:sz w:val="17"/>
                <w:szCs w:val="17"/>
                <w:b w:val="1"/>
                <w:bCs w:val="1"/>
                <w:color w:val="auto"/>
                <w:w w:val="99"/>
              </w:rPr>
              <w:t>Lehman Brothers</w:t>
            </w:r>
          </w:p>
        </w:tc>
      </w:tr>
      <w:tr>
        <w:trPr>
          <w:trHeight w:val="267"/>
        </w:trPr>
        <w:tc>
          <w:tcPr>
            <w:tcW w:w="3440" w:type="dxa"/>
            <w:vAlign w:val="bottom"/>
          </w:tcPr>
          <w:p>
            <w:pPr>
              <w:spacing w:after="0"/>
              <w:rPr>
                <w:sz w:val="23"/>
                <w:szCs w:val="23"/>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date of this prospectus supplement is May</w:t>
            </w:r>
          </w:p>
        </w:tc>
        <w:tc>
          <w:tcPr>
            <w:tcW w:w="4220" w:type="dxa"/>
            <w:vAlign w:val="bottom"/>
            <w:gridSpan w:val="2"/>
          </w:tcPr>
          <w:p>
            <w:pPr>
              <w:jc w:val="right"/>
              <w:ind w:right="3583"/>
              <w:spacing w:after="0"/>
              <w:rPr>
                <w:sz w:val="20"/>
                <w:szCs w:val="20"/>
                <w:color w:val="auto"/>
              </w:rPr>
            </w:pPr>
            <w:r>
              <w:rPr>
                <w:rFonts w:ascii="Times New Roman" w:cs="Times New Roman" w:eastAsia="Times New Roman" w:hAnsi="Times New Roman"/>
                <w:sz w:val="18"/>
                <w:szCs w:val="18"/>
                <w:color w:val="auto"/>
              </w:rPr>
              <w:t>, 2006.</w:t>
            </w:r>
          </w:p>
        </w:tc>
      </w:tr>
      <w:tr>
        <w:trPr>
          <w:trHeight w:val="222"/>
        </w:trPr>
        <w:tc>
          <w:tcPr>
            <w:tcW w:w="3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40" w:type="dxa"/>
            <w:vAlign w:val="bottom"/>
            <w:gridSpan w:val="2"/>
          </w:tcPr>
          <w:p>
            <w:pPr>
              <w:jc w:val="center"/>
              <w:ind w:right="287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2"/>
          </w:tcPr>
          <w:p>
            <w:pPr>
              <w:jc w:val="center"/>
              <w:ind w:right="2872"/>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580" w:type="dxa"/>
            <w:vAlign w:val="bottom"/>
            <w:gridSpan w:val="20"/>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Prospectus Supplement Summary</w:t>
              </w:r>
            </w:hyperlink>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20"/>
            <w:vMerge w:val="continue"/>
          </w:tcPr>
          <w:p>
            <w:pPr>
              <w:spacing w:after="0"/>
              <w:rPr>
                <w:sz w:val="15"/>
                <w:szCs w:val="15"/>
                <w:color w:val="auto"/>
              </w:rPr>
            </w:pPr>
          </w:p>
        </w:tc>
        <w:tc>
          <w:tcPr>
            <w:tcW w:w="7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1480" w:type="dxa"/>
            <w:vAlign w:val="bottom"/>
            <w:tcBorders>
              <w:top w:val="single" w:sz="8" w:color="0000EE"/>
            </w:tcBorders>
            <w:gridSpan w:val="10"/>
          </w:tcPr>
          <w:p>
            <w:pPr>
              <w:spacing w:after="0"/>
              <w:rPr>
                <w:sz w:val="16"/>
                <w:szCs w:val="16"/>
                <w:color w:val="auto"/>
              </w:rPr>
            </w:pPr>
          </w:p>
        </w:tc>
        <w:tc>
          <w:tcPr>
            <w:tcW w:w="8200" w:type="dxa"/>
            <w:vAlign w:val="bottom"/>
            <w:gridSpan w:val="8"/>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0000EE"/>
            </w:tcBorders>
            <w:gridSpan w:val="15"/>
          </w:tcPr>
          <w:p>
            <w:pPr>
              <w:spacing w:after="0" w:line="192"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Selected Historical Consolidated Financial Data</w:t>
              </w:r>
            </w:hyperlink>
          </w:p>
        </w:tc>
        <w:tc>
          <w:tcPr>
            <w:tcW w:w="7180" w:type="dxa"/>
            <w:vAlign w:val="bottom"/>
            <w:gridSpan w:val="5"/>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Use of Proceeds</w:t>
              </w:r>
            </w:hyperlink>
          </w:p>
        </w:tc>
        <w:tc>
          <w:tcPr>
            <w:tcW w:w="9420" w:type="dxa"/>
            <w:vAlign w:val="bottom"/>
            <w:gridSpan w:val="14"/>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Ratio of Earnings to Fixed Charges</w:t>
              </w:r>
            </w:hyperlink>
          </w:p>
        </w:tc>
        <w:tc>
          <w:tcPr>
            <w:tcW w:w="8080" w:type="dxa"/>
            <w:vAlign w:val="bottom"/>
            <w:gridSpan w:val="7"/>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Description of the Notes</w:t>
              </w:r>
            </w:hyperlink>
          </w:p>
        </w:tc>
        <w:tc>
          <w:tcPr>
            <w:tcW w:w="8840" w:type="dxa"/>
            <w:vAlign w:val="bottom"/>
            <w:gridSpan w:val="10"/>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Underwriting</w:t>
              </w:r>
            </w:hyperlink>
          </w:p>
        </w:tc>
        <w:tc>
          <w:tcPr>
            <w:tcW w:w="9620" w:type="dxa"/>
            <w:vAlign w:val="bottom"/>
            <w:gridSpan w:val="17"/>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Legal Matters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tcPr>
          <w:p>
            <w:pPr>
              <w:jc w:val="center"/>
              <w:ind w:right="4192"/>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580" w:type="dxa"/>
            <w:vAlign w:val="bottom"/>
            <w:gridSpan w:val="20"/>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The Companies</w:t>
              </w:r>
            </w:hyperlink>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Caution Concerning Forward-Looking Statements</w:t>
              </w:r>
            </w:hyperlink>
          </w:p>
        </w:tc>
        <w:tc>
          <w:tcPr>
            <w:tcW w:w="7020" w:type="dxa"/>
            <w:vAlign w:val="bottom"/>
            <w:gridSpan w:val="3"/>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Use of Proceeds</w:t>
              </w:r>
            </w:hyperlink>
          </w:p>
        </w:tc>
        <w:tc>
          <w:tcPr>
            <w:tcW w:w="9420" w:type="dxa"/>
            <w:vAlign w:val="bottom"/>
            <w:gridSpan w:val="14"/>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Dividend Policy</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Ratios of Earnings to Fixed Charges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Ratio of Earnings to Combined Fixed Charges and Preferred Dividends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9"/>
          </w:tcPr>
          <w:p>
            <w:pPr>
              <w:spacing w:after="0" w:line="192" w:lineRule="exact"/>
              <w:rPr>
                <w:sz w:val="20"/>
                <w:szCs w:val="20"/>
                <w:color w:val="auto"/>
              </w:rPr>
            </w:pPr>
            <w:r>
              <w:rPr>
                <w:rFonts w:ascii="Times New Roman" w:cs="Times New Roman" w:eastAsia="Times New Roman" w:hAnsi="Times New Roman"/>
                <w:sz w:val="18"/>
                <w:szCs w:val="18"/>
                <w:color w:val="0000EE"/>
              </w:rPr>
              <w:t>Description of Debt Securities and Cable Guarantees</w:t>
            </w:r>
          </w:p>
        </w:tc>
        <w:tc>
          <w:tcPr>
            <w:tcW w:w="5540" w:type="dxa"/>
            <w:vAlign w:val="bottom"/>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8"/>
          </w:tcPr>
          <w:p>
            <w:pPr>
              <w:spacing w:after="0" w:line="192" w:lineRule="exact"/>
              <w:rPr>
                <w:sz w:val="20"/>
                <w:szCs w:val="20"/>
                <w:color w:val="auto"/>
              </w:rPr>
            </w:pPr>
            <w:r>
              <w:rPr>
                <w:rFonts w:ascii="Times New Roman" w:cs="Times New Roman" w:eastAsia="Times New Roman" w:hAnsi="Times New Roman"/>
                <w:sz w:val="18"/>
                <w:szCs w:val="18"/>
                <w:color w:val="0000EE"/>
              </w:rPr>
              <w:t>Global Securities</w:t>
            </w:r>
          </w:p>
        </w:tc>
        <w:tc>
          <w:tcPr>
            <w:tcW w:w="6840" w:type="dxa"/>
            <w:vAlign w:val="bottom"/>
            <w:gridSpan w:val="2"/>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7"/>
              </w:rPr>
              <w:t>Plan of Distribution</w:t>
            </w:r>
          </w:p>
        </w:tc>
        <w:tc>
          <w:tcPr>
            <w:tcW w:w="600" w:type="dxa"/>
            <w:vAlign w:val="bottom"/>
            <w:tcBorders>
              <w:top w:val="single" w:sz="8" w:color="0000EE"/>
            </w:tcBorders>
            <w:gridSpan w:val="3"/>
          </w:tcPr>
          <w:p>
            <w:pPr>
              <w:spacing w:after="0"/>
              <w:rPr>
                <w:sz w:val="16"/>
                <w:szCs w:val="16"/>
                <w:color w:val="auto"/>
              </w:rPr>
            </w:pPr>
          </w:p>
        </w:tc>
        <w:tc>
          <w:tcPr>
            <w:tcW w:w="8560" w:type="dxa"/>
            <w:vAlign w:val="bottom"/>
            <w:gridSpan w:val="9"/>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7"/>
              </w:rPr>
              <w:t>Legal Matters</w:t>
            </w:r>
          </w:p>
        </w:tc>
        <w:tc>
          <w:tcPr>
            <w:tcW w:w="9580" w:type="dxa"/>
            <w:vAlign w:val="bottom"/>
            <w:gridSpan w:val="16"/>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Experts</w:t>
            </w: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Available Information</w:t>
            </w: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9"/>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firstLine="258"/>
        <w:spacing w:after="0" w:line="250"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39"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5338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533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3" w:lineRule="exact"/>
        <w:rPr>
          <w:sz w:val="20"/>
          <w:szCs w:val="20"/>
          <w:color w:val="auto"/>
        </w:rPr>
      </w:pPr>
    </w:p>
    <w:p>
      <w:pPr>
        <w:ind w:left="180" w:firstLine="261"/>
        <w:spacing w:after="0" w:line="253" w:lineRule="auto"/>
        <w:rPr>
          <w:sz w:val="20"/>
          <w:szCs w:val="20"/>
          <w:color w:val="auto"/>
        </w:rPr>
      </w:pPr>
      <w:r>
        <w:rPr>
          <w:rFonts w:ascii="Times New Roman" w:cs="Times New Roman" w:eastAsia="Times New Roman" w:hAnsi="Times New Roman"/>
          <w:sz w:val="18"/>
          <w:szCs w:val="18"/>
          <w:color w:val="auto"/>
        </w:rPr>
        <w:t>We are the largest broadband cable provider in the United States and offer a wide variety of consumer entertainment and communication products and services, serving approximately 21.5 million video subscribers, 9.0 million high-speed Internet subscribers and 1.5 million phone subscribers at March 31, 2006. We were incorporated under the laws of Pennsylvania in December 2001. Through our predecessors (including our immediate predecessor Comcast Holdings), we have developed, managed and operated broadband cable systems since 1963.</w:t>
      </w:r>
    </w:p>
    <w:p>
      <w:pPr>
        <w:spacing w:after="0" w:line="80" w:lineRule="exact"/>
        <w:rPr>
          <w:sz w:val="20"/>
          <w:szCs w:val="20"/>
          <w:color w:val="auto"/>
        </w:rPr>
      </w:pPr>
    </w:p>
    <w:p>
      <w:pPr>
        <w:ind w:left="180" w:right="140" w:firstLine="261"/>
        <w:spacing w:after="0" w:line="271" w:lineRule="auto"/>
        <w:rPr>
          <w:sz w:val="20"/>
          <w:szCs w:val="20"/>
          <w:color w:val="auto"/>
        </w:rPr>
      </w:pPr>
      <w:r>
        <w:rPr>
          <w:rFonts w:ascii="Times New Roman" w:cs="Times New Roman" w:eastAsia="Times New Roman" w:hAnsi="Times New Roman"/>
          <w:sz w:val="18"/>
          <w:szCs w:val="18"/>
          <w:color w:val="auto"/>
        </w:rPr>
        <w:t>We manage our operations through two reportable segments, “Cable” and “Content”. The Cable segment generates approximately 95% of our consolidated revenues.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Cable segment develops, manages and operates our broadband cable systems, including video, high-speed Internet and phone services.</w:t>
      </w:r>
    </w:p>
    <w:p>
      <w:pPr>
        <w:spacing w:after="0" w:line="111" w:lineRule="exact"/>
        <w:rPr>
          <w:sz w:val="20"/>
          <w:szCs w:val="20"/>
          <w:color w:val="auto"/>
        </w:rPr>
      </w:pPr>
    </w:p>
    <w:p>
      <w:pPr>
        <w:ind w:left="180" w:right="640" w:firstLine="264"/>
        <w:spacing w:after="0" w:line="271" w:lineRule="auto"/>
        <w:rPr>
          <w:sz w:val="20"/>
          <w:szCs w:val="20"/>
          <w:color w:val="auto"/>
        </w:rPr>
      </w:pPr>
      <w:r>
        <w:rPr>
          <w:rFonts w:ascii="Times New Roman" w:cs="Times New Roman" w:eastAsia="Times New Roman" w:hAnsi="Times New Roman"/>
          <w:sz w:val="18"/>
          <w:szCs w:val="18"/>
          <w:color w:val="auto"/>
        </w:rPr>
        <w:t>Our Content segment includes our six national cable networks: E! Entertainment Television, Style Network, The Golf Channel, OLN, G4, and AZN Television (formerly known as the International Channel).</w:t>
      </w:r>
    </w:p>
    <w:p>
      <w:pPr>
        <w:spacing w:after="0" w:line="62" w:lineRule="exact"/>
        <w:rPr>
          <w:sz w:val="20"/>
          <w:szCs w:val="20"/>
          <w:color w:val="auto"/>
        </w:rPr>
      </w:pPr>
    </w:p>
    <w:p>
      <w:pPr>
        <w:ind w:left="180" w:right="260" w:firstLine="264"/>
        <w:spacing w:after="0" w:line="271" w:lineRule="auto"/>
        <w:rPr>
          <w:sz w:val="20"/>
          <w:szCs w:val="20"/>
          <w:color w:val="auto"/>
        </w:rPr>
      </w:pPr>
      <w:r>
        <w:rPr>
          <w:rFonts w:ascii="Times New Roman" w:cs="Times New Roman" w:eastAsia="Times New Roman" w:hAnsi="Times New Roman"/>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62" w:lineRule="exact"/>
        <w:rPr>
          <w:sz w:val="20"/>
          <w:szCs w:val="20"/>
          <w:color w:val="auto"/>
        </w:rPr>
      </w:pPr>
    </w:p>
    <w:p>
      <w:pPr>
        <w:ind w:left="180" w:right="80" w:firstLine="264"/>
        <w:spacing w:after="0" w:line="258"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73" w:lineRule="exact"/>
        <w:rPr>
          <w:sz w:val="20"/>
          <w:szCs w:val="20"/>
          <w:color w:val="auto"/>
        </w:rPr>
      </w:pPr>
    </w:p>
    <w:p>
      <w:pPr>
        <w:ind w:left="180" w:right="440" w:firstLine="264"/>
        <w:spacing w:after="0" w:line="301" w:lineRule="auto"/>
        <w:rPr>
          <w:sz w:val="20"/>
          <w:szCs w:val="20"/>
          <w:color w:val="auto"/>
        </w:rPr>
      </w:pPr>
      <w:r>
        <w:rPr>
          <w:rFonts w:ascii="Times New Roman" w:cs="Times New Roman" w:eastAsia="Times New Roman" w:hAnsi="Times New Roman"/>
          <w:sz w:val="17"/>
          <w:szCs w:val="17"/>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Cable Guarantors</w:t>
      </w:r>
    </w:p>
    <w:p>
      <w:pPr>
        <w:spacing w:after="0" w:line="113" w:lineRule="exact"/>
        <w:rPr>
          <w:sz w:val="20"/>
          <w:szCs w:val="20"/>
          <w:color w:val="auto"/>
        </w:rPr>
      </w:pPr>
    </w:p>
    <w:p>
      <w:pPr>
        <w:ind w:left="180" w:right="20" w:firstLine="264"/>
        <w:spacing w:after="0" w:line="280" w:lineRule="auto"/>
        <w:rPr>
          <w:sz w:val="20"/>
          <w:szCs w:val="20"/>
          <w:color w:val="auto"/>
        </w:rPr>
      </w:pPr>
      <w:r>
        <w:rPr>
          <w:rFonts w:ascii="Times New Roman" w:cs="Times New Roman" w:eastAsia="Times New Roman" w:hAnsi="Times New Roman"/>
          <w:sz w:val="17"/>
          <w:szCs w:val="17"/>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500" w:hanging="118"/>
        <w:spacing w:after="0" w:line="27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255905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4867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86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2640" w:type="dxa"/>
            <w:vAlign w:val="bottom"/>
          </w:tcPr>
          <w:p>
            <w:pPr>
              <w:spacing w:after="0"/>
              <w:rPr>
                <w:sz w:val="20"/>
                <w:szCs w:val="20"/>
                <w:color w:val="auto"/>
              </w:rPr>
            </w:pPr>
          </w:p>
        </w:tc>
        <w:tc>
          <w:tcPr>
            <w:tcW w:w="43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340" w:type="dxa"/>
            <w:vAlign w:val="bottom"/>
          </w:tcPr>
          <w:p>
            <w:pPr>
              <w:spacing w:after="0"/>
              <w:rPr>
                <w:sz w:val="20"/>
                <w:szCs w:val="20"/>
                <w:color w:val="auto"/>
              </w:rPr>
            </w:pPr>
          </w:p>
        </w:tc>
      </w:tr>
      <w:tr>
        <w:trPr>
          <w:trHeight w:val="43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Comcast Corporation.</w:t>
            </w:r>
          </w:p>
        </w:tc>
        <w:tc>
          <w:tcPr>
            <w:tcW w:w="4340" w:type="dxa"/>
            <w:vAlign w:val="bottom"/>
          </w:tcPr>
          <w:p>
            <w:pPr>
              <w:spacing w:after="0"/>
              <w:rPr>
                <w:sz w:val="24"/>
                <w:szCs w:val="24"/>
                <w:color w:val="auto"/>
              </w:rPr>
            </w:pPr>
          </w:p>
        </w:tc>
      </w:tr>
      <w:tr>
        <w:trPr>
          <w:trHeight w:val="4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$250,000,000 aggregate principal amount of</w:t>
            </w:r>
          </w:p>
        </w:tc>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Notes due 2055.</w:t>
            </w:r>
          </w:p>
        </w:tc>
      </w:tr>
      <w:tr>
        <w:trPr>
          <w:trHeight w:val="4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mature on May 15, 2055.</w:t>
            </w:r>
          </w:p>
        </w:tc>
        <w:tc>
          <w:tcPr>
            <w:tcW w:w="4340" w:type="dxa"/>
            <w:vAlign w:val="bottom"/>
          </w:tcPr>
          <w:p>
            <w:pPr>
              <w:spacing w:after="0"/>
              <w:rPr>
                <w:sz w:val="24"/>
                <w:szCs w:val="24"/>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8"/>
              </w:rPr>
              <w:t>Interest on the notes will accrue at the rate of</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per year, payable quarterly in cash in arrears on each</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May 15, August 15, November 15 and February 15, beginning on August 15, 2006.</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w:t>
            </w:r>
          </w:p>
        </w:tc>
      </w:tr>
      <w:tr>
        <w:trPr>
          <w:trHeight w:val="229"/>
        </w:trPr>
        <w:tc>
          <w:tcPr>
            <w:tcW w:w="2640" w:type="dxa"/>
            <w:vAlign w:val="bottom"/>
          </w:tcPr>
          <w:p>
            <w:pPr>
              <w:spacing w:after="0"/>
              <w:rPr>
                <w:sz w:val="19"/>
                <w:szCs w:val="19"/>
                <w:color w:val="auto"/>
              </w:rPr>
            </w:pP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indebtedness.</w:t>
            </w:r>
          </w:p>
        </w:tc>
        <w:tc>
          <w:tcPr>
            <w:tcW w:w="4340" w:type="dxa"/>
            <w:vAlign w:val="bottom"/>
          </w:tcPr>
          <w:p>
            <w:pPr>
              <w:spacing w:after="0"/>
              <w:rPr>
                <w:sz w:val="19"/>
                <w:szCs w:val="19"/>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Cable Guarantors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Comcast Cable Communications, LLC, Comcast Cable Communications Holdings, Inc., Comcast Cable</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Holdings, LLC, Comcast MO Group, Inc. and Comcast MO of Delaware, LLC.</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Cable Guarantees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7"/>
              </w:rPr>
              <w:t>The cable guarantors will fully and unconditionally guarantee the notes, including the payment of principal</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premium, if any, and interest. The cable guarantees will rank equally with all other general unsecured and</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unsubordinated obligations of the cable guarantors.</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We may redeem the notes, in whole or in part, at any time on or after May 15, 2011 at a redemption price</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equal to 100% of the principal amount redeemed plus accrued and unpaid interest to the redemption date.</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We intend to use the proceeds from this offering, after deducting fees and expenses related to this offering,</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for working capital and general corporate purposes, which may include funding the repayment of a portion</w:t>
            </w:r>
          </w:p>
        </w:tc>
      </w:tr>
      <w:tr>
        <w:trPr>
          <w:trHeight w:val="229"/>
        </w:trPr>
        <w:tc>
          <w:tcPr>
            <w:tcW w:w="2640" w:type="dxa"/>
            <w:vAlign w:val="bottom"/>
          </w:tcPr>
          <w:p>
            <w:pPr>
              <w:spacing w:after="0"/>
              <w:rPr>
                <w:sz w:val="19"/>
                <w:szCs w:val="19"/>
                <w:color w:val="auto"/>
              </w:rPr>
            </w:pP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 our 8.3% Senior Notes due 2006.</w:t>
            </w:r>
          </w:p>
        </w:tc>
        <w:tc>
          <w:tcPr>
            <w:tcW w:w="4340" w:type="dxa"/>
            <w:vAlign w:val="bottom"/>
          </w:tcPr>
          <w:p>
            <w:pPr>
              <w:spacing w:after="0"/>
              <w:rPr>
                <w:sz w:val="19"/>
                <w:szCs w:val="19"/>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Book Entry</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The notes will be issued in book-entry form and will be represented by global notes deposited with, or on</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behalf of, DTC and registered in the name of DTC or its nominees. Beneficial interests in any of the notes</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will be shown on, and transfers will be effected only through, records maintained by DTC or its nominee,</w:t>
            </w:r>
          </w:p>
        </w:tc>
      </w:tr>
    </w:tbl>
    <w:p>
      <w:pPr>
        <w:ind w:left="3940"/>
        <w:spacing w:after="0"/>
        <w:rPr>
          <w:sz w:val="20"/>
          <w:szCs w:val="20"/>
          <w:color w:val="auto"/>
        </w:rPr>
      </w:pPr>
      <w:r>
        <w:rPr>
          <w:rFonts w:ascii="Times New Roman" w:cs="Times New Roman" w:eastAsia="Times New Roman" w:hAnsi="Times New Roman"/>
          <w:sz w:val="17"/>
          <w:szCs w:val="17"/>
          <w:color w:val="auto"/>
        </w:rPr>
        <w:t>and these beneficial interests may not be exchanged for certificated notes, except in limited circumstances.</w:t>
      </w:r>
    </w:p>
    <w:p>
      <w:pPr>
        <w:spacing w:after="0" w:line="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See “Description of the Notes — Book- Entry System” in this prospectus supplement.</w:t>
      </w: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1" w:right="1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1" w:lineRule="exact"/>
        <w:rPr>
          <w:sz w:val="20"/>
          <w:szCs w:val="20"/>
          <w:color w:val="auto"/>
        </w:rPr>
      </w:pPr>
    </w:p>
    <w:p>
      <w:pPr>
        <w:ind w:right="10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have significant debt and debt-like obligations and may not maintain investment-grade credit ratings.</w:t>
      </w:r>
    </w:p>
    <w:p>
      <w:pPr>
        <w:spacing w:after="0" w:line="115" w:lineRule="exact"/>
        <w:rPr>
          <w:sz w:val="20"/>
          <w:szCs w:val="20"/>
          <w:color w:val="auto"/>
        </w:rPr>
      </w:pPr>
    </w:p>
    <w:p>
      <w:pPr>
        <w:ind w:firstLine="261"/>
        <w:spacing w:after="0" w:line="250" w:lineRule="auto"/>
        <w:rPr>
          <w:sz w:val="20"/>
          <w:szCs w:val="20"/>
          <w:color w:val="auto"/>
        </w:rPr>
      </w:pPr>
      <w:r>
        <w:rPr>
          <w:rFonts w:ascii="Times New Roman" w:cs="Times New Roman" w:eastAsia="Times New Roman" w:hAnsi="Times New Roman"/>
          <w:sz w:val="18"/>
          <w:szCs w:val="18"/>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84" w:lineRule="exact"/>
        <w:rPr>
          <w:sz w:val="20"/>
          <w:szCs w:val="20"/>
          <w:color w:val="auto"/>
        </w:rPr>
      </w:pPr>
    </w:p>
    <w:p>
      <w:pPr>
        <w:ind w:left="120"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59"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As of March 31, 2006, our consolidated indebtedness was approximately $24.1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73" w:lineRule="exact"/>
        <w:rPr>
          <w:sz w:val="20"/>
          <w:szCs w:val="20"/>
          <w:color w:val="auto"/>
        </w:rPr>
      </w:pPr>
    </w:p>
    <w:p>
      <w:pPr>
        <w:ind w:left="460" w:hanging="110"/>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any necessary financing in the future for working capital, capital expenditures, debt service requirements or other purposes;</w:t>
      </w:r>
    </w:p>
    <w:p>
      <w:pPr>
        <w:spacing w:after="0" w:line="135" w:lineRule="exact"/>
        <w:rPr>
          <w:rFonts w:ascii="Times New Roman" w:cs="Times New Roman" w:eastAsia="Times New Roman" w:hAnsi="Times New Roman"/>
          <w:sz w:val="17"/>
          <w:szCs w:val="17"/>
          <w:color w:val="auto"/>
        </w:rPr>
      </w:pPr>
    </w:p>
    <w:p>
      <w:pPr>
        <w:ind w:left="460" w:hanging="110"/>
        <w:spacing w:after="0" w:line="27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flows from operations to the payment of indebtedness and not for other purposes, such as working capital and capital expenditures;</w:t>
      </w:r>
    </w:p>
    <w:p>
      <w:pPr>
        <w:spacing w:after="0" w:line="74"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businesses;</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indebted than some of our competitors, which may place us at a competitive disadvantage; and</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 downturn in our businesses.</w:t>
      </w:r>
    </w:p>
    <w:p>
      <w:pPr>
        <w:spacing w:after="0" w:line="212" w:lineRule="exact"/>
        <w:rPr>
          <w:sz w:val="20"/>
          <w:szCs w:val="20"/>
          <w:color w:val="auto"/>
        </w:rPr>
      </w:pPr>
    </w:p>
    <w:p>
      <w:pPr>
        <w:ind w:left="120"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Although the notes have been approved for listing on the New York Stock Exchange, we cannot assure you that an active trading market will develop for the notes.</w:t>
      </w:r>
    </w:p>
    <w:p>
      <w:pPr>
        <w:spacing w:after="0" w:line="59" w:lineRule="exact"/>
        <w:rPr>
          <w:sz w:val="20"/>
          <w:szCs w:val="20"/>
          <w:color w:val="auto"/>
        </w:rPr>
      </w:pPr>
    </w:p>
    <w:p>
      <w:pPr>
        <w:ind w:right="220" w:firstLine="261"/>
        <w:spacing w:after="0" w:line="253"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no trading market. Although the notes have been approved for listing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80" w:lineRule="exact"/>
        <w:rPr>
          <w:sz w:val="20"/>
          <w:szCs w:val="20"/>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notes;</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the notes; and</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notes prior to maturity.</w:t>
      </w:r>
    </w:p>
    <w:p>
      <w:pPr>
        <w:spacing w:after="0" w:line="115" w:lineRule="exact"/>
        <w:rPr>
          <w:sz w:val="20"/>
          <w:szCs w:val="20"/>
          <w:color w:val="auto"/>
        </w:rPr>
      </w:pPr>
    </w:p>
    <w:p>
      <w:pPr>
        <w:jc w:val="both"/>
        <w:ind w:firstLine="261"/>
        <w:spacing w:after="0" w:line="253" w:lineRule="auto"/>
        <w:rPr>
          <w:sz w:val="20"/>
          <w:szCs w:val="20"/>
          <w:color w:val="auto"/>
        </w:rPr>
      </w:pPr>
      <w:r>
        <w:rPr>
          <w:rFonts w:ascii="Times New Roman" w:cs="Times New Roman" w:eastAsia="Times New Roman" w:hAnsi="Times New Roman"/>
          <w:sz w:val="18"/>
          <w:szCs w:val="18"/>
          <w:color w:val="auto"/>
        </w:rPr>
        <w:t>We may redeem all or a portion of the notes at any time on or after May 15, 2011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May 15, 2011 approaches and after such date.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113" w:lineRule="exact"/>
        <w:rPr>
          <w:sz w:val="20"/>
          <w:szCs w:val="20"/>
          <w:color w:val="auto"/>
        </w:rPr>
      </w:pPr>
    </w:p>
    <w:p>
      <w:pPr>
        <w:ind w:right="20" w:firstLine="261"/>
        <w:spacing w:after="0" w:line="251" w:lineRule="auto"/>
        <w:rPr>
          <w:sz w:val="20"/>
          <w:szCs w:val="20"/>
          <w:color w:val="auto"/>
        </w:rPr>
      </w:pPr>
      <w:r>
        <w:rPr>
          <w:rFonts w:ascii="Times New Roman" w:cs="Times New Roman" w:eastAsia="Times New Roman" w:hAnsi="Times New Roman"/>
          <w:sz w:val="18"/>
          <w:szCs w:val="18"/>
          <w:color w:val="auto"/>
        </w:rPr>
        <w:t>The following table sets forth our selected consolidated financial data. The selected consolidated financial data as of and for each of the years in the five-year period ended December 31, 2005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2005 and our Quarterly Report on Form 10-Q for the three months ended March 31, 2006, each of which are incorporated herein by reference.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6"/>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Ended March 31</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4"/>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2002(1)</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5"/>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44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70"/>
              </w:rPr>
              <w:t>(Unaudited)</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3"/>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8"/>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5,937</w:t>
            </w:r>
          </w:p>
        </w:tc>
        <w:tc>
          <w:tcPr>
            <w:tcW w:w="3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18,348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2"/>
              </w:rPr>
              <w:t>20,307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22,255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5,363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5,901</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(1,325)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1,050</w:t>
            </w:r>
          </w:p>
        </w:tc>
        <w:tc>
          <w:tcPr>
            <w:tcW w:w="0" w:type="dxa"/>
            <w:vAlign w:val="bottom"/>
          </w:tcPr>
          <w:p>
            <w:pPr>
              <w:spacing w:after="0"/>
              <w:rPr>
                <w:sz w:val="1"/>
                <w:szCs w:val="1"/>
                <w:color w:val="auto"/>
              </w:rPr>
            </w:pPr>
          </w:p>
        </w:tc>
      </w:tr>
      <w:tr>
        <w:trPr>
          <w:trHeight w:val="193"/>
        </w:trPr>
        <w:tc>
          <w:tcPr>
            <w:tcW w:w="4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191"/>
        </w:trPr>
        <w:tc>
          <w:tcPr>
            <w:tcW w:w="46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Basic earnings (loss) for common stockholders per</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191"/>
        </w:trPr>
        <w:tc>
          <w:tcPr>
            <w:tcW w:w="46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Diluted earnings (loss) for common stockholders per</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0.63</w:t>
            </w:r>
          </w:p>
        </w:tc>
        <w:tc>
          <w:tcPr>
            <w:tcW w:w="3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396"/>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5"/>
              </w:rPr>
              <w:t>S-5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6"/>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9"/>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62"/>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$ 38,261</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$ 113,128</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$ 109,159</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$ 104,694</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$ 103,146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102,982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less current portion</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11,679</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23,835</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20,093</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23,249</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14,473</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38,329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41,662</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41,422</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40,219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130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43" w:lineRule="exact"/>
        <w:rPr>
          <w:sz w:val="20"/>
          <w:szCs w:val="20"/>
          <w:color w:val="auto"/>
        </w:rPr>
      </w:pPr>
    </w:p>
    <w:p>
      <w:pPr>
        <w:ind w:left="460" w:hanging="454"/>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18, 2002, we completed the acquisition of AT&amp;T’s broadband business, which has substantially increased the size of our cable operations.</w:t>
      </w:r>
    </w:p>
    <w:p>
      <w:pPr>
        <w:spacing w:after="0" w:line="82" w:lineRule="exact"/>
        <w:rPr>
          <w:rFonts w:ascii="Times New Roman" w:cs="Times New Roman" w:eastAsia="Times New Roman" w:hAnsi="Times New Roman"/>
          <w:sz w:val="17"/>
          <w:szCs w:val="17"/>
          <w:color w:val="auto"/>
        </w:rPr>
      </w:pPr>
    </w:p>
    <w:p>
      <w:pPr>
        <w:ind w:left="460" w:right="180" w:hanging="454"/>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2003, we disposed of our interest in QVC to Liberty Media Corporation. QVC is presented as a discontinued operation for the years ended on and before December 31, 2003 (see Note 5 to our consolidated financial statements included in the Annual Report on Form 10-K for the year ended December 31, 2005).</w:t>
      </w:r>
    </w:p>
    <w:p>
      <w:pPr>
        <w:spacing w:after="0" w:line="33" w:lineRule="exact"/>
        <w:rPr>
          <w:rFonts w:ascii="Times New Roman" w:cs="Times New Roman" w:eastAsia="Times New Roman" w:hAnsi="Times New Roman"/>
          <w:sz w:val="18"/>
          <w:szCs w:val="18"/>
          <w:color w:val="auto"/>
        </w:rPr>
      </w:pPr>
    </w:p>
    <w:p>
      <w:pPr>
        <w:ind w:left="460" w:right="80" w:hanging="454"/>
        <w:spacing w:after="0" w:line="27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2001, we recognized as income a cumulative effect of accounting change upon adoption of SFAS No. 133, “Accounting for Derivative Instruments and Hedging Activities.”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3" w:lineRule="exact"/>
        <w:rPr>
          <w:sz w:val="20"/>
          <w:szCs w:val="20"/>
          <w:color w:val="auto"/>
        </w:rPr>
      </w:pPr>
    </w:p>
    <w:p>
      <w:pPr>
        <w:ind w:right="680" w:firstLine="261"/>
        <w:spacing w:after="0" w:line="271" w:lineRule="auto"/>
        <w:rPr>
          <w:sz w:val="20"/>
          <w:szCs w:val="20"/>
          <w:color w:val="auto"/>
        </w:rPr>
      </w:pPr>
      <w:r>
        <w:rPr>
          <w:rFonts w:ascii="Times New Roman" w:cs="Times New Roman" w:eastAsia="Times New Roman" w:hAnsi="Times New Roman"/>
          <w:sz w:val="18"/>
          <w:szCs w:val="18"/>
          <w:color w:val="auto"/>
        </w:rPr>
        <w:t>We intend to use the proceeds from this offering, after deducting fees and expenses related to this offering, for working capital and general corporate purposes, which may include funding the repayment of a portion of our 8.3% Senior Notes due 2006.</w:t>
      </w:r>
    </w:p>
    <w:p>
      <w:pPr>
        <w:spacing w:after="0" w:line="271" w:lineRule="exact"/>
        <w:rPr>
          <w:sz w:val="20"/>
          <w:szCs w:val="20"/>
          <w:color w:val="auto"/>
        </w:rPr>
      </w:pPr>
    </w:p>
    <w:p>
      <w:pPr>
        <w:ind w:left="280" w:right="3880" w:firstLine="3627"/>
        <w:spacing w:after="0" w:line="395" w:lineRule="auto"/>
        <w:rPr>
          <w:sz w:val="20"/>
          <w:szCs w:val="20"/>
          <w:color w:val="auto"/>
        </w:rPr>
      </w:pPr>
      <w:r>
        <w:rPr>
          <w:rFonts w:ascii="Times New Roman" w:cs="Times New Roman" w:eastAsia="Times New Roman" w:hAnsi="Times New Roman"/>
          <w:sz w:val="17"/>
          <w:szCs w:val="17"/>
          <w:b w:val="1"/>
          <w:bCs w:val="1"/>
          <w:color w:val="auto"/>
        </w:rPr>
        <w:t xml:space="preserve">RATIO OF EARNINGS TO FIXED CHARGES </w:t>
      </w:r>
      <w:r>
        <w:rPr>
          <w:rFonts w:ascii="Times New Roman" w:cs="Times New Roman" w:eastAsia="Times New Roman" w:hAnsi="Times New Roman"/>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52"/>
        </w:trPr>
        <w:tc>
          <w:tcPr>
            <w:tcW w:w="1960" w:type="dxa"/>
            <w:vAlign w:val="bottom"/>
          </w:tcPr>
          <w:p>
            <w:pPr>
              <w:jc w:val="right"/>
              <w:ind w:right="761"/>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1460" w:type="dxa"/>
            <w:vAlign w:val="bottom"/>
            <w:gridSpan w:val="2"/>
          </w:tcPr>
          <w:p>
            <w:pPr>
              <w:jc w:val="right"/>
              <w:ind w:right="21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1960" w:type="dxa"/>
            <w:vAlign w:val="bottom"/>
            <w:gridSpan w:val="3"/>
          </w:tcPr>
          <w:p>
            <w:pPr>
              <w:jc w:val="right"/>
              <w:ind w:right="45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1720" w:type="dxa"/>
            <w:vAlign w:val="bottom"/>
            <w:gridSpan w:val="2"/>
          </w:tcPr>
          <w:p>
            <w:pPr>
              <w:jc w:val="right"/>
              <w:ind w:right="45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1720" w:type="dxa"/>
            <w:vAlign w:val="bottom"/>
            <w:gridSpan w:val="2"/>
          </w:tcPr>
          <w:p>
            <w:pPr>
              <w:jc w:val="right"/>
              <w:ind w:right="452"/>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3"/>
                <w:szCs w:val="13"/>
                <w:color w:val="auto"/>
              </w:rPr>
            </w:pPr>
          </w:p>
        </w:tc>
        <w:tc>
          <w:tcPr>
            <w:tcW w:w="2280" w:type="dxa"/>
            <w:vAlign w:val="bottom"/>
          </w:tcPr>
          <w:p>
            <w:pPr>
              <w:jc w:val="right"/>
              <w:ind w:right="927"/>
              <w:spacing w:after="0" w:line="15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22"/>
        </w:trPr>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97"/>
              </w:rPr>
              <w:t>—(1)</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6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1.97x</w:t>
            </w:r>
          </w:p>
        </w:tc>
        <w:tc>
          <w:tcPr>
            <w:tcW w:w="36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2.01x</w:t>
            </w:r>
          </w:p>
        </w:tc>
        <w:tc>
          <w:tcPr>
            <w:tcW w:w="3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130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43" w:lineRule="exact"/>
        <w:rPr>
          <w:sz w:val="20"/>
          <w:szCs w:val="20"/>
          <w:color w:val="auto"/>
        </w:rPr>
      </w:pPr>
    </w:p>
    <w:p>
      <w:pPr>
        <w:ind w:left="460" w:hanging="45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240" w:firstLine="264"/>
        <w:spacing w:after="0" w:line="264" w:lineRule="auto"/>
        <w:rPr>
          <w:sz w:val="20"/>
          <w:szCs w:val="20"/>
          <w:color w:val="auto"/>
        </w:rPr>
      </w:pPr>
      <w:r>
        <w:rPr>
          <w:rFonts w:ascii="Times New Roman" w:cs="Times New Roman" w:eastAsia="Times New Roman" w:hAnsi="Times New Roman"/>
          <w:sz w:val="17"/>
          <w:szCs w:val="17"/>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1" w:lineRule="exact"/>
        <w:rPr>
          <w:sz w:val="20"/>
          <w:szCs w:val="20"/>
          <w:color w:val="auto"/>
        </w:rPr>
      </w:pPr>
    </w:p>
    <w:p>
      <w:pPr>
        <w:ind w:firstLine="6"/>
        <w:spacing w:after="0" w:line="248"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13" w:lineRule="exact"/>
        <w:rPr>
          <w:sz w:val="20"/>
          <w:szCs w:val="20"/>
          <w:color w:val="auto"/>
        </w:rPr>
      </w:pPr>
    </w:p>
    <w:p>
      <w:pPr>
        <w:ind w:firstLine="261"/>
        <w:spacing w:after="0" w:line="249" w:lineRule="auto"/>
        <w:rPr>
          <w:sz w:val="20"/>
          <w:szCs w:val="20"/>
          <w:color w:val="auto"/>
        </w:rPr>
      </w:pPr>
      <w:r>
        <w:rPr>
          <w:rFonts w:ascii="Times New Roman" w:cs="Times New Roman" w:eastAsia="Times New Roman" w:hAnsi="Times New Roman"/>
          <w:sz w:val="18"/>
          <w:szCs w:val="18"/>
          <w:color w:val="auto"/>
        </w:rPr>
        <w:t>We are offering $250,000,000 aggregate principal amount of our % Notes due 2055. The notes will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81" w:lineRule="exact"/>
        <w:rPr>
          <w:sz w:val="20"/>
          <w:szCs w:val="20"/>
          <w:color w:val="auto"/>
        </w:rPr>
      </w:pPr>
    </w:p>
    <w:p>
      <w:pPr>
        <w:ind w:right="180" w:firstLine="261"/>
        <w:spacing w:after="0" w:line="258" w:lineRule="auto"/>
        <w:rPr>
          <w:sz w:val="20"/>
          <w:szCs w:val="20"/>
          <w:color w:val="auto"/>
        </w:rPr>
      </w:pPr>
      <w:r>
        <w:rPr>
          <w:rFonts w:ascii="Times New Roman" w:cs="Times New Roman" w:eastAsia="Times New Roman" w:hAnsi="Times New Roman"/>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cable guarantees described below;</w:t>
      </w:r>
    </w:p>
    <w:p>
      <w:pPr>
        <w:spacing w:after="0" w:line="123" w:lineRule="exact"/>
        <w:rPr>
          <w:rFonts w:ascii="Times New Roman" w:cs="Times New Roman" w:eastAsia="Times New Roman" w:hAnsi="Times New Roman"/>
          <w:sz w:val="18"/>
          <w:szCs w:val="18"/>
          <w:color w:val="auto"/>
        </w:rPr>
      </w:pPr>
    </w:p>
    <w:p>
      <w:pPr>
        <w:ind w:left="460" w:right="60" w:hanging="110"/>
        <w:spacing w:after="0" w:line="258"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initial aggregate principal amount of $250,000,000, maturing on May 15, 2055, with interest payable quarterly on each May 15, August 15, November 15 and February 15, beginning August 15, 2006, to holders of record on the preceding May 1, August 1, November 1 and February 1; and</w:t>
      </w:r>
    </w:p>
    <w:p>
      <w:pPr>
        <w:spacing w:after="0" w:line="86"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$25.00 and multiples thereof.</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If market conditions permit, we may increase the amount of notes we sell in this offering.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13" w:lineRule="exact"/>
        <w:rPr>
          <w:sz w:val="20"/>
          <w:szCs w:val="20"/>
          <w:color w:val="auto"/>
        </w:rPr>
      </w:pPr>
    </w:p>
    <w:p>
      <w:pPr>
        <w:ind w:firstLine="264"/>
        <w:spacing w:after="0" w:line="258" w:lineRule="auto"/>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 Book-Entry System”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Cable Guarantees</w:t>
      </w:r>
    </w:p>
    <w:p>
      <w:pPr>
        <w:spacing w:after="0" w:line="113" w:lineRule="exact"/>
        <w:rPr>
          <w:sz w:val="20"/>
          <w:szCs w:val="20"/>
          <w:color w:val="auto"/>
        </w:rPr>
      </w:pPr>
    </w:p>
    <w:p>
      <w:pPr>
        <w:ind w:right="700" w:firstLine="264"/>
        <w:spacing w:after="0" w:line="271"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62" w:lineRule="exact"/>
        <w:rPr>
          <w:sz w:val="20"/>
          <w:szCs w:val="20"/>
          <w:color w:val="auto"/>
        </w:rPr>
      </w:pPr>
    </w:p>
    <w:p>
      <w:pPr>
        <w:ind w:right="140" w:firstLine="261"/>
        <w:spacing w:after="0" w:line="258" w:lineRule="auto"/>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13" w:lineRule="exact"/>
        <w:rPr>
          <w:sz w:val="20"/>
          <w:szCs w:val="20"/>
          <w:color w:val="auto"/>
        </w:rPr>
      </w:pPr>
    </w:p>
    <w:p>
      <w:pPr>
        <w:ind w:right="200" w:firstLine="261"/>
        <w:spacing w:after="0" w:line="258" w:lineRule="auto"/>
        <w:rPr>
          <w:sz w:val="20"/>
          <w:szCs w:val="20"/>
          <w:color w:val="auto"/>
        </w:rPr>
      </w:pPr>
      <w:r>
        <w:rPr>
          <w:rFonts w:ascii="Times New Roman" w:cs="Times New Roman" w:eastAsia="Times New Roman" w:hAnsi="Times New Roman"/>
          <w:sz w:val="18"/>
          <w:szCs w:val="18"/>
          <w:color w:val="auto"/>
        </w:rPr>
        <w:t>We will have the right at our option to redeem the notes in whole or in part, at any time or from time to time on or after May 15, 2011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73" w:lineRule="exact"/>
        <w:rPr>
          <w:sz w:val="20"/>
          <w:szCs w:val="20"/>
          <w:color w:val="auto"/>
        </w:rPr>
      </w:pPr>
    </w:p>
    <w:p>
      <w:pPr>
        <w:ind w:firstLine="264"/>
        <w:spacing w:after="0" w:line="270" w:lineRule="auto"/>
        <w:rPr>
          <w:sz w:val="20"/>
          <w:szCs w:val="20"/>
          <w:color w:val="auto"/>
        </w:rPr>
      </w:pPr>
      <w:r>
        <w:rPr>
          <w:rFonts w:ascii="Times New Roman" w:cs="Times New Roman" w:eastAsia="Times New Roman" w:hAnsi="Times New Roman"/>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Characteristics</w:t>
      </w:r>
    </w:p>
    <w:p>
      <w:pPr>
        <w:spacing w:after="0" w:line="113" w:lineRule="exact"/>
        <w:rPr>
          <w:sz w:val="20"/>
          <w:szCs w:val="20"/>
          <w:color w:val="auto"/>
        </w:rPr>
      </w:pPr>
    </w:p>
    <w:p>
      <w:pPr>
        <w:ind w:right="40" w:firstLine="261"/>
        <w:spacing w:after="0" w:line="258" w:lineRule="auto"/>
        <w:rPr>
          <w:sz w:val="20"/>
          <w:szCs w:val="20"/>
          <w:color w:val="auto"/>
        </w:rPr>
      </w:pPr>
      <w:r>
        <w:rPr>
          <w:rFonts w:ascii="Times New Roman" w:cs="Times New Roman" w:eastAsia="Times New Roman" w:hAnsi="Times New Roman"/>
          <w:sz w:val="18"/>
          <w:szCs w:val="18"/>
          <w:color w:val="auto"/>
        </w:rPr>
        <w:t>The notes have been approved for listing on the New York Stock Exchange.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13" w:lineRule="exact"/>
        <w:rPr>
          <w:sz w:val="20"/>
          <w:szCs w:val="20"/>
          <w:color w:val="auto"/>
        </w:rPr>
      </w:pPr>
    </w:p>
    <w:p>
      <w:pPr>
        <w:ind w:right="60" w:firstLine="261"/>
        <w:spacing w:after="0" w:line="253"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15" w:lineRule="exact"/>
        <w:rPr>
          <w:sz w:val="20"/>
          <w:szCs w:val="20"/>
          <w:color w:val="auto"/>
        </w:rPr>
      </w:pPr>
    </w:p>
    <w:p>
      <w:pPr>
        <w:ind w:right="20" w:firstLine="264"/>
        <w:spacing w:after="0" w:line="266" w:lineRule="auto"/>
        <w:rPr>
          <w:sz w:val="20"/>
          <w:szCs w:val="20"/>
          <w:color w:val="auto"/>
        </w:rPr>
      </w:pPr>
      <w:r>
        <w:rPr>
          <w:rFonts w:ascii="Times New Roman" w:cs="Times New Roman" w:eastAsia="Times New Roman" w:hAnsi="Times New Roman"/>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71" w:lineRule="exact"/>
        <w:rPr>
          <w:sz w:val="20"/>
          <w:szCs w:val="20"/>
          <w:color w:val="auto"/>
        </w:rPr>
      </w:pPr>
    </w:p>
    <w:p>
      <w:pPr>
        <w:ind w:right="300" w:firstLine="261"/>
        <w:spacing w:after="0" w:line="271"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 entry registration and transfer system the principal amount of notes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82" w:lineRule="exact"/>
        <w:rPr>
          <w:sz w:val="20"/>
          <w:szCs w:val="20"/>
          <w:color w:val="auto"/>
        </w:rPr>
      </w:pPr>
    </w:p>
    <w:p>
      <w:pPr>
        <w:ind w:right="240" w:firstLine="261"/>
        <w:spacing w:after="0" w:line="271"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62" w:lineRule="exact"/>
        <w:rPr>
          <w:sz w:val="20"/>
          <w:szCs w:val="20"/>
          <w:color w:val="auto"/>
        </w:rPr>
      </w:pPr>
    </w:p>
    <w:p>
      <w:pPr>
        <w:ind w:right="100" w:firstLine="264"/>
        <w:spacing w:after="0" w:line="266" w:lineRule="auto"/>
        <w:rPr>
          <w:sz w:val="20"/>
          <w:szCs w:val="20"/>
          <w:color w:val="auto"/>
        </w:rPr>
      </w:pPr>
      <w:r>
        <w:rPr>
          <w:rFonts w:ascii="Times New Roman" w:cs="Times New Roman" w:eastAsia="Times New Roman" w:hAnsi="Times New Roman"/>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71" w:lineRule="exact"/>
        <w:rPr>
          <w:sz w:val="20"/>
          <w:szCs w:val="20"/>
          <w:color w:val="auto"/>
        </w:rPr>
      </w:pPr>
    </w:p>
    <w:p>
      <w:pPr>
        <w:ind w:right="20" w:firstLine="261"/>
        <w:spacing w:after="0" w:line="271"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62" w:lineRule="exact"/>
        <w:rPr>
          <w:sz w:val="20"/>
          <w:szCs w:val="20"/>
          <w:color w:val="auto"/>
        </w:rPr>
      </w:pPr>
    </w:p>
    <w:p>
      <w:pPr>
        <w:ind w:right="40" w:firstLine="261"/>
        <w:spacing w:after="0" w:line="248"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86" w:lineRule="exact"/>
        <w:rPr>
          <w:sz w:val="20"/>
          <w:szCs w:val="20"/>
          <w:color w:val="auto"/>
        </w:rPr>
      </w:pPr>
    </w:p>
    <w:p>
      <w:pPr>
        <w:ind w:firstLine="255"/>
        <w:spacing w:after="0" w:line="251" w:lineRule="auto"/>
        <w:rPr>
          <w:sz w:val="20"/>
          <w:szCs w:val="20"/>
          <w:color w:val="auto"/>
        </w:rPr>
      </w:pPr>
      <w:r>
        <w:rPr>
          <w:rFonts w:ascii="Times New Roman" w:cs="Times New Roman" w:eastAsia="Times New Roman" w:hAnsi="Times New Roman"/>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15" w:lineRule="exact"/>
        <w:rPr>
          <w:sz w:val="20"/>
          <w:szCs w:val="20"/>
          <w:color w:val="auto"/>
        </w:rPr>
      </w:pPr>
    </w:p>
    <w:p>
      <w:pPr>
        <w:ind w:right="960" w:firstLine="264"/>
        <w:spacing w:after="0" w:line="271"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62" w:lineRule="exact"/>
        <w:rPr>
          <w:sz w:val="20"/>
          <w:szCs w:val="20"/>
          <w:color w:val="auto"/>
        </w:rPr>
      </w:pPr>
    </w:p>
    <w:p>
      <w:pPr>
        <w:ind w:left="1040" w:right="440" w:hanging="452"/>
        <w:spacing w:after="0" w:line="27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4"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123"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15" w:lineRule="exact"/>
        <w:rPr>
          <w:sz w:val="20"/>
          <w:szCs w:val="20"/>
          <w:color w:val="auto"/>
        </w:rPr>
      </w:pPr>
    </w:p>
    <w:p>
      <w:pPr>
        <w:ind w:right="40" w:firstLine="261"/>
        <w:spacing w:after="0" w:line="258"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73" w:lineRule="exact"/>
        <w:rPr>
          <w:sz w:val="20"/>
          <w:szCs w:val="20"/>
          <w:color w:val="auto"/>
        </w:rPr>
      </w:pPr>
    </w:p>
    <w:p>
      <w:pPr>
        <w:ind w:right="100" w:firstLine="264"/>
        <w:spacing w:after="0" w:line="268" w:lineRule="auto"/>
        <w:rPr>
          <w:sz w:val="20"/>
          <w:szCs w:val="20"/>
          <w:color w:val="auto"/>
        </w:rPr>
      </w:pPr>
      <w:r>
        <w:rPr>
          <w:rFonts w:ascii="Times New Roman" w:cs="Times New Roman" w:eastAsia="Times New Roman" w:hAnsi="Times New Roman"/>
          <w:sz w:val="17"/>
          <w:szCs w:val="17"/>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3" w:lineRule="exact"/>
        <w:rPr>
          <w:sz w:val="20"/>
          <w:szCs w:val="20"/>
          <w:color w:val="auto"/>
        </w:rPr>
      </w:pPr>
    </w:p>
    <w:p>
      <w:pPr>
        <w:jc w:val="both"/>
        <w:ind w:right="260" w:firstLine="261"/>
        <w:spacing w:after="0" w:line="258"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12"/>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9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Incorporated</w:t>
            </w: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Incorporated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Banc of America Securities LLC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Inc.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LaSalle Financial Services,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Lehman Brothers Inc.</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right="60" w:firstLine="261"/>
        <w:spacing w:after="0" w:line="258"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ind w:right="60" w:firstLine="261"/>
        <w:spacing w:after="0" w:line="27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62" w:lineRule="exact"/>
        <w:rPr>
          <w:sz w:val="20"/>
          <w:szCs w:val="20"/>
          <w:color w:val="auto"/>
        </w:rPr>
      </w:pPr>
    </w:p>
    <w:p>
      <w:pPr>
        <w:jc w:val="both"/>
        <w:ind w:right="360" w:firstLine="261"/>
        <w:spacing w:after="0" w:line="280" w:lineRule="auto"/>
        <w:rPr>
          <w:sz w:val="20"/>
          <w:szCs w:val="20"/>
          <w:color w:val="auto"/>
        </w:rPr>
      </w:pPr>
      <w:r>
        <w:rPr>
          <w:rFonts w:ascii="Times New Roman" w:cs="Times New Roman" w:eastAsia="Times New Roman" w:hAnsi="Times New Roman"/>
          <w:sz w:val="17"/>
          <w:szCs w:val="17"/>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111" w:lineRule="exact"/>
        <w:rPr>
          <w:sz w:val="20"/>
          <w:szCs w:val="20"/>
          <w:color w:val="auto"/>
        </w:rPr>
      </w:pPr>
    </w:p>
    <w:p>
      <w:pPr>
        <w:ind w:left="340" w:right="160" w:firstLine="274"/>
        <w:spacing w:after="0" w:line="249" w:lineRule="auto"/>
        <w:tabs>
          <w:tab w:leader="none" w:pos="8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84" w:lineRule="exact"/>
        <w:rPr>
          <w:rFonts w:ascii="Times New Roman" w:cs="Times New Roman" w:eastAsia="Times New Roman" w:hAnsi="Times New Roman"/>
          <w:sz w:val="18"/>
          <w:szCs w:val="18"/>
          <w:color w:val="auto"/>
        </w:rPr>
      </w:pPr>
    </w:p>
    <w:p>
      <w:pPr>
        <w:ind w:left="700" w:right="540" w:firstLine="258"/>
        <w:spacing w:after="0" w:line="271" w:lineRule="auto"/>
        <w:tabs>
          <w:tab w:leader="none" w:pos="11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Times New Roman" w:cs="Times New Roman" w:eastAsia="Times New Roman" w:hAnsi="Times New Roman"/>
          <w:sz w:val="18"/>
          <w:szCs w:val="18"/>
          <w:color w:val="auto"/>
        </w:rPr>
      </w:pPr>
    </w:p>
    <w:p>
      <w:pPr>
        <w:ind w:left="700" w:right="180" w:firstLine="258"/>
        <w:spacing w:after="0" w:line="271" w:lineRule="auto"/>
        <w:tabs>
          <w:tab w:leader="none" w:pos="12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€ 43,000,000 and (3) an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annual net turnover of more than € 50,000,000, as shown in its last annual or consolidated accounts; or</w:t>
      </w:r>
    </w:p>
    <w:p>
      <w:pPr>
        <w:spacing w:after="0" w:line="1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(iii) in any other circumstances which do not require the publication by the Issuer of a prospectus pursuant to Article 3 of the Prospectus Directive.</w:t>
      </w:r>
    </w:p>
    <w:p>
      <w:pPr>
        <w:spacing w:after="0" w:line="228" w:lineRule="exact"/>
        <w:rPr>
          <w:sz w:val="20"/>
          <w:szCs w:val="20"/>
          <w:color w:val="auto"/>
        </w:rPr>
      </w:pPr>
    </w:p>
    <w:p>
      <w:pPr>
        <w:ind w:right="120" w:firstLine="264"/>
        <w:spacing w:after="0" w:line="273"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63" w:lineRule="exact"/>
        <w:rPr>
          <w:sz w:val="20"/>
          <w:szCs w:val="20"/>
          <w:color w:val="auto"/>
        </w:rPr>
      </w:pPr>
    </w:p>
    <w:p>
      <w:pPr>
        <w:ind w:left="340" w:right="320" w:firstLine="274"/>
        <w:spacing w:after="0" w:line="280" w:lineRule="auto"/>
        <w:tabs>
          <w:tab w:leader="none" w:pos="8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69" w:lineRule="exact"/>
        <w:rPr>
          <w:rFonts w:ascii="Times New Roman" w:cs="Times New Roman" w:eastAsia="Times New Roman" w:hAnsi="Times New Roman"/>
          <w:sz w:val="17"/>
          <w:szCs w:val="17"/>
          <w:color w:val="auto"/>
        </w:rPr>
      </w:pPr>
    </w:p>
    <w:p>
      <w:pPr>
        <w:ind w:left="340" w:right="180" w:firstLine="274"/>
        <w:spacing w:after="0" w:line="271" w:lineRule="auto"/>
        <w:tabs>
          <w:tab w:leader="none" w:pos="8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FSMA with respect to anything done by it in relation to the notes in, from or otherwise involving the United Kingdom.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13" w:lineRule="exact"/>
        <w:rPr>
          <w:sz w:val="20"/>
          <w:szCs w:val="20"/>
          <w:color w:val="auto"/>
        </w:rPr>
      </w:pPr>
    </w:p>
    <w:p>
      <w:pPr>
        <w:ind w:right="100" w:firstLine="261"/>
        <w:spacing w:after="0" w:line="265" w:lineRule="auto"/>
        <w:rPr>
          <w:sz w:val="20"/>
          <w:szCs w:val="20"/>
          <w:color w:val="auto"/>
        </w:rPr>
      </w:pPr>
      <w:r>
        <w:rPr>
          <w:rFonts w:ascii="Times New Roman" w:cs="Times New Roman" w:eastAsia="Times New Roman" w:hAnsi="Times New Roman"/>
          <w:sz w:val="17"/>
          <w:szCs w:val="17"/>
          <w:color w:val="auto"/>
        </w:rPr>
        <w:t>We have granted to the underwriters an option, exercisable for 15 days from the date of this prospectus supplement, to purchase up to an additional $37,500,000 aggregate principal amount of notes at the public offering price less the underwriting discount. If the amount of notes sold in this offering is increased, the amount of this option may also be increased. The underwriters may exercise the option solely for the purpose of covering over-allotments, if any, in connection with this offering. To the extent the option is exercised, each underwriter must purchase a number of additional notes approximately proportionate</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to that underwriter’s initial purchase commitment. If the underwriters exercise their over-allotment option in full the total price to the public would be $ , the total underwriting discounts and commissions would be $ and the total proceeds, before deducting expenses, to us would be $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w:t>
      </w:r>
    </w:p>
    <w:p>
      <w:pPr>
        <w:spacing w:after="0" w:line="22"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18"/>
          <w:szCs w:val="18"/>
          <w:color w:val="auto"/>
        </w:rPr>
        <w:t>supplement, and to dealers at that price less a concession not in excess of $ per note for retail orders and $ per note for institutional orders. The underwriters may allow, and the dealers may reallow, a discount not in excess of $ per note to other dealers. After the initial public offering, the public offering prices, concessions and discounts may be changed.</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$300,000 and are payable by us.</w:t>
      </w:r>
    </w:p>
    <w:p>
      <w:pPr>
        <w:spacing w:after="0" w:line="111" w:lineRule="exact"/>
        <w:rPr>
          <w:sz w:val="20"/>
          <w:szCs w:val="20"/>
          <w:color w:val="auto"/>
        </w:rPr>
      </w:pPr>
    </w:p>
    <w:p>
      <w:pPr>
        <w:ind w:firstLine="261"/>
        <w:spacing w:after="0" w:line="271"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No</w:t>
            </w:r>
          </w:p>
        </w:tc>
        <w:tc>
          <w:tcPr>
            <w:tcW w:w="700" w:type="dxa"/>
            <w:vAlign w:val="bottom"/>
          </w:tcPr>
          <w:p>
            <w:pPr>
              <w:spacing w:after="0"/>
              <w:rPr>
                <w:sz w:val="13"/>
                <w:szCs w:val="13"/>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7"/>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tcPr>
          <w:p>
            <w:pPr>
              <w:spacing w:after="0"/>
              <w:rPr>
                <w:sz w:val="15"/>
                <w:szCs w:val="15"/>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(retail orders)</w:t>
            </w:r>
          </w:p>
        </w:tc>
        <w:tc>
          <w:tcPr>
            <w:tcW w:w="590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 note (institutional orders)</w:t>
            </w:r>
          </w:p>
        </w:tc>
        <w:tc>
          <w:tcPr>
            <w:tcW w:w="5900" w:type="dxa"/>
            <w:vAlign w:val="bottom"/>
            <w:gridSpan w:val="2"/>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0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r>
      <w:tr>
        <w:trPr>
          <w:trHeight w:val="39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900" w:type="dxa"/>
            <w:vAlign w:val="bottom"/>
            <w:gridSpan w:val="2"/>
          </w:tcPr>
          <w:p>
            <w:pPr>
              <w:jc w:val="right"/>
              <w:ind w:right="3769"/>
              <w:spacing w:after="0"/>
              <w:rPr>
                <w:sz w:val="20"/>
                <w:szCs w:val="20"/>
                <w:color w:val="auto"/>
              </w:rPr>
            </w:pPr>
            <w:r>
              <w:rPr>
                <w:rFonts w:ascii="Times New Roman" w:cs="Times New Roman" w:eastAsia="Times New Roman" w:hAnsi="Times New Roman"/>
                <w:sz w:val="18"/>
                <w:szCs w:val="18"/>
                <w:color w:val="auto"/>
              </w:rPr>
              <w:t>S-12</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13" w:lineRule="exact"/>
        <w:rPr>
          <w:sz w:val="20"/>
          <w:szCs w:val="20"/>
          <w:color w:val="auto"/>
        </w:rPr>
      </w:pPr>
    </w:p>
    <w:p>
      <w:pPr>
        <w:ind w:firstLine="261"/>
        <w:spacing w:after="0" w:line="270"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The notes have been approved for listing on the New York Stock Exchange, and we expect trading in the notes on the 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13" w:lineRule="exact"/>
        <w:rPr>
          <w:sz w:val="20"/>
          <w:szCs w:val="20"/>
          <w:color w:val="auto"/>
        </w:rPr>
      </w:pPr>
    </w:p>
    <w:p>
      <w:pPr>
        <w:ind w:firstLine="264"/>
        <w:spacing w:after="0" w:line="263" w:lineRule="auto"/>
        <w:rPr>
          <w:sz w:val="20"/>
          <w:szCs w:val="20"/>
          <w:color w:val="auto"/>
        </w:rPr>
      </w:pPr>
      <w:r>
        <w:rPr>
          <w:rFonts w:ascii="Times New Roman" w:cs="Times New Roman" w:eastAsia="Times New Roman" w:hAnsi="Times New Roman"/>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78" w:lineRule="exact"/>
        <w:rPr>
          <w:sz w:val="20"/>
          <w:szCs w:val="20"/>
          <w:color w:val="auto"/>
        </w:rPr>
      </w:pPr>
    </w:p>
    <w:p>
      <w:pPr>
        <w:ind w:right="40" w:firstLine="264"/>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Settlement Date</w:t>
      </w:r>
    </w:p>
    <w:p>
      <w:pPr>
        <w:spacing w:after="0" w:line="113" w:lineRule="exact"/>
        <w:rPr>
          <w:sz w:val="20"/>
          <w:szCs w:val="20"/>
          <w:color w:val="auto"/>
        </w:rPr>
      </w:pPr>
    </w:p>
    <w:p>
      <w:pPr>
        <w:ind w:firstLine="264"/>
        <w:spacing w:after="0" w:line="250" w:lineRule="auto"/>
        <w:rPr>
          <w:sz w:val="20"/>
          <w:szCs w:val="20"/>
          <w:color w:val="auto"/>
        </w:rPr>
      </w:pPr>
      <w:r>
        <w:rPr>
          <w:rFonts w:ascii="Times New Roman" w:cs="Times New Roman" w:eastAsia="Times New Roman" w:hAnsi="Times New Roman"/>
          <w:sz w:val="18"/>
          <w:szCs w:val="18"/>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3" w:lineRule="exact"/>
        <w:rPr>
          <w:sz w:val="20"/>
          <w:szCs w:val="20"/>
          <w:color w:val="auto"/>
        </w:rPr>
      </w:pPr>
    </w:p>
    <w:p>
      <w:pPr>
        <w:ind w:right="300" w:firstLine="261"/>
        <w:spacing w:after="0" w:line="271" w:lineRule="auto"/>
        <w:rPr>
          <w:sz w:val="20"/>
          <w:szCs w:val="20"/>
          <w:color w:val="auto"/>
        </w:rPr>
      </w:pPr>
      <w:r>
        <w:rPr>
          <w:rFonts w:ascii="Times New Roman" w:cs="Times New Roman" w:eastAsia="Times New Roman" w:hAnsi="Times New Roman"/>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Dr. Judith Rodin, our director, is a member of the board of directors of Citigroup Inc., an affiliate of Citigroup Global Markets Inc.</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3" w:lineRule="exact"/>
        <w:rPr>
          <w:sz w:val="20"/>
          <w:szCs w:val="20"/>
          <w:color w:val="auto"/>
        </w:rPr>
      </w:pPr>
    </w:p>
    <w:p>
      <w:pPr>
        <w:ind w:firstLine="261"/>
        <w:spacing w:after="0" w:line="258" w:lineRule="auto"/>
        <w:rPr>
          <w:sz w:val="20"/>
          <w:szCs w:val="20"/>
          <w:color w:val="auto"/>
        </w:rPr>
      </w:pPr>
      <w:r>
        <w:rPr>
          <w:rFonts w:ascii="Times New Roman" w:cs="Times New Roman" w:eastAsia="Times New Roman" w:hAnsi="Times New Roman"/>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Times New Roman" w:cs="Times New Roman" w:eastAsia="Times New Roman" w:hAnsi="Times New Roman"/>
          <w:sz w:val="11"/>
          <w:szCs w:val="11"/>
          <w:color w:val="auto"/>
        </w:rPr>
        <w:t>LLP</w:t>
      </w:r>
      <w:r>
        <w:rPr>
          <w:rFonts w:ascii="Times New Roman" w:cs="Times New Roman" w:eastAsia="Times New Roman" w:hAnsi="Times New Roman"/>
          <w:sz w:val="18"/>
          <w:szCs w:val="18"/>
          <w:color w:val="auto"/>
        </w:rPr>
        <w:t xml:space="preserve"> , New York, New York, is representing the underwriters.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1"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83185</wp:posOffset>
            </wp:positionV>
            <wp:extent cx="1402715" cy="36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senior debt securities</w:t>
      </w:r>
    </w:p>
    <w:p>
      <w:pPr>
        <w:spacing w:after="0" w:line="22"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subordinated debt securities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Special Common Stock</w:t>
      </w:r>
    </w:p>
    <w:p>
      <w:pPr>
        <w:spacing w:after="0" w:line="93" w:lineRule="exact"/>
        <w:rPr>
          <w:sz w:val="20"/>
          <w:szCs w:val="20"/>
          <w:color w:val="auto"/>
        </w:rPr>
      </w:pPr>
    </w:p>
    <w:p>
      <w:pPr>
        <w:ind w:right="340" w:firstLine="441"/>
        <w:spacing w:after="0" w:line="271"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wholly-owned cable subsidiaries named in this prospectus.</w:t>
      </w:r>
    </w:p>
    <w:p>
      <w:pPr>
        <w:spacing w:after="0" w:line="62"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73" w:lineRule="exact"/>
        <w:rPr>
          <w:sz w:val="20"/>
          <w:szCs w:val="20"/>
          <w:color w:val="auto"/>
        </w:rPr>
      </w:pPr>
    </w:p>
    <w:p>
      <w:pPr>
        <w:ind w:right="400" w:firstLine="438"/>
        <w:spacing w:after="0" w:line="271"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62" w:lineRule="exact"/>
        <w:rPr>
          <w:sz w:val="20"/>
          <w:szCs w:val="20"/>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22"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Sinking fund terms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of payments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terms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a securities exchange</w:t>
      </w:r>
    </w:p>
    <w:p>
      <w:pPr>
        <w:spacing w:after="0" w:line="4" w:lineRule="exact"/>
        <w:rPr>
          <w:rFonts w:ascii="Times New Roman" w:cs="Times New Roman" w:eastAsia="Times New Roman" w:hAnsi="Times New Roman"/>
          <w:sz w:val="18"/>
          <w:szCs w:val="18"/>
          <w:color w:val="auto"/>
        </w:rPr>
      </w:pPr>
    </w:p>
    <w:p>
      <w:pPr>
        <w:ind w:left="780" w:hanging="311"/>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payable at maturity</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rights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amount</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0" w:lineRule="exact"/>
        <w:rPr>
          <w:sz w:val="20"/>
          <w:szCs w:val="20"/>
          <w:color w:val="auto"/>
        </w:rPr>
      </w:pPr>
    </w:p>
    <w:p>
      <w:pPr>
        <w:ind w:firstLine="441"/>
        <w:spacing w:after="0" w:line="273"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249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18" w:lineRule="exact"/>
        <w:rPr>
          <w:sz w:val="20"/>
          <w:szCs w:val="20"/>
          <w:color w:val="auto"/>
        </w:rPr>
      </w:pPr>
    </w:p>
    <w:p>
      <w:pPr>
        <w:ind w:right="200" w:firstLine="441"/>
        <w:spacing w:after="0" w:line="273"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3"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53605" cy="4017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4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2"/>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220" w:type="dxa"/>
            <w:vAlign w:val="bottom"/>
          </w:tcPr>
          <w:p>
            <w:pPr>
              <w:spacing w:after="0"/>
              <w:rPr>
                <w:sz w:val="23"/>
                <w:szCs w:val="23"/>
                <w:color w:val="auto"/>
              </w:rPr>
            </w:pPr>
          </w:p>
        </w:tc>
      </w:tr>
      <w:tr>
        <w:trPr>
          <w:trHeight w:val="172"/>
        </w:trPr>
        <w:tc>
          <w:tcPr>
            <w:tcW w:w="40" w:type="dxa"/>
            <w:vAlign w:val="bottom"/>
            <w:shd w:val="clear" w:color="auto" w:fill="CCEEFF"/>
          </w:tcPr>
          <w:p>
            <w:pPr>
              <w:spacing w:after="0"/>
              <w:rPr>
                <w:sz w:val="14"/>
                <w:szCs w:val="14"/>
                <w:color w:val="auto"/>
              </w:rPr>
            </w:pPr>
          </w:p>
        </w:tc>
        <w:tc>
          <w:tcPr>
            <w:tcW w:w="10580" w:type="dxa"/>
            <w:vAlign w:val="bottom"/>
            <w:gridSpan w:val="12"/>
            <w:shd w:val="clear" w:color="auto" w:fill="CCEEFF"/>
          </w:tcPr>
          <w:p>
            <w:pPr>
              <w:spacing w:after="0" w:line="17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The Companies</w:t>
              </w:r>
            </w:hyperlink>
          </w:p>
        </w:tc>
        <w:tc>
          <w:tcPr>
            <w:tcW w:w="80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w:t>
            </w: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CCEEFF"/>
            </w:tcBorders>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2"/>
        </w:trPr>
        <w:tc>
          <w:tcPr>
            <w:tcW w:w="40" w:type="dxa"/>
            <w:vAlign w:val="bottom"/>
          </w:tcPr>
          <w:p>
            <w:pPr>
              <w:spacing w:after="0"/>
              <w:rPr>
                <w:sz w:val="15"/>
                <w:szCs w:val="15"/>
                <w:color w:val="auto"/>
              </w:rPr>
            </w:pPr>
          </w:p>
        </w:tc>
        <w:tc>
          <w:tcPr>
            <w:tcW w:w="3440" w:type="dxa"/>
            <w:vAlign w:val="bottom"/>
            <w:tcBorders>
              <w:bottom w:val="single" w:sz="8" w:color="0000EE"/>
            </w:tcBorders>
            <w:gridSpan w:val="8"/>
          </w:tcPr>
          <w:p>
            <w:pPr>
              <w:spacing w:after="0" w:line="172"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Caution Concerning Forwardlooking Statements</w:t>
              </w:r>
            </w:hyperlink>
          </w:p>
        </w:tc>
        <w:tc>
          <w:tcPr>
            <w:tcW w:w="7140" w:type="dxa"/>
            <w:vAlign w:val="bottom"/>
            <w:gridSpan w:val="4"/>
          </w:tcPr>
          <w:p>
            <w:pPr>
              <w:spacing w:after="0"/>
              <w:rPr>
                <w:sz w:val="15"/>
                <w:szCs w:val="15"/>
                <w:color w:val="auto"/>
              </w:rPr>
            </w:pPr>
          </w:p>
        </w:tc>
        <w:tc>
          <w:tcPr>
            <w:tcW w:w="80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w:t>
            </w: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EE"/>
              <w:right w:val="single" w:sz="8" w:color="CCEEFF"/>
            </w:tcBorders>
            <w:gridSpan w:val="3"/>
            <w:shd w:val="clear" w:color="auto" w:fill="CCEEFF"/>
          </w:tcPr>
          <w:p>
            <w:pPr>
              <w:spacing w:after="0" w:line="182" w:lineRule="exact"/>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Use of Proceeds</w:t>
              </w:r>
            </w:hyperlink>
          </w:p>
        </w:tc>
        <w:tc>
          <w:tcPr>
            <w:tcW w:w="9420" w:type="dxa"/>
            <w:vAlign w:val="bottom"/>
            <w:tcBorders>
              <w:left w:val="single" w:sz="8" w:color="CCEEFF"/>
              <w:bottom w:val="single" w:sz="8" w:color="CCEEFF"/>
            </w:tcBorders>
            <w:gridSpan w:val="9"/>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Dividend Policy</w:t>
              </w:r>
            </w:hyperlink>
          </w:p>
        </w:tc>
        <w:tc>
          <w:tcPr>
            <w:tcW w:w="80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w:t>
            </w: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2"/>
            <w:shd w:val="clear" w:color="auto" w:fill="CCEEFF"/>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Ratios of Earnings to Fixed Charges</w:t>
              </w:r>
            </w:hyperlink>
          </w:p>
        </w:tc>
        <w:tc>
          <w:tcPr>
            <w:tcW w:w="80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2"/>
        </w:trPr>
        <w:tc>
          <w:tcPr>
            <w:tcW w:w="40" w:type="dxa"/>
            <w:vAlign w:val="bottom"/>
          </w:tcPr>
          <w:p>
            <w:pPr>
              <w:spacing w:after="0"/>
              <w:rPr>
                <w:sz w:val="15"/>
                <w:szCs w:val="15"/>
                <w:color w:val="auto"/>
              </w:rPr>
            </w:pPr>
          </w:p>
        </w:tc>
        <w:tc>
          <w:tcPr>
            <w:tcW w:w="10580" w:type="dxa"/>
            <w:vAlign w:val="bottom"/>
            <w:gridSpan w:val="12"/>
          </w:tcPr>
          <w:p>
            <w:pPr>
              <w:spacing w:after="0" w:line="17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Ratio of Earnings to Combined Fixed Charges and Preferred Dividends</w:t>
              </w:r>
            </w:hyperlink>
          </w:p>
        </w:tc>
        <w:tc>
          <w:tcPr>
            <w:tcW w:w="80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4</w:t>
            </w:r>
          </w:p>
        </w:tc>
      </w:tr>
      <w:tr>
        <w:trPr>
          <w:trHeight w:val="202"/>
        </w:trPr>
        <w:tc>
          <w:tcPr>
            <w:tcW w:w="40" w:type="dxa"/>
            <w:vAlign w:val="bottom"/>
            <w:shd w:val="clear" w:color="auto" w:fill="CCEEFF"/>
          </w:tcPr>
          <w:p>
            <w:pPr>
              <w:spacing w:after="0"/>
              <w:rPr>
                <w:sz w:val="17"/>
                <w:szCs w:val="17"/>
                <w:color w:val="auto"/>
              </w:rPr>
            </w:pPr>
          </w:p>
        </w:tc>
        <w:tc>
          <w:tcPr>
            <w:tcW w:w="5040" w:type="dxa"/>
            <w:vAlign w:val="bottom"/>
            <w:tcBorders>
              <w:top w:val="single" w:sz="8" w:color="0000EE"/>
            </w:tcBorders>
            <w:gridSpan w:val="11"/>
            <w:shd w:val="clear" w:color="auto" w:fill="CCEEFF"/>
          </w:tcPr>
          <w:p>
            <w:pPr>
              <w:spacing w:after="0" w:line="182"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Description of Debt Securities and Cable Guarantees</w:t>
              </w:r>
            </w:hyperlink>
          </w:p>
        </w:tc>
        <w:tc>
          <w:tcPr>
            <w:tcW w:w="5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5</w:t>
            </w:r>
          </w:p>
        </w:tc>
      </w:tr>
      <w:tr>
        <w:trPr>
          <w:trHeight w:val="172"/>
        </w:trPr>
        <w:tc>
          <w:tcPr>
            <w:tcW w:w="40" w:type="dxa"/>
            <w:vAlign w:val="bottom"/>
            <w:tcBorders>
              <w:top w:val="single" w:sz="8" w:color="CCEEFF"/>
            </w:tcBorders>
          </w:tcPr>
          <w:p>
            <w:pPr>
              <w:spacing w:after="0"/>
              <w:rPr>
                <w:sz w:val="14"/>
                <w:szCs w:val="14"/>
                <w:color w:val="auto"/>
              </w:rPr>
            </w:pPr>
          </w:p>
        </w:tc>
        <w:tc>
          <w:tcPr>
            <w:tcW w:w="3740" w:type="dxa"/>
            <w:vAlign w:val="bottom"/>
            <w:tcBorders>
              <w:top w:val="single" w:sz="8" w:color="0000EE"/>
            </w:tcBorders>
            <w:gridSpan w:val="10"/>
          </w:tcPr>
          <w:p>
            <w:pPr>
              <w:spacing w:after="0" w:line="17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Global Securities</w:t>
              </w:r>
            </w:hyperlink>
          </w:p>
        </w:tc>
        <w:tc>
          <w:tcPr>
            <w:tcW w:w="6840" w:type="dxa"/>
            <w:vAlign w:val="bottom"/>
            <w:tcBorders>
              <w:top w:val="single" w:sz="8" w:color="CCEEFF"/>
            </w:tcBorders>
            <w:gridSpan w:val="2"/>
          </w:tcPr>
          <w:p>
            <w:pPr>
              <w:spacing w:after="0"/>
              <w:rPr>
                <w:sz w:val="14"/>
                <w:szCs w:val="14"/>
                <w:color w:val="auto"/>
              </w:rPr>
            </w:pPr>
          </w:p>
        </w:tc>
        <w:tc>
          <w:tcPr>
            <w:tcW w:w="58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2"/>
        </w:trPr>
        <w:tc>
          <w:tcPr>
            <w:tcW w:w="40" w:type="dxa"/>
            <w:vAlign w:val="bottom"/>
            <w:shd w:val="clear" w:color="auto" w:fill="CCEEFF"/>
          </w:tcPr>
          <w:p>
            <w:pPr>
              <w:spacing w:after="0"/>
              <w:rPr>
                <w:sz w:val="17"/>
                <w:szCs w:val="17"/>
                <w:color w:val="auto"/>
              </w:rPr>
            </w:pPr>
          </w:p>
        </w:tc>
        <w:tc>
          <w:tcPr>
            <w:tcW w:w="10580" w:type="dxa"/>
            <w:vAlign w:val="bottom"/>
            <w:gridSpan w:val="12"/>
            <w:shd w:val="clear" w:color="auto" w:fill="CCEEFF"/>
          </w:tcPr>
          <w:p>
            <w:pPr>
              <w:spacing w:after="0" w:line="18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Description of Capital Stock</w:t>
              </w:r>
            </w:hyperlink>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7"/>
                <w:szCs w:val="17"/>
                <w:color w:val="auto"/>
              </w:rPr>
            </w:pPr>
          </w:p>
        </w:tc>
      </w:tr>
      <w:tr>
        <w:trPr>
          <w:trHeight w:val="182"/>
        </w:trPr>
        <w:tc>
          <w:tcPr>
            <w:tcW w:w="40" w:type="dxa"/>
            <w:vAlign w:val="bottom"/>
            <w:tcBorders>
              <w:top w:val="single" w:sz="8" w:color="CCEEFF"/>
            </w:tcBorders>
          </w:tcPr>
          <w:p>
            <w:pPr>
              <w:spacing w:after="0"/>
              <w:rPr>
                <w:sz w:val="15"/>
                <w:szCs w:val="15"/>
                <w:color w:val="auto"/>
              </w:rPr>
            </w:pPr>
          </w:p>
        </w:tc>
        <w:tc>
          <w:tcPr>
            <w:tcW w:w="1420" w:type="dxa"/>
            <w:vAlign w:val="bottom"/>
            <w:tcBorders>
              <w:top w:val="single" w:sz="8" w:color="0000EE"/>
              <w:bottom w:val="single" w:sz="8" w:color="0000EE"/>
            </w:tcBorders>
            <w:gridSpan w:val="4"/>
          </w:tcPr>
          <w:p>
            <w:pPr>
              <w:spacing w:after="0" w:line="17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Plan of Distribution</w:t>
              </w:r>
            </w:hyperlink>
          </w:p>
        </w:tc>
        <w:tc>
          <w:tcPr>
            <w:tcW w:w="600" w:type="dxa"/>
            <w:vAlign w:val="bottom"/>
            <w:tcBorders>
              <w:top w:val="single" w:sz="8" w:color="0000EE"/>
            </w:tcBorders>
            <w:gridSpan w:val="2"/>
          </w:tcPr>
          <w:p>
            <w:pPr>
              <w:spacing w:after="0"/>
              <w:rPr>
                <w:sz w:val="15"/>
                <w:szCs w:val="15"/>
                <w:color w:val="auto"/>
              </w:rPr>
            </w:pPr>
          </w:p>
        </w:tc>
        <w:tc>
          <w:tcPr>
            <w:tcW w:w="8560" w:type="dxa"/>
            <w:vAlign w:val="bottom"/>
            <w:tcBorders>
              <w:top w:val="single" w:sz="8" w:color="CCEEFF"/>
            </w:tcBorders>
            <w:gridSpan w:val="6"/>
          </w:tcPr>
          <w:p>
            <w:pPr>
              <w:spacing w:after="0"/>
              <w:rPr>
                <w:sz w:val="15"/>
                <w:szCs w:val="15"/>
                <w:color w:val="auto"/>
              </w:rPr>
            </w:pPr>
          </w:p>
        </w:tc>
        <w:tc>
          <w:tcPr>
            <w:tcW w:w="58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tcBorders>
          </w:tcPr>
          <w:p>
            <w:pPr>
              <w:spacing w:after="0"/>
              <w:rPr>
                <w:sz w:val="15"/>
                <w:szCs w:val="15"/>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2"/>
            <w:shd w:val="clear" w:color="auto" w:fill="CCEEFF"/>
          </w:tcPr>
          <w:p>
            <w:pPr>
              <w:spacing w:after="0" w:line="182"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Legal Matters</w:t>
              </w:r>
            </w:hyperlink>
          </w:p>
        </w:tc>
        <w:tc>
          <w:tcPr>
            <w:tcW w:w="9580" w:type="dxa"/>
            <w:vAlign w:val="bottom"/>
            <w:tcBorders>
              <w:bottom w:val="single" w:sz="8" w:color="CCEEFF"/>
            </w:tcBorders>
            <w:gridSpan w:val="10"/>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Experts</w:t>
              </w:r>
            </w:hyperlink>
          </w:p>
        </w:tc>
        <w:tc>
          <w:tcPr>
            <w:tcW w:w="5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2"/>
            <w:shd w:val="clear" w:color="auto" w:fill="CCEEFF"/>
          </w:tcPr>
          <w:p>
            <w:pPr>
              <w:spacing w:after="0" w:line="18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Available Information</w:t>
              </w:r>
            </w:hyperlink>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5"/>
                <w:szCs w:val="15"/>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Incorporation of Certain Documents by Reference</w:t>
              </w:r>
            </w:hyperlink>
          </w:p>
        </w:tc>
        <w:tc>
          <w:tcPr>
            <w:tcW w:w="5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25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73" w:lineRule="exact"/>
        <w:rPr>
          <w:sz w:val="20"/>
          <w:szCs w:val="20"/>
          <w:color w:val="auto"/>
        </w:rPr>
      </w:pPr>
    </w:p>
    <w:p>
      <w:pPr>
        <w:ind w:right="520" w:firstLine="261"/>
        <w:spacing w:after="0" w:line="258"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39"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6010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THE COMPANIES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3" w:lineRule="exact"/>
        <w:rPr>
          <w:sz w:val="20"/>
          <w:szCs w:val="20"/>
          <w:color w:val="auto"/>
        </w:rPr>
      </w:pPr>
    </w:p>
    <w:p>
      <w:pPr>
        <w:ind w:left="180" w:firstLine="261"/>
        <w:spacing w:after="0" w:line="253" w:lineRule="auto"/>
        <w:rPr>
          <w:sz w:val="20"/>
          <w:szCs w:val="20"/>
          <w:color w:val="auto"/>
        </w:rPr>
      </w:pPr>
      <w:r>
        <w:rPr>
          <w:rFonts w:ascii="Times New Roman" w:cs="Times New Roman" w:eastAsia="Times New Roman" w:hAnsi="Times New Roman"/>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0" w:lineRule="exact"/>
        <w:rPr>
          <w:sz w:val="20"/>
          <w:szCs w:val="20"/>
          <w:color w:val="auto"/>
        </w:rPr>
      </w:pPr>
    </w:p>
    <w:p>
      <w:pPr>
        <w:ind w:left="180" w:right="140" w:firstLine="261"/>
        <w:spacing w:after="0" w:line="271" w:lineRule="auto"/>
        <w:rPr>
          <w:sz w:val="20"/>
          <w:szCs w:val="20"/>
          <w:color w:val="auto"/>
        </w:rPr>
      </w:pPr>
      <w:r>
        <w:rPr>
          <w:rFonts w:ascii="Times New Roman" w:cs="Times New Roman" w:eastAsia="Times New Roman" w:hAnsi="Times New Roman"/>
          <w:sz w:val="18"/>
          <w:szCs w:val="18"/>
          <w:color w:val="auto"/>
        </w:rPr>
        <w:t>We manage our operations through two reportable segments, “Cable” and “Content”. The Cable segment generates approximately 95% of our consolidated revenues.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Cable segment develops, manages and operates our broadband cable systems, including video, high-speed Internet and phone services.</w:t>
      </w:r>
    </w:p>
    <w:p>
      <w:pPr>
        <w:spacing w:after="0" w:line="111" w:lineRule="exact"/>
        <w:rPr>
          <w:sz w:val="20"/>
          <w:szCs w:val="20"/>
          <w:color w:val="auto"/>
        </w:rPr>
      </w:pPr>
    </w:p>
    <w:p>
      <w:pPr>
        <w:ind w:left="180" w:right="640" w:firstLine="264"/>
        <w:spacing w:after="0" w:line="271" w:lineRule="auto"/>
        <w:rPr>
          <w:sz w:val="20"/>
          <w:szCs w:val="20"/>
          <w:color w:val="auto"/>
        </w:rPr>
      </w:pPr>
      <w:r>
        <w:rPr>
          <w:rFonts w:ascii="Times New Roman" w:cs="Times New Roman" w:eastAsia="Times New Roman" w:hAnsi="Times New Roman"/>
          <w:sz w:val="18"/>
          <w:szCs w:val="18"/>
          <w:color w:val="auto"/>
        </w:rPr>
        <w:t>Our Content segment includes our six national cable networks: E! Entertainment Television, Style Network, The Golf Channel, OLN, G4, and AZN Television.</w:t>
      </w:r>
    </w:p>
    <w:p>
      <w:pPr>
        <w:spacing w:after="0" w:line="62" w:lineRule="exact"/>
        <w:rPr>
          <w:sz w:val="20"/>
          <w:szCs w:val="20"/>
          <w:color w:val="auto"/>
        </w:rPr>
      </w:pPr>
    </w:p>
    <w:p>
      <w:pPr>
        <w:ind w:left="180" w:right="260" w:firstLine="264"/>
        <w:spacing w:after="0" w:line="271" w:lineRule="auto"/>
        <w:rPr>
          <w:sz w:val="20"/>
          <w:szCs w:val="20"/>
          <w:color w:val="auto"/>
        </w:rPr>
      </w:pPr>
      <w:r>
        <w:rPr>
          <w:rFonts w:ascii="Times New Roman" w:cs="Times New Roman" w:eastAsia="Times New Roman" w:hAnsi="Times New Roman"/>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62" w:lineRule="exact"/>
        <w:rPr>
          <w:sz w:val="20"/>
          <w:szCs w:val="20"/>
          <w:color w:val="auto"/>
        </w:rPr>
      </w:pPr>
    </w:p>
    <w:p>
      <w:pPr>
        <w:ind w:left="180" w:right="40" w:firstLine="264"/>
        <w:spacing w:after="0" w:line="258"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Cable Guarantors</w:t>
      </w:r>
    </w:p>
    <w:p>
      <w:pPr>
        <w:spacing w:after="0" w:line="113" w:lineRule="exact"/>
        <w:rPr>
          <w:sz w:val="20"/>
          <w:szCs w:val="20"/>
          <w:color w:val="auto"/>
        </w:rPr>
      </w:pPr>
    </w:p>
    <w:p>
      <w:pPr>
        <w:ind w:left="180" w:right="80" w:firstLine="264"/>
        <w:spacing w:after="0" w:line="251"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7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980" w:hanging="45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15" w:lineRule="exact"/>
        <w:rPr>
          <w:sz w:val="20"/>
          <w:szCs w:val="20"/>
          <w:color w:val="auto"/>
        </w:rPr>
      </w:pPr>
    </w:p>
    <w:p>
      <w:pPr>
        <w:ind w:left="180" w:right="40" w:firstLine="264"/>
        <w:spacing w:after="0" w:line="271"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wholly-owned subsidiary of ours.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Holdings, Inc.</w:t>
      </w:r>
    </w:p>
    <w:p>
      <w:pPr>
        <w:spacing w:after="0" w:line="115" w:lineRule="exact"/>
        <w:rPr>
          <w:sz w:val="20"/>
          <w:szCs w:val="20"/>
          <w:color w:val="auto"/>
        </w:rPr>
      </w:pPr>
    </w:p>
    <w:p>
      <w:pPr>
        <w:ind w:left="180" w:right="40" w:firstLine="264"/>
        <w:spacing w:after="0" w:line="271" w:lineRule="auto"/>
        <w:rPr>
          <w:sz w:val="20"/>
          <w:szCs w:val="20"/>
          <w:color w:val="auto"/>
        </w:rPr>
      </w:pPr>
      <w:r>
        <w:rPr>
          <w:rFonts w:ascii="Times New Roman" w:cs="Times New Roman" w:eastAsia="Times New Roman" w:hAnsi="Times New Roman"/>
          <w:sz w:val="18"/>
          <w:szCs w:val="18"/>
          <w:color w:val="auto"/>
        </w:rPr>
        <w:t>Comcast Cable Communications Holdings is a Delaware corporation (formerly known as AT&amp;T Broadband Corp.) incorporated in 2001 and a wholly-owne subsidiary of ours.</w:t>
      </w: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2936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Holdings, LLC</w:t>
      </w:r>
    </w:p>
    <w:p>
      <w:pPr>
        <w:spacing w:after="0" w:line="115" w:lineRule="exact"/>
        <w:rPr>
          <w:sz w:val="20"/>
          <w:szCs w:val="20"/>
          <w:color w:val="auto"/>
        </w:rPr>
      </w:pPr>
    </w:p>
    <w:p>
      <w:pPr>
        <w:ind w:left="180" w:firstLine="264"/>
        <w:spacing w:after="0" w:line="271" w:lineRule="auto"/>
        <w:rPr>
          <w:sz w:val="20"/>
          <w:szCs w:val="20"/>
          <w:color w:val="auto"/>
        </w:rPr>
      </w:pPr>
      <w:r>
        <w:rPr>
          <w:rFonts w:ascii="Times New Roman" w:cs="Times New Roman" w:eastAsia="Times New Roman" w:hAnsi="Times New Roman"/>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MO Group, Inc.</w:t>
      </w:r>
    </w:p>
    <w:p>
      <w:pPr>
        <w:spacing w:after="0" w:line="115" w:lineRule="exact"/>
        <w:rPr>
          <w:sz w:val="20"/>
          <w:szCs w:val="20"/>
          <w:color w:val="auto"/>
        </w:rPr>
      </w:pPr>
    </w:p>
    <w:p>
      <w:pPr>
        <w:ind w:left="180" w:right="260" w:firstLine="264"/>
        <w:spacing w:after="0" w:line="271" w:lineRule="auto"/>
        <w:rPr>
          <w:sz w:val="20"/>
          <w:szCs w:val="20"/>
          <w:color w:val="auto"/>
        </w:rPr>
      </w:pPr>
      <w:r>
        <w:rPr>
          <w:rFonts w:ascii="Times New Roman" w:cs="Times New Roman" w:eastAsia="Times New Roman" w:hAnsi="Times New Roman"/>
          <w:sz w:val="18"/>
          <w:szCs w:val="18"/>
          <w:color w:val="auto"/>
        </w:rPr>
        <w:t>Comcast MO Group is a Delaware corporation (formerly known as MediaOne Group, Inc.) incorporated in 1999. Comcast MO Group is a wholly-owned subsidiary of Comcast Cable Communications Holdings.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MO of Delaware, LLC</w:t>
      </w:r>
    </w:p>
    <w:p>
      <w:pPr>
        <w:spacing w:after="0" w:line="115" w:lineRule="exact"/>
        <w:rPr>
          <w:sz w:val="20"/>
          <w:szCs w:val="20"/>
          <w:color w:val="auto"/>
        </w:rPr>
      </w:pPr>
    </w:p>
    <w:p>
      <w:pPr>
        <w:ind w:left="180" w:right="80" w:firstLine="264"/>
        <w:spacing w:after="0" w:line="271" w:lineRule="auto"/>
        <w:rPr>
          <w:sz w:val="20"/>
          <w:szCs w:val="20"/>
          <w:color w:val="auto"/>
        </w:rPr>
      </w:pPr>
      <w:r>
        <w:rPr>
          <w:rFonts w:ascii="Times New Roman" w:cs="Times New Roman" w:eastAsia="Times New Roman" w:hAnsi="Times New Roman"/>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19" w:lineRule="exact"/>
        <w:rPr>
          <w:sz w:val="20"/>
          <w:szCs w:val="20"/>
          <w:color w:val="auto"/>
        </w:rPr>
      </w:pPr>
    </w:p>
    <w:p>
      <w:pPr>
        <w:ind w:left="180" w:right="40" w:firstLine="26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CAUTION CONCERNING FORWARD-LOOKING STATEMENTS </w:t>
      </w:r>
      <w:r>
        <w:rPr>
          <w:rFonts w:ascii="Times New Roman" w:cs="Times New Roman" w:eastAsia="Times New Roman" w:hAnsi="Times New Roman"/>
          <w:sz w:val="18"/>
          <w:szCs w:val="18"/>
          <w:color w:val="auto"/>
        </w:rPr>
        <w:t>Our businesses may be affected by, among other things, the following:</w:t>
      </w: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services offered by our cable systems face a wide range of competition that could adversely affect our future results of operations.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costs are increasing, which could adversely affect our future results of operations.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governments, which may change and cause increased costs and restrictions.</w:t>
      </w:r>
    </w:p>
    <w:p>
      <w:pPr>
        <w:spacing w:after="0" w:line="123"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because of technological advances and changing regulatory requirements, which could adversely affect our future results of operations.</w:t>
      </w:r>
    </w:p>
    <w:p>
      <w:pPr>
        <w:spacing w:after="0" w:line="74" w:lineRule="exact"/>
        <w:rPr>
          <w:rFonts w:ascii="Times New Roman" w:cs="Times New Roman" w:eastAsia="Times New Roman" w:hAnsi="Times New Roman"/>
          <w:sz w:val="18"/>
          <w:szCs w:val="18"/>
          <w:color w:val="auto"/>
        </w:rPr>
      </w:pPr>
    </w:p>
    <w:p>
      <w:pPr>
        <w:ind w:left="820" w:right="56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outcome of various litigation matters, including litigation associated with our acquisition of AT&amp;T’s Broadband operations.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Chairman and CEO has considerable influence over our operations.</w:t>
      </w:r>
    </w:p>
    <w:p>
      <w:pPr>
        <w:spacing w:after="0" w:line="123"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present many risks, and we may not realize the financial and strategic goals that were contemplated at the time of any transaction.</w:t>
      </w:r>
    </w:p>
    <w:p>
      <w:pPr>
        <w:spacing w:after="0" w:line="62" w:lineRule="exact"/>
        <w:rPr>
          <w:sz w:val="20"/>
          <w:szCs w:val="20"/>
          <w:color w:val="auto"/>
        </w:rPr>
      </w:pPr>
    </w:p>
    <w:p>
      <w:pPr>
        <w:ind w:right="40" w:firstLine="264"/>
        <w:spacing w:after="0" w:line="250" w:lineRule="auto"/>
        <w:rPr>
          <w:sz w:val="20"/>
          <w:szCs w:val="20"/>
          <w:color w:val="auto"/>
        </w:rPr>
      </w:pPr>
      <w:r>
        <w:rPr>
          <w:rFonts w:ascii="Times New Roman" w:cs="Times New Roman" w:eastAsia="Times New Roman" w:hAnsi="Times New Roman"/>
          <w:sz w:val="18"/>
          <w:szCs w:val="18"/>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3" w:lineRule="exact"/>
        <w:rPr>
          <w:sz w:val="20"/>
          <w:szCs w:val="20"/>
          <w:color w:val="auto"/>
        </w:rPr>
      </w:pPr>
    </w:p>
    <w:p>
      <w:pPr>
        <w:jc w:val="both"/>
        <w:ind w:right="440" w:firstLine="261"/>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intend to pay dividends on our common stock for the foreseeable future.</w:t>
      </w:r>
    </w:p>
    <w:p>
      <w:pPr>
        <w:spacing w:after="0" w:line="320" w:lineRule="exact"/>
        <w:rPr>
          <w:sz w:val="20"/>
          <w:szCs w:val="20"/>
          <w:color w:val="auto"/>
        </w:rPr>
      </w:pPr>
    </w:p>
    <w:p>
      <w:pPr>
        <w:ind w:left="280" w:right="3840" w:firstLine="3578"/>
        <w:spacing w:after="0" w:line="395" w:lineRule="auto"/>
        <w:rPr>
          <w:sz w:val="20"/>
          <w:szCs w:val="20"/>
          <w:color w:val="auto"/>
        </w:rPr>
      </w:pPr>
      <w:r>
        <w:rPr>
          <w:rFonts w:ascii="Times New Roman" w:cs="Times New Roman" w:eastAsia="Times New Roman" w:hAnsi="Times New Roman"/>
          <w:sz w:val="17"/>
          <w:szCs w:val="17"/>
          <w:b w:val="1"/>
          <w:bCs w:val="1"/>
          <w:color w:val="auto"/>
        </w:rPr>
        <w:t xml:space="preserve">RATIOS OF EARNINGS TO FIXED CHARGES </w:t>
      </w:r>
      <w:r>
        <w:rPr>
          <w:rFonts w:ascii="Times New Roman" w:cs="Times New Roman" w:eastAsia="Times New Roman" w:hAnsi="Times New Roman"/>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2.01x</w:t>
            </w:r>
          </w:p>
        </w:tc>
        <w:tc>
          <w:tcPr>
            <w:tcW w:w="34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1.97x</w:t>
            </w:r>
          </w:p>
        </w:tc>
        <w:tc>
          <w:tcPr>
            <w:tcW w:w="3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22510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5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01" w:lineRule="auto"/>
        <w:rPr>
          <w:sz w:val="20"/>
          <w:szCs w:val="20"/>
          <w:color w:val="auto"/>
        </w:rPr>
      </w:pPr>
      <w:r>
        <w:rPr>
          <w:rFonts w:ascii="Times New Roman" w:cs="Times New Roman" w:eastAsia="Times New Roman" w:hAnsi="Times New Roman"/>
          <w:sz w:val="17"/>
          <w:szCs w:val="17"/>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7"/>
          <w:szCs w:val="17"/>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ind w:firstLine="6"/>
        <w:spacing w:after="0" w:line="248"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PREFERRED DIVIDENDS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2.01x</w:t>
            </w:r>
          </w:p>
        </w:tc>
        <w:tc>
          <w:tcPr>
            <w:tcW w:w="34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1.97x</w:t>
            </w:r>
          </w:p>
        </w:tc>
        <w:tc>
          <w:tcPr>
            <w:tcW w:w="3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2251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56" w:lineRule="exact"/>
        <w:rPr>
          <w:sz w:val="20"/>
          <w:szCs w:val="20"/>
          <w:color w:val="auto"/>
        </w:rPr>
      </w:pPr>
    </w:p>
    <w:p>
      <w:pPr>
        <w:ind w:left="340" w:right="260" w:hanging="334"/>
        <w:spacing w:after="0" w:line="27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2003 and 2002, we had a $76 million and $490 million deficiency, respectively, of earnings to combined fixed charges and preferred dividends.</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purposes of calculating the ratio of earnings to combined fixed charges and preferred dividends, earnings is the amount resulting from (1) adding</w:t>
      </w:r>
    </w:p>
    <w:p>
      <w:pPr>
        <w:spacing w:after="0" w:line="22" w:lineRule="exact"/>
        <w:rPr>
          <w:sz w:val="20"/>
          <w:szCs w:val="20"/>
          <w:color w:val="auto"/>
        </w:rPr>
      </w:pPr>
    </w:p>
    <w:p>
      <w:pPr>
        <w:ind w:left="240" w:hanging="234"/>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from continuing operations before adjustment for minority interests in consolidated subsidiaries or income or loss from equity investees,</w:t>
      </w:r>
    </w:p>
    <w:p>
      <w:pPr>
        <w:spacing w:after="0" w:line="4" w:lineRule="exact"/>
        <w:rPr>
          <w:rFonts w:ascii="Times New Roman" w:cs="Times New Roman" w:eastAsia="Times New Roman" w:hAnsi="Times New Roman"/>
          <w:sz w:val="18"/>
          <w:szCs w:val="18"/>
          <w:color w:val="auto"/>
        </w:rPr>
      </w:pPr>
    </w:p>
    <w:p>
      <w:pPr>
        <w:ind w:right="160" w:firstLine="6"/>
        <w:spacing w:after="0" w:line="259" w:lineRule="auto"/>
        <w:tabs>
          <w:tab w:leader="none" w:pos="25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2" w:lineRule="exact"/>
        <w:rPr>
          <w:rFonts w:ascii="Times New Roman" w:cs="Times New Roman" w:eastAsia="Times New Roman" w:hAnsi="Times New Roman"/>
          <w:sz w:val="17"/>
          <w:szCs w:val="17"/>
          <w:color w:val="auto"/>
        </w:rPr>
      </w:pPr>
    </w:p>
    <w:p>
      <w:pPr>
        <w:jc w:val="both"/>
        <w:ind w:right="160" w:firstLine="6"/>
        <w:spacing w:after="0" w:line="248"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DESCRIPTION OF DEBT SECURITIES AND CABLE GUARANTEES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w:t>
      </w:r>
    </w:p>
    <w:p>
      <w:pPr>
        <w:spacing w:after="0" w:line="111" w:lineRule="exact"/>
        <w:rPr>
          <w:sz w:val="20"/>
          <w:szCs w:val="20"/>
          <w:color w:val="auto"/>
        </w:rPr>
      </w:pPr>
    </w:p>
    <w:p>
      <w:pPr>
        <w:ind w:left="820" w:right="160" w:hanging="470"/>
        <w:spacing w:after="0" w:line="271"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74" w:lineRule="exact"/>
        <w:rPr>
          <w:rFonts w:ascii="Times New Roman" w:cs="Times New Roman" w:eastAsia="Times New Roman" w:hAnsi="Times New Roman"/>
          <w:sz w:val="18"/>
          <w:szCs w:val="18"/>
          <w:color w:val="auto"/>
        </w:rPr>
      </w:pPr>
    </w:p>
    <w:p>
      <w:pPr>
        <w:ind w:left="820" w:right="280" w:hanging="470"/>
        <w:spacing w:after="0" w:line="271"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under a subordinated indenture to be entered into among us, the cable guarantors and The Bank of New York, as trustee.</w:t>
      </w:r>
    </w:p>
    <w:p>
      <w:pPr>
        <w:spacing w:after="0" w:line="62" w:lineRule="exact"/>
        <w:rPr>
          <w:sz w:val="20"/>
          <w:szCs w:val="20"/>
          <w:color w:val="auto"/>
        </w:rPr>
      </w:pPr>
    </w:p>
    <w:p>
      <w:pPr>
        <w:ind w:right="300" w:firstLine="261"/>
        <w:spacing w:after="0" w:line="271" w:lineRule="auto"/>
        <w:rPr>
          <w:sz w:val="20"/>
          <w:szCs w:val="20"/>
          <w:color w:val="auto"/>
        </w:rPr>
      </w:pPr>
      <w:r>
        <w:rPr>
          <w:rFonts w:ascii="Times New Roman" w:cs="Times New Roman" w:eastAsia="Times New Roman" w:hAnsi="Times New Roman"/>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62" w:lineRule="exact"/>
        <w:rPr>
          <w:sz w:val="20"/>
          <w:szCs w:val="20"/>
          <w:color w:val="auto"/>
        </w:rPr>
      </w:pPr>
    </w:p>
    <w:p>
      <w:pPr>
        <w:ind w:right="280" w:firstLine="264"/>
        <w:spacing w:after="0" w:line="253" w:lineRule="auto"/>
        <w:rPr>
          <w:sz w:val="20"/>
          <w:szCs w:val="20"/>
          <w:color w:val="auto"/>
        </w:rPr>
      </w:pPr>
      <w:r>
        <w:rPr>
          <w:rFonts w:ascii="Times New Roman" w:cs="Times New Roman" w:eastAsia="Times New Roman" w:hAnsi="Times New Roman"/>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ind w:right="40" w:firstLine="261"/>
        <w:spacing w:after="0" w:line="251"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82" w:lineRule="exact"/>
        <w:rPr>
          <w:sz w:val="20"/>
          <w:szCs w:val="20"/>
          <w:color w:val="auto"/>
        </w:rPr>
      </w:pPr>
    </w:p>
    <w:p>
      <w:pPr>
        <w:ind w:firstLine="261"/>
        <w:spacing w:after="0" w:line="266" w:lineRule="auto"/>
        <w:rPr>
          <w:sz w:val="20"/>
          <w:szCs w:val="20"/>
          <w:color w:val="auto"/>
        </w:rPr>
      </w:pPr>
      <w:r>
        <w:rPr>
          <w:rFonts w:ascii="Times New Roman" w:cs="Times New Roman" w:eastAsia="Times New Roman" w:hAnsi="Times New Roman"/>
          <w:sz w:val="17"/>
          <w:szCs w:val="17"/>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21"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price) at which the debt securities will be issued;</w:t>
      </w:r>
    </w:p>
    <w:p>
      <w:pPr>
        <w:spacing w:after="0" w:line="125"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580" w:hanging="470"/>
        <w:spacing w:after="0" w:line="258"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23" w:lineRule="exact"/>
        <w:rPr>
          <w:rFonts w:ascii="Times New Roman" w:cs="Times New Roman" w:eastAsia="Times New Roman" w:hAnsi="Times New Roman"/>
          <w:sz w:val="18"/>
          <w:szCs w:val="18"/>
          <w:color w:val="auto"/>
        </w:rPr>
      </w:pPr>
    </w:p>
    <w:p>
      <w:pPr>
        <w:ind w:left="820" w:right="70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23" w:lineRule="exact"/>
        <w:rPr>
          <w:rFonts w:ascii="Times New Roman" w:cs="Times New Roman" w:eastAsia="Times New Roman" w:hAnsi="Times New Roman"/>
          <w:sz w:val="18"/>
          <w:szCs w:val="18"/>
          <w:color w:val="auto"/>
        </w:rPr>
      </w:pPr>
    </w:p>
    <w:p>
      <w:pPr>
        <w:ind w:left="820" w:right="16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74" w:lineRule="exact"/>
        <w:rPr>
          <w:rFonts w:ascii="Times New Roman" w:cs="Times New Roman" w:eastAsia="Times New Roman" w:hAnsi="Times New Roman"/>
          <w:sz w:val="18"/>
          <w:szCs w:val="18"/>
          <w:color w:val="auto"/>
        </w:rPr>
      </w:pPr>
    </w:p>
    <w:p>
      <w:pPr>
        <w:ind w:left="820" w:right="18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4" w:lineRule="exact"/>
        <w:rPr>
          <w:rFonts w:ascii="Times New Roman" w:cs="Times New Roman" w:eastAsia="Times New Roman" w:hAnsi="Times New Roman"/>
          <w:sz w:val="18"/>
          <w:szCs w:val="18"/>
          <w:color w:val="auto"/>
        </w:rPr>
      </w:pPr>
    </w:p>
    <w:p>
      <w:pPr>
        <w:ind w:left="820" w:right="34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4" w:lineRule="exact"/>
        <w:rPr>
          <w:rFonts w:ascii="Times New Roman" w:cs="Times New Roman" w:eastAsia="Times New Roman" w:hAnsi="Times New Roman"/>
          <w:sz w:val="18"/>
          <w:szCs w:val="18"/>
          <w:color w:val="auto"/>
        </w:rPr>
      </w:pPr>
    </w:p>
    <w:p>
      <w:pPr>
        <w:ind w:left="820" w:right="8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23" w:lineRule="exact"/>
        <w:rPr>
          <w:rFonts w:ascii="Times New Roman" w:cs="Times New Roman" w:eastAsia="Times New Roman" w:hAnsi="Times New Roman"/>
          <w:sz w:val="18"/>
          <w:szCs w:val="18"/>
          <w:color w:val="auto"/>
        </w:rPr>
      </w:pPr>
    </w:p>
    <w:p>
      <w:pPr>
        <w:ind w:left="820" w:right="2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62" w:lineRule="exact"/>
        <w:rPr>
          <w:sz w:val="20"/>
          <w:szCs w:val="20"/>
          <w:color w:val="auto"/>
        </w:rPr>
      </w:pPr>
    </w:p>
    <w:p>
      <w:pPr>
        <w:ind w:firstLine="258"/>
        <w:spacing w:after="0" w:line="258"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3" w:lineRule="exact"/>
        <w:rPr>
          <w:sz w:val="20"/>
          <w:szCs w:val="20"/>
          <w:color w:val="auto"/>
        </w:rPr>
      </w:pPr>
    </w:p>
    <w:p>
      <w:pPr>
        <w:ind w:right="160" w:firstLine="264"/>
        <w:spacing w:after="0" w:line="253"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0" w:lineRule="exact"/>
        <w:rPr>
          <w:sz w:val="20"/>
          <w:szCs w:val="20"/>
          <w:color w:val="auto"/>
        </w:rPr>
      </w:pPr>
    </w:p>
    <w:p>
      <w:pPr>
        <w:ind w:right="100" w:firstLine="261"/>
        <w:spacing w:after="0" w:line="249"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Cable Guarantees</w:t>
      </w:r>
    </w:p>
    <w:p>
      <w:pPr>
        <w:spacing w:after="0" w:line="115" w:lineRule="exact"/>
        <w:rPr>
          <w:sz w:val="20"/>
          <w:szCs w:val="20"/>
          <w:color w:val="auto"/>
        </w:rPr>
      </w:pPr>
    </w:p>
    <w:p>
      <w:pPr>
        <w:ind w:right="140" w:firstLine="264"/>
        <w:spacing w:after="0" w:line="258"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7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5" w:lineRule="exact"/>
        <w:rPr>
          <w:sz w:val="20"/>
          <w:szCs w:val="20"/>
          <w:color w:val="auto"/>
        </w:rPr>
      </w:pPr>
    </w:p>
    <w:p>
      <w:pPr>
        <w:ind w:right="80" w:firstLine="261"/>
        <w:spacing w:after="0" w:line="258" w:lineRule="auto"/>
        <w:rPr>
          <w:sz w:val="20"/>
          <w:szCs w:val="20"/>
          <w:color w:val="auto"/>
        </w:rPr>
      </w:pPr>
      <w:r>
        <w:rPr>
          <w:rFonts w:ascii="Times New Roman" w:cs="Times New Roman" w:eastAsia="Times New Roman" w:hAnsi="Times New Roman"/>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73" w:lineRule="exact"/>
        <w:rPr>
          <w:sz w:val="20"/>
          <w:szCs w:val="20"/>
          <w:color w:val="auto"/>
        </w:rPr>
      </w:pPr>
    </w:p>
    <w:p>
      <w:pPr>
        <w:ind w:right="280" w:firstLine="261"/>
        <w:spacing w:after="0" w:line="258"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71" w:lineRule="exact"/>
        <w:rPr>
          <w:sz w:val="20"/>
          <w:szCs w:val="20"/>
          <w:color w:val="auto"/>
        </w:rPr>
      </w:pPr>
    </w:p>
    <w:p>
      <w:pPr>
        <w:jc w:val="both"/>
        <w:ind w:right="28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 on Liens Securing Indebtedness. </w:t>
      </w:r>
      <w:r>
        <w:rPr>
          <w:rFonts w:ascii="Times New Roman" w:cs="Times New Roman" w:eastAsia="Times New Roman" w:hAnsi="Times New Roman"/>
          <w:sz w:val="18"/>
          <w:szCs w:val="18"/>
          <w:color w:val="auto"/>
        </w:rPr>
        <w:t>Neither we nor any cable guarantor shall create, incur or assume any Lien (other than any Permitted Lien)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76" w:lineRule="exact"/>
        <w:rPr>
          <w:sz w:val="20"/>
          <w:szCs w:val="20"/>
          <w:color w:val="auto"/>
        </w:rPr>
      </w:pPr>
    </w:p>
    <w:p>
      <w:pPr>
        <w:jc w:val="both"/>
        <w:ind w:right="300" w:firstLine="264"/>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Limitation on Sale and Leaseback Transactions. </w:t>
      </w:r>
      <w:r>
        <w:rPr>
          <w:rFonts w:ascii="Times New Roman" w:cs="Times New Roman" w:eastAsia="Times New Roman" w:hAnsi="Times New Roman"/>
          <w:sz w:val="18"/>
          <w:szCs w:val="18"/>
          <w:color w:val="auto"/>
        </w:rPr>
        <w:t>Neither we nor any cable guarantor shall enter into any Sale and Leaseback Transaction involving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person’s assets, including the Capital Stock of such person’s wholly-owned subsidiaries.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not in excess of three years, including renewal of rights;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similar financing;</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solely between us and a cable guarantor or between or among cable guarantors; or</w:t>
      </w:r>
    </w:p>
    <w:p>
      <w:pPr>
        <w:spacing w:after="0" w:line="123" w:lineRule="exact"/>
        <w:rPr>
          <w:rFonts w:ascii="Times New Roman" w:cs="Times New Roman" w:eastAsia="Times New Roman" w:hAnsi="Times New Roman"/>
          <w:sz w:val="18"/>
          <w:szCs w:val="18"/>
          <w:color w:val="auto"/>
        </w:rPr>
      </w:pPr>
    </w:p>
    <w:p>
      <w:pPr>
        <w:ind w:left="820" w:hanging="470"/>
        <w:spacing w:after="0" w:line="258"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73" w:lineRule="exact"/>
        <w:rPr>
          <w:sz w:val="20"/>
          <w:szCs w:val="20"/>
          <w:color w:val="auto"/>
        </w:rPr>
      </w:pPr>
    </w:p>
    <w:p>
      <w:pPr>
        <w:ind w:left="1040" w:hanging="452"/>
        <w:spacing w:after="0" w:line="235" w:lineRule="auto"/>
        <w:tabs>
          <w:tab w:leader="none" w:pos="10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3" w:lineRule="exact"/>
        <w:rPr>
          <w:rFonts w:ascii="Times New Roman" w:cs="Times New Roman" w:eastAsia="Times New Roman" w:hAnsi="Times New Roman"/>
          <w:sz w:val="21"/>
          <w:szCs w:val="21"/>
          <w:color w:val="auto"/>
        </w:rPr>
      </w:pPr>
    </w:p>
    <w:p>
      <w:pPr>
        <w:ind w:left="1040" w:right="440" w:hanging="452"/>
        <w:spacing w:after="0" w:line="235" w:lineRule="auto"/>
        <w:tabs>
          <w:tab w:leader="none" w:pos="10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261"/>
        <w:spacing w:after="0" w:line="271" w:lineRule="auto"/>
        <w:rPr>
          <w:sz w:val="20"/>
          <w:szCs w:val="20"/>
          <w:color w:val="auto"/>
        </w:rPr>
      </w:pPr>
      <w:r>
        <w:rPr>
          <w:rFonts w:ascii="Times New Roman" w:cs="Times New Roman" w:eastAsia="Times New Roman" w:hAnsi="Times New Roman"/>
          <w:sz w:val="18"/>
          <w:szCs w:val="18"/>
          <w:color w:val="auto"/>
        </w:rPr>
        <w:t>This provision and the provision described under “—Limitation on Liens Securing Indebtedness” do not apply to any of our subsidiaries other than the cable guarantors.</w:t>
      </w:r>
    </w:p>
    <w:p>
      <w:pPr>
        <w:spacing w:after="0" w:line="60" w:lineRule="exact"/>
        <w:rPr>
          <w:sz w:val="20"/>
          <w:szCs w:val="20"/>
          <w:color w:val="auto"/>
        </w:rPr>
      </w:pPr>
    </w:p>
    <w:p>
      <w:pPr>
        <w:ind w:right="40" w:firstLine="2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“Capitalized Lease” </w:t>
      </w:r>
      <w:r>
        <w:rPr>
          <w:rFonts w:ascii="Times New Roman" w:cs="Times New Roman" w:eastAsia="Times New Roman" w:hAnsi="Times New Roman"/>
          <w:sz w:val="18"/>
          <w:szCs w:val="18"/>
          <w:color w:val="auto"/>
        </w:rPr>
        <w:t>means, as applied to any person, any lease of any property (whether real, personal, or mixed) of which the discounted present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1" w:lineRule="exact"/>
        <w:rPr>
          <w:sz w:val="20"/>
          <w:szCs w:val="20"/>
          <w:color w:val="auto"/>
        </w:rPr>
      </w:pPr>
    </w:p>
    <w:p>
      <w:pPr>
        <w:ind w:firstLine="2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color w:val="auto"/>
        </w:rPr>
        <w:t>means, with respect to any person, any and all shares, interests, participations, or other equivalents (however designated, whether voting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1" w:lineRule="exact"/>
        <w:rPr>
          <w:sz w:val="20"/>
          <w:szCs w:val="20"/>
          <w:color w:val="auto"/>
        </w:rPr>
      </w:pPr>
    </w:p>
    <w:p>
      <w:pPr>
        <w:ind w:right="260" w:firstLine="26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“Currency Agreement” </w:t>
      </w:r>
      <w:r>
        <w:rPr>
          <w:rFonts w:ascii="Times New Roman" w:cs="Times New Roman" w:eastAsia="Times New Roman" w:hAnsi="Times New Roman"/>
          <w:sz w:val="18"/>
          <w:szCs w:val="18"/>
          <w:color w:val="auto"/>
        </w:rPr>
        <w:t>means any foreign exchange contract, currency swap agreement, or other similar agreement or arrangement designed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fluctuation in currency values.</w:t>
      </w:r>
    </w:p>
    <w:p>
      <w:pPr>
        <w:spacing w:after="0" w:line="58"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as in effect as of the date of determination,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77" w:lineRule="exact"/>
        <w:rPr>
          <w:sz w:val="20"/>
          <w:szCs w:val="20"/>
          <w:color w:val="auto"/>
        </w:rPr>
      </w:pPr>
    </w:p>
    <w:p>
      <w:pPr>
        <w:ind w:right="160" w:firstLine="26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means any obligation, contingent or otherwise, of any person directly or indirectly guaranteeing any Indebtedness or other obligation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and, without limiting the generality of the foregoing, any obligation, direct or indirect, contingent or otherwise, of such person:</w:t>
      </w:r>
    </w:p>
    <w:p>
      <w:pPr>
        <w:spacing w:after="0" w:line="60" w:lineRule="exact"/>
        <w:rPr>
          <w:sz w:val="20"/>
          <w:szCs w:val="20"/>
          <w:color w:val="auto"/>
        </w:rPr>
      </w:pPr>
    </w:p>
    <w:p>
      <w:pPr>
        <w:ind w:left="820" w:right="80" w:hanging="470"/>
        <w:spacing w:after="0" w:line="258"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86" w:lineRule="exact"/>
        <w:rPr>
          <w:rFonts w:ascii="Times New Roman" w:cs="Times New Roman" w:eastAsia="Times New Roman" w:hAnsi="Times New Roman"/>
          <w:sz w:val="18"/>
          <w:szCs w:val="18"/>
          <w:color w:val="auto"/>
        </w:rPr>
      </w:pPr>
    </w:p>
    <w:p>
      <w:pPr>
        <w:ind w:left="820" w:right="220" w:hanging="470"/>
        <w:spacing w:after="0" w:line="271"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6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provided that the term “Guarantee” shall not include endorsements for collection or deposit in the ordinary course of business. The term “Guarantee” used as a verb has a corresponding meaning.</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means, with respect to any person at any date of determination (without duplication):</w:t>
      </w:r>
    </w:p>
    <w:p>
      <w:pPr>
        <w:spacing w:after="0" w:line="113" w:lineRule="exact"/>
        <w:rPr>
          <w:sz w:val="20"/>
          <w:szCs w:val="20"/>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other similar instruments;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in respect of letters of credit or other similar instruments (including reimbursement obligations with respect thereto);</w:t>
      </w:r>
    </w:p>
    <w:p>
      <w:pPr>
        <w:spacing w:after="0" w:line="135" w:lineRule="exact"/>
        <w:rPr>
          <w:rFonts w:ascii="Times New Roman" w:cs="Times New Roman" w:eastAsia="Times New Roman" w:hAnsi="Times New Roman"/>
          <w:sz w:val="17"/>
          <w:szCs w:val="17"/>
          <w:color w:val="auto"/>
        </w:rPr>
      </w:pPr>
    </w:p>
    <w:p>
      <w:pPr>
        <w:ind w:left="820" w:right="40" w:hanging="470"/>
        <w:spacing w:after="0" w:line="27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560" w:hanging="470"/>
        <w:spacing w:after="0" w:line="271"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49" w:lineRule="exact"/>
        <w:rPr>
          <w:sz w:val="20"/>
          <w:szCs w:val="20"/>
          <w:color w:val="auto"/>
        </w:rPr>
      </w:pPr>
    </w:p>
    <w:p>
      <w:pPr>
        <w:ind w:left="1040" w:hanging="452"/>
        <w:spacing w:after="0"/>
        <w:tabs>
          <w:tab w:leader="none" w:pos="10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fair market value of such asset at such date of determination; and</w:t>
      </w:r>
    </w:p>
    <w:p>
      <w:pPr>
        <w:spacing w:after="0" w:line="115" w:lineRule="exact"/>
        <w:rPr>
          <w:rFonts w:ascii="Times New Roman" w:cs="Times New Roman" w:eastAsia="Times New Roman" w:hAnsi="Times New Roman"/>
          <w:sz w:val="21"/>
          <w:szCs w:val="21"/>
          <w:color w:val="auto"/>
        </w:rPr>
      </w:pPr>
    </w:p>
    <w:p>
      <w:pPr>
        <w:ind w:left="1040" w:hanging="452"/>
        <w:spacing w:after="0"/>
        <w:tabs>
          <w:tab w:leader="none" w:pos="10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amount of such Indebtedness;</w:t>
      </w:r>
    </w:p>
    <w:p>
      <w:pPr>
        <w:spacing w:after="0" w:line="114" w:lineRule="exact"/>
        <w:rPr>
          <w:rFonts w:ascii="Times New Roman" w:cs="Times New Roman" w:eastAsia="Times New Roman" w:hAnsi="Times New Roman"/>
          <w:sz w:val="21"/>
          <w:szCs w:val="21"/>
          <w:color w:val="auto"/>
        </w:rPr>
      </w:pPr>
    </w:p>
    <w:p>
      <w:pPr>
        <w:ind w:left="820" w:hanging="47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 persons to the extent Guaranteed by such person;</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71" w:lineRule="auto"/>
        <w:rPr>
          <w:sz w:val="20"/>
          <w:szCs w:val="20"/>
          <w:color w:val="auto"/>
        </w:rPr>
      </w:pPr>
      <w:r>
        <w:rPr>
          <w:rFonts w:ascii="Times New Roman" w:cs="Times New Roman" w:eastAsia="Times New Roman" w:hAnsi="Times New Roman"/>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62" w:lineRule="exact"/>
        <w:rPr>
          <w:sz w:val="20"/>
          <w:szCs w:val="20"/>
          <w:color w:val="auto"/>
        </w:rPr>
      </w:pPr>
    </w:p>
    <w:p>
      <w:pPr>
        <w:ind w:right="160" w:firstLine="261"/>
        <w:spacing w:after="0" w:line="271" w:lineRule="auto"/>
        <w:rPr>
          <w:sz w:val="20"/>
          <w:szCs w:val="20"/>
          <w:color w:val="auto"/>
        </w:rPr>
      </w:pPr>
      <w:r>
        <w:rPr>
          <w:rFonts w:ascii="Times New Roman" w:cs="Times New Roman" w:eastAsia="Times New Roman" w:hAnsi="Times New Roman"/>
          <w:sz w:val="18"/>
          <w:szCs w:val="18"/>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2" w:lineRule="exact"/>
        <w:rPr>
          <w:sz w:val="20"/>
          <w:szCs w:val="20"/>
          <w:color w:val="auto"/>
        </w:rPr>
      </w:pPr>
    </w:p>
    <w:p>
      <w:pPr>
        <w:ind w:left="820" w:right="420" w:hanging="470"/>
        <w:spacing w:after="0" w:line="301" w:lineRule="auto"/>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52" w:lineRule="exact"/>
        <w:rPr>
          <w:rFonts w:ascii="Times New Roman" w:cs="Times New Roman" w:eastAsia="Times New Roman" w:hAnsi="Times New Roman"/>
          <w:sz w:val="17"/>
          <w:szCs w:val="17"/>
          <w:color w:val="auto"/>
        </w:rPr>
      </w:pPr>
    </w:p>
    <w:p>
      <w:pPr>
        <w:ind w:left="820" w:hanging="47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Indebtedness shall not include any liability for federal, state, local, or other taxes.</w:t>
      </w:r>
    </w:p>
    <w:p>
      <w:pPr>
        <w:spacing w:after="0" w:line="109" w:lineRule="exact"/>
        <w:rPr>
          <w:sz w:val="20"/>
          <w:szCs w:val="20"/>
          <w:color w:val="auto"/>
        </w:rPr>
      </w:pPr>
    </w:p>
    <w:p>
      <w:pPr>
        <w:ind w:firstLine="26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“Interest Rate Agreements” </w:t>
      </w:r>
      <w:r>
        <w:rPr>
          <w:rFonts w:ascii="Times New Roman" w:cs="Times New Roman" w:eastAsia="Times New Roman" w:hAnsi="Times New Roman"/>
          <w:sz w:val="18"/>
          <w:szCs w:val="18"/>
          <w:color w:val="auto"/>
        </w:rPr>
        <w:t>means any obligations of any person pursuant to any interest rate swaps, caps, collars, and similar arrangements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77" w:lineRule="exact"/>
        <w:rPr>
          <w:sz w:val="20"/>
          <w:szCs w:val="20"/>
          <w:color w:val="auto"/>
        </w:rPr>
      </w:pPr>
    </w:p>
    <w:p>
      <w:pPr>
        <w:ind w:right="140" w:firstLine="26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“Lien” </w:t>
      </w:r>
      <w:r>
        <w:rPr>
          <w:rFonts w:ascii="Times New Roman" w:cs="Times New Roman" w:eastAsia="Times New Roman" w:hAnsi="Times New Roman"/>
          <w:sz w:val="18"/>
          <w:szCs w:val="18"/>
          <w:color w:val="auto"/>
        </w:rPr>
        <w:t>means, with respect to any asset, any mortgage, lien, pledge, charge, security interest or encumbrance of any kind, or any other type of preferential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“Permitted Liens” </w:t>
      </w:r>
      <w:r>
        <w:rPr>
          <w:rFonts w:ascii="Times New Roman" w:cs="Times New Roman" w:eastAsia="Times New Roman" w:hAnsi="Times New Roman"/>
          <w:sz w:val="18"/>
          <w:szCs w:val="18"/>
          <w:color w:val="auto"/>
        </w:rPr>
        <w:t>means:</w:t>
      </w:r>
    </w:p>
    <w:p>
      <w:pPr>
        <w:spacing w:after="0" w:line="113" w:lineRule="exact"/>
        <w:rPr>
          <w:sz w:val="20"/>
          <w:szCs w:val="20"/>
          <w:color w:val="auto"/>
        </w:rPr>
      </w:pPr>
    </w:p>
    <w:p>
      <w:pPr>
        <w:ind w:left="820" w:hanging="47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 incurred prior to the date of the senior indenture;</w:t>
      </w:r>
    </w:p>
    <w:p>
      <w:pPr>
        <w:spacing w:after="0" w:line="123" w:lineRule="exact"/>
        <w:rPr>
          <w:rFonts w:ascii="Times New Roman" w:cs="Times New Roman" w:eastAsia="Times New Roman" w:hAnsi="Times New Roman"/>
          <w:sz w:val="18"/>
          <w:szCs w:val="18"/>
          <w:color w:val="auto"/>
        </w:rPr>
      </w:pPr>
    </w:p>
    <w:p>
      <w:pPr>
        <w:ind w:left="820" w:right="120" w:hanging="470"/>
        <w:spacing w:after="0" w:line="251"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in favor of us or any cable guarantor;</w:t>
      </w:r>
    </w:p>
    <w:p>
      <w:pPr>
        <w:spacing w:after="0" w:line="123"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assets incurred in connection with the issuance of tax-exempt governmental obligations (including, without limitation, industrial revenue bonds and similar financing);</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100" w:hanging="470"/>
        <w:spacing w:after="0" w:line="27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74" w:lineRule="exact"/>
        <w:rPr>
          <w:rFonts w:ascii="Times New Roman" w:cs="Times New Roman" w:eastAsia="Times New Roman" w:hAnsi="Times New Roman"/>
          <w:sz w:val="18"/>
          <w:szCs w:val="18"/>
          <w:color w:val="auto"/>
        </w:rPr>
      </w:pPr>
    </w:p>
    <w:p>
      <w:pPr>
        <w:ind w:left="820" w:right="200" w:hanging="470"/>
        <w:spacing w:after="0" w:line="258"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1" w:lineRule="exact"/>
        <w:rPr>
          <w:sz w:val="20"/>
          <w:szCs w:val="20"/>
          <w:color w:val="auto"/>
        </w:rPr>
      </w:pPr>
    </w:p>
    <w:p>
      <w:pPr>
        <w:ind w:right="20" w:firstLine="26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“Sale and Leaseback Transaction” </w:t>
      </w:r>
      <w:r>
        <w:rPr>
          <w:rFonts w:ascii="Times New Roman" w:cs="Times New Roman" w:eastAsia="Times New Roman" w:hAnsi="Times New Roman"/>
          <w:sz w:val="18"/>
          <w:szCs w:val="18"/>
          <w:color w:val="auto"/>
        </w:rPr>
        <w:t>means any direct or indirect arrangement with any person or to which any such person is a party, providing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Information. </w:t>
      </w:r>
      <w:r>
        <w:rPr>
          <w:rFonts w:ascii="Times New Roman" w:cs="Times New Roman" w:eastAsia="Times New Roman" w:hAnsi="Times New Roman"/>
          <w:sz w:val="18"/>
          <w:szCs w:val="18"/>
          <w:color w:val="auto"/>
        </w:rPr>
        <w:t>We will file, whether or not required to do so under applicable law, with the trustee, within 15 days after being required to file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76" w:lineRule="exact"/>
        <w:rPr>
          <w:sz w:val="20"/>
          <w:szCs w:val="20"/>
          <w:color w:val="auto"/>
        </w:rPr>
      </w:pPr>
    </w:p>
    <w:p>
      <w:pPr>
        <w:ind w:right="4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senior indenture restricts our ability to consolidate with, merge with or into, or sell, convey, transfer, lease,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78" w:lineRule="exact"/>
        <w:rPr>
          <w:sz w:val="20"/>
          <w:szCs w:val="20"/>
          <w:color w:val="auto"/>
        </w:rPr>
      </w:pPr>
    </w:p>
    <w:p>
      <w:pPr>
        <w:ind w:left="820" w:right="80" w:hanging="470"/>
        <w:spacing w:after="0" w:line="253"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2"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23" w:lineRule="exact"/>
        <w:rPr>
          <w:rFonts w:ascii="Times New Roman" w:cs="Times New Roman" w:eastAsia="Times New Roman" w:hAnsi="Times New Roman"/>
          <w:sz w:val="18"/>
          <w:szCs w:val="18"/>
          <w:color w:val="auto"/>
        </w:rPr>
      </w:pPr>
    </w:p>
    <w:p>
      <w:pPr>
        <w:ind w:left="820" w:right="160" w:hanging="470"/>
        <w:spacing w:after="0" w:line="258"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limitations will not apply if, in the good faith determination of our board of directors set forth in a board resolution,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73" w:lineRule="exact"/>
        <w:rPr>
          <w:sz w:val="20"/>
          <w:szCs w:val="20"/>
          <w:color w:val="auto"/>
        </w:rPr>
      </w:pPr>
    </w:p>
    <w:p>
      <w:pPr>
        <w:ind w:right="140" w:firstLine="264"/>
        <w:spacing w:after="0" w:line="271" w:lineRule="auto"/>
        <w:rPr>
          <w:sz w:val="20"/>
          <w:szCs w:val="20"/>
          <w:color w:val="auto"/>
        </w:rPr>
      </w:pPr>
      <w:r>
        <w:rPr>
          <w:rFonts w:ascii="Times New Roman" w:cs="Times New Roman" w:eastAsia="Times New Roman" w:hAnsi="Times New Roman"/>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62" w:lineRule="exact"/>
        <w:rPr>
          <w:sz w:val="20"/>
          <w:szCs w:val="20"/>
          <w:color w:val="auto"/>
        </w:rPr>
      </w:pPr>
    </w:p>
    <w:p>
      <w:pPr>
        <w:ind w:right="20" w:firstLine="261"/>
        <w:spacing w:after="0" w:line="280" w:lineRule="auto"/>
        <w:rPr>
          <w:sz w:val="20"/>
          <w:szCs w:val="20"/>
          <w:color w:val="auto"/>
        </w:rPr>
      </w:pPr>
      <w:r>
        <w:rPr>
          <w:rFonts w:ascii="Times New Roman" w:cs="Times New Roman" w:eastAsia="Times New Roman" w:hAnsi="Times New Roman"/>
          <w:sz w:val="17"/>
          <w:szCs w:val="17"/>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15" w:lineRule="exact"/>
        <w:rPr>
          <w:sz w:val="20"/>
          <w:szCs w:val="20"/>
          <w:color w:val="auto"/>
        </w:rPr>
      </w:pPr>
    </w:p>
    <w:p>
      <w:pPr>
        <w:ind w:right="40" w:firstLine="264"/>
        <w:spacing w:after="0" w:line="271" w:lineRule="auto"/>
        <w:rPr>
          <w:sz w:val="20"/>
          <w:szCs w:val="20"/>
          <w:color w:val="auto"/>
        </w:rPr>
      </w:pPr>
      <w:r>
        <w:rPr>
          <w:rFonts w:ascii="Times New Roman" w:cs="Times New Roman" w:eastAsia="Times New Roman" w:hAnsi="Times New Roman"/>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71"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61" w:lineRule="exact"/>
        <w:rPr>
          <w:rFonts w:ascii="Times New Roman" w:cs="Times New Roman" w:eastAsia="Times New Roman" w:hAnsi="Times New Roman"/>
          <w:sz w:val="18"/>
          <w:szCs w:val="18"/>
          <w:color w:val="auto"/>
        </w:rPr>
      </w:pPr>
    </w:p>
    <w:p>
      <w:pPr>
        <w:ind w:right="320" w:firstLine="270"/>
        <w:spacing w:after="0" w:line="271"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any Obligor in the payment of interest on the senior debt securities of such series when the same becomes due and payable, if that default continues for a period of 30 days;</w:t>
      </w:r>
    </w:p>
    <w:p>
      <w:pPr>
        <w:spacing w:after="0" w:line="61" w:lineRule="exact"/>
        <w:rPr>
          <w:rFonts w:ascii="Times New Roman" w:cs="Times New Roman" w:eastAsia="Times New Roman" w:hAnsi="Times New Roman"/>
          <w:sz w:val="18"/>
          <w:szCs w:val="18"/>
          <w:color w:val="auto"/>
        </w:rPr>
      </w:pPr>
    </w:p>
    <w:p>
      <w:pPr>
        <w:ind w:right="20" w:firstLine="270"/>
        <w:spacing w:after="0" w:line="258"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73"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cable guarantee is not (or is claimed by any cable guarantor not to be) in full force and effect;</w:t>
      </w:r>
    </w:p>
    <w:p>
      <w:pPr>
        <w:spacing w:after="0" w:line="110"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10" w:lineRule="exact"/>
        <w:rPr>
          <w:rFonts w:ascii="Times New Roman" w:cs="Times New Roman" w:eastAsia="Times New Roman" w:hAnsi="Times New Roman"/>
          <w:sz w:val="18"/>
          <w:szCs w:val="18"/>
          <w:color w:val="auto"/>
        </w:rPr>
      </w:pPr>
    </w:p>
    <w:p>
      <w:pPr>
        <w:ind w:left="1160" w:right="42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any Obligor in an involuntary case under any applicable bankruptcy, insolvency, or other similar law now or hereafter in effect;</w:t>
      </w:r>
    </w:p>
    <w:p>
      <w:pPr>
        <w:spacing w:after="0" w:line="74" w:lineRule="exact"/>
        <w:rPr>
          <w:rFonts w:ascii="Times New Roman" w:cs="Times New Roman" w:eastAsia="Times New Roman" w:hAnsi="Times New Roman"/>
          <w:sz w:val="18"/>
          <w:szCs w:val="18"/>
          <w:color w:val="auto"/>
        </w:rPr>
      </w:pPr>
    </w:p>
    <w:p>
      <w:pPr>
        <w:ind w:left="1160" w:right="26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liquidator, assignee, custodian, trustee, sequestrator or similar official of any Obligor for any substantial part of such party’s property and assets; or</w:t>
      </w:r>
    </w:p>
    <w:p>
      <w:pPr>
        <w:spacing w:after="0" w:line="74" w:lineRule="exact"/>
        <w:rPr>
          <w:rFonts w:ascii="Times New Roman" w:cs="Times New Roman" w:eastAsia="Times New Roman" w:hAnsi="Times New Roman"/>
          <w:sz w:val="18"/>
          <w:szCs w:val="18"/>
          <w:color w:val="auto"/>
        </w:rPr>
      </w:pPr>
    </w:p>
    <w:p>
      <w:pPr>
        <w:ind w:left="1160" w:right="84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any Obligor’s affairs and such decree or order shall remain unstayed and in effect for a period of 180 consecutive days; or</w:t>
      </w:r>
    </w:p>
    <w:p>
      <w:pPr>
        <w:spacing w:after="0" w:line="61"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w:t>
      </w:r>
    </w:p>
    <w:p>
      <w:pPr>
        <w:spacing w:after="0" w:line="110" w:lineRule="exact"/>
        <w:rPr>
          <w:rFonts w:ascii="Times New Roman" w:cs="Times New Roman" w:eastAsia="Times New Roman" w:hAnsi="Times New Roman"/>
          <w:sz w:val="18"/>
          <w:szCs w:val="18"/>
          <w:color w:val="auto"/>
        </w:rPr>
      </w:pPr>
    </w:p>
    <w:p>
      <w:pPr>
        <w:ind w:left="116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74" w:lineRule="exact"/>
        <w:rPr>
          <w:rFonts w:ascii="Times New Roman" w:cs="Times New Roman" w:eastAsia="Times New Roman" w:hAnsi="Times New Roman"/>
          <w:sz w:val="18"/>
          <w:szCs w:val="18"/>
          <w:color w:val="auto"/>
        </w:rPr>
      </w:pPr>
    </w:p>
    <w:p>
      <w:pPr>
        <w:ind w:left="1160" w:right="8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74" w:lineRule="exact"/>
        <w:rPr>
          <w:rFonts w:ascii="Times New Roman" w:cs="Times New Roman" w:eastAsia="Times New Roman" w:hAnsi="Times New Roman"/>
          <w:sz w:val="18"/>
          <w:szCs w:val="18"/>
          <w:color w:val="auto"/>
        </w:rPr>
      </w:pPr>
    </w:p>
    <w:p>
      <w:pPr>
        <w:ind w:left="1160" w:hanging="466"/>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50"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82" w:lineRule="exact"/>
        <w:rPr>
          <w:sz w:val="20"/>
          <w:szCs w:val="20"/>
          <w:color w:val="auto"/>
        </w:rPr>
      </w:pPr>
    </w:p>
    <w:p>
      <w:pPr>
        <w:ind w:right="200" w:firstLine="264"/>
        <w:spacing w:after="0" w:line="271" w:lineRule="auto"/>
        <w:rPr>
          <w:sz w:val="20"/>
          <w:szCs w:val="20"/>
          <w:color w:val="auto"/>
        </w:rPr>
      </w:pPr>
      <w:r>
        <w:rPr>
          <w:rFonts w:ascii="Times New Roman" w:cs="Times New Roman" w:eastAsia="Times New Roman" w:hAnsi="Times New Roman"/>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86" w:lineRule="exact"/>
        <w:rPr>
          <w:sz w:val="20"/>
          <w:szCs w:val="20"/>
          <w:color w:val="auto"/>
        </w:rPr>
      </w:pPr>
    </w:p>
    <w:p>
      <w:pPr>
        <w:ind w:right="40" w:firstLine="261"/>
        <w:spacing w:after="0" w:line="250"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82" w:lineRule="exact"/>
        <w:rPr>
          <w:sz w:val="20"/>
          <w:szCs w:val="20"/>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23" w:lineRule="exact"/>
        <w:rPr>
          <w:rFonts w:ascii="Times New Roman" w:cs="Times New Roman" w:eastAsia="Times New Roman" w:hAnsi="Times New Roman"/>
          <w:sz w:val="18"/>
          <w:szCs w:val="18"/>
          <w:color w:val="auto"/>
        </w:rPr>
      </w:pPr>
    </w:p>
    <w:p>
      <w:pPr>
        <w:ind w:left="820" w:right="300" w:hanging="470"/>
        <w:spacing w:after="0" w:line="271"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 and</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67" w:lineRule="auto"/>
        <w:rPr>
          <w:sz w:val="20"/>
          <w:szCs w:val="20"/>
          <w:color w:val="auto"/>
        </w:rPr>
      </w:pPr>
      <w:r>
        <w:rPr>
          <w:rFonts w:ascii="Times New Roman" w:cs="Times New Roman" w:eastAsia="Times New Roman" w:hAnsi="Times New Roman"/>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15" w:lineRule="exact"/>
        <w:rPr>
          <w:sz w:val="20"/>
          <w:szCs w:val="20"/>
          <w:color w:val="auto"/>
        </w:rPr>
      </w:pPr>
    </w:p>
    <w:p>
      <w:pPr>
        <w:ind w:right="200" w:firstLine="261"/>
        <w:spacing w:after="0" w:line="271" w:lineRule="auto"/>
        <w:rPr>
          <w:sz w:val="20"/>
          <w:szCs w:val="20"/>
          <w:color w:val="auto"/>
        </w:rPr>
      </w:pPr>
      <w:r>
        <w:rPr>
          <w:rFonts w:ascii="Times New Roman" w:cs="Times New Roman" w:eastAsia="Times New Roman" w:hAnsi="Times New Roman"/>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62" w:lineRule="exact"/>
        <w:rPr>
          <w:sz w:val="20"/>
          <w:szCs w:val="20"/>
          <w:color w:val="auto"/>
        </w:rPr>
      </w:pPr>
    </w:p>
    <w:p>
      <w:pPr>
        <w:ind w:left="820" w:right="200" w:hanging="470"/>
        <w:spacing w:after="0" w:line="271"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880" w:hanging="470"/>
        <w:spacing w:after="0" w:line="271"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62" w:lineRule="exact"/>
        <w:rPr>
          <w:sz w:val="20"/>
          <w:szCs w:val="20"/>
          <w:color w:val="auto"/>
        </w:rPr>
      </w:pPr>
    </w:p>
    <w:p>
      <w:pPr>
        <w:ind w:left="1040" w:hanging="452"/>
        <w:spacing w:after="0" w:line="242" w:lineRule="auto"/>
        <w:tabs>
          <w:tab w:leader="none" w:pos="10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01" w:lineRule="exact"/>
        <w:rPr>
          <w:rFonts w:ascii="Times New Roman" w:cs="Times New Roman" w:eastAsia="Times New Roman" w:hAnsi="Times New Roman"/>
          <w:sz w:val="21"/>
          <w:szCs w:val="21"/>
          <w:color w:val="auto"/>
        </w:rPr>
      </w:pPr>
    </w:p>
    <w:p>
      <w:pPr>
        <w:jc w:val="both"/>
        <w:ind w:left="1040" w:right="340" w:hanging="452"/>
        <w:spacing w:after="0" w:line="238" w:lineRule="auto"/>
        <w:tabs>
          <w:tab w:leader="none" w:pos="10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1" w:lineRule="exact"/>
        <w:rPr>
          <w:sz w:val="20"/>
          <w:szCs w:val="20"/>
          <w:color w:val="auto"/>
        </w:rPr>
      </w:pPr>
    </w:p>
    <w:p>
      <w:pPr>
        <w:ind w:right="100" w:firstLine="261"/>
        <w:spacing w:after="0" w:line="248" w:lineRule="auto"/>
        <w:rPr>
          <w:sz w:val="20"/>
          <w:szCs w:val="20"/>
          <w:color w:val="auto"/>
        </w:rPr>
      </w:pPr>
      <w:r>
        <w:rPr>
          <w:rFonts w:ascii="Times New Roman" w:cs="Times New Roman" w:eastAsia="Times New Roman" w:hAnsi="Times New Roman"/>
          <w:sz w:val="18"/>
          <w:szCs w:val="18"/>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01" w:lineRule="auto"/>
        <w:tabs>
          <w:tab w:leader="none" w:pos="8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52" w:lineRule="exact"/>
        <w:rPr>
          <w:rFonts w:ascii="Times New Roman" w:cs="Times New Roman" w:eastAsia="Times New Roman" w:hAnsi="Times New Roman"/>
          <w:sz w:val="17"/>
          <w:szCs w:val="17"/>
          <w:color w:val="auto"/>
        </w:rPr>
      </w:pPr>
    </w:p>
    <w:p>
      <w:pPr>
        <w:ind w:left="820" w:right="40" w:hanging="470"/>
        <w:spacing w:after="0" w:line="258"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following conditions shall have been satisfied:</w:t>
      </w:r>
    </w:p>
    <w:p>
      <w:pPr>
        <w:spacing w:after="0" w:line="113" w:lineRule="exact"/>
        <w:rPr>
          <w:sz w:val="20"/>
          <w:szCs w:val="20"/>
          <w:color w:val="auto"/>
        </w:rPr>
      </w:pPr>
    </w:p>
    <w:p>
      <w:pPr>
        <w:ind w:left="820" w:hanging="470"/>
        <w:spacing w:after="0" w:line="268" w:lineRule="auto"/>
        <w:tabs>
          <w:tab w:leader="none" w:pos="8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200" w:hanging="470"/>
        <w:spacing w:after="0" w:line="27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74" w:lineRule="exact"/>
        <w:rPr>
          <w:rFonts w:ascii="Times New Roman" w:cs="Times New Roman" w:eastAsia="Times New Roman" w:hAnsi="Times New Roman"/>
          <w:sz w:val="18"/>
          <w:szCs w:val="18"/>
          <w:color w:val="auto"/>
        </w:rPr>
      </w:pPr>
    </w:p>
    <w:p>
      <w:pPr>
        <w:ind w:left="820" w:right="520" w:hanging="470"/>
        <w:spacing w:after="0" w:line="27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senior debt securities of such series shall have occurred and be continuing on the date of such deposit;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w:t>
      </w:r>
    </w:p>
    <w:p>
      <w:pPr>
        <w:spacing w:after="0" w:line="111" w:lineRule="exact"/>
        <w:rPr>
          <w:sz w:val="20"/>
          <w:szCs w:val="20"/>
          <w:color w:val="auto"/>
        </w:rPr>
      </w:pPr>
    </w:p>
    <w:p>
      <w:pPr>
        <w:ind w:left="1040" w:right="100" w:hanging="452"/>
        <w:spacing w:after="0" w:line="241" w:lineRule="auto"/>
        <w:tabs>
          <w:tab w:leader="none" w:pos="10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3" w:lineRule="exact"/>
        <w:rPr>
          <w:rFonts w:ascii="Times New Roman" w:cs="Times New Roman" w:eastAsia="Times New Roman" w:hAnsi="Times New Roman"/>
          <w:sz w:val="21"/>
          <w:szCs w:val="21"/>
          <w:color w:val="auto"/>
        </w:rPr>
      </w:pPr>
    </w:p>
    <w:p>
      <w:pPr>
        <w:ind w:left="1040" w:right="60" w:hanging="452"/>
        <w:spacing w:after="0" w:line="235" w:lineRule="auto"/>
        <w:tabs>
          <w:tab w:leader="none" w:pos="10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0" w:lineRule="exact"/>
        <w:rPr>
          <w:rFonts w:ascii="Times New Roman" w:cs="Times New Roman" w:eastAsia="Times New Roman" w:hAnsi="Times New Roman"/>
          <w:sz w:val="21"/>
          <w:szCs w:val="21"/>
          <w:color w:val="auto"/>
        </w:rPr>
      </w:pPr>
    </w:p>
    <w:p>
      <w:pPr>
        <w:ind w:left="820" w:hanging="470"/>
        <w:spacing w:after="0" w:line="271"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62" w:lineRule="exact"/>
        <w:rPr>
          <w:sz w:val="20"/>
          <w:szCs w:val="20"/>
          <w:color w:val="auto"/>
        </w:rPr>
      </w:pPr>
    </w:p>
    <w:p>
      <w:pPr>
        <w:ind w:right="40" w:firstLine="264"/>
        <w:spacing w:after="0" w:line="249" w:lineRule="auto"/>
        <w:rPr>
          <w:sz w:val="20"/>
          <w:szCs w:val="20"/>
          <w:color w:val="auto"/>
        </w:rPr>
      </w:pPr>
      <w:r>
        <w:rPr>
          <w:rFonts w:ascii="Times New Roman" w:cs="Times New Roman" w:eastAsia="Times New Roman" w:hAnsi="Times New Roman"/>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and the trustee may amend or supplement the senior indenture or the senior debt securities without notice to or the consent of any holder:</w:t>
      </w:r>
    </w:p>
    <w:p>
      <w:pPr>
        <w:spacing w:after="0" w:line="111" w:lineRule="exact"/>
        <w:rPr>
          <w:sz w:val="20"/>
          <w:szCs w:val="20"/>
          <w:color w:val="auto"/>
        </w:rPr>
      </w:pPr>
    </w:p>
    <w:p>
      <w:pPr>
        <w:ind w:left="820" w:right="120" w:hanging="470"/>
        <w:spacing w:after="0" w:line="271"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of Assets;”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the senior indenture under the Trust Indenture Act;</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and to make all appropriate changes for such purpose;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60" w:hanging="470"/>
        <w:spacing w:after="0" w:line="271"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51" w:lineRule="auto"/>
        <w:rPr>
          <w:sz w:val="20"/>
          <w:szCs w:val="20"/>
          <w:color w:val="auto"/>
        </w:rPr>
      </w:pPr>
      <w:r>
        <w:rPr>
          <w:rFonts w:ascii="Times New Roman" w:cs="Times New Roman" w:eastAsia="Times New Roman" w:hAnsi="Times New Roman"/>
          <w:sz w:val="18"/>
          <w:szCs w:val="18"/>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82" w:lineRule="exact"/>
        <w:rPr>
          <w:sz w:val="20"/>
          <w:szCs w:val="20"/>
          <w:color w:val="auto"/>
        </w:rPr>
      </w:pPr>
    </w:p>
    <w:p>
      <w:pPr>
        <w:ind w:left="820" w:right="5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stated maturity of the principal of, or any sinking fund obligation or any installment of interest on, the senior debt securities of the affected series;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premium, if any, or interest on, the senior debt securities of the affected series;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premium, if any, or interest on, the senior debt securities of the affected series;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for calculating the optional redemption price, including the definitions relating thereto;</w:t>
      </w:r>
    </w:p>
    <w:p>
      <w:pPr>
        <w:spacing w:after="0" w:line="123" w:lineRule="exact"/>
        <w:rPr>
          <w:rFonts w:ascii="Times New Roman" w:cs="Times New Roman" w:eastAsia="Times New Roman" w:hAnsi="Times New Roman"/>
          <w:sz w:val="18"/>
          <w:szCs w:val="18"/>
          <w:color w:val="auto"/>
        </w:rPr>
      </w:pPr>
    </w:p>
    <w:p>
      <w:pPr>
        <w:ind w:left="820" w:right="16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74" w:lineRule="exact"/>
        <w:rPr>
          <w:rFonts w:ascii="Times New Roman" w:cs="Times New Roman" w:eastAsia="Times New Roman" w:hAnsi="Times New Roman"/>
          <w:sz w:val="18"/>
          <w:szCs w:val="18"/>
          <w:color w:val="auto"/>
        </w:rPr>
      </w:pPr>
    </w:p>
    <w:p>
      <w:pPr>
        <w:ind w:left="820" w:right="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74" w:lineRule="exact"/>
        <w:rPr>
          <w:rFonts w:ascii="Times New Roman" w:cs="Times New Roman" w:eastAsia="Times New Roman" w:hAnsi="Times New Roman"/>
          <w:sz w:val="18"/>
          <w:szCs w:val="18"/>
          <w:color w:val="auto"/>
        </w:rPr>
      </w:pPr>
    </w:p>
    <w:p>
      <w:pPr>
        <w:ind w:left="820" w:right="26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alters or impairs the right of holders to convert the senior debt securities of the affected series at the rate and upon the terms provided in the senior indenture;</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the payment of principal of, premium, if any, or interest on the senior debt securities;</w:t>
      </w:r>
    </w:p>
    <w:p>
      <w:pPr>
        <w:spacing w:after="0" w:line="123" w:lineRule="exact"/>
        <w:rPr>
          <w:rFonts w:ascii="Times New Roman" w:cs="Times New Roman" w:eastAsia="Times New Roman" w:hAnsi="Times New Roman"/>
          <w:sz w:val="18"/>
          <w:szCs w:val="18"/>
          <w:color w:val="auto"/>
        </w:rPr>
      </w:pPr>
    </w:p>
    <w:p>
      <w:pPr>
        <w:ind w:left="820" w:right="3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rights of such holder under any mandatory redemption or repurchase provision or any right of redemption or repurchase that such holder has;</w:t>
      </w:r>
    </w:p>
    <w:p>
      <w:pPr>
        <w:spacing w:after="0" w:line="74" w:lineRule="exact"/>
        <w:rPr>
          <w:rFonts w:ascii="Times New Roman" w:cs="Times New Roman" w:eastAsia="Times New Roman" w:hAnsi="Times New Roman"/>
          <w:sz w:val="18"/>
          <w:szCs w:val="18"/>
          <w:color w:val="auto"/>
        </w:rPr>
      </w:pPr>
    </w:p>
    <w:p>
      <w:pPr>
        <w:ind w:left="820" w:right="40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74"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62" w:lineRule="exact"/>
        <w:rPr>
          <w:sz w:val="20"/>
          <w:szCs w:val="20"/>
          <w:color w:val="auto"/>
        </w:rPr>
      </w:pPr>
    </w:p>
    <w:p>
      <w:pPr>
        <w:ind w:right="20" w:firstLine="264"/>
        <w:spacing w:after="0" w:line="251" w:lineRule="auto"/>
        <w:rPr>
          <w:sz w:val="20"/>
          <w:szCs w:val="20"/>
          <w:color w:val="auto"/>
        </w:rPr>
      </w:pPr>
      <w:r>
        <w:rPr>
          <w:rFonts w:ascii="Times New Roman" w:cs="Times New Roman" w:eastAsia="Times New Roman" w:hAnsi="Times New Roman"/>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15" w:lineRule="exact"/>
        <w:rPr>
          <w:sz w:val="20"/>
          <w:szCs w:val="20"/>
          <w:color w:val="auto"/>
        </w:rPr>
      </w:pPr>
    </w:p>
    <w:p>
      <w:pPr>
        <w:ind w:firstLine="261"/>
        <w:spacing w:after="0" w:line="251"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15" w:lineRule="exact"/>
        <w:rPr>
          <w:sz w:val="20"/>
          <w:szCs w:val="20"/>
          <w:color w:val="auto"/>
        </w:rPr>
      </w:pPr>
    </w:p>
    <w:p>
      <w:pPr>
        <w:ind w:right="120" w:firstLine="261"/>
        <w:spacing w:after="0" w:line="253" w:lineRule="auto"/>
        <w:rPr>
          <w:sz w:val="20"/>
          <w:szCs w:val="20"/>
          <w:color w:val="auto"/>
        </w:rPr>
      </w:pPr>
      <w:r>
        <w:rPr>
          <w:rFonts w:ascii="Times New Roman" w:cs="Times New Roman" w:eastAsia="Times New Roman" w:hAnsi="Times New Roman"/>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senior indenture and the debt securities will be governed by, and construed in accordance with, the internal laws of the State of New York.</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Trustees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71" w:lineRule="auto"/>
        <w:rPr>
          <w:sz w:val="20"/>
          <w:szCs w:val="20"/>
          <w:color w:val="auto"/>
        </w:rPr>
      </w:pPr>
      <w:r>
        <w:rPr>
          <w:rFonts w:ascii="Times New Roman" w:cs="Times New Roman" w:eastAsia="Times New Roman" w:hAnsi="Times New Roman"/>
          <w:sz w:val="18"/>
          <w:szCs w:val="18"/>
          <w:color w:val="auto"/>
        </w:rPr>
        <w:t>Brian L. Roberts, our director, President and Chief Executive Officer and a director of Comcast Holdings, is a member of the board of directors of the Trustee.</w:t>
      </w:r>
    </w:p>
    <w:p>
      <w:pPr>
        <w:spacing w:after="0" w:line="62" w:lineRule="exact"/>
        <w:rPr>
          <w:sz w:val="20"/>
          <w:szCs w:val="20"/>
          <w:color w:val="auto"/>
        </w:rPr>
      </w:pPr>
    </w:p>
    <w:p>
      <w:pPr>
        <w:ind w:right="20" w:firstLine="264"/>
        <w:spacing w:after="0" w:line="271" w:lineRule="auto"/>
        <w:rPr>
          <w:sz w:val="20"/>
          <w:szCs w:val="20"/>
          <w:color w:val="auto"/>
        </w:rPr>
      </w:pPr>
      <w:r>
        <w:rPr>
          <w:rFonts w:ascii="Times New Roman" w:cs="Times New Roman" w:eastAsia="Times New Roman" w:hAnsi="Times New Roman"/>
          <w:sz w:val="18"/>
          <w:szCs w:val="18"/>
          <w:color w:val="auto"/>
        </w:rPr>
        <w:t>John R. Alchin, our Executive Vice President, Co-Chief Financial Officer and Treasurer, is a member of the board of directors of BNY Hamilton Funds, Inc., an affiliate of the Trustee.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13" w:lineRule="exact"/>
        <w:rPr>
          <w:sz w:val="20"/>
          <w:szCs w:val="20"/>
          <w:color w:val="auto"/>
        </w:rPr>
      </w:pPr>
    </w:p>
    <w:p>
      <w:pPr>
        <w:ind w:right="40" w:firstLine="264"/>
        <w:spacing w:after="0" w:line="258"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15" w:lineRule="exact"/>
        <w:rPr>
          <w:sz w:val="20"/>
          <w:szCs w:val="20"/>
          <w:color w:val="auto"/>
        </w:rPr>
      </w:pPr>
    </w:p>
    <w:p>
      <w:pPr>
        <w:ind w:right="20" w:firstLine="261"/>
        <w:spacing w:after="0" w:line="249"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subordination provisions also apply in the same way to each cable guarantor with respect to the Senior Indebtedness of such cable guarantor.</w:t>
      </w:r>
    </w:p>
    <w:p>
      <w:pPr>
        <w:spacing w:after="0" w:line="111" w:lineRule="exact"/>
        <w:rPr>
          <w:sz w:val="20"/>
          <w:szCs w:val="20"/>
          <w:color w:val="auto"/>
        </w:rPr>
      </w:pPr>
    </w:p>
    <w:p>
      <w:pPr>
        <w:ind w:right="440" w:firstLine="261"/>
        <w:spacing w:after="0" w:line="271"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2" w:lineRule="exact"/>
        <w:rPr>
          <w:sz w:val="20"/>
          <w:szCs w:val="20"/>
          <w:color w:val="auto"/>
        </w:rPr>
      </w:pPr>
    </w:p>
    <w:p>
      <w:pPr>
        <w:ind w:left="820" w:right="20" w:hanging="470"/>
        <w:spacing w:after="0" w:line="270" w:lineRule="auto"/>
        <w:tabs>
          <w:tab w:leader="none" w:pos="8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existing on property at the time that person acquires it;</w:t>
      </w:r>
    </w:p>
    <w:p>
      <w:pPr>
        <w:spacing w:after="0" w:line="106" w:lineRule="exact"/>
        <w:rPr>
          <w:rFonts w:ascii="Times New Roman" w:cs="Times New Roman" w:eastAsia="Times New Roman" w:hAnsi="Times New Roman"/>
          <w:sz w:val="17"/>
          <w:szCs w:val="17"/>
          <w:color w:val="auto"/>
        </w:rPr>
      </w:pPr>
    </w:p>
    <w:p>
      <w:pPr>
        <w:ind w:left="820" w:hanging="470"/>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which are capitalized on the books of that person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820" w:right="380" w:hanging="470"/>
        <w:spacing w:after="0" w:line="258"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6" w:lineRule="exact"/>
        <w:rPr>
          <w:rFonts w:ascii="Times New Roman" w:cs="Times New Roman" w:eastAsia="Times New Roman" w:hAnsi="Times New Roman"/>
          <w:sz w:val="18"/>
          <w:szCs w:val="18"/>
          <w:color w:val="auto"/>
        </w:rPr>
      </w:pPr>
    </w:p>
    <w:p>
      <w:pPr>
        <w:ind w:left="820" w:right="480" w:hanging="470"/>
        <w:spacing w:after="0" w:line="271"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in the case of any particular indebtedness, lease, renewal, extension or refunding, the instrument or lease creating or evidencing it or the assumption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13" w:lineRule="exact"/>
        <w:rPr>
          <w:sz w:val="20"/>
          <w:szCs w:val="20"/>
          <w:color w:val="auto"/>
        </w:rPr>
      </w:pPr>
    </w:p>
    <w:p>
      <w:pPr>
        <w:ind w:right="260" w:firstLine="261"/>
        <w:spacing w:after="0" w:line="253"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0" w:lineRule="exact"/>
        <w:rPr>
          <w:sz w:val="20"/>
          <w:szCs w:val="20"/>
          <w:color w:val="auto"/>
        </w:rPr>
      </w:pPr>
    </w:p>
    <w:p>
      <w:pPr>
        <w:ind w:right="260" w:firstLine="264"/>
        <w:spacing w:after="0" w:line="271"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following provisions will apply to debt securities being offered that may be exchanged for or converted into capital stock:</w:t>
      </w:r>
    </w:p>
    <w:p>
      <w:pPr>
        <w:spacing w:after="0" w:line="62" w:lineRule="exact"/>
        <w:rPr>
          <w:sz w:val="20"/>
          <w:szCs w:val="20"/>
          <w:color w:val="auto"/>
        </w:rPr>
      </w:pPr>
    </w:p>
    <w:p>
      <w:pPr>
        <w:ind w:right="40" w:firstLine="261"/>
        <w:spacing w:after="0" w:line="253" w:lineRule="auto"/>
        <w:rPr>
          <w:sz w:val="20"/>
          <w:szCs w:val="20"/>
          <w:color w:val="auto"/>
        </w:rPr>
      </w:pPr>
      <w:r>
        <w:rPr>
          <w:rFonts w:ascii="Times New Roman" w:cs="Times New Roman" w:eastAsia="Times New Roman" w:hAnsi="Times New Roman"/>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0" w:lineRule="exact"/>
        <w:rPr>
          <w:sz w:val="20"/>
          <w:szCs w:val="20"/>
          <w:color w:val="auto"/>
        </w:rPr>
      </w:pPr>
    </w:p>
    <w:p>
      <w:pPr>
        <w:ind w:firstLine="261"/>
        <w:spacing w:after="0" w:line="258" w:lineRule="auto"/>
        <w:rPr>
          <w:sz w:val="20"/>
          <w:szCs w:val="20"/>
          <w:color w:val="auto"/>
        </w:rPr>
      </w:pPr>
      <w:r>
        <w:rPr>
          <w:rFonts w:ascii="Times New Roman" w:cs="Times New Roman" w:eastAsia="Times New Roman" w:hAnsi="Times New Roman"/>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71" w:lineRule="auto"/>
        <w:rPr>
          <w:sz w:val="20"/>
          <w:szCs w:val="20"/>
          <w:color w:val="auto"/>
        </w:rPr>
      </w:pPr>
      <w:r>
        <w:rPr>
          <w:rFonts w:ascii="Times New Roman" w:cs="Times New Roman" w:eastAsia="Times New Roman" w:hAnsi="Times New Roman"/>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62" w:lineRule="exact"/>
        <w:rPr>
          <w:sz w:val="20"/>
          <w:szCs w:val="20"/>
          <w:color w:val="auto"/>
        </w:rPr>
      </w:pPr>
    </w:p>
    <w:p>
      <w:pPr>
        <w:ind w:left="820" w:right="200" w:hanging="470"/>
        <w:spacing w:after="0" w:line="271"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any class of capital stock of ours as a dividend on the class of capital stock into which the debt securities of such series are convertible;</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subdivisions, combinations and reclassifications of the class of capital stock into which debt securities of such series are convertible;</w:t>
      </w:r>
    </w:p>
    <w:p>
      <w:pPr>
        <w:spacing w:after="0" w:line="123" w:lineRule="exact"/>
        <w:rPr>
          <w:rFonts w:ascii="Times New Roman" w:cs="Times New Roman" w:eastAsia="Times New Roman" w:hAnsi="Times New Roman"/>
          <w:sz w:val="18"/>
          <w:szCs w:val="18"/>
          <w:color w:val="auto"/>
        </w:rPr>
      </w:pPr>
    </w:p>
    <w:p>
      <w:pPr>
        <w:ind w:left="820" w:right="40" w:hanging="470"/>
        <w:spacing w:after="0" w:line="258"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86"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271" w:lineRule="auto"/>
        <w:rPr>
          <w:sz w:val="20"/>
          <w:szCs w:val="20"/>
          <w:color w:val="auto"/>
        </w:rPr>
      </w:pPr>
      <w:r>
        <w:rPr>
          <w:rFonts w:ascii="Times New Roman" w:cs="Times New Roman" w:eastAsia="Times New Roman" w:hAnsi="Times New Roman"/>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2" w:lineRule="exact"/>
        <w:rPr>
          <w:sz w:val="20"/>
          <w:szCs w:val="20"/>
          <w:color w:val="auto"/>
        </w:rPr>
      </w:pPr>
    </w:p>
    <w:p>
      <w:pPr>
        <w:ind w:firstLine="264"/>
        <w:spacing w:after="0" w:line="273" w:lineRule="auto"/>
        <w:rPr>
          <w:sz w:val="20"/>
          <w:szCs w:val="20"/>
          <w:color w:val="auto"/>
        </w:rPr>
      </w:pPr>
      <w:r>
        <w:rPr>
          <w:rFonts w:ascii="Times New Roman" w:cs="Times New Roman" w:eastAsia="Times New Roman" w:hAnsi="Times New Roman"/>
          <w:sz w:val="17"/>
          <w:szCs w:val="17"/>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3" w:lineRule="exact"/>
        <w:rPr>
          <w:sz w:val="20"/>
          <w:szCs w:val="20"/>
          <w:color w:val="auto"/>
        </w:rPr>
      </w:pPr>
    </w:p>
    <w:p>
      <w:pPr>
        <w:ind w:right="80" w:firstLine="261"/>
        <w:spacing w:after="0" w:line="249"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84" w:lineRule="exact"/>
        <w:rPr>
          <w:sz w:val="20"/>
          <w:szCs w:val="20"/>
          <w:color w:val="auto"/>
        </w:rPr>
      </w:pPr>
    </w:p>
    <w:p>
      <w:pPr>
        <w:ind w:right="180" w:firstLine="261"/>
        <w:spacing w:after="0" w:line="271"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2" w:lineRule="exact"/>
        <w:rPr>
          <w:sz w:val="20"/>
          <w:szCs w:val="20"/>
          <w:color w:val="auto"/>
        </w:rPr>
      </w:pPr>
    </w:p>
    <w:p>
      <w:pPr>
        <w:ind w:firstLine="264"/>
        <w:spacing w:after="0" w:line="265" w:lineRule="auto"/>
        <w:rPr>
          <w:sz w:val="20"/>
          <w:szCs w:val="20"/>
          <w:color w:val="auto"/>
        </w:rPr>
      </w:pPr>
      <w:r>
        <w:rPr>
          <w:rFonts w:ascii="Times New Roman" w:cs="Times New Roman" w:eastAsia="Times New Roman" w:hAnsi="Times New Roman"/>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2" w:lineRule="exact"/>
        <w:rPr>
          <w:sz w:val="20"/>
          <w:szCs w:val="20"/>
          <w:color w:val="auto"/>
        </w:rPr>
      </w:pPr>
    </w:p>
    <w:p>
      <w:pPr>
        <w:ind w:right="120" w:firstLine="264"/>
        <w:spacing w:after="0" w:line="247"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89" w:lineRule="exact"/>
        <w:rPr>
          <w:sz w:val="20"/>
          <w:szCs w:val="20"/>
          <w:color w:val="auto"/>
        </w:rPr>
      </w:pPr>
    </w:p>
    <w:p>
      <w:pPr>
        <w:ind w:right="180" w:firstLine="264"/>
        <w:spacing w:after="0" w:line="253"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62" w:lineRule="exact"/>
        <w:rPr>
          <w:sz w:val="20"/>
          <w:szCs w:val="20"/>
          <w:color w:val="auto"/>
        </w:rPr>
      </w:pPr>
    </w:p>
    <w:p>
      <w:pPr>
        <w:ind w:right="440" w:firstLine="261"/>
        <w:spacing w:after="0" w:line="250"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2" w:lineRule="exact"/>
        <w:rPr>
          <w:sz w:val="20"/>
          <w:szCs w:val="20"/>
          <w:color w:val="auto"/>
        </w:rPr>
      </w:pPr>
    </w:p>
    <w:p>
      <w:pPr>
        <w:ind w:right="20" w:firstLine="264"/>
        <w:spacing w:after="0" w:line="266" w:lineRule="auto"/>
        <w:rPr>
          <w:sz w:val="20"/>
          <w:szCs w:val="20"/>
          <w:color w:val="auto"/>
        </w:rPr>
      </w:pPr>
      <w:r>
        <w:rPr>
          <w:rFonts w:ascii="Times New Roman" w:cs="Times New Roman" w:eastAsia="Times New Roman" w:hAnsi="Times New Roman"/>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3" w:lineRule="exact"/>
        <w:rPr>
          <w:sz w:val="20"/>
          <w:szCs w:val="20"/>
          <w:color w:val="auto"/>
        </w:rPr>
      </w:pPr>
    </w:p>
    <w:p>
      <w:pPr>
        <w:ind w:right="120" w:firstLine="261"/>
        <w:spacing w:after="0" w:line="271" w:lineRule="auto"/>
        <w:rPr>
          <w:sz w:val="20"/>
          <w:szCs w:val="20"/>
          <w:color w:val="auto"/>
        </w:rPr>
      </w:pPr>
      <w:r>
        <w:rPr>
          <w:rFonts w:ascii="Times New Roman" w:cs="Times New Roman" w:eastAsia="Times New Roman" w:hAnsi="Times New Roman"/>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62" w:lineRule="exact"/>
        <w:rPr>
          <w:sz w:val="20"/>
          <w:szCs w:val="20"/>
          <w:color w:val="auto"/>
        </w:rPr>
      </w:pPr>
    </w:p>
    <w:p>
      <w:pPr>
        <w:ind w:right="40" w:firstLine="261"/>
        <w:spacing w:after="0" w:line="258" w:lineRule="auto"/>
        <w:rPr>
          <w:sz w:val="20"/>
          <w:szCs w:val="20"/>
          <w:color w:val="auto"/>
        </w:rPr>
      </w:pPr>
      <w:r>
        <w:rPr>
          <w:rFonts w:ascii="Times New Roman" w:cs="Times New Roman" w:eastAsia="Times New Roman" w:hAnsi="Times New Roman"/>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3" w:lineRule="exact"/>
        <w:rPr>
          <w:sz w:val="20"/>
          <w:szCs w:val="20"/>
          <w:color w:val="auto"/>
        </w:rPr>
      </w:pPr>
    </w:p>
    <w:p>
      <w:pPr>
        <w:ind w:right="60" w:firstLine="264"/>
        <w:spacing w:after="0" w:line="253"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0" w:lineRule="exact"/>
        <w:rPr>
          <w:sz w:val="20"/>
          <w:szCs w:val="20"/>
          <w:color w:val="auto"/>
        </w:rPr>
      </w:pPr>
    </w:p>
    <w:p>
      <w:pPr>
        <w:ind w:right="20" w:firstLine="264"/>
        <w:spacing w:after="0" w:line="251" w:lineRule="auto"/>
        <w:rPr>
          <w:sz w:val="20"/>
          <w:szCs w:val="20"/>
          <w:color w:val="auto"/>
        </w:rPr>
      </w:pPr>
      <w:r>
        <w:rPr>
          <w:rFonts w:ascii="Times New Roman" w:cs="Times New Roman" w:eastAsia="Times New Roman" w:hAnsi="Times New Roman"/>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intend to pay dividends on our common stock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3" w:lineRule="exact"/>
        <w:rPr>
          <w:sz w:val="20"/>
          <w:szCs w:val="20"/>
          <w:color w:val="auto"/>
        </w:rPr>
      </w:pPr>
    </w:p>
    <w:p>
      <w:pPr>
        <w:ind w:right="100" w:firstLine="264"/>
        <w:spacing w:after="0" w:line="301" w:lineRule="auto"/>
        <w:rPr>
          <w:sz w:val="20"/>
          <w:szCs w:val="20"/>
          <w:color w:val="auto"/>
        </w:rPr>
      </w:pPr>
      <w:r>
        <w:rPr>
          <w:rFonts w:ascii="Times New Roman" w:cs="Times New Roman" w:eastAsia="Times New Roman" w:hAnsi="Times New Roman"/>
          <w:sz w:val="17"/>
          <w:szCs w:val="17"/>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39" w:lineRule="exact"/>
        <w:rPr>
          <w:sz w:val="20"/>
          <w:szCs w:val="20"/>
          <w:color w:val="auto"/>
        </w:rPr>
      </w:pPr>
    </w:p>
    <w:p>
      <w:pPr>
        <w:ind w:right="260" w:firstLine="264"/>
        <w:spacing w:after="0" w:line="271" w:lineRule="auto"/>
        <w:rPr>
          <w:sz w:val="20"/>
          <w:szCs w:val="20"/>
          <w:color w:val="auto"/>
        </w:rPr>
      </w:pPr>
      <w:r>
        <w:rPr>
          <w:rFonts w:ascii="Times New Roman" w:cs="Times New Roman" w:eastAsia="Times New Roman" w:hAnsi="Times New Roman"/>
          <w:sz w:val="18"/>
          <w:szCs w:val="18"/>
          <w:color w:val="auto"/>
        </w:rPr>
        <w:t>On all matters submitted for a vote of holders of all classes of our voting stock, holders of our Class A Common Stock in the aggregate hold 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xml:space="preserve"> % of the aggregate voting power of our capital stock as of February 28, 2006.</w:t>
      </w:r>
    </w:p>
    <w:p>
      <w:pPr>
        <w:spacing w:after="0" w:line="62" w:lineRule="exact"/>
        <w:rPr>
          <w:sz w:val="20"/>
          <w:szCs w:val="20"/>
          <w:color w:val="auto"/>
        </w:rPr>
      </w:pPr>
    </w:p>
    <w:p>
      <w:pPr>
        <w:ind w:firstLine="264"/>
        <w:spacing w:after="0" w:line="264" w:lineRule="auto"/>
        <w:rPr>
          <w:sz w:val="20"/>
          <w:szCs w:val="20"/>
          <w:color w:val="auto"/>
        </w:rPr>
      </w:pPr>
      <w:r>
        <w:rPr>
          <w:rFonts w:ascii="Times New Roman" w:cs="Times New Roman" w:eastAsia="Times New Roman" w:hAnsi="Times New Roman"/>
          <w:sz w:val="17"/>
          <w:szCs w:val="17"/>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1" w:lineRule="exact"/>
        <w:rPr>
          <w:sz w:val="20"/>
          <w:szCs w:val="20"/>
          <w:color w:val="auto"/>
        </w:rPr>
      </w:pPr>
    </w:p>
    <w:p>
      <w:pPr>
        <w:ind w:right="20" w:firstLine="6"/>
        <w:spacing w:after="0" w:line="246" w:lineRule="auto"/>
        <w:tabs>
          <w:tab w:leader="none" w:pos="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xml:space="preserve"> %, subject to reduction as described below.</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firstLine="264"/>
        <w:spacing w:after="0" w:line="253" w:lineRule="auto"/>
        <w:rPr>
          <w:sz w:val="20"/>
          <w:szCs w:val="20"/>
          <w:color w:val="auto"/>
        </w:rPr>
      </w:pPr>
      <w:r>
        <w:rPr>
          <w:rFonts w:ascii="Times New Roman" w:cs="Times New Roman" w:eastAsia="Times New Roman" w:hAnsi="Times New Roman"/>
          <w:sz w:val="18"/>
          <w:szCs w:val="18"/>
          <w:color w:val="auto"/>
        </w:rPr>
        <w:t>Subject to the next sentence, on all matters submitted for a vote of holders of one or more classes of our voting stock, holders of our Class B Common Stock in the aggregate will hold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repurchase or conversion), the aggregate voting power of our Class B Common Stock will be proportionately reduced.</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Each share of our Class B Common Stock has 15 votes.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13" w:lineRule="exact"/>
        <w:rPr>
          <w:sz w:val="20"/>
          <w:szCs w:val="20"/>
          <w:color w:val="auto"/>
        </w:rPr>
      </w:pPr>
    </w:p>
    <w:p>
      <w:pPr>
        <w:ind w:firstLine="264"/>
        <w:spacing w:after="0" w:line="248" w:lineRule="auto"/>
        <w:rPr>
          <w:sz w:val="20"/>
          <w:szCs w:val="20"/>
          <w:color w:val="auto"/>
        </w:rPr>
      </w:pPr>
      <w:r>
        <w:rPr>
          <w:rFonts w:ascii="Times New Roman" w:cs="Times New Roman" w:eastAsia="Times New Roman" w:hAnsi="Times New Roman"/>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13" w:lineRule="exact"/>
        <w:rPr>
          <w:sz w:val="20"/>
          <w:szCs w:val="20"/>
          <w:color w:val="auto"/>
        </w:rPr>
      </w:pPr>
    </w:p>
    <w:p>
      <w:pPr>
        <w:ind w:right="120" w:firstLine="264"/>
        <w:spacing w:after="0" w:line="250" w:lineRule="auto"/>
        <w:rPr>
          <w:sz w:val="20"/>
          <w:szCs w:val="20"/>
          <w:color w:val="auto"/>
        </w:rPr>
      </w:pPr>
      <w:r>
        <w:rPr>
          <w:rFonts w:ascii="Times New Roman" w:cs="Times New Roman" w:eastAsia="Times New Roman" w:hAnsi="Times New Roman"/>
          <w:sz w:val="18"/>
          <w:szCs w:val="18"/>
          <w:color w:val="auto"/>
        </w:rPr>
        <w:t>Brian L. Roberts, our President and CEO, through his control of BRCC Holdings LLC and certain trusts, which own all outstanding shares of our Class B Common Stock, holds a nondilutable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xml:space="preserve"> %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either the Class A Common Stock or the Class A Special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13" w:lineRule="exact"/>
        <w:rPr>
          <w:sz w:val="20"/>
          <w:szCs w:val="20"/>
          <w:color w:val="auto"/>
        </w:rPr>
      </w:pPr>
    </w:p>
    <w:p>
      <w:pPr>
        <w:jc w:val="both"/>
        <w:ind w:right="180" w:firstLine="264"/>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13" w:lineRule="exact"/>
        <w:rPr>
          <w:sz w:val="20"/>
          <w:szCs w:val="20"/>
          <w:color w:val="auto"/>
        </w:rPr>
      </w:pPr>
    </w:p>
    <w:p>
      <w:pPr>
        <w:ind w:right="200" w:firstLine="264"/>
        <w:spacing w:after="0" w:line="253" w:lineRule="auto"/>
        <w:rPr>
          <w:sz w:val="20"/>
          <w:szCs w:val="20"/>
          <w:color w:val="auto"/>
        </w:rPr>
      </w:pPr>
      <w:r>
        <w:rPr>
          <w:rFonts w:ascii="Times New Roman" w:cs="Times New Roman" w:eastAsia="Times New Roman" w:hAnsi="Times New Roman"/>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will receive “mirror”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shares of a class of stock having substantially equivalent rights as the applicable class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holders of Class A Common Stock, Class A Special Common Stock and Class B Common Stock do not have any preemptive rights. All shares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Class A Special Common Stock and Class B Common Stock presently outstanding are, and all shares of the Class A Common Stock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Special Common Stock offered hereby, or issuable upon conversion, exchange or exercise of securities offered hereby, will, when issued, be, fully paid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non-assessable. We have been advised that the Class A Common Stock and Class A Special Common Stock are exempt from existing Pennsylvania personal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tax.</w:t>
      </w:r>
    </w:p>
    <w:p>
      <w:pPr>
        <w:spacing w:after="0" w:line="93" w:lineRule="exact"/>
        <w:rPr>
          <w:sz w:val="20"/>
          <w:szCs w:val="20"/>
          <w:color w:val="auto"/>
        </w:rPr>
      </w:pPr>
    </w:p>
    <w:p>
      <w:pPr>
        <w:ind w:right="820" w:firstLine="261"/>
        <w:spacing w:after="0" w:line="271" w:lineRule="auto"/>
        <w:rPr>
          <w:sz w:val="20"/>
          <w:szCs w:val="20"/>
          <w:color w:val="auto"/>
        </w:rPr>
      </w:pPr>
      <w:r>
        <w:rPr>
          <w:rFonts w:ascii="Times New Roman" w:cs="Times New Roman" w:eastAsia="Times New Roman" w:hAnsi="Times New Roman"/>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Rights Plan</w:t>
      </w:r>
    </w:p>
    <w:p>
      <w:pPr>
        <w:spacing w:after="0" w:line="113" w:lineRule="exact"/>
        <w:rPr>
          <w:sz w:val="20"/>
          <w:szCs w:val="20"/>
          <w:color w:val="auto"/>
        </w:rPr>
      </w:pPr>
    </w:p>
    <w:p>
      <w:pPr>
        <w:ind w:right="320" w:firstLine="261"/>
        <w:spacing w:after="0" w:line="271" w:lineRule="auto"/>
        <w:rPr>
          <w:sz w:val="20"/>
          <w:szCs w:val="20"/>
          <w:color w:val="auto"/>
        </w:rPr>
      </w:pPr>
      <w:r>
        <w:rPr>
          <w:rFonts w:ascii="Times New Roman" w:cs="Times New Roman" w:eastAsia="Times New Roman" w:hAnsi="Times New Roman"/>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58" w:lineRule="exact"/>
        <w:rPr>
          <w:sz w:val="20"/>
          <w:szCs w:val="20"/>
          <w:color w:val="auto"/>
        </w:rPr>
      </w:pPr>
    </w:p>
    <w:p>
      <w:pPr>
        <w:ind w:right="16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Rights. </w:t>
      </w:r>
      <w:r>
        <w:rPr>
          <w:rFonts w:ascii="Times New Roman" w:cs="Times New Roman" w:eastAsia="Times New Roman" w:hAnsi="Times New Roman"/>
          <w:sz w:val="18"/>
          <w:szCs w:val="18"/>
          <w:color w:val="auto"/>
        </w:rPr>
        <w:t>Pursuant to the rights agreement, our board declared on November 18, 2002 a dividend of one preferred stock purchase right (the “Rights”)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50" w:lineRule="auto"/>
        <w:rPr>
          <w:sz w:val="20"/>
          <w:szCs w:val="20"/>
          <w:color w:val="auto"/>
        </w:rPr>
      </w:pPr>
      <w:r>
        <w:rPr>
          <w:rFonts w:ascii="Times New Roman" w:cs="Times New Roman" w:eastAsia="Times New Roman" w:hAnsi="Times New Roman"/>
          <w:sz w:val="18"/>
          <w:szCs w:val="18"/>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8"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Prior to the Distribution Date, (1) the Rights will be evidenced by the certificates of the relevant underlying common stock and the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77" w:lineRule="exact"/>
        <w:rPr>
          <w:sz w:val="20"/>
          <w:szCs w:val="20"/>
          <w:color w:val="auto"/>
        </w:rPr>
      </w:pPr>
    </w:p>
    <w:p>
      <w:pPr>
        <w:ind w:right="40" w:firstLine="264"/>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Exercisability. </w:t>
      </w:r>
      <w:r>
        <w:rPr>
          <w:rFonts w:ascii="Times New Roman" w:cs="Times New Roman" w:eastAsia="Times New Roman" w:hAnsi="Times New Roman"/>
          <w:sz w:val="18"/>
          <w:szCs w:val="18"/>
          <w:color w:val="auto"/>
        </w:rPr>
        <w:t>The Rights will not be exercisable prior to the Distribution Date. After the Distribution Date, but prior to the occurrence of an event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under “—‘Flip In’ Feature” or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“—‘Flip Over’ Feature,” each Right will be exercisable to purchase for $125 one one-thousandth of a share of our Series A Participating Cumulative Preferred Stock.</w:t>
      </w:r>
    </w:p>
    <w:p>
      <w:pPr>
        <w:spacing w:after="0" w:line="58" w:lineRule="exact"/>
        <w:rPr>
          <w:sz w:val="20"/>
          <w:szCs w:val="20"/>
          <w:color w:val="auto"/>
        </w:rPr>
      </w:pPr>
    </w:p>
    <w:p>
      <w:pPr>
        <w:ind w:right="140" w:firstLine="26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“Flip In” Feature. </w:t>
      </w:r>
      <w:r>
        <w:rPr>
          <w:rFonts w:ascii="Times New Roman" w:cs="Times New Roman" w:eastAsia="Times New Roman" w:hAnsi="Times New Roman"/>
          <w:sz w:val="17"/>
          <w:szCs w:val="17"/>
          <w:color w:val="auto"/>
        </w:rPr>
        <w:t>If any person becomes an Acquiring Person, each holder of a Right, except for the Acquiring Person or certain affiliated persons,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60" w:lineRule="exact"/>
        <w:rPr>
          <w:sz w:val="20"/>
          <w:szCs w:val="20"/>
          <w:color w:val="auto"/>
        </w:rPr>
      </w:pPr>
    </w:p>
    <w:p>
      <w:pPr>
        <w:ind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Feature. </w:t>
      </w:r>
      <w:r>
        <w:rPr>
          <w:rFonts w:ascii="Times New Roman" w:cs="Times New Roman" w:eastAsia="Times New Roman" w:hAnsi="Times New Roman"/>
          <w:sz w:val="18"/>
          <w:szCs w:val="18"/>
          <w:color w:val="auto"/>
        </w:rPr>
        <w:t>At any time after a person becomes an Acquiring Person (but before any person becomes the beneficial owner of our voting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7"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“Flip Over” Feature. </w:t>
      </w:r>
      <w:r>
        <w:rPr>
          <w:rFonts w:ascii="Times New Roman" w:cs="Times New Roman" w:eastAsia="Times New Roman" w:hAnsi="Times New Roman"/>
          <w:sz w:val="18"/>
          <w:szCs w:val="18"/>
          <w:color w:val="auto"/>
        </w:rPr>
        <w:t>If, after a person becomes an Acquiring Person, (1) we are involved in a merger or other business combination in which we are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77" w:lineRule="exact"/>
        <w:rPr>
          <w:sz w:val="20"/>
          <w:szCs w:val="20"/>
          <w:color w:val="auto"/>
        </w:rPr>
      </w:pPr>
    </w:p>
    <w:p>
      <w:pPr>
        <w:ind w:right="20" w:firstLine="26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Rights. </w:t>
      </w:r>
      <w:r>
        <w:rPr>
          <w:rFonts w:ascii="Times New Roman" w:cs="Times New Roman" w:eastAsia="Times New Roman" w:hAnsi="Times New Roman"/>
          <w:sz w:val="18"/>
          <w:szCs w:val="18"/>
          <w:color w:val="auto"/>
        </w:rPr>
        <w:t>Our Board may redeem all of the Rights at a price of $0.001 per Right at any time prior to the time that any person becomes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Acquiring Person. The right to exercise will terminate upon redemption, and at that time, holders of the Rights will have the right to receive only the redemption price for each Right they hold.</w:t>
      </w:r>
    </w:p>
    <w:p>
      <w:pPr>
        <w:spacing w:after="0" w:line="68" w:lineRule="exact"/>
        <w:rPr>
          <w:sz w:val="20"/>
          <w:szCs w:val="20"/>
          <w:color w:val="auto"/>
        </w:rPr>
      </w:pPr>
    </w:p>
    <w:p>
      <w:pPr>
        <w:ind w:right="60" w:firstLine="26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of Rights. </w:t>
      </w:r>
      <w:r>
        <w:rPr>
          <w:rFonts w:ascii="Times New Roman" w:cs="Times New Roman" w:eastAsia="Times New Roman" w:hAnsi="Times New Roman"/>
          <w:sz w:val="17"/>
          <w:szCs w:val="17"/>
          <w:color w:val="auto"/>
        </w:rPr>
        <w:t>For so long as the Rights are redeemable, the rights agreement may be amended in any respect. At any time when the Rights are 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Expiration of Rights. </w:t>
      </w:r>
      <w:r>
        <w:rPr>
          <w:rFonts w:ascii="Times New Roman" w:cs="Times New Roman" w:eastAsia="Times New Roman" w:hAnsi="Times New Roman"/>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Effects. </w:t>
      </w:r>
      <w:r>
        <w:rPr>
          <w:rFonts w:ascii="Times New Roman" w:cs="Times New Roman" w:eastAsia="Times New Roman" w:hAnsi="Times New Roman"/>
          <w:sz w:val="18"/>
          <w:szCs w:val="18"/>
          <w:color w:val="auto"/>
        </w:rPr>
        <w:t>The Rights have certain anti-takeover effects. The Rights may cause substantial dilution to a person that attempts to acquire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68" w:lineRule="exact"/>
        <w:rPr>
          <w:sz w:val="20"/>
          <w:szCs w:val="20"/>
          <w:color w:val="auto"/>
        </w:rPr>
      </w:pPr>
    </w:p>
    <w:p>
      <w:pPr>
        <w:ind w:right="180" w:firstLine="264"/>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w:t>
      </w:r>
      <w:r>
        <w:rPr>
          <w:rFonts w:ascii="Times New Roman" w:cs="Times New Roman" w:eastAsia="Times New Roman" w:hAnsi="Times New Roman"/>
          <w:sz w:val="18"/>
          <w:szCs w:val="18"/>
          <w:color w:val="auto"/>
        </w:rPr>
        <w:t>While the dividend of the Rights was not taxable to stockholders or to us, stockholders or we may, depending upon the circumstances, recognize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income in the event that the Rights become exercisable as set forth above.</w:t>
      </w:r>
    </w:p>
    <w:p>
      <w:pPr>
        <w:spacing w:after="0" w:line="55" w:lineRule="exact"/>
        <w:rPr>
          <w:sz w:val="20"/>
          <w:szCs w:val="20"/>
          <w:color w:val="auto"/>
        </w:rPr>
      </w:pPr>
    </w:p>
    <w:p>
      <w:pPr>
        <w:jc w:val="both"/>
        <w:ind w:right="40" w:firstLine="26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A Preferred Stock. </w:t>
      </w:r>
      <w:r>
        <w:rPr>
          <w:rFonts w:ascii="Times New Roman" w:cs="Times New Roman" w:eastAsia="Times New Roman" w:hAnsi="Times New Roman"/>
          <w:sz w:val="18"/>
          <w:szCs w:val="18"/>
          <w:color w:val="auto"/>
        </w:rPr>
        <w:t>In connection with the creation of the Rights, our Board authorized the issuance of shares of our preferred stock designated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1" w:lineRule="exact"/>
        <w:rPr>
          <w:sz w:val="20"/>
          <w:szCs w:val="20"/>
          <w:color w:val="auto"/>
        </w:rPr>
      </w:pPr>
    </w:p>
    <w:p>
      <w:pPr>
        <w:ind w:right="20" w:firstLine="261"/>
        <w:spacing w:after="0" w:line="251" w:lineRule="auto"/>
        <w:rPr>
          <w:sz w:val="20"/>
          <w:szCs w:val="20"/>
          <w:color w:val="auto"/>
        </w:rPr>
      </w:pPr>
      <w:r>
        <w:rPr>
          <w:rFonts w:ascii="Times New Roman" w:cs="Times New Roman" w:eastAsia="Times New Roman" w:hAnsi="Times New Roman"/>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2" w:lineRule="exact"/>
        <w:rPr>
          <w:sz w:val="20"/>
          <w:szCs w:val="20"/>
          <w:color w:val="auto"/>
        </w:rPr>
      </w:pPr>
    </w:p>
    <w:p>
      <w:pPr>
        <w:ind w:firstLine="264"/>
        <w:spacing w:after="0" w:line="258"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73" w:lineRule="exact"/>
        <w:rPr>
          <w:sz w:val="20"/>
          <w:szCs w:val="20"/>
          <w:color w:val="auto"/>
        </w:rPr>
      </w:pPr>
    </w:p>
    <w:p>
      <w:pPr>
        <w:ind w:right="260" w:firstLine="264"/>
        <w:spacing w:after="0" w:line="271"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2" w:lineRule="exact"/>
        <w:rPr>
          <w:sz w:val="20"/>
          <w:szCs w:val="20"/>
          <w:color w:val="auto"/>
        </w:rPr>
      </w:pPr>
    </w:p>
    <w:p>
      <w:pPr>
        <w:ind w:right="220" w:firstLine="264"/>
        <w:spacing w:after="0" w:line="258"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73" w:lineRule="exact"/>
        <w:rPr>
          <w:sz w:val="20"/>
          <w:szCs w:val="20"/>
          <w:color w:val="auto"/>
        </w:rPr>
      </w:pPr>
    </w:p>
    <w:p>
      <w:pPr>
        <w:ind w:firstLine="264"/>
        <w:spacing w:after="0" w:line="249"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81" w:lineRule="exact"/>
        <w:rPr>
          <w:sz w:val="20"/>
          <w:szCs w:val="20"/>
          <w:color w:val="auto"/>
        </w:rPr>
      </w:pPr>
    </w:p>
    <w:p>
      <w:pPr>
        <w:ind w:right="100" w:firstLine="255"/>
        <w:spacing w:after="0" w:line="271"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3"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3" w:lineRule="exact"/>
        <w:rPr>
          <w:sz w:val="20"/>
          <w:szCs w:val="20"/>
          <w:color w:val="auto"/>
        </w:rPr>
      </w:pPr>
    </w:p>
    <w:p>
      <w:pPr>
        <w:ind w:right="140" w:firstLine="261"/>
        <w:spacing w:after="0" w:line="253" w:lineRule="auto"/>
        <w:rPr>
          <w:sz w:val="20"/>
          <w:szCs w:val="20"/>
          <w:color w:val="auto"/>
        </w:rPr>
      </w:pPr>
      <w:r>
        <w:rPr>
          <w:rFonts w:ascii="Times New Roman" w:cs="Times New Roman" w:eastAsia="Times New Roman" w:hAnsi="Times New Roman"/>
          <w:sz w:val="18"/>
          <w:szCs w:val="18"/>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3" w:lineRule="exact"/>
        <w:rPr>
          <w:sz w:val="20"/>
          <w:szCs w:val="20"/>
          <w:color w:val="auto"/>
        </w:rPr>
      </w:pPr>
    </w:p>
    <w:p>
      <w:pPr>
        <w:ind w:right="40" w:firstLine="261"/>
        <w:spacing w:after="0" w:line="249" w:lineRule="auto"/>
        <w:rPr>
          <w:sz w:val="20"/>
          <w:szCs w:val="20"/>
          <w:color w:val="auto"/>
        </w:rPr>
      </w:pPr>
      <w:r>
        <w:rPr>
          <w:rFonts w:ascii="Times New Roman" w:cs="Times New Roman" w:eastAsia="Times New Roman" w:hAnsi="Times New Roman"/>
          <w:sz w:val="18"/>
          <w:szCs w:val="18"/>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81" w:lineRule="exact"/>
        <w:rPr>
          <w:sz w:val="20"/>
          <w:szCs w:val="20"/>
          <w:color w:val="auto"/>
        </w:rPr>
      </w:pPr>
    </w:p>
    <w:p>
      <w:pPr>
        <w:ind w:right="20" w:firstLine="261"/>
        <w:spacing w:after="0" w:line="250"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258"/>
        <w:spacing w:after="0" w:line="25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13" w:lineRule="exact"/>
        <w:rPr>
          <w:sz w:val="20"/>
          <w:szCs w:val="20"/>
          <w:color w:val="auto"/>
        </w:rPr>
      </w:pPr>
    </w:p>
    <w:p>
      <w:pPr>
        <w:ind w:right="120" w:firstLine="261"/>
        <w:spacing w:after="0" w:line="280"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2005, filed on February 22, 2006.</w:t>
      </w:r>
    </w:p>
    <w:p>
      <w:pPr>
        <w:spacing w:after="0" w:line="123" w:lineRule="exact"/>
        <w:rPr>
          <w:rFonts w:ascii="Times New Roman" w:cs="Times New Roman" w:eastAsia="Times New Roman" w:hAnsi="Times New Roman"/>
          <w:sz w:val="18"/>
          <w:szCs w:val="18"/>
          <w:color w:val="auto"/>
        </w:rPr>
      </w:pPr>
    </w:p>
    <w:p>
      <w:pPr>
        <w:ind w:left="820" w:right="80" w:hanging="470"/>
        <w:spacing w:after="0" w:line="27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on January 26, 2006, February 28, 2006 and March 6, 2006.</w:t>
      </w:r>
    </w:p>
    <w:p>
      <w:pPr>
        <w:spacing w:after="0" w:line="123"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62" w:lineRule="exact"/>
        <w:rPr>
          <w:sz w:val="20"/>
          <w:szCs w:val="20"/>
          <w:color w:val="auto"/>
        </w:rPr>
      </w:pPr>
    </w:p>
    <w:p>
      <w:pPr>
        <w:ind w:firstLine="261"/>
        <w:spacing w:after="0" w:line="251"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24916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233680</wp:posOffset>
            </wp:positionV>
            <wp:extent cx="7249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368300</wp:posOffset>
            </wp:positionV>
            <wp:extent cx="1402715" cy="361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tabs>
          <w:tab w:leader="none" w:pos="480" w:val="left"/>
        </w:tabs>
        <w:rPr>
          <w:sz w:val="20"/>
          <w:szCs w:val="20"/>
          <w:color w:val="auto"/>
        </w:rPr>
      </w:pPr>
      <w:r>
        <w:rPr>
          <w:rFonts w:ascii="Times New Roman" w:cs="Times New Roman" w:eastAsia="Times New Roman" w:hAnsi="Times New Roman"/>
          <w:sz w:val="25"/>
          <w:szCs w:val="25"/>
          <w:b w:val="1"/>
          <w:bCs w:val="1"/>
          <w:color w:val="auto"/>
        </w:rPr>
        <w:t>$250,000,000</w:t>
      </w:r>
      <w:r>
        <w:rPr>
          <w:sz w:val="20"/>
          <w:szCs w:val="20"/>
          <w:color w:val="auto"/>
        </w:rPr>
        <w:tab/>
      </w:r>
      <w:r>
        <w:rPr>
          <w:rFonts w:ascii="Times New Roman" w:cs="Times New Roman" w:eastAsia="Times New Roman" w:hAnsi="Times New Roman"/>
          <w:sz w:val="24"/>
          <w:szCs w:val="24"/>
          <w:b w:val="1"/>
          <w:bCs w:val="1"/>
          <w:color w:val="auto"/>
        </w:rPr>
        <w:t>%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590550</wp:posOffset>
            </wp:positionV>
            <wp:extent cx="3049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15875</wp:posOffset>
            </wp:positionV>
            <wp:extent cx="3049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20" w:type="dxa"/>
            <w:vAlign w:val="bottom"/>
          </w:tcPr>
          <w:p>
            <w:pPr>
              <w:spacing w:after="0"/>
              <w:rPr>
                <w:sz w:val="20"/>
                <w:szCs w:val="20"/>
                <w:color w:val="auto"/>
              </w:rPr>
            </w:pPr>
            <w:r>
              <w:rPr>
                <w:rFonts w:ascii="Times New Roman" w:cs="Times New Roman" w:eastAsia="Times New Roman" w:hAnsi="Times New Roman"/>
                <w:sz w:val="23"/>
                <w:szCs w:val="23"/>
                <w:b w:val="1"/>
                <w:bCs w:val="1"/>
                <w:color w:val="auto"/>
              </w:rPr>
              <w:t>Citigroup</w:t>
            </w:r>
          </w:p>
        </w:tc>
        <w:tc>
          <w:tcPr>
            <w:tcW w:w="2980" w:type="dxa"/>
            <w:vAlign w:val="bottom"/>
          </w:tcPr>
          <w:p>
            <w:pPr>
              <w:spacing w:after="0"/>
              <w:rPr>
                <w:sz w:val="24"/>
                <w:szCs w:val="24"/>
                <w:color w:val="auto"/>
              </w:rPr>
            </w:pPr>
          </w:p>
        </w:tc>
        <w:tc>
          <w:tcPr>
            <w:tcW w:w="4220" w:type="dxa"/>
            <w:vAlign w:val="bottom"/>
          </w:tcPr>
          <w:p>
            <w:pPr>
              <w:ind w:left="2240"/>
              <w:spacing w:after="0"/>
              <w:rPr>
                <w:sz w:val="20"/>
                <w:szCs w:val="20"/>
                <w:color w:val="auto"/>
              </w:rPr>
            </w:pPr>
            <w:r>
              <w:rPr>
                <w:rFonts w:ascii="Times New Roman" w:cs="Times New Roman" w:eastAsia="Times New Roman" w:hAnsi="Times New Roman"/>
                <w:sz w:val="23"/>
                <w:szCs w:val="23"/>
                <w:b w:val="1"/>
                <w:bCs w:val="1"/>
                <w:color w:val="auto"/>
                <w:w w:val="97"/>
              </w:rPr>
              <w:t>Wachovia Securities</w:t>
            </w:r>
          </w:p>
        </w:tc>
      </w:tr>
      <w:tr>
        <w:trPr>
          <w:trHeight w:val="49"/>
        </w:trPr>
        <w:tc>
          <w:tcPr>
            <w:tcW w:w="4220" w:type="dxa"/>
            <w:vAlign w:val="bottom"/>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4220" w:type="dxa"/>
            <w:vAlign w:val="bottom"/>
          </w:tcPr>
          <w:p>
            <w:pPr>
              <w:spacing w:after="0"/>
              <w:rPr>
                <w:sz w:val="4"/>
                <w:szCs w:val="4"/>
                <w:color w:val="auto"/>
              </w:rPr>
            </w:pPr>
          </w:p>
        </w:tc>
      </w:tr>
      <w:tr>
        <w:trPr>
          <w:trHeight w:val="311"/>
        </w:trPr>
        <w:tc>
          <w:tcPr>
            <w:tcW w:w="4220" w:type="dxa"/>
            <w:vAlign w:val="bottom"/>
          </w:tcPr>
          <w:p>
            <w:pPr>
              <w:ind w:left="1060"/>
              <w:spacing w:after="0"/>
              <w:rPr>
                <w:sz w:val="20"/>
                <w:szCs w:val="20"/>
                <w:color w:val="auto"/>
              </w:rPr>
            </w:pPr>
            <w:r>
              <w:rPr>
                <w:rFonts w:ascii="Times New Roman" w:cs="Times New Roman" w:eastAsia="Times New Roman" w:hAnsi="Times New Roman"/>
                <w:sz w:val="20"/>
                <w:szCs w:val="20"/>
                <w:b w:val="1"/>
                <w:bCs w:val="1"/>
                <w:color w:val="auto"/>
              </w:rPr>
              <w:t>Merrill Lynch &amp; Co.</w:t>
            </w:r>
          </w:p>
        </w:tc>
        <w:tc>
          <w:tcPr>
            <w:tcW w:w="2980" w:type="dxa"/>
            <w:vAlign w:val="bottom"/>
          </w:tcPr>
          <w:p>
            <w:pPr>
              <w:ind w:left="1160"/>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422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rPr>
              <w:t>UBS Investment Bank</w:t>
            </w:r>
          </w:p>
        </w:tc>
      </w:tr>
      <w:tr>
        <w:trPr>
          <w:trHeight w:val="198"/>
        </w:trPr>
        <w:tc>
          <w:tcPr>
            <w:tcW w:w="4220" w:type="dxa"/>
            <w:vAlign w:val="bottom"/>
          </w:tcPr>
          <w:p>
            <w:pPr>
              <w:jc w:val="center"/>
              <w:ind w:right="104"/>
              <w:spacing w:after="0"/>
              <w:rPr>
                <w:sz w:val="20"/>
                <w:szCs w:val="20"/>
                <w:color w:val="auto"/>
              </w:rPr>
            </w:pPr>
            <w:r>
              <w:rPr>
                <w:rFonts w:ascii="Times New Roman" w:cs="Times New Roman" w:eastAsia="Times New Roman" w:hAnsi="Times New Roman"/>
                <w:sz w:val="17"/>
                <w:szCs w:val="17"/>
                <w:b w:val="1"/>
                <w:bCs w:val="1"/>
                <w:color w:val="auto"/>
                <w:w w:val="99"/>
              </w:rPr>
              <w:t>Banc of America Securities LLC</w:t>
            </w:r>
          </w:p>
        </w:tc>
        <w:tc>
          <w:tcPr>
            <w:tcW w:w="2980" w:type="dxa"/>
            <w:vAlign w:val="bottom"/>
          </w:tcPr>
          <w:p>
            <w:pPr>
              <w:ind w:left="1120"/>
              <w:spacing w:after="0"/>
              <w:rPr>
                <w:sz w:val="20"/>
                <w:szCs w:val="20"/>
                <w:color w:val="auto"/>
              </w:rPr>
            </w:pPr>
            <w:r>
              <w:rPr>
                <w:rFonts w:ascii="Times New Roman" w:cs="Times New Roman" w:eastAsia="Times New Roman" w:hAnsi="Times New Roman"/>
                <w:sz w:val="17"/>
                <w:szCs w:val="17"/>
                <w:b w:val="1"/>
                <w:bCs w:val="1"/>
                <w:color w:val="auto"/>
                <w:w w:val="99"/>
              </w:rPr>
              <w:t>Deutsche Bank Securities</w:t>
            </w:r>
          </w:p>
        </w:tc>
        <w:tc>
          <w:tcPr>
            <w:tcW w:w="4220" w:type="dxa"/>
            <w:vAlign w:val="bottom"/>
          </w:tcPr>
          <w:p>
            <w:pPr>
              <w:jc w:val="center"/>
              <w:ind w:left="1164"/>
              <w:spacing w:after="0"/>
              <w:rPr>
                <w:sz w:val="20"/>
                <w:szCs w:val="20"/>
                <w:color w:val="auto"/>
              </w:rPr>
            </w:pPr>
            <w:r>
              <w:rPr>
                <w:rFonts w:ascii="Times New Roman" w:cs="Times New Roman" w:eastAsia="Times New Roman" w:hAnsi="Times New Roman"/>
                <w:sz w:val="17"/>
                <w:szCs w:val="17"/>
                <w:b w:val="1"/>
                <w:bCs w:val="1"/>
                <w:color w:val="auto"/>
                <w:w w:val="98"/>
              </w:rPr>
              <w:t>JPMorgan</w:t>
            </w:r>
          </w:p>
        </w:tc>
      </w:tr>
      <w:tr>
        <w:trPr>
          <w:trHeight w:val="221"/>
        </w:trPr>
        <w:tc>
          <w:tcPr>
            <w:tcW w:w="4220" w:type="dxa"/>
            <w:vAlign w:val="bottom"/>
          </w:tcPr>
          <w:p>
            <w:pPr>
              <w:jc w:val="center"/>
              <w:ind w:right="104"/>
              <w:spacing w:after="0"/>
              <w:rPr>
                <w:sz w:val="20"/>
                <w:szCs w:val="20"/>
                <w:color w:val="auto"/>
              </w:rPr>
            </w:pPr>
            <w:r>
              <w:rPr>
                <w:rFonts w:ascii="Times New Roman" w:cs="Times New Roman" w:eastAsia="Times New Roman" w:hAnsi="Times New Roman"/>
                <w:sz w:val="17"/>
                <w:szCs w:val="17"/>
                <w:b w:val="1"/>
                <w:bCs w:val="1"/>
                <w:color w:val="auto"/>
                <w:w w:val="97"/>
              </w:rPr>
              <w:t>LaSalle Financial Services, Inc.</w:t>
            </w:r>
          </w:p>
        </w:tc>
        <w:tc>
          <w:tcPr>
            <w:tcW w:w="2980" w:type="dxa"/>
            <w:vAlign w:val="bottom"/>
          </w:tcPr>
          <w:p>
            <w:pPr>
              <w:spacing w:after="0"/>
              <w:rPr>
                <w:sz w:val="19"/>
                <w:szCs w:val="19"/>
                <w:color w:val="auto"/>
              </w:rPr>
            </w:pPr>
          </w:p>
        </w:tc>
        <w:tc>
          <w:tcPr>
            <w:tcW w:w="4220" w:type="dxa"/>
            <w:vAlign w:val="bottom"/>
          </w:tcPr>
          <w:p>
            <w:pPr>
              <w:jc w:val="center"/>
              <w:ind w:left="1164"/>
              <w:spacing w:after="0"/>
              <w:rPr>
                <w:sz w:val="20"/>
                <w:szCs w:val="20"/>
                <w:color w:val="auto"/>
              </w:rPr>
            </w:pPr>
            <w:r>
              <w:rPr>
                <w:rFonts w:ascii="Times New Roman" w:cs="Times New Roman" w:eastAsia="Times New Roman" w:hAnsi="Times New Roman"/>
                <w:sz w:val="17"/>
                <w:szCs w:val="17"/>
                <w:b w:val="1"/>
                <w:bCs w:val="1"/>
                <w:color w:val="auto"/>
                <w:w w:val="99"/>
              </w:rPr>
              <w:t>Lehman Brothers</w:t>
            </w:r>
          </w:p>
        </w:tc>
      </w:tr>
    </w:tbl>
    <w:p>
      <w:pPr>
        <w:spacing w:after="0" w:line="37" w:lineRule="exact"/>
        <w:rPr>
          <w:sz w:val="20"/>
          <w:szCs w:val="20"/>
          <w:color w:val="auto"/>
        </w:rPr>
      </w:pPr>
    </w:p>
    <w:p>
      <w:pPr>
        <w:jc w:val="center"/>
        <w:ind w:left="5200"/>
        <w:spacing w:after="0"/>
        <w:tabs>
          <w:tab w:leader="none" w:pos="240" w:val="left"/>
        </w:tabs>
        <w:rPr>
          <w:sz w:val="20"/>
          <w:szCs w:val="20"/>
          <w:color w:val="auto"/>
        </w:rPr>
      </w:pPr>
      <w:r>
        <w:rPr>
          <w:rFonts w:ascii="Times New Roman" w:cs="Times New Roman" w:eastAsia="Times New Roman" w:hAnsi="Times New Roman"/>
          <w:sz w:val="18"/>
          <w:szCs w:val="18"/>
          <w:color w:val="auto"/>
        </w:rPr>
        <w:t>May</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49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724916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sectPr>
      <w:pgSz w:w="11900" w:h="16838" w:orient="portrait"/>
      <w:cols w:equalWidth="0" w:num="1">
        <w:col w:w="11420"/>
      </w:cols>
      <w:pgMar w:left="240" w:top="4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2"/>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lowerRoman"/>
      <w:start w:val="10"/>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lvl w:ilvl="1">
      <w:lvlJc w:val="left"/>
      <w:lvlText w:val="(%2)"/>
      <w:numFmt w:val="lowerRoman"/>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0"/>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3"/>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o"/>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lvl w:ilvl="1">
      <w:lvlJc w:val="left"/>
      <w:lvlText w:val="o"/>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lvl w:ilvl="1">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o"/>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o"/>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2"/>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2019-12-15T06:43:32Z</dcterms:created>
  <dcterms:modified xsi:type="dcterms:W3CDTF">2019-12-15T06:43:32Z</dcterms:modified>
</cp:coreProperties>
</file>