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6"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61"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40"/>
          <w:szCs w:val="40"/>
          <w:b w:val="1"/>
          <w:bCs w:val="1"/>
          <w:color w:val="auto"/>
        </w:rPr>
        <w:t>COMCAST CORPORATION</w:t>
      </w:r>
    </w:p>
    <w:p>
      <w:pPr>
        <w:spacing w:after="0" w:line="65"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(Exact name of the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tbl>
      <w:tblPr>
        <w:tblLayout w:type="fixed"/>
        <w:tblInd w:w="940" w:type="dxa"/>
        <w:tblCellMar>
          <w:top w:w="0" w:type="dxa"/>
          <w:left w:w="0" w:type="dxa"/>
          <w:bottom w:w="0" w:type="dxa"/>
          <w:right w:w="0" w:type="dxa"/>
        </w:tblCellMar>
      </w:tblPr>
      <w:tr>
        <w:trPr>
          <w:trHeight w:val="190"/>
        </w:trPr>
        <w:tc>
          <w:tcPr>
            <w:tcW w:w="3140" w:type="dxa"/>
            <w:vAlign w:val="bottom"/>
          </w:tcPr>
          <w:p>
            <w:pPr>
              <w:jc w:val="center"/>
              <w:ind w:right="1168"/>
              <w:spacing w:after="0"/>
              <w:rPr>
                <w:sz w:val="20"/>
                <w:szCs w:val="20"/>
                <w:color w:val="auto"/>
              </w:rPr>
            </w:pPr>
            <w:r>
              <w:rPr>
                <w:rFonts w:ascii="Times New Roman" w:cs="Times New Roman" w:eastAsia="Times New Roman" w:hAnsi="Times New Roman"/>
                <w:sz w:val="14"/>
                <w:szCs w:val="14"/>
                <w:b w:val="1"/>
                <w:bCs w:val="1"/>
                <w:color w:val="auto"/>
              </w:rPr>
              <w:t>Pennsylvania</w:t>
            </w:r>
          </w:p>
        </w:tc>
        <w:tc>
          <w:tcPr>
            <w:tcW w:w="34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001-32871</w:t>
            </w:r>
          </w:p>
        </w:tc>
        <w:tc>
          <w:tcPr>
            <w:tcW w:w="2480" w:type="dxa"/>
            <w:vAlign w:val="bottom"/>
          </w:tcPr>
          <w:p>
            <w:pPr>
              <w:jc w:val="center"/>
              <w:ind w:left="1348"/>
              <w:spacing w:after="0"/>
              <w:rPr>
                <w:sz w:val="20"/>
                <w:szCs w:val="20"/>
                <w:color w:val="auto"/>
              </w:rPr>
            </w:pPr>
            <w:r>
              <w:rPr>
                <w:rFonts w:ascii="Times New Roman" w:cs="Times New Roman" w:eastAsia="Times New Roman" w:hAnsi="Times New Roman"/>
                <w:sz w:val="14"/>
                <w:szCs w:val="14"/>
                <w:b w:val="1"/>
                <w:bCs w:val="1"/>
                <w:color w:val="auto"/>
              </w:rPr>
              <w:t>27-0000798</w:t>
            </w:r>
          </w:p>
        </w:tc>
      </w:tr>
      <w:tr>
        <w:trPr>
          <w:trHeight w:val="257"/>
        </w:trPr>
        <w:tc>
          <w:tcPr>
            <w:tcW w:w="3140" w:type="dxa"/>
            <w:vAlign w:val="bottom"/>
          </w:tcPr>
          <w:p>
            <w:pPr>
              <w:jc w:val="center"/>
              <w:ind w:right="1188"/>
              <w:spacing w:after="0"/>
              <w:rPr>
                <w:sz w:val="20"/>
                <w:szCs w:val="20"/>
                <w:color w:val="auto"/>
              </w:rPr>
            </w:pPr>
            <w:r>
              <w:rPr>
                <w:rFonts w:ascii="Times New Roman" w:cs="Times New Roman" w:eastAsia="Times New Roman" w:hAnsi="Times New Roman"/>
                <w:sz w:val="14"/>
                <w:szCs w:val="14"/>
                <w:color w:val="auto"/>
              </w:rPr>
              <w:t>(State or other jurisdiction</w:t>
            </w:r>
          </w:p>
        </w:tc>
        <w:tc>
          <w:tcPr>
            <w:tcW w:w="34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(Commission</w:t>
            </w:r>
          </w:p>
        </w:tc>
        <w:tc>
          <w:tcPr>
            <w:tcW w:w="2480" w:type="dxa"/>
            <w:vAlign w:val="bottom"/>
          </w:tcPr>
          <w:p>
            <w:pPr>
              <w:jc w:val="center"/>
              <w:ind w:left="1328"/>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140" w:type="dxa"/>
            <w:vAlign w:val="bottom"/>
          </w:tcPr>
          <w:p>
            <w:pPr>
              <w:jc w:val="center"/>
              <w:ind w:right="1188"/>
              <w:spacing w:after="0"/>
              <w:rPr>
                <w:sz w:val="20"/>
                <w:szCs w:val="20"/>
                <w:color w:val="auto"/>
              </w:rPr>
            </w:pPr>
            <w:r>
              <w:rPr>
                <w:rFonts w:ascii="Times New Roman" w:cs="Times New Roman" w:eastAsia="Times New Roman" w:hAnsi="Times New Roman"/>
                <w:sz w:val="14"/>
                <w:szCs w:val="14"/>
                <w:color w:val="auto"/>
              </w:rPr>
              <w:t>of incorporation or organization)</w:t>
            </w:r>
          </w:p>
        </w:tc>
        <w:tc>
          <w:tcPr>
            <w:tcW w:w="34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File Number)</w:t>
            </w:r>
          </w:p>
        </w:tc>
        <w:tc>
          <w:tcPr>
            <w:tcW w:w="2480" w:type="dxa"/>
            <w:vAlign w:val="bottom"/>
          </w:tcPr>
          <w:p>
            <w:pPr>
              <w:jc w:val="center"/>
              <w:ind w:left="1328"/>
              <w:spacing w:after="0"/>
              <w:rPr>
                <w:sz w:val="20"/>
                <w:szCs w:val="20"/>
                <w:color w:val="auto"/>
              </w:rPr>
            </w:pPr>
            <w:r>
              <w:rPr>
                <w:rFonts w:ascii="Times New Roman" w:cs="Times New Roman" w:eastAsia="Times New Roman" w:hAnsi="Times New Roman"/>
                <w:sz w:val="14"/>
                <w:szCs w:val="14"/>
                <w:color w:val="auto"/>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tbl>
      <w:tblPr>
        <w:tblLayout w:type="fixed"/>
        <w:tblInd w:w="1700" w:type="dxa"/>
        <w:tblCellMar>
          <w:top w:w="0" w:type="dxa"/>
          <w:left w:w="0" w:type="dxa"/>
          <w:bottom w:w="0" w:type="dxa"/>
          <w:right w:w="0" w:type="dxa"/>
        </w:tblCellMar>
      </w:tblPr>
      <w:tr>
        <w:trPr>
          <w:trHeight w:val="175"/>
        </w:trPr>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One Comcast Center</w:t>
            </w:r>
          </w:p>
        </w:tc>
        <w:tc>
          <w:tcPr>
            <w:tcW w:w="4880" w:type="dxa"/>
            <w:vAlign w:val="bottom"/>
          </w:tcPr>
          <w:p>
            <w:pPr>
              <w:spacing w:after="0"/>
              <w:rPr>
                <w:sz w:val="15"/>
                <w:szCs w:val="15"/>
                <w:color w:val="auto"/>
              </w:rPr>
            </w:pPr>
          </w:p>
        </w:tc>
      </w:tr>
      <w:tr>
        <w:trPr>
          <w:trHeight w:val="204"/>
        </w:trPr>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Philadelphia, PA</w:t>
            </w:r>
          </w:p>
        </w:tc>
        <w:tc>
          <w:tcPr>
            <w:tcW w:w="4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19103-2838</w:t>
            </w:r>
          </w:p>
        </w:tc>
      </w:tr>
      <w:tr>
        <w:trPr>
          <w:trHeight w:val="230"/>
        </w:trPr>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880" w:type="dxa"/>
            <w:vAlign w:val="bottom"/>
          </w:tcPr>
          <w:p>
            <w:pPr>
              <w:jc w:val="center"/>
              <w:ind w:left="4088"/>
              <w:spacing w:after="0"/>
              <w:rPr>
                <w:sz w:val="20"/>
                <w:szCs w:val="20"/>
                <w:color w:val="auto"/>
              </w:rPr>
            </w:pPr>
            <w:r>
              <w:rPr>
                <w:rFonts w:ascii="Times New Roman" w:cs="Times New Roman" w:eastAsia="Times New Roman" w:hAnsi="Times New Roman"/>
                <w:sz w:val="14"/>
                <w:szCs w:val="14"/>
                <w:color w:val="auto"/>
              </w:rPr>
              <w:t>(Zip code)</w:t>
            </w:r>
          </w:p>
        </w:tc>
      </w:tr>
      <w:tr>
        <w:trPr>
          <w:trHeight w:val="525"/>
        </w:trPr>
        <w:tc>
          <w:tcPr>
            <w:tcW w:w="2300" w:type="dxa"/>
            <w:vAlign w:val="bottom"/>
          </w:tcPr>
          <w:p>
            <w:pPr>
              <w:spacing w:after="0"/>
              <w:rPr>
                <w:sz w:val="24"/>
                <w:szCs w:val="24"/>
                <w:color w:val="auto"/>
              </w:rPr>
            </w:pPr>
          </w:p>
        </w:tc>
        <w:tc>
          <w:tcPr>
            <w:tcW w:w="4880" w:type="dxa"/>
            <w:vAlign w:val="bottom"/>
          </w:tcPr>
          <w:p>
            <w:pPr>
              <w:jc w:val="center"/>
              <w:ind w:right="1568"/>
              <w:spacing w:after="0"/>
              <w:rPr>
                <w:sz w:val="20"/>
                <w:szCs w:val="20"/>
                <w:color w:val="auto"/>
              </w:rPr>
            </w:pPr>
            <w:r>
              <w:rPr>
                <w:rFonts w:ascii="Times New Roman" w:cs="Times New Roman" w:eastAsia="Times New Roman" w:hAnsi="Times New Roman"/>
                <w:sz w:val="14"/>
                <w:szCs w:val="14"/>
                <w:b w:val="1"/>
                <w:bCs w:val="1"/>
                <w:color w:val="auto"/>
              </w:rPr>
              <w:t>Thomas J. Reid</w:t>
            </w:r>
          </w:p>
        </w:tc>
      </w:tr>
      <w:tr>
        <w:trPr>
          <w:trHeight w:val="175"/>
        </w:trPr>
        <w:tc>
          <w:tcPr>
            <w:tcW w:w="2300" w:type="dxa"/>
            <w:vAlign w:val="bottom"/>
          </w:tcPr>
          <w:p>
            <w:pPr>
              <w:spacing w:after="0"/>
              <w:rPr>
                <w:sz w:val="15"/>
                <w:szCs w:val="15"/>
                <w:color w:val="auto"/>
              </w:rPr>
            </w:pPr>
          </w:p>
        </w:tc>
        <w:tc>
          <w:tcPr>
            <w:tcW w:w="4880" w:type="dxa"/>
            <w:vAlign w:val="bottom"/>
          </w:tcPr>
          <w:p>
            <w:pPr>
              <w:jc w:val="center"/>
              <w:ind w:right="1568"/>
              <w:spacing w:after="0"/>
              <w:rPr>
                <w:sz w:val="20"/>
                <w:szCs w:val="20"/>
                <w:color w:val="auto"/>
              </w:rPr>
            </w:pPr>
            <w:r>
              <w:rPr>
                <w:rFonts w:ascii="Times New Roman" w:cs="Times New Roman" w:eastAsia="Times New Roman" w:hAnsi="Times New Roman"/>
                <w:sz w:val="14"/>
                <w:szCs w:val="14"/>
                <w:b w:val="1"/>
                <w:bCs w:val="1"/>
                <w:color w:val="auto"/>
              </w:rPr>
              <w:t>Chief Legal Officer and Secretary</w:t>
            </w:r>
          </w:p>
        </w:tc>
      </w:tr>
      <w:tr>
        <w:trPr>
          <w:trHeight w:val="190"/>
        </w:trPr>
        <w:tc>
          <w:tcPr>
            <w:tcW w:w="2300" w:type="dxa"/>
            <w:vAlign w:val="bottom"/>
          </w:tcPr>
          <w:p>
            <w:pPr>
              <w:spacing w:after="0"/>
              <w:rPr>
                <w:sz w:val="16"/>
                <w:szCs w:val="16"/>
                <w:color w:val="auto"/>
              </w:rPr>
            </w:pPr>
          </w:p>
        </w:tc>
        <w:tc>
          <w:tcPr>
            <w:tcW w:w="4880" w:type="dxa"/>
            <w:vAlign w:val="bottom"/>
          </w:tcPr>
          <w:p>
            <w:pPr>
              <w:jc w:val="center"/>
              <w:ind w:right="1548"/>
              <w:spacing w:after="0"/>
              <w:rPr>
                <w:sz w:val="20"/>
                <w:szCs w:val="20"/>
                <w:color w:val="auto"/>
              </w:rPr>
            </w:pPr>
            <w:r>
              <w:rPr>
                <w:rFonts w:ascii="Times New Roman" w:cs="Times New Roman" w:eastAsia="Times New Roman" w:hAnsi="Times New Roman"/>
                <w:sz w:val="14"/>
                <w:szCs w:val="14"/>
                <w:b w:val="1"/>
                <w:bCs w:val="1"/>
                <w:color w:val="auto"/>
              </w:rPr>
              <w:t>(215) 286-1700</w:t>
            </w:r>
          </w:p>
        </w:tc>
      </w:tr>
      <w:tr>
        <w:trPr>
          <w:trHeight w:val="230"/>
        </w:trPr>
        <w:tc>
          <w:tcPr>
            <w:tcW w:w="2300" w:type="dxa"/>
            <w:vAlign w:val="bottom"/>
          </w:tcPr>
          <w:p>
            <w:pPr>
              <w:spacing w:after="0"/>
              <w:rPr>
                <w:sz w:val="19"/>
                <w:szCs w:val="19"/>
                <w:color w:val="auto"/>
              </w:rPr>
            </w:pPr>
          </w:p>
        </w:tc>
        <w:tc>
          <w:tcPr>
            <w:tcW w:w="4880" w:type="dxa"/>
            <w:vAlign w:val="bottom"/>
          </w:tcPr>
          <w:p>
            <w:pPr>
              <w:jc w:val="center"/>
              <w:ind w:right="1548"/>
              <w:spacing w:after="0"/>
              <w:rPr>
                <w:sz w:val="20"/>
                <w:szCs w:val="20"/>
                <w:color w:val="auto"/>
              </w:rPr>
            </w:pPr>
            <w:r>
              <w:rPr>
                <w:rFonts w:ascii="Times New Roman" w:cs="Times New Roman" w:eastAsia="Times New Roman" w:hAnsi="Times New Roman"/>
                <w:sz w:val="14"/>
                <w:szCs w:val="14"/>
                <w:color w:val="auto"/>
              </w:rPr>
              <w:t>(Name and telephone number, including area code,</w:t>
            </w:r>
          </w:p>
        </w:tc>
      </w:tr>
      <w:tr>
        <w:trPr>
          <w:trHeight w:val="189"/>
        </w:trPr>
        <w:tc>
          <w:tcPr>
            <w:tcW w:w="2300" w:type="dxa"/>
            <w:vAlign w:val="bottom"/>
          </w:tcPr>
          <w:p>
            <w:pPr>
              <w:spacing w:after="0"/>
              <w:rPr>
                <w:sz w:val="16"/>
                <w:szCs w:val="16"/>
                <w:color w:val="auto"/>
              </w:rPr>
            </w:pPr>
          </w:p>
        </w:tc>
        <w:tc>
          <w:tcPr>
            <w:tcW w:w="4880" w:type="dxa"/>
            <w:vAlign w:val="bottom"/>
          </w:tcPr>
          <w:p>
            <w:pPr>
              <w:jc w:val="center"/>
              <w:ind w:right="1568"/>
              <w:spacing w:after="0"/>
              <w:rPr>
                <w:sz w:val="20"/>
                <w:szCs w:val="20"/>
                <w:color w:val="auto"/>
              </w:rPr>
            </w:pPr>
            <w:r>
              <w:rPr>
                <w:rFonts w:ascii="Times New Roman" w:cs="Times New Roman" w:eastAsia="Times New Roman" w:hAnsi="Times New Roman"/>
                <w:sz w:val="14"/>
                <w:szCs w:val="14"/>
                <w:color w:val="auto"/>
              </w:rPr>
              <w:t>of the person to contact in connection with this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48" w:lineRule="exact"/>
        <w:rPr>
          <w:sz w:val="24"/>
          <w:szCs w:val="24"/>
          <w:color w:val="auto"/>
        </w:rPr>
      </w:pPr>
    </w:p>
    <w:p>
      <w:pPr>
        <w:ind w:left="20" w:right="860" w:firstLine="6"/>
        <w:spacing w:after="0" w:line="266" w:lineRule="exact"/>
        <w:tabs>
          <w:tab w:leader="none" w:pos="46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13p-1 under the Securities Exchange Act (17 CFR 240.13p-1) for the reporting period from January 1 to December 31, 2023.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13q-1 under the Securities Exchange Act (17 CFR 240.13q-1) for the fiscal year ended 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40"/>
          </w:cols>
          <w:pgMar w:left="320" w:top="1440" w:right="8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Conflict Minerals Disclosure and Report</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Comcast Corporation (“Comcast”) has issued a Conflict Minerals Report for the period from January 1, 2023 to December 31, 2023. A copy of the Conflict Minerals Report is filed as Exhibit 1.01 hereto and is available at </w:t>
      </w:r>
      <w:r>
        <w:rPr>
          <w:rFonts w:ascii="Times New Roman" w:cs="Times New Roman" w:eastAsia="Times New Roman" w:hAnsi="Times New Roman"/>
          <w:sz w:val="18"/>
          <w:szCs w:val="18"/>
          <w:i w:val="1"/>
          <w:iCs w:val="1"/>
          <w:color w:val="auto"/>
        </w:rPr>
        <w:t>https://www.cmcsa.com/financials/sec-filings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1.02</w:t>
        <w:tab/>
        <w:t>Exhibit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3.01.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 – Conflict Minerals Report as required by Items 1.01 and 1.02 of this Form.</w:t>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COMCAST CORPORATION</w:t>
            </w:r>
          </w:p>
        </w:tc>
      </w:tr>
      <w:tr>
        <w:trPr>
          <w:trHeight w:val="338"/>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Date: May 24, 2024</w:t>
            </w:r>
          </w:p>
        </w:tc>
        <w:tc>
          <w:tcPr>
            <w:tcW w:w="270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By:</w:t>
            </w:r>
          </w:p>
        </w:tc>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Thomas J. Reid</w:t>
            </w:r>
          </w:p>
        </w:tc>
      </w:tr>
      <w:tr>
        <w:trPr>
          <w:trHeight w:val="41"/>
        </w:trPr>
        <w:tc>
          <w:tcPr>
            <w:tcW w:w="31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5400" w:type="dxa"/>
            <w:vAlign w:val="bottom"/>
            <w:tcBorders>
              <w:bottom w:val="single" w:sz="8" w:color="auto"/>
            </w:tcBorders>
          </w:tcPr>
          <w:p>
            <w:pPr>
              <w:spacing w:after="0"/>
              <w:rPr>
                <w:sz w:val="3"/>
                <w:szCs w:val="3"/>
                <w:color w:val="auto"/>
              </w:rPr>
            </w:pPr>
          </w:p>
        </w:tc>
      </w:tr>
      <w:tr>
        <w:trPr>
          <w:trHeight w:val="237"/>
        </w:trPr>
        <w:tc>
          <w:tcPr>
            <w:tcW w:w="3120" w:type="dxa"/>
            <w:vAlign w:val="bottom"/>
          </w:tcPr>
          <w:p>
            <w:pPr>
              <w:spacing w:after="0"/>
              <w:rPr>
                <w:sz w:val="20"/>
                <w:szCs w:val="20"/>
                <w:color w:val="auto"/>
              </w:rPr>
            </w:pPr>
          </w:p>
        </w:tc>
        <w:tc>
          <w:tcPr>
            <w:tcW w:w="270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Name:</w:t>
            </w:r>
          </w:p>
        </w:tc>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J. Reid</w:t>
            </w:r>
          </w:p>
        </w:tc>
      </w:tr>
      <w:tr>
        <w:trPr>
          <w:trHeight w:val="283"/>
        </w:trPr>
        <w:tc>
          <w:tcPr>
            <w:tcW w:w="3120" w:type="dxa"/>
            <w:vAlign w:val="bottom"/>
          </w:tcPr>
          <w:p>
            <w:pPr>
              <w:spacing w:after="0"/>
              <w:rPr>
                <w:sz w:val="24"/>
                <w:szCs w:val="24"/>
                <w:color w:val="auto"/>
              </w:rPr>
            </w:pPr>
          </w:p>
        </w:tc>
        <w:tc>
          <w:tcPr>
            <w:tcW w:w="270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Title:</w:t>
            </w:r>
          </w:p>
        </w:tc>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Secretary</w:t>
            </w:r>
          </w:p>
        </w:tc>
      </w:tr>
    </w:tbl>
    <w:p>
      <w:pPr>
        <w:sectPr>
          <w:pgSz w:w="11900" w:h="16838" w:orient="portrait"/>
          <w:cols w:equalWidth="0" w:num="1">
            <w:col w:w="11240"/>
          </w:cols>
          <w:pgMar w:left="320" w:top="141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8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b w:val="1"/>
          <w:bCs w:val="1"/>
          <w:color w:val="auto"/>
        </w:rPr>
        <w:t>Comcast Corporation</w:t>
      </w:r>
    </w:p>
    <w:p>
      <w:pPr>
        <w:spacing w:after="0" w:line="3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Conflict Minerals Report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Year Ended December 31, 2023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Introduction</w:t>
      </w:r>
    </w:p>
    <w:p>
      <w:pPr>
        <w:spacing w:after="0" w:line="247"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20"/>
          <w:szCs w:val="20"/>
          <w:color w:val="auto"/>
        </w:rPr>
        <w:t>This Conflict Minerals Report (this “Report”) of Comcast Corporation ( “Comcast”, the “Company,” “we,” “us,” or “our”) for calendar year 2023 has been prepared in accordance with Rule 13p-1 under the Securities Exchange Act of 1934 (“Rule 13p-1”), as modified by guidance of the U.S. Securities and Exchange Commission (“SEC”) (the “Conflict Minerals Rule”).</w:t>
      </w:r>
    </w:p>
    <w:p>
      <w:pPr>
        <w:spacing w:after="0" w:line="208"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The Conflict Minerals Rule requires issuers to annually file a Form SD with the SEC to disclose information regarding the use and origin of “Conflict Minerals” necessary for the functionality or production of products manufactured or contracted to be manufactured by such issuer. Under the Conflict Minerals Rule, “Conflict Minerals” currently include columbite-tantalite (coltan), cassiterite, gold, wolframite, and also their derivatives, tantalum, tin and tungsten. We refer to gold, tantalum, tin and tungsten collectively as “3TG.” The purpose of the Conflict Minerals Rule is to discover if issuers’ use of 3TG may have directly or indirectly financed or benefited armed groups in the Democratic Republic of Congo and its adjoining countries (the “Covered Countries”).</w:t>
      </w:r>
    </w:p>
    <w:p>
      <w:pPr>
        <w:spacing w:after="0" w:line="21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color w:val="auto"/>
        </w:rPr>
        <w:t>This Report describes the Company’s compliance program for products covered by the Conflict Minerals Rule, as well as steps taken to implement the compliance program, conduct in good faith an investigation as to the country of origin of the minerals used in the products that are within the scope of the Conflict Minerals Rule and perform due diligence on the source and chain of custody of such minerals (see “Product Description and Determination” below).</w:t>
      </w:r>
    </w:p>
    <w:p>
      <w:pPr>
        <w:spacing w:after="0" w:line="215" w:lineRule="exact"/>
        <w:rPr>
          <w:sz w:val="20"/>
          <w:szCs w:val="20"/>
          <w:color w:val="auto"/>
        </w:rPr>
      </w:pPr>
    </w:p>
    <w:p>
      <w:pPr>
        <w:jc w:val="both"/>
        <w:ind w:right="400"/>
        <w:spacing w:after="0" w:line="268" w:lineRule="auto"/>
        <w:rPr>
          <w:sz w:val="20"/>
          <w:szCs w:val="20"/>
          <w:color w:val="auto"/>
        </w:rPr>
      </w:pPr>
      <w:r>
        <w:rPr>
          <w:rFonts w:ascii="Times New Roman" w:cs="Times New Roman" w:eastAsia="Times New Roman" w:hAnsi="Times New Roman"/>
          <w:sz w:val="20"/>
          <w:szCs w:val="20"/>
          <w:color w:val="auto"/>
        </w:rPr>
        <w:t>This Report is based on information available at the time of filing. This Report may contain forward-looking statements regarding steps to be taken in the future, and those statements are subject to risks and uncertainties. References to any website in this Form SD or Report do not incorporate information from that website into this filing.</w:t>
      </w:r>
    </w:p>
    <w:p>
      <w:pPr>
        <w:spacing w:after="0" w:line="202" w:lineRule="exact"/>
        <w:rPr>
          <w:sz w:val="20"/>
          <w:szCs w:val="20"/>
          <w:color w:val="auto"/>
        </w:rPr>
      </w:pPr>
    </w:p>
    <w:p>
      <w:pPr>
        <w:ind w:right="260"/>
        <w:spacing w:after="0" w:line="251" w:lineRule="auto"/>
        <w:rPr>
          <w:sz w:val="20"/>
          <w:szCs w:val="20"/>
          <w:color w:val="auto"/>
        </w:rPr>
      </w:pPr>
      <w:r>
        <w:rPr>
          <w:rFonts w:ascii="Times New Roman" w:cs="Times New Roman" w:eastAsia="Times New Roman" w:hAnsi="Times New Roman"/>
          <w:sz w:val="20"/>
          <w:szCs w:val="20"/>
          <w:color w:val="auto"/>
        </w:rPr>
        <w:t>Forward-looking statements are subject to risks and uncertainties that could cause actual actions or performance to differ materially from those expressed in the forward-looking statements. These risks and uncertainties include, but are not limited to, (1) the implementation of satisfactory traceability and other compliance measures by our direct and indirect suppliers on a timely basis or at all, (2) whether smelters and refiners and other market participants responsibly source conflict minerals, (3) internal and external resource constraints and (4) political and regulatory developments, whether in the Covered Countries, the United States or elsewhere. You are cautioned not to place undue reliance on these forward-looking statements, which speak only as of the date of filing of this Report. We do not intend, and undertake no obligation, to publish revised forward-looking statements to reflect events or circumstances after the date of filing of this Report or to reflect the occurrence of unanticipated events.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 Description and Determination</w:t>
      </w:r>
    </w:p>
    <w:p>
      <w:pPr>
        <w:spacing w:after="0" w:line="24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auto"/>
        </w:rPr>
        <w:t>The due diligence measures set forth below were undertaken with respect to suppliers of the following products that the Company contracts to manufacture:</w:t>
      </w: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Sky Glass television;</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lighting fixtures assembled by Cineo Lighting; and</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Xumo Stream Box (collectively, the “Covered Products”).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220" w:right="339" w:bottom="1440" w:gutter="0" w:footer="0" w:header="0"/>
        </w:sectPr>
      </w:pPr>
    </w:p>
    <w:bookmarkStart w:id="4" w:name="page5"/>
    <w:bookmarkEnd w:id="4"/>
    <w:p>
      <w:pPr>
        <w:jc w:val="both"/>
        <w:ind w:right="80"/>
        <w:spacing w:after="0" w:line="261" w:lineRule="auto"/>
        <w:rPr>
          <w:sz w:val="20"/>
          <w:szCs w:val="20"/>
          <w:color w:val="auto"/>
        </w:rPr>
      </w:pPr>
      <w:r>
        <w:rPr>
          <w:rFonts w:ascii="Times New Roman" w:cs="Times New Roman" w:eastAsia="Times New Roman" w:hAnsi="Times New Roman"/>
          <w:sz w:val="20"/>
          <w:szCs w:val="20"/>
          <w:color w:val="auto"/>
        </w:rPr>
        <w:t>After taking the due diligence measures described below, we are not able to determine whether the 3TG smelter/refiner facilities used in our supply chain sourced 3TG from the Covered Countries and, if so, whether that 3TG was sourced from recycled, scrap or other conflict-free sources.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Reasonable Country of Origin Inquiry</w:t>
      </w:r>
    </w:p>
    <w:p>
      <w:pPr>
        <w:spacing w:after="0" w:line="260"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color w:val="auto"/>
        </w:rPr>
        <w:t>In accordance with the Conflict Minerals Rule, our compliance process includes a Reasonable Country of Origin Inquiry (“RCOI”) seeking the location of the smelter/refiner facilities used to refine or process the 3TG used in the Covered Products.</w:t>
      </w:r>
    </w:p>
    <w:p>
      <w:pPr>
        <w:spacing w:after="0" w:line="200"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20"/>
          <w:szCs w:val="20"/>
          <w:color w:val="auto"/>
        </w:rPr>
        <w:t>Because the smelters and refiners that produce 3TG metals, and the mines from which the minerals are originally sourced, are many steps away from the Company in the supply chain, we rely on our suppliers to provide information to support our due diligence efforts. We have requested that the direct suppliers involved in our Covered Products conduct due diligence to identify the origin of the 3TG metals in the components or products they sell to us in seeking to ensure that the 3TG metals are sourced responsibly.</w:t>
      </w:r>
    </w:p>
    <w:p>
      <w:pPr>
        <w:spacing w:after="0" w:line="214"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0"/>
          <w:szCs w:val="20"/>
          <w:color w:val="auto"/>
        </w:rPr>
        <w:t>We conducted our RCOI based on the smelter information received from these suppliers. We then compared this information with the RCOI database compiled by the Responsible Minerals Initiative (“RMI”), an industry initiative of which we are a member. The RMI supports the collection of information, increased transparency, and smelter audits for due diligence over the mineral supply chain. Their RCOI database contains aggregated data on the origins of 3TG metals from smelters that conform with the RMI’s Responsible Minerals Assurance Process (“RMAP”). In some cases, information provided by our direct suppliers is incomplete, and suppliers are unable to confirm the country of origin information for 3TG metals. Based on data collected from the suppliers for the year ended December 31, 2023, we have reason to believe that 3TG metals contained in the Covered Products may have originated from one or more of the Covered Countries and were not from recycled or scrap sources.</w:t>
      </w:r>
    </w:p>
    <w:p>
      <w:pPr>
        <w:spacing w:after="0" w:line="222"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See Annex 1 for a list of the identified smelters included in the Conflict Minerals Reporting Templates (“CMRT”) submitted by suppliers for the Covered Products and the smelter’s geographic location.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Comcast’s Due Diligence Framework</w:t>
      </w:r>
    </w:p>
    <w:p>
      <w:pPr>
        <w:spacing w:after="0" w:line="2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 xml:space="preserve">We have designed our due diligence measures with respect to the source and chain of custody of conflict minerals in the Covered Products to conform, in all material respects, with the internationally recognized five-step framework recommended by the Organization for Economic Cooperation and Development (“OECD”) in its </w:t>
      </w:r>
      <w:r>
        <w:rPr>
          <w:rFonts w:ascii="Times New Roman" w:cs="Times New Roman" w:eastAsia="Times New Roman" w:hAnsi="Times New Roman"/>
          <w:sz w:val="20"/>
          <w:szCs w:val="20"/>
          <w:i w:val="1"/>
          <w:iCs w:val="1"/>
          <w:color w:val="auto"/>
        </w:rPr>
        <w:t>Due Diligence Guidance for Responsible Supply Chains of Minerals from Conflict-Affected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and High-Risk Areas</w:t>
      </w:r>
      <w:r>
        <w:rPr>
          <w:rFonts w:ascii="Times New Roman" w:cs="Times New Roman" w:eastAsia="Times New Roman" w:hAnsi="Times New Roman"/>
          <w:sz w:val="20"/>
          <w:szCs w:val="20"/>
          <w:color w:val="auto"/>
        </w:rPr>
        <w:t>, Third Edition (OECD, 2016) (the “OECD Framework”). These five steps are as follows: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OECD Step 1: Establish Strong Company Management Systems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date, we have taken the following steps to strengthen our company management systems with respect to Conflicts Minerals matters:</w:t>
      </w:r>
    </w:p>
    <w:p>
      <w:pPr>
        <w:spacing w:after="0" w:line="252" w:lineRule="exact"/>
        <w:rPr>
          <w:sz w:val="20"/>
          <w:szCs w:val="20"/>
          <w:color w:val="auto"/>
        </w:rPr>
      </w:pPr>
    </w:p>
    <w:p>
      <w:pPr>
        <w:ind w:left="340" w:right="100" w:hanging="332"/>
        <w:spacing w:after="0" w:line="260" w:lineRule="auto"/>
        <w:tabs>
          <w:tab w:leader="none" w:pos="3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Instituted a Conflicts Minerals Policy</w:t>
      </w:r>
      <w:r>
        <w:rPr>
          <w:rFonts w:ascii="Times New Roman" w:cs="Times New Roman" w:eastAsia="Times New Roman" w:hAnsi="Times New Roman"/>
          <w:sz w:val="20"/>
          <w:szCs w:val="20"/>
          <w:color w:val="auto"/>
        </w:rPr>
        <w:t>. We maintain a Conflict Minerals Policy (the “Conflict Minerals Policy”) with respect to Covered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Products that sets forth (i) our support for sourcing conflict-free materials from the Covered Countries in accordance with the OECD Framework and (ii) our expectations of suppliers in support of our compliance activities. The Conflict Minerals Policy is publicly available at </w:t>
      </w:r>
      <w:r>
        <w:rPr>
          <w:rFonts w:ascii="Times New Roman" w:cs="Times New Roman" w:eastAsia="Times New Roman" w:hAnsi="Times New Roman"/>
          <w:sz w:val="20"/>
          <w:szCs w:val="20"/>
          <w:i w:val="1"/>
          <w:iCs w:val="1"/>
          <w:color w:val="auto"/>
        </w:rPr>
        <w:t>https://www.cmcsa.com/esg-reporting</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180"/>
          </w:cols>
          <w:pgMar w:left="320" w:top="1399" w:right="399" w:bottom="1440" w:gutter="0" w:footer="0" w:header="0"/>
        </w:sectPr>
      </w:pPr>
    </w:p>
    <w:bookmarkStart w:id="5" w:name="page6"/>
    <w:bookmarkEnd w:id="5"/>
    <w:p>
      <w:pPr>
        <w:ind w:left="340" w:right="80" w:hanging="332"/>
        <w:spacing w:after="0" w:line="271" w:lineRule="auto"/>
        <w:tabs>
          <w:tab w:leader="none" w:pos="328"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Created a Cross-Functional Working Group to Support Conflict Minerals Due Diligence</w:t>
      </w:r>
      <w:r>
        <w:rPr>
          <w:rFonts w:ascii="Times New Roman" w:cs="Times New Roman" w:eastAsia="Times New Roman" w:hAnsi="Times New Roman"/>
          <w:sz w:val="19"/>
          <w:szCs w:val="19"/>
          <w:color w:val="auto"/>
        </w:rPr>
        <w:t>. The implementation of our RCOI, conducting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due diligence on the source and chain of custody of conflict minerals in the Covered Products and identifying Covered Products are managed by a cross-functional working group that includes representatives across our primary business units from procurement, compliance, sustainability, accounting and legal departments (the “Conflict Minerals Working Group”). We have in the past also worked with specialist consultancy service providers to assist in tracking data, assessing risks and preparing our reporting information.</w:t>
      </w:r>
    </w:p>
    <w:p>
      <w:pPr>
        <w:spacing w:after="0" w:line="197" w:lineRule="exact"/>
        <w:rPr>
          <w:rFonts w:ascii="Times New Roman" w:cs="Times New Roman" w:eastAsia="Times New Roman" w:hAnsi="Times New Roman"/>
          <w:sz w:val="19"/>
          <w:szCs w:val="19"/>
          <w:color w:val="auto"/>
        </w:rPr>
      </w:pPr>
    </w:p>
    <w:p>
      <w:pPr>
        <w:ind w:left="340" w:hanging="332"/>
        <w:spacing w:after="0" w:line="254"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Established a Conflict Minerals Supply Chain Due Diligence Process</w:t>
      </w:r>
      <w:r>
        <w:rPr>
          <w:rFonts w:ascii="Times New Roman" w:cs="Times New Roman" w:eastAsia="Times New Roman" w:hAnsi="Times New Roman"/>
          <w:sz w:val="20"/>
          <w:szCs w:val="20"/>
          <w:color w:val="auto"/>
        </w:rPr>
        <w:t>. We have requested that the direct suppliers involved in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Covered Products conduct due diligence to identify the origin of the 3TG metals in the components or products they sell to us in seeking to ensure that the 3TG metals are sourced responsibly. These suppliers are expected to extend a similar identification process to their own suppliers and cascade them down the supply chain until the origin of 3TG metals contained in the products supplied to us can be identified. These suppliers report their progress through the RMI’s CMRT. The CMRT is designed to identify the smelters from which any 3TG metals in each of the Covered Products are sourced.</w:t>
      </w:r>
    </w:p>
    <w:p>
      <w:pPr>
        <w:spacing w:after="0" w:line="200" w:lineRule="exact"/>
        <w:rPr>
          <w:rFonts w:ascii="Times New Roman" w:cs="Times New Roman" w:eastAsia="Times New Roman" w:hAnsi="Times New Roman"/>
          <w:sz w:val="20"/>
          <w:szCs w:val="20"/>
          <w:color w:val="auto"/>
        </w:rPr>
      </w:pPr>
    </w:p>
    <w:p>
      <w:pPr>
        <w:ind w:left="340" w:right="20" w:hanging="332"/>
        <w:spacing w:after="0" w:line="252"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Provided a Company-level Grievance Mechanism for Reporting Concerns</w:t>
      </w:r>
      <w:r>
        <w:rPr>
          <w:rFonts w:ascii="Times New Roman" w:cs="Times New Roman" w:eastAsia="Times New Roman" w:hAnsi="Times New Roman"/>
          <w:sz w:val="20"/>
          <w:szCs w:val="20"/>
          <w:color w:val="auto"/>
        </w:rPr>
        <w:t>. Our Comcast NBCUniversal Listens and Sky Listens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programs outlined in our Code of Conduct (available at </w:t>
      </w:r>
      <w:r>
        <w:rPr>
          <w:rFonts w:ascii="Times New Roman" w:cs="Times New Roman" w:eastAsia="Times New Roman" w:hAnsi="Times New Roman"/>
          <w:sz w:val="20"/>
          <w:szCs w:val="20"/>
          <w:i w:val="1"/>
          <w:iCs w:val="1"/>
          <w:color w:val="auto"/>
        </w:rPr>
        <w:t>https://corporate.comcast.com/impact/values-integrity/integrity/code-of-conduct</w:t>
      </w:r>
      <w:r>
        <w:rPr>
          <w:rFonts w:ascii="Times New Roman" w:cs="Times New Roman" w:eastAsia="Times New Roman" w:hAnsi="Times New Roman"/>
          <w:sz w:val="20"/>
          <w:szCs w:val="20"/>
          <w:color w:val="auto"/>
        </w:rPr>
        <w:t xml:space="preserve">) provides a company-level grievance mechanism for reporting any concerns related to allegations of illegal or unethical conduct or violations of Comcast’s Code of Conduct and policies, including those related to conflict minerals. It can be used by employees, contractors, suppliers’ employees or contractors, business partners or any other individual or organization to report concerns, anonymously if they prefer. Information on our Code of Conduct for Suppliers and Business Partners, which we communicate to our largest suppliers annually along with a note encouraging those suppliers to contact the Company directly or report through the grievance mechanism described above any concerns or reports of unethical conduct, is available on our website at </w:t>
      </w:r>
      <w:r>
        <w:rPr>
          <w:rFonts w:ascii="Times New Roman" w:cs="Times New Roman" w:eastAsia="Times New Roman" w:hAnsi="Times New Roman"/>
          <w:sz w:val="20"/>
          <w:szCs w:val="20"/>
          <w:i w:val="1"/>
          <w:iCs w:val="1"/>
          <w:color w:val="auto"/>
        </w:rPr>
        <w:t>https://corporate.comcast.com/impact/values-integrity/integrity/our-suppliers-and-business-partners</w:t>
      </w:r>
      <w:r>
        <w:rPr>
          <w:rFonts w:ascii="Times New Roman" w:cs="Times New Roman" w:eastAsia="Times New Roman" w:hAnsi="Times New Roman"/>
          <w:sz w:val="20"/>
          <w:szCs w:val="20"/>
          <w:color w:val="auto"/>
        </w:rPr>
        <w:t>.</w:t>
      </w:r>
    </w:p>
    <w:p>
      <w:pPr>
        <w:spacing w:after="0" w:line="216" w:lineRule="exact"/>
        <w:rPr>
          <w:rFonts w:ascii="Times New Roman" w:cs="Times New Roman" w:eastAsia="Times New Roman" w:hAnsi="Times New Roman"/>
          <w:sz w:val="20"/>
          <w:szCs w:val="20"/>
          <w:color w:val="auto"/>
        </w:rPr>
      </w:pPr>
    </w:p>
    <w:p>
      <w:pPr>
        <w:ind w:left="340" w:hanging="332"/>
        <w:spacing w:after="0" w:line="273"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Collaboration with industry coalitions in support of our due diligence efforts</w:t>
      </w:r>
      <w:r>
        <w:rPr>
          <w:rFonts w:ascii="Times New Roman" w:cs="Times New Roman" w:eastAsia="Times New Roman" w:hAnsi="Times New Roman"/>
          <w:sz w:val="20"/>
          <w:szCs w:val="20"/>
          <w:color w:val="auto"/>
        </w:rPr>
        <w:t>. Comcast is a member of the Responsible Business Alliance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the RMI and engages with these organizations to better understand best practices and help improve due diligence.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OECD Step 2: Identify and Assess Risks in the Supply Chain</w:t>
      </w:r>
    </w:p>
    <w:p>
      <w:pPr>
        <w:spacing w:after="0" w:line="247" w:lineRule="exact"/>
        <w:rPr>
          <w:sz w:val="20"/>
          <w:szCs w:val="20"/>
          <w:color w:val="auto"/>
        </w:rPr>
      </w:pPr>
    </w:p>
    <w:p>
      <w:pPr>
        <w:ind w:right="220"/>
        <w:spacing w:after="0" w:line="310" w:lineRule="auto"/>
        <w:rPr>
          <w:sz w:val="20"/>
          <w:szCs w:val="20"/>
          <w:color w:val="auto"/>
        </w:rPr>
      </w:pPr>
      <w:r>
        <w:rPr>
          <w:rFonts w:ascii="Times New Roman" w:cs="Times New Roman" w:eastAsia="Times New Roman" w:hAnsi="Times New Roman"/>
          <w:sz w:val="19"/>
          <w:szCs w:val="19"/>
          <w:color w:val="auto"/>
        </w:rPr>
        <w:t>To help identify and assess conflict minerals risks in our supply chain, we requested that the suppliers of Covered Products complete the CMRT. We then analyzed their responses, and if we identified disclosure-related risks, we followed up with such supplier to further assess.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Certain individuals within the Conflict Minerals Working Group:</w:t>
      </w:r>
    </w:p>
    <w:p>
      <w:pPr>
        <w:spacing w:after="0" w:line="22"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managed the collection of information reported on the CMRT;</w:t>
      </w:r>
    </w:p>
    <w:p>
      <w:pPr>
        <w:spacing w:after="0" w:line="6"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coordinated follow-up communications with suppliers as needed; and</w:t>
      </w:r>
    </w:p>
    <w:p>
      <w:pPr>
        <w:spacing w:after="0" w:line="6"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reviewed additional information that may be available from other sources to evaluate for potential red flags and other risks.</w:t>
      </w:r>
    </w:p>
    <w:p>
      <w:pPr>
        <w:spacing w:after="0" w:line="23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20"/>
          <w:szCs w:val="20"/>
          <w:color w:val="auto"/>
        </w:rPr>
        <w:t>We also compared the smelters identified in our supplier responses with the RMI List of All Operational 3TG Smelters, the RMI Smelter Revision History List, the RMI List of Conformant Smelters and the RMI List of Active Smelters. These lists are maintained online by the RMI and are frequently updated to reflect changes in the reporting status of various smelters.</w:t>
      </w:r>
    </w:p>
    <w:p>
      <w:pPr>
        <w:spacing w:after="0" w:line="195" w:lineRule="exact"/>
        <w:rPr>
          <w:sz w:val="20"/>
          <w:szCs w:val="20"/>
          <w:color w:val="auto"/>
        </w:rPr>
      </w:pPr>
    </w:p>
    <w:p>
      <w:pPr>
        <w:ind w:right="380"/>
        <w:spacing w:after="0" w:line="283" w:lineRule="auto"/>
        <w:rPr>
          <w:sz w:val="20"/>
          <w:szCs w:val="20"/>
          <w:color w:val="auto"/>
        </w:rPr>
      </w:pPr>
      <w:r>
        <w:rPr>
          <w:rFonts w:ascii="Times New Roman" w:cs="Times New Roman" w:eastAsia="Times New Roman" w:hAnsi="Times New Roman"/>
          <w:sz w:val="20"/>
          <w:szCs w:val="20"/>
          <w:color w:val="auto"/>
        </w:rPr>
        <w:t>See Annex 1 for a list of the identified smelters included in the CMRT submitted by suppliers for the Covered Products and the smelter’s geographic location.</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20"/>
          </w:cols>
          <w:pgMar w:left="320" w:top="1152"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i w:val="1"/>
          <w:iCs w:val="1"/>
          <w:color w:val="auto"/>
        </w:rPr>
        <w:t>OECD Step 3: Design and Implement a Strategy to Respond to Identified Risks</w:t>
      </w:r>
    </w:p>
    <w:p>
      <w:pPr>
        <w:spacing w:after="0" w:line="247" w:lineRule="exact"/>
        <w:rPr>
          <w:sz w:val="20"/>
          <w:szCs w:val="20"/>
          <w:color w:val="auto"/>
        </w:rPr>
      </w:pPr>
    </w:p>
    <w:p>
      <w:pPr>
        <w:ind w:right="440"/>
        <w:spacing w:after="0" w:line="283" w:lineRule="auto"/>
        <w:rPr>
          <w:sz w:val="20"/>
          <w:szCs w:val="20"/>
          <w:color w:val="auto"/>
        </w:rPr>
      </w:pPr>
      <w:r>
        <w:rPr>
          <w:rFonts w:ascii="Times New Roman" w:cs="Times New Roman" w:eastAsia="Times New Roman" w:hAnsi="Times New Roman"/>
          <w:sz w:val="20"/>
          <w:szCs w:val="20"/>
          <w:color w:val="auto"/>
        </w:rPr>
        <w:t>Our strategy to respond to material identified risks in the supply chain includes a range of measures that form part of our due diligence process.</w:t>
      </w:r>
    </w:p>
    <w:p>
      <w:pPr>
        <w:spacing w:after="0" w:line="173" w:lineRule="exact"/>
        <w:rPr>
          <w:sz w:val="20"/>
          <w:szCs w:val="20"/>
          <w:color w:val="auto"/>
        </w:rPr>
      </w:pPr>
    </w:p>
    <w:p>
      <w:pPr>
        <w:ind w:left="340" w:right="400" w:hanging="332"/>
        <w:spacing w:after="0" w:line="283" w:lineRule="auto"/>
        <w:tabs>
          <w:tab w:leader="none" w:pos="32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review supplier responses to the CMRT and follow up with suppliers to request clarification or more complete responses where necessary.</w:t>
      </w:r>
    </w:p>
    <w:p>
      <w:pPr>
        <w:spacing w:after="0" w:line="173" w:lineRule="exact"/>
        <w:rPr>
          <w:rFonts w:ascii="Times New Roman" w:cs="Times New Roman" w:eastAsia="Times New Roman" w:hAnsi="Times New Roman"/>
          <w:sz w:val="20"/>
          <w:szCs w:val="20"/>
          <w:color w:val="auto"/>
        </w:rPr>
      </w:pPr>
    </w:p>
    <w:p>
      <w:pPr>
        <w:ind w:left="340" w:right="480" w:hanging="332"/>
        <w:spacing w:after="0" w:line="283" w:lineRule="auto"/>
        <w:tabs>
          <w:tab w:leader="none" w:pos="32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potentially material risks are identified, we have communication processes to notify relevant management and engage with suppliers and request their commitment to corrective actions to manage these risks, including to improve data quality.</w:t>
      </w:r>
    </w:p>
    <w:p>
      <w:pPr>
        <w:spacing w:after="0" w:line="186" w:lineRule="exact"/>
        <w:rPr>
          <w:rFonts w:ascii="Times New Roman" w:cs="Times New Roman" w:eastAsia="Times New Roman" w:hAnsi="Times New Roman"/>
          <w:sz w:val="20"/>
          <w:szCs w:val="20"/>
          <w:color w:val="auto"/>
        </w:rPr>
      </w:pPr>
    </w:p>
    <w:p>
      <w:pPr>
        <w:ind w:left="340" w:right="140" w:hanging="332"/>
        <w:spacing w:after="0" w:line="269" w:lineRule="auto"/>
        <w:tabs>
          <w:tab w:leader="none" w:pos="32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ask that, when suppliers of Covered Products identify smelters within the supply chain that are RMAP Non-Conformant, suppliers encourage the smelters to participate in the RMAP process or consider alternate sourcing arrangements.</w:t>
      </w:r>
    </w:p>
    <w:p>
      <w:pPr>
        <w:spacing w:after="0" w:line="199"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request CMRT data from any new direct suppliers of Covered Products as part of their onboarding process and qualification criteria.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OECD Step 4: Carry Out Independent Third-Party Audit of Smelter/Refiner’s Due Diligence Practices</w:t>
      </w:r>
    </w:p>
    <w:p>
      <w:pPr>
        <w:spacing w:after="0" w:line="17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0"/>
          <w:szCs w:val="20"/>
          <w:color w:val="auto"/>
        </w:rPr>
        <w:t>We are a downstream consumer of 3TG and are many steps removed from the smelters that provide minerals and ores. Because we do not have a direct relationship with any smelter/refiner facilities for minerals contained in the Covered Products, we are unable to conduct audits of these entities. Instead, as recommended by the OECD Framework, we participate in industry initiatives for the development and implementation of a smelter/refiner audit program through our membership with the RMI, which administers the RMAP, which includes an audit.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OECD Step 5: Report Annually on Supply Chain Due Diligence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This Report and the related Form SD are publicly available online at </w:t>
      </w:r>
      <w:r>
        <w:rPr>
          <w:rFonts w:ascii="Times New Roman" w:cs="Times New Roman" w:eastAsia="Times New Roman" w:hAnsi="Times New Roman"/>
          <w:sz w:val="20"/>
          <w:szCs w:val="20"/>
          <w:i w:val="1"/>
          <w:iCs w:val="1"/>
          <w:color w:val="auto"/>
        </w:rPr>
        <w:t>https://www.cmcsa.com/financials/sec-filings</w:t>
      </w:r>
      <w:r>
        <w:rPr>
          <w:rFonts w:ascii="Times New Roman" w:cs="Times New Roman" w:eastAsia="Times New Roman" w:hAnsi="Times New Roman"/>
          <w:sz w:val="20"/>
          <w:szCs w:val="20"/>
          <w:color w:val="auto"/>
        </w:rPr>
        <w: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Due Diligence Performed and Results</w:t>
      </w:r>
    </w:p>
    <w:p>
      <w:pPr>
        <w:spacing w:after="0" w:line="152" w:lineRule="exact"/>
        <w:rPr>
          <w:sz w:val="20"/>
          <w:szCs w:val="20"/>
          <w:color w:val="auto"/>
        </w:rPr>
      </w:pPr>
    </w:p>
    <w:p>
      <w:pPr>
        <w:ind w:right="580"/>
        <w:spacing w:after="0" w:line="269" w:lineRule="auto"/>
        <w:rPr>
          <w:sz w:val="20"/>
          <w:szCs w:val="20"/>
          <w:color w:val="auto"/>
        </w:rPr>
      </w:pPr>
      <w:r>
        <w:rPr>
          <w:rFonts w:ascii="Times New Roman" w:cs="Times New Roman" w:eastAsia="Times New Roman" w:hAnsi="Times New Roman"/>
          <w:sz w:val="20"/>
          <w:szCs w:val="20"/>
          <w:color w:val="auto"/>
        </w:rPr>
        <w:t>With respect to the 2023 calendar year reporting period, we performed the following due diligence measures with respect to Covered Products:</w:t>
      </w:r>
    </w:p>
    <w:p>
      <w:pPr>
        <w:spacing w:after="0" w:line="200" w:lineRule="exact"/>
        <w:rPr>
          <w:sz w:val="20"/>
          <w:szCs w:val="20"/>
          <w:color w:val="auto"/>
        </w:rPr>
      </w:pPr>
    </w:p>
    <w:p>
      <w:pPr>
        <w:ind w:left="340" w:right="20" w:hanging="332"/>
        <w:spacing w:after="0" w:line="283" w:lineRule="auto"/>
        <w:tabs>
          <w:tab w:leader="none" w:pos="32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Collected information through the CMRT from suppliers on the smelters and refiners of conflict minerals that were reported to be in the supply chain during 2023;</w:t>
      </w:r>
    </w:p>
    <w:p>
      <w:pPr>
        <w:spacing w:after="0" w:line="173" w:lineRule="exact"/>
        <w:rPr>
          <w:rFonts w:ascii="Times New Roman" w:cs="Times New Roman" w:eastAsia="Times New Roman" w:hAnsi="Times New Roman"/>
          <w:sz w:val="20"/>
          <w:szCs w:val="20"/>
          <w:color w:val="auto"/>
        </w:rPr>
      </w:pPr>
    </w:p>
    <w:p>
      <w:pPr>
        <w:ind w:left="340" w:right="280" w:hanging="332"/>
        <w:spacing w:after="0" w:line="283" w:lineRule="auto"/>
        <w:tabs>
          <w:tab w:leader="none" w:pos="32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Compared the reported smelters and refiners to the list of smelters and refiners found by RMI to be conformant (or actively pursuing conformity) with the RMAP standards;</w:t>
      </w:r>
    </w:p>
    <w:p>
      <w:pPr>
        <w:spacing w:after="0" w:line="173" w:lineRule="exact"/>
        <w:rPr>
          <w:rFonts w:ascii="Times New Roman" w:cs="Times New Roman" w:eastAsia="Times New Roman" w:hAnsi="Times New Roman"/>
          <w:sz w:val="20"/>
          <w:szCs w:val="20"/>
          <w:color w:val="auto"/>
        </w:rPr>
      </w:pPr>
    </w:p>
    <w:p>
      <w:pPr>
        <w:ind w:left="340" w:right="200" w:hanging="332"/>
        <w:spacing w:after="0" w:line="283" w:lineRule="auto"/>
        <w:tabs>
          <w:tab w:leader="none" w:pos="32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Reviewed available information from certain additional resources on the sourcing and due diligence practices of the reported smelters and refiners; and</w:t>
      </w:r>
    </w:p>
    <w:p>
      <w:pPr>
        <w:spacing w:after="0" w:line="186" w:lineRule="exact"/>
        <w:rPr>
          <w:rFonts w:ascii="Times New Roman" w:cs="Times New Roman" w:eastAsia="Times New Roman" w:hAnsi="Times New Roman"/>
          <w:sz w:val="20"/>
          <w:szCs w:val="20"/>
          <w:color w:val="auto"/>
        </w:rPr>
      </w:pPr>
    </w:p>
    <w:p>
      <w:pPr>
        <w:ind w:left="340" w:right="460" w:hanging="332"/>
        <w:spacing w:after="0" w:line="269" w:lineRule="auto"/>
        <w:tabs>
          <w:tab w:leader="none" w:pos="32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Supported the RMI’s programs and initiatives, such as the RMAP, and attended RMI working group meetings and the RMI annual conference.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100"/>
          </w:cols>
          <w:pgMar w:left="320" w:top="1395" w:right="479" w:bottom="1440" w:gutter="0" w:footer="0" w:header="0"/>
        </w:sectPr>
      </w:pPr>
    </w:p>
    <w:bookmarkStart w:id="7" w:name="page8"/>
    <w:bookmarkEnd w:id="7"/>
    <w:p>
      <w:pPr>
        <w:ind w:right="160"/>
        <w:spacing w:after="0" w:line="262" w:lineRule="auto"/>
        <w:rPr>
          <w:sz w:val="20"/>
          <w:szCs w:val="20"/>
          <w:color w:val="auto"/>
        </w:rPr>
      </w:pPr>
      <w:r>
        <w:rPr>
          <w:rFonts w:ascii="Times New Roman" w:cs="Times New Roman" w:eastAsia="Times New Roman" w:hAnsi="Times New Roman"/>
          <w:sz w:val="20"/>
          <w:szCs w:val="20"/>
          <w:color w:val="auto"/>
        </w:rPr>
        <w:t>Our efforts to determine the mine or location of origin consisted of the due diligence measures described in this Report. As a downstream consumer of 3TG, we do not have a direct relationship with any of the reported smelters and refiners, and we relied upon our suppliers and third-party organizations such as RMI to review upstream information, including the mine or location of origin of necessary conflict minerals. We believe that seeking information about 3TG smelter/refiner facilities in our supply chain and otherwise participating in the RMI’s assessment program as described above represents a reasonable effort to determine the mines or locations of origin of 3TG in our supply chain.</w:t>
      </w:r>
    </w:p>
    <w:p>
      <w:pPr>
        <w:spacing w:after="0" w:line="11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20"/>
          <w:szCs w:val="20"/>
          <w:color w:val="auto"/>
        </w:rPr>
        <w:t>We received responses from 100% of the suppliers surveyed. The survey included 48 suppliers identified as potentially incorporating 3TG into Covered Products supplied to the Company. The relevant suppliers declared a total of 315 unique smelter names as the source of 3TG in the Covered Products. Of those smelters, 214 were designated as conformant or active under the RMAP as of December 31, 2023. However, we are unable to link specific smelters to our applicable products.</w:t>
      </w:r>
    </w:p>
    <w:p>
      <w:pPr>
        <w:spacing w:after="0" w:line="93"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9"/>
          <w:szCs w:val="19"/>
          <w:color w:val="auto"/>
        </w:rPr>
        <w:t>Annex 1 contains a list of the unique smelter names disclosed to us by suppliers of the Covered Products and the smelter’s geographic location. Based on the information provided by the suppliers, from the RMAP and from other sources, we believe that the countries of origin of the conflict minerals contained in some of our Covered Products might include Covered Countries, as well as recycled and scrap sources.</w:t>
      </w:r>
    </w:p>
    <w:p>
      <w:pPr>
        <w:spacing w:after="0" w:line="172"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20"/>
          <w:szCs w:val="20"/>
          <w:color w:val="auto"/>
        </w:rPr>
        <w:t>Annex 2 contains the aggregated list of countries of origin of the conflict minerals used by the smelter facilities listed in Annex 1 based on input from RMI and our suppliers.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Continuous Improvement Efforts to Mitigate Risk</w:t>
      </w:r>
    </w:p>
    <w:p>
      <w:pPr>
        <w:spacing w:after="0" w:line="269"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22"/>
          <w:szCs w:val="22"/>
          <w:color w:val="auto"/>
        </w:rPr>
        <w:t xml:space="preserve">We </w:t>
      </w:r>
      <w:r>
        <w:rPr>
          <w:rFonts w:ascii="Times New Roman" w:cs="Times New Roman" w:eastAsia="Times New Roman" w:hAnsi="Times New Roman"/>
          <w:sz w:val="19"/>
          <w:szCs w:val="19"/>
          <w:color w:val="auto"/>
        </w:rPr>
        <w:t>recognize that efforts to reduce violence associated with conflict minerals are ongoing and require us to adapt to changing situations. We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are committed to improving our compliance processes and engaging with suppliers of Covered Products.</w:t>
      </w:r>
    </w:p>
    <w:p>
      <w:pPr>
        <w:spacing w:after="0" w:line="160"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20"/>
          <w:szCs w:val="20"/>
          <w:color w:val="auto"/>
        </w:rPr>
        <w:t>We will continue to improve our compliance processes including, but not limited to, taking the following steps for the 2024 reporting year with respect to Covered Products:</w:t>
      </w:r>
    </w:p>
    <w:p>
      <w:pPr>
        <w:spacing w:after="0" w:line="173" w:lineRule="exact"/>
        <w:rPr>
          <w:sz w:val="20"/>
          <w:szCs w:val="20"/>
          <w:color w:val="auto"/>
        </w:rPr>
      </w:pPr>
    </w:p>
    <w:p>
      <w:pPr>
        <w:ind w:left="340" w:right="120" w:hanging="332"/>
        <w:spacing w:after="0" w:line="283"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We will continue to engage with our in-scope suppliers to gain better visibility of the country of origin and chain of custody of the 3TG used in our in-scope products.</w:t>
      </w:r>
    </w:p>
    <w:p>
      <w:pPr>
        <w:spacing w:after="0" w:line="146" w:lineRule="exact"/>
        <w:rPr>
          <w:rFonts w:ascii="Times New Roman" w:cs="Times New Roman" w:eastAsia="Times New Roman" w:hAnsi="Times New Roman"/>
          <w:sz w:val="18"/>
          <w:szCs w:val="18"/>
          <w:color w:val="auto"/>
        </w:rPr>
      </w:pPr>
    </w:p>
    <w:p>
      <w:pPr>
        <w:ind w:left="340" w:right="80" w:hanging="332"/>
        <w:spacing w:after="0" w:line="283"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We will use and encourage our in-scope suppliers to use publicly available tools from the RMI and to source from conflict-free smelters that are listed as conformant by the RMI.</w:t>
      </w:r>
    </w:p>
    <w:p>
      <w:pPr>
        <w:spacing w:after="0" w:line="14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We will continue to work with our in-scope suppliers and engage with our supply chain to increase the quality of the data provided to us.</w:t>
      </w:r>
    </w:p>
    <w:p>
      <w:pPr>
        <w:spacing w:after="0" w:line="240" w:lineRule="exact"/>
        <w:rPr>
          <w:rFonts w:ascii="Times New Roman" w:cs="Times New Roman" w:eastAsia="Times New Roman" w:hAnsi="Times New Roman"/>
          <w:sz w:val="17"/>
          <w:szCs w:val="17"/>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We will continue to be a member of the RMI and contribute to their various initiatives.</w:t>
      </w:r>
    </w:p>
    <w:p>
      <w:pPr>
        <w:spacing w:after="0" w:line="215" w:lineRule="exact"/>
        <w:rPr>
          <w:rFonts w:ascii="Times New Roman" w:cs="Times New Roman" w:eastAsia="Times New Roman" w:hAnsi="Times New Roman"/>
          <w:sz w:val="18"/>
          <w:szCs w:val="18"/>
          <w:color w:val="auto"/>
        </w:rPr>
      </w:pPr>
    </w:p>
    <w:p>
      <w:pPr>
        <w:ind w:left="340" w:right="220" w:hanging="332"/>
        <w:spacing w:after="0" w:line="283"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We will continue to require our in-scope suppliers to adhere to applicable laws and regulations and support our due diligence efforts if their products do contain conflict minerals.</w:t>
      </w:r>
    </w:p>
    <w:p>
      <w:pPr>
        <w:spacing w:after="0" w:line="15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We will continue to review our policy and enhance our strategy with regards to conflict minerals.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160"/>
          </w:cols>
          <w:pgMar w:left="320" w:top="1170" w:right="419" w:bottom="1440" w:gutter="0" w:footer="0" w:header="0"/>
        </w:sectPr>
      </w:pPr>
    </w:p>
    <w:bookmarkStart w:id="8" w:name="page9"/>
    <w:bookmarkEnd w:id="8"/>
    <w:p>
      <w:pPr>
        <w:ind w:left="5160"/>
        <w:spacing w:after="0"/>
        <w:rPr>
          <w:sz w:val="20"/>
          <w:szCs w:val="20"/>
          <w:color w:val="auto"/>
        </w:rPr>
      </w:pPr>
      <w:r>
        <w:rPr>
          <w:rFonts w:ascii="Times New Roman" w:cs="Times New Roman" w:eastAsia="Times New Roman" w:hAnsi="Times New Roman"/>
          <w:sz w:val="22"/>
          <w:szCs w:val="22"/>
          <w:b w:val="1"/>
          <w:bCs w:val="1"/>
          <w:u w:val="single" w:color="auto"/>
          <w:color w:val="auto"/>
        </w:rPr>
        <w:t>ANNEX 1</w:t>
      </w:r>
    </w:p>
    <w:p>
      <w:pPr>
        <w:spacing w:after="0" w:line="22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b w:val="1"/>
          <w:bCs w:val="1"/>
          <w:color w:val="auto"/>
        </w:rPr>
        <w:t>Identified Smelters</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315 identified Smelters, 214 were RMAP “Active” or “Conformant” as of December 31, 2023)</w:t>
      </w:r>
    </w:p>
    <w:p>
      <w:pPr>
        <w:spacing w:after="0" w:line="14" w:lineRule="exact"/>
        <w:rPr>
          <w:sz w:val="20"/>
          <w:szCs w:val="20"/>
          <w:color w:val="auto"/>
        </w:rPr>
      </w:pPr>
    </w:p>
    <w:tbl>
      <w:tblPr>
        <w:tblLayout w:type="fixed"/>
        <w:tblInd w:w="10" w:type="dxa"/>
        <w:tblCellMar>
          <w:top w:w="0" w:type="dxa"/>
          <w:left w:w="0" w:type="dxa"/>
          <w:bottom w:w="0" w:type="dxa"/>
          <w:right w:w="0" w:type="dxa"/>
        </w:tblCellMar>
      </w:tblPr>
      <w:tr>
        <w:trPr>
          <w:trHeight w:val="316"/>
        </w:trPr>
        <w:tc>
          <w:tcPr>
            <w:tcW w:w="2180" w:type="dxa"/>
            <w:vAlign w:val="bottom"/>
            <w:tcBorders>
              <w:top w:val="single" w:sz="8" w:color="auto"/>
              <w:left w:val="single" w:sz="8" w:color="auto"/>
              <w:bottom w:val="single" w:sz="8" w:color="203764"/>
              <w:right w:val="single" w:sz="8" w:color="auto"/>
            </w:tcBorders>
            <w:shd w:val="clear" w:color="auto" w:fill="203764"/>
          </w:tcPr>
          <w:p>
            <w:pPr>
              <w:ind w:left="80"/>
              <w:spacing w:after="0"/>
              <w:rPr>
                <w:sz w:val="20"/>
                <w:szCs w:val="20"/>
                <w:color w:val="auto"/>
              </w:rPr>
            </w:pPr>
            <w:r>
              <w:rPr>
                <w:rFonts w:ascii="Times New Roman" w:cs="Times New Roman" w:eastAsia="Times New Roman" w:hAnsi="Times New Roman"/>
                <w:sz w:val="20"/>
                <w:szCs w:val="20"/>
                <w:b w:val="1"/>
                <w:bCs w:val="1"/>
                <w:color w:val="FFFFFF"/>
              </w:rPr>
              <w:t>Metal</w:t>
            </w:r>
          </w:p>
        </w:tc>
        <w:tc>
          <w:tcPr>
            <w:tcW w:w="7320" w:type="dxa"/>
            <w:vAlign w:val="bottom"/>
            <w:tcBorders>
              <w:top w:val="single" w:sz="8" w:color="auto"/>
              <w:bottom w:val="single" w:sz="8" w:color="203764"/>
              <w:right w:val="single" w:sz="8" w:color="auto"/>
            </w:tcBorders>
            <w:shd w:val="clear" w:color="auto" w:fill="203764"/>
          </w:tcPr>
          <w:p>
            <w:pPr>
              <w:ind w:left="60"/>
              <w:spacing w:after="0"/>
              <w:rPr>
                <w:sz w:val="20"/>
                <w:szCs w:val="20"/>
                <w:color w:val="auto"/>
              </w:rPr>
            </w:pPr>
            <w:r>
              <w:rPr>
                <w:rFonts w:ascii="Times New Roman" w:cs="Times New Roman" w:eastAsia="Times New Roman" w:hAnsi="Times New Roman"/>
                <w:sz w:val="20"/>
                <w:szCs w:val="20"/>
                <w:b w:val="1"/>
                <w:bCs w:val="1"/>
                <w:color w:val="FFFFFF"/>
              </w:rPr>
              <w:t>Smelter Name</w:t>
            </w:r>
          </w:p>
        </w:tc>
        <w:tc>
          <w:tcPr>
            <w:tcW w:w="1760" w:type="dxa"/>
            <w:vAlign w:val="bottom"/>
            <w:tcBorders>
              <w:top w:val="single" w:sz="8" w:color="auto"/>
              <w:bottom w:val="single" w:sz="8" w:color="203764"/>
              <w:right w:val="single" w:sz="8" w:color="auto"/>
            </w:tcBorders>
            <w:shd w:val="clear" w:color="auto" w:fill="203764"/>
          </w:tcPr>
          <w:p>
            <w:pPr>
              <w:ind w:left="60"/>
              <w:spacing w:after="0"/>
              <w:rPr>
                <w:sz w:val="20"/>
                <w:szCs w:val="20"/>
                <w:color w:val="auto"/>
              </w:rPr>
            </w:pPr>
            <w:r>
              <w:rPr>
                <w:rFonts w:ascii="Times New Roman" w:cs="Times New Roman" w:eastAsia="Times New Roman" w:hAnsi="Times New Roman"/>
                <w:sz w:val="20"/>
                <w:szCs w:val="20"/>
                <w:b w:val="1"/>
                <w:bCs w:val="1"/>
                <w:color w:val="FFFFFF"/>
              </w:rPr>
              <w:t>Country</w:t>
            </w:r>
          </w:p>
        </w:tc>
      </w:tr>
      <w:tr>
        <w:trPr>
          <w:trHeight w:val="270"/>
        </w:trPr>
        <w:tc>
          <w:tcPr>
            <w:tcW w:w="218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8853 S.p.A.</w:t>
            </w:r>
          </w:p>
        </w:tc>
        <w:tc>
          <w:tcPr>
            <w:tcW w:w="17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Advanced Chemical Company</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US</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Aida Chemical Industries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JP</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Al Etihad Gold Refinery DMCC</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AE</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Allgemeine Gold-und Silberscheideanstalt A.G.</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Almalyk Mining and Metallurgical Complex (AMMC)</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UZ</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AngloGold Ashanti Corrego do Sitio Mineracao</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Argor-Heraeus S.A.</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Asahi Pretec Corp.</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JP</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Asahi Refining Canada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Asahi Refining USA Inc.</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US</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Asaka Riken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JP</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Atasay Kuyumculuk Sanayi Ve Ticaret A.S.</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TR</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 Traders and Refiners</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ZA</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Aurubis AG</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Bangalore Refinery</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Bangko Sentral ng Pilipinas (Central Bank of the Philippines)</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PH</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Boliden AB</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SE</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 Hafner GmbH + Co. KG</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 Metales Procesados Industriales SAS</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CCR Refinery - Glencore Canada Corporation</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Cendres + Metaux S.A.</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Chimet S.p.A.</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Chugai Mining</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JP</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Daye Non-Ferrous Metals Mining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Degussa Sonne / Mond Goldhandel GmbH</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DODUCO Contacts and Refining GmbH</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Dowa</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JP</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DS PRETECH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KR</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DSC (Do Sung Corporation)</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KR</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Eco-System Recycling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JP</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Eco-System Recycling Co., Ltd. North Plant</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JP</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Eco-System Recycling Co., Ltd. West Plant</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JP</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Emirates Gold DMCC</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AE</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GCC Gujrat Gold Centre Pvt.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Geib Refining Corporation</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US</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Gold Refinery of Zijin Mining Group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Great Wall Precious Metals Co., Ltd. of CBPM</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Guangdong Jinding Gold Limited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418" w:right="319" w:bottom="1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A-1</w:t>
      </w:r>
    </w:p>
    <w:p>
      <w:pPr>
        <w:sectPr>
          <w:pgSz w:w="11900" w:h="16838" w:orient="portrait"/>
          <w:cols w:equalWidth="0" w:num="1">
            <w:col w:w="11260"/>
          </w:cols>
          <w:pgMar w:left="320" w:top="1418" w:right="319" w:bottom="143" w:gutter="0" w:footer="0" w:header="0"/>
          <w:type w:val="continuous"/>
        </w:sectPr>
      </w:pPr>
    </w:p>
    <w:bookmarkStart w:id="9" w:name="page10"/>
    <w:bookmarkEnd w:id="9"/>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90"/>
        </w:trPr>
        <w:tc>
          <w:tcPr>
            <w:tcW w:w="218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Guoda Safina High-Tech Environmental Refinery Co., Ltd.</w:t>
            </w:r>
          </w:p>
        </w:tc>
        <w:tc>
          <w:tcPr>
            <w:tcW w:w="17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Hangzhou Fuchunjiang Smelting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HeeSung Metal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KR</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Heimerle + Meule GmbH</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Heraeus Metals Hong Kong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Heraeus Precious Metals GmbH &amp; Co. KG</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Hunan Chenzhou Mining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HwaSeong CJ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KR</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Inner Mongolia Qiankun Gold and Silver Refinery Share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Ishifuku Metal Industry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JP</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Istanbul Gold Refinery</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TR</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Italpreziosi</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 Mint</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JP</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Jiangxi Copper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JSC Uralelectromed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JX Nippon Mining &amp; Metals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JP</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Kazakhmys Smelting LLC</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KZ</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Kazzinc</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KZ</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Kennecott Utah Copper LLC</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US</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KGHM Polska Miedz Spolka Akcyjna</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PL</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Kojima Chemicals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JP</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Korea Zinc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KR</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Kyrgyzaltyn JSC</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KG</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Kyshtym Copper-Electrolytic Plant ZAO</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L'azurde Company For Jewelry</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SA</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Lingbao Gold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Lingbao Jinyuan Tonghui Refinery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L'Orfebre S.A.</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AD</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LS-NIKKO Copper Inc.</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KR</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Luoyang Zijin Yinhui Gold Refinery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Marsam Metals</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Materion</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US</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Matsuda Sangyo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JP</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Metal Concentrators SA (Pty)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ZA</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Metalor Technologies (Hong Kong)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Metalor Technologies (Singapore) Pte.,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SG</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Metalor Technologies (Suzhou)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Metalor Technologies S.A.</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Metalor USA Refining Corporation</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US</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Metalurgica Met-Mex Penoles S.A. De C.V.</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MX</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Mitsubishi Materials Corporation</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JP</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Mitsui Mining and Smelting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JP</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MMTC-PAMP India Pvt.,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Modeltech Sdn Bhd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MY</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Morris and Watson</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NZ</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98" w:orient="portrait"/>
          <w:cols w:equalWidth="0" w:num="1">
            <w:col w:w="11260"/>
          </w:cols>
          <w:pgMar w:left="320" w:top="1440"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A-2</w:t>
      </w:r>
    </w:p>
    <w:p>
      <w:pPr>
        <w:sectPr>
          <w:pgSz w:w="11900" w:h="16898" w:orient="portrait"/>
          <w:cols w:equalWidth="0" w:num="1">
            <w:col w:w="11260"/>
          </w:cols>
          <w:pgMar w:left="320" w:top="1440" w:right="319" w:bottom="0" w:gutter="0" w:footer="0" w:header="0"/>
          <w:type w:val="continuous"/>
        </w:sectPr>
      </w:pPr>
    </w:p>
    <w:bookmarkStart w:id="10" w:name="page11"/>
    <w:bookmarkEnd w:id="1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90"/>
        </w:trPr>
        <w:tc>
          <w:tcPr>
            <w:tcW w:w="218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Moscow Special Alloys Processing Plant</w:t>
            </w:r>
          </w:p>
        </w:tc>
        <w:tc>
          <w:tcPr>
            <w:tcW w:w="17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Nadir Metal Rafineri San. Ve Tic. A.S.</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TR</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Navoi Mining and Metallurgical Combinat</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UZ</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NH Recytech Company</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KR</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Nihon Material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JP</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Ogussa Osterreichische Gold- und Silber-Scheideanstalt GmbH</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AT</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Ohura Precious Metal Industry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JP</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OJSC “The Gulidov Krasnoyarsk Non-Ferrous Metals Plant” (OJSC Krastsvetmet)</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OJSC Novosibirsk Refinery</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PAMP S.A.</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Pease &amp; Curren</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US</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Penglai Penggang Gold Industry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Planta Recuperadora de Metales SpA</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CL</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Prioksky Plant of Non-Ferrous Metals</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Aneka Tambang (Persero) Tbk</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ID</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PX Precinox S.A.</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Rand Refinery (Pty)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ZA</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Refinery of Seemine Gold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REMONDIS PMR B.V.</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NL</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Royal Canadian Mint</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SAAMP</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FR</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Sabin Metal Corp.</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US</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Safimet S.p.A</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SAFINA A.S.</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CZ</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Sai Refinery</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Samduck Precious Metals</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KR</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Samwon Metals Corp.</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KR</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SAXONIA Edelmetalle GmbH</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SEMPSA Joyeria Plateria S.A.</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ES</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Shandong Tiancheng Biological Gold Industrial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Shandong Zhaojin Gold &amp; Silver Refinery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Sichuan Tianze Precious Metals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Singway Technology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TW</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SOE Shyolkovsky Factory of Secondary Precious Metals</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Solar Applied Materials Technology Corp.</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TW</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State Research Institute Center for Physical Sciences and Technology</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LT</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Sumitomo Metal Mining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JP</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SungEel HiMetal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KR</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T.C.A S.p.A</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Tanaka Kikinzoku Kogyo K.K.</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JP</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The Refinery of Shandong Gold Mining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Tokuriki Honten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JP</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Tongling Nonferrous Metals Group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19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A-3</w:t>
      </w:r>
    </w:p>
    <w:p>
      <w:pPr>
        <w:sectPr>
          <w:pgSz w:w="11900" w:h="16838" w:orient="portrait"/>
          <w:cols w:equalWidth="0" w:num="1">
            <w:col w:w="11260"/>
          </w:cols>
          <w:pgMar w:left="320" w:top="1440" w:right="319" w:bottom="197" w:gutter="0" w:footer="0" w:header="0"/>
          <w:type w:val="continuous"/>
        </w:sectPr>
      </w:pPr>
    </w:p>
    <w:bookmarkStart w:id="12" w:name="page13"/>
    <w:bookmarkEnd w:id="12"/>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218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TOO Tau-Ken-Altyn</w:t>
            </w:r>
          </w:p>
        </w:tc>
        <w:tc>
          <w:tcPr>
            <w:tcW w:w="17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KZ</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Torecom</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KR</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Umicore Brasil Ltda.</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Umicore Precious Metals Thailand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TH</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Umicore S.A. Business Unit Precious Metals Refining</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BE</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Precious Metal Refining, Inc.</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US</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Valcambi S.A.</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Western Australian Mint (T/a The Perth Mint)</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WIELAND Edelmetalle GmbH</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Yamakin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JP</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Yokohama Metal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JP</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Yunnan Copper Industry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Zhongyuan Gold Smelter of Zhongjin Gold Corporation</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Asaka Riken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JP</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Changsha South Tantalum Niobium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 Block Metals, LLC</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US</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Exotech Inc.</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US</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F&amp;X Electro-Materials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FIR Metals &amp; Resource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Global Advanced Metals Aizu</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JP</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Global Advanced Metals Boyertown</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US</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Guangdong Rising Rare Metals-EO Materials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Guangdong Zhiyuan New Material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H.C. Starck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TH</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H.C. Starck Hermsdorf GmbH</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H.C. Starck Inc.</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US</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H.C. Starck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JP</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H.C. Starck Smelting GmbH &amp; Co. KG</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H.C. Starck Tantalum and Niobium GmbH</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Hengyang King Xing Lifeng New Materials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Jiangxi Dinghai Tantalum &amp; Niobium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Jiangxi Tuohong New Raw Material</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JiuJiang JinXin Nonferrous Metals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Jiujiang Tanbre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Jiujiang Zhongao Tantalum &amp; Niobium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KEMET Blue Metals</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MX</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KEMET Blue Powder</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US</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LSM Brasil S.A.</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Metallurgical Products India Pvt.,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Mineracao Taboca S.A.</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Mitsui Mining and Smelting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JP</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Ningxia Orient Tantalum Industry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NPM Silmet AS</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EE</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Power Resources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MK</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QuantumClean</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US</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98" w:orient="portrait"/>
          <w:cols w:equalWidth="0" w:num="1">
            <w:col w:w="11260"/>
          </w:cols>
          <w:pgMar w:left="320" w:top="1440"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A-4</w:t>
      </w:r>
    </w:p>
    <w:p>
      <w:pPr>
        <w:sectPr>
          <w:pgSz w:w="11900" w:h="16898" w:orient="portrait"/>
          <w:cols w:equalWidth="0" w:num="1">
            <w:col w:w="11260"/>
          </w:cols>
          <w:pgMar w:left="320" w:top="1440" w:right="319" w:bottom="0" w:gutter="0" w:footer="0" w:header="0"/>
          <w:type w:val="continuous"/>
        </w:sectPr>
      </w:pPr>
    </w:p>
    <w:bookmarkStart w:id="13" w:name="page14"/>
    <w:bookmarkEnd w:id="1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4" w:name="page15"/>
    <w:bookmarkEnd w:id="1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218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Resind Industria e Comercio Ltda.</w:t>
            </w:r>
          </w:p>
        </w:tc>
        <w:tc>
          <w:tcPr>
            <w:tcW w:w="17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RFH Tantalum Smeltery Co., Ltd./Yanling Jincheng Tantalum &amp; Niobium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Solikamsk Magnesium Works OAO</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Taki Chemical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JP</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Telex Metals</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US</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Ulba Metallurgical Plant JSC</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KZ</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XinXing HaoRong Electronic Material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Alpha</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US</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An Vinh Joint Stock Mineral Processing Company</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Chenzhou Yunxiang Mining and Metallurgy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Chifeng Dajingzi Tin Industry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 Tin Group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CV Ayi Jaya</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ID</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CV Dua Sekawan</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ID</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CV Gita Pesona</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ID</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CV United Smelting</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ID</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CV Venus Inti Perkasa</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ID</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Dongguan CiEXPO Environmental Engineering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Dowa</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JP</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w w:val="99"/>
              </w:rPr>
              <w:t>Electro-Mechanical Facility of the Cao Bang Minerals &amp; Metallurgy Joint Stock Company</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EM Vinto</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BO</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Estanho de Rondonia S.A.</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Fenix Metals</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PL</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Gejiu Fengming Metallurgy Chemical Plant</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Gejiu Kai Meng Industry and Trade LLC</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Gejiu Non-Ferrous Metal Processing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Gejiu Yunxin Nonferrous Electrolysis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Gejiu Zili Mining And Metallurgy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Guangdong Hanhe Non-Ferrous Metal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Guanyang Guida Nonferrous Metal Smelting Plant</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HuiChang Hill Tin Industry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Huichang Jinshunda Tin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Jiangxi New Nanshan Technology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Luna Smelter,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RW</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Ma'anshan Weitai Tin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Magnu's Minerais Metais e Ligas Ltda.</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Malaysia Smelting Corporation (MSC)</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MY</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Melt Metais e Ligas S.A.</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Metallic Resources, Inc.</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US</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Metallo Belgium N.V.</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BE</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Metallo Spain S.L.U.</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ES</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Mineracao Taboca S.A.</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Minsur</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PE</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19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A-5</w:t>
      </w:r>
    </w:p>
    <w:p>
      <w:pPr>
        <w:sectPr>
          <w:pgSz w:w="11900" w:h="16838" w:orient="portrait"/>
          <w:cols w:equalWidth="0" w:num="1">
            <w:col w:w="11260"/>
          </w:cols>
          <w:pgMar w:left="320" w:top="1440" w:right="319" w:bottom="197" w:gutter="0" w:footer="0" w:header="0"/>
          <w:type w:val="continuous"/>
        </w:sectPr>
      </w:pPr>
    </w:p>
    <w:bookmarkStart w:id="15" w:name="page16"/>
    <w:bookmarkEnd w:id="15"/>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90"/>
        </w:trPr>
        <w:tc>
          <w:tcPr>
            <w:tcW w:w="218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Mitsubishi Materials Corporation</w:t>
            </w:r>
          </w:p>
        </w:tc>
        <w:tc>
          <w:tcPr>
            <w:tcW w:w="17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JP</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Modeltech Sdn Bhd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MY</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Nghe Tinh Non-Ferrous Metals Joint Stock Company</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O.M. Manufacturing (Thailand)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TH</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O.M. Manufacturing Philippines, Inc.</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PH</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Operaciones Metalurgicas S.A.</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BO</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Pongpipat Company Limited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MM</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Precious Minerals and Smelting Limited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Aries Kencana Sejahtera</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ID</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Artha Cipta Langgeng</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ID</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ATD Makmur Mandiri Jaya</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ID</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Babel Inti Perkasa</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ID</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Babel Surya Alam Lestari</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ID</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Bangka Prima Tin</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ID</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Bangka Serumpun</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ID</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Bangka Tin Industry</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ID</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Belitung Industri Sejahtera</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ID</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Bukit Timah</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ID</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DS Jaya Abadi</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ID</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Inti Stania Prima</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ID</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Karimun Mining</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ID</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Kijang Jaya Mandiri</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ID</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Menara Cipta Mulia</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ID</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Mitra Stania Prima</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ID</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Mitra Sukses Globalindo</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ID</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Panca Mega Persada</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ID</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Premium Tin Indonesia</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ID</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Prima Timah Utama</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ID</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Rajawali Rimba Perkasa</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ID</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Rajehan Ariq</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ID</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Refined Bangka Tin</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ID</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Sariwiguna Binasentosa</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ID</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Stanindo Inti Perkasa</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ID</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Sukses Inti Makmur</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ID</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Sumber Jaya Indah</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ID</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Timah Nusantara</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ID</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Timah Tbk Kundur</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ID</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Timah Tbk Mentok</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ID</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Tinindo Inter Nusa</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ID</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Tommy Utama</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ID</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Resind Industria e Comercio Ltda.</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Rui Da Hung</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TW</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Soft Metais Ltda.</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Super Ligas</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Thai Nguyen Mining and Metallurgy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98" w:orient="portrait"/>
          <w:cols w:equalWidth="0" w:num="1">
            <w:col w:w="11260"/>
          </w:cols>
          <w:pgMar w:left="320" w:top="1440"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A-6</w:t>
      </w:r>
    </w:p>
    <w:p>
      <w:pPr>
        <w:sectPr>
          <w:pgSz w:w="11900" w:h="16898" w:orient="portrait"/>
          <w:cols w:equalWidth="0" w:num="1">
            <w:col w:w="11260"/>
          </w:cols>
          <w:pgMar w:left="320" w:top="1440" w:right="319" w:bottom="0" w:gutter="0" w:footer="0" w:header="0"/>
          <w:type w:val="continuous"/>
        </w:sectPr>
      </w:pPr>
    </w:p>
    <w:bookmarkStart w:id="16" w:name="page17"/>
    <w:bookmarkEnd w:id="1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7" w:name="page18"/>
    <w:bookmarkEnd w:id="17"/>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90"/>
        </w:trPr>
        <w:tc>
          <w:tcPr>
            <w:tcW w:w="218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Thaisarco</w:t>
            </w:r>
          </w:p>
        </w:tc>
        <w:tc>
          <w:tcPr>
            <w:tcW w:w="17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TH</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Tin Technology &amp; Refining</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US</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Tuyen Quang Non-Ferrous Metals Joint Stock Company</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White Solder Metalurgia e Mineracao Ltda.</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Yunnan Chengfeng Non-ferrous Metals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Yunnan Tin Company Limited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Yunnan Yunfan Non-ferrous Metals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A.L.M.T. Corp.</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JP</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ACL Metais Eireli</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Albasteel Industria e Comercio de Ligas Para Fundicao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Asia Tungsten Products Vietnam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Chenzhou Diamond Tungsten Products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 Molybdenum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Chongyi Zhangyuan Tungsten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Cronimet Brasil Ltda</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Fujian Ganmin RareMetal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Fujian Jinxin Tungsten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Ganzhou Haichuang Tungsten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Ganzhou Huaxing Tungsten Products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Ganzhou Jiangwu Ferrotungsten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Ganzhou Seadragon W &amp; Mo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Global Tungsten &amp; Powders Corp.</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US</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Guangdong Xianglu Tungsten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H.C. Starck Smelting GmbH &amp; Co. KG</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H.C. Starck Tungsten GmbH</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Hunan Chenzhou Mining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Hunan Chuangda Vanadium Tungsten Co., Ltd. Wuji</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Hunan Chunchang Nonferrous Metals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Hunan Litian Tungsten Industry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Hydrometallurg, JSC</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 New Metals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JP</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Jiangwu H.C. Starck Tungsten Products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Jiangxi Gan Bei Tungsten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Jiangxi Tonggu Non-ferrous Metallurgical &amp; Chemical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Jiangxi Xinsheng Tungsten Industry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Jiangxi Yaosheng Tungsten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JSC "Kirovgrad Hard Alloys Plant"</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Kennametal Fallon</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US</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Kennametal Huntsville</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US</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KGETS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KR</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Lianyou Metals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TW</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Malipo Haiyu Tungsten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Masan Tungsten Chemical LLC (MTC)</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Moliren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Niagara Refining LLC</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US</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98" w:orient="portrait"/>
          <w:cols w:equalWidth="0" w:num="1">
            <w:col w:w="11260"/>
          </w:cols>
          <w:pgMar w:left="320" w:top="1440"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A-7</w:t>
      </w:r>
    </w:p>
    <w:p>
      <w:pPr>
        <w:sectPr>
          <w:pgSz w:w="11900" w:h="16898" w:orient="portrait"/>
          <w:cols w:equalWidth="0" w:num="1">
            <w:col w:w="11260"/>
          </w:cols>
          <w:pgMar w:left="320" w:top="1440" w:right="319" w:bottom="0" w:gutter="0" w:footer="0" w:header="0"/>
          <w:type w:val="continuous"/>
        </w:sectPr>
      </w:pPr>
    </w:p>
    <w:bookmarkStart w:id="18" w:name="page19"/>
    <w:bookmarkEnd w:id="1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9" w:name="page20"/>
    <w:bookmarkEnd w:id="1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90"/>
        </w:trPr>
        <w:tc>
          <w:tcPr>
            <w:tcW w:w="218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Philippine Chuangxin Industrial Co., Inc.</w:t>
            </w:r>
          </w:p>
        </w:tc>
        <w:tc>
          <w:tcPr>
            <w:tcW w:w="17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PH</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South-East Nonferrous Metal Company Limited of Hengyang City</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Tejing (Vietnam) Tungsten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Unecha Refractory metals plant</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Wolfram Bergbau und Hutten AG</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AT</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Woltech Korea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KR</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Xiamen Tungsten (H.C.)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Xiamen Tungsten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Xinfeng Huarui Tungsten &amp; Molybdenum New Material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Xinhai Rendan Shaoguan Tungsten Co., Ltd.</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w:t>
            </w: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A-8</w:t>
      </w:r>
    </w:p>
    <w:p>
      <w:pPr>
        <w:sectPr>
          <w:pgSz w:w="11900" w:h="16838" w:orient="portrait"/>
          <w:cols w:equalWidth="0" w:num="1">
            <w:col w:w="11260"/>
          </w:cols>
          <w:pgMar w:left="320" w:top="1440" w:right="319" w:bottom="1440" w:gutter="0" w:footer="0" w:header="0"/>
        </w:sectPr>
      </w:pPr>
    </w:p>
    <w:bookmarkStart w:id="20" w:name="page21"/>
    <w:bookmarkEnd w:id="20"/>
    <w:p>
      <w:pPr>
        <w:ind w:left="5080"/>
        <w:spacing w:after="0"/>
        <w:rPr>
          <w:sz w:val="20"/>
          <w:szCs w:val="20"/>
          <w:color w:val="auto"/>
        </w:rPr>
      </w:pPr>
      <w:r>
        <w:rPr>
          <w:rFonts w:ascii="Times New Roman" w:cs="Times New Roman" w:eastAsia="Times New Roman" w:hAnsi="Times New Roman"/>
          <w:sz w:val="25"/>
          <w:szCs w:val="25"/>
          <w:b w:val="1"/>
          <w:bCs w:val="1"/>
          <w:u w:val="single" w:color="auto"/>
          <w:color w:val="auto"/>
        </w:rPr>
        <w:t>ANNEX 2</w:t>
      </w:r>
    </w:p>
    <w:p>
      <w:pPr>
        <w:spacing w:after="0" w:line="17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5"/>
          <w:szCs w:val="25"/>
          <w:b w:val="1"/>
          <w:bCs w:val="1"/>
          <w:color w:val="auto"/>
        </w:rPr>
        <w:t>Countries of Origin of 3TG</w:t>
      </w:r>
    </w:p>
    <w:p>
      <w:pPr>
        <w:spacing w:after="0" w:line="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Based on RMI March 29, 2024, Data</w:t>
      </w: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290"/>
        </w:trPr>
        <w:tc>
          <w:tcPr>
            <w:tcW w:w="422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Argentina</w:t>
            </w:r>
          </w:p>
        </w:tc>
        <w:tc>
          <w:tcPr>
            <w:tcW w:w="32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Guinea</w:t>
            </w:r>
          </w:p>
        </w:tc>
        <w:tc>
          <w:tcPr>
            <w:tcW w:w="37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Panama</w:t>
            </w:r>
          </w:p>
        </w:tc>
      </w:tr>
      <w:tr>
        <w:trPr>
          <w:trHeight w:val="21"/>
        </w:trPr>
        <w:tc>
          <w:tcPr>
            <w:tcW w:w="4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8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4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Australia</w:t>
            </w:r>
          </w:p>
        </w:tc>
        <w:tc>
          <w:tcPr>
            <w:tcW w:w="3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Guyana</w:t>
            </w:r>
          </w:p>
        </w:tc>
        <w:tc>
          <w:tcPr>
            <w:tcW w:w="3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Papua New Guinea</w:t>
            </w:r>
          </w:p>
        </w:tc>
      </w:tr>
      <w:tr>
        <w:trPr>
          <w:trHeight w:val="21"/>
        </w:trPr>
        <w:tc>
          <w:tcPr>
            <w:tcW w:w="4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8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4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Austria</w:t>
            </w:r>
          </w:p>
        </w:tc>
        <w:tc>
          <w:tcPr>
            <w:tcW w:w="3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Honduras</w:t>
            </w:r>
          </w:p>
        </w:tc>
        <w:tc>
          <w:tcPr>
            <w:tcW w:w="3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Peru</w:t>
            </w:r>
          </w:p>
        </w:tc>
      </w:tr>
      <w:tr>
        <w:trPr>
          <w:trHeight w:val="21"/>
        </w:trPr>
        <w:tc>
          <w:tcPr>
            <w:tcW w:w="4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8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4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Azerbaijan</w:t>
            </w:r>
          </w:p>
        </w:tc>
        <w:tc>
          <w:tcPr>
            <w:tcW w:w="3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Hong Kong</w:t>
            </w:r>
          </w:p>
        </w:tc>
        <w:tc>
          <w:tcPr>
            <w:tcW w:w="3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Philippines</w:t>
            </w:r>
          </w:p>
        </w:tc>
      </w:tr>
      <w:tr>
        <w:trPr>
          <w:trHeight w:val="21"/>
        </w:trPr>
        <w:tc>
          <w:tcPr>
            <w:tcW w:w="4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8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4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Benin</w:t>
            </w:r>
          </w:p>
        </w:tc>
        <w:tc>
          <w:tcPr>
            <w:tcW w:w="3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Indonesia</w:t>
            </w:r>
          </w:p>
        </w:tc>
        <w:tc>
          <w:tcPr>
            <w:tcW w:w="3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Portugal</w:t>
            </w:r>
          </w:p>
        </w:tc>
      </w:tr>
      <w:tr>
        <w:trPr>
          <w:trHeight w:val="21"/>
        </w:trPr>
        <w:tc>
          <w:tcPr>
            <w:tcW w:w="4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8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4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Bolivia</w:t>
            </w:r>
          </w:p>
        </w:tc>
        <w:tc>
          <w:tcPr>
            <w:tcW w:w="3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Ivory Coast</w:t>
            </w:r>
          </w:p>
        </w:tc>
        <w:tc>
          <w:tcPr>
            <w:tcW w:w="3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Russian Federation</w:t>
            </w:r>
          </w:p>
        </w:tc>
      </w:tr>
      <w:tr>
        <w:trPr>
          <w:trHeight w:val="21"/>
        </w:trPr>
        <w:tc>
          <w:tcPr>
            <w:tcW w:w="4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8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4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Botswana</w:t>
            </w:r>
          </w:p>
        </w:tc>
        <w:tc>
          <w:tcPr>
            <w:tcW w:w="3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c>
          <w:tcPr>
            <w:tcW w:w="3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Rwanda*</w:t>
            </w:r>
          </w:p>
        </w:tc>
      </w:tr>
      <w:tr>
        <w:trPr>
          <w:trHeight w:val="21"/>
        </w:trPr>
        <w:tc>
          <w:tcPr>
            <w:tcW w:w="4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8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4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Brazil</w:t>
            </w:r>
          </w:p>
        </w:tc>
        <w:tc>
          <w:tcPr>
            <w:tcW w:w="3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Kazakhstan</w:t>
            </w:r>
          </w:p>
        </w:tc>
        <w:tc>
          <w:tcPr>
            <w:tcW w:w="3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Saudi Arabia</w:t>
            </w:r>
          </w:p>
        </w:tc>
      </w:tr>
      <w:tr>
        <w:trPr>
          <w:trHeight w:val="21"/>
        </w:trPr>
        <w:tc>
          <w:tcPr>
            <w:tcW w:w="4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8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4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Burkina Faso</w:t>
            </w:r>
          </w:p>
        </w:tc>
        <w:tc>
          <w:tcPr>
            <w:tcW w:w="3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Kenya</w:t>
            </w:r>
          </w:p>
        </w:tc>
        <w:tc>
          <w:tcPr>
            <w:tcW w:w="3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Senegal</w:t>
            </w:r>
          </w:p>
        </w:tc>
      </w:tr>
      <w:tr>
        <w:trPr>
          <w:trHeight w:val="21"/>
        </w:trPr>
        <w:tc>
          <w:tcPr>
            <w:tcW w:w="4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8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4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Burundi*</w:t>
            </w:r>
          </w:p>
        </w:tc>
        <w:tc>
          <w:tcPr>
            <w:tcW w:w="3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Kyrgyzstan</w:t>
            </w:r>
          </w:p>
        </w:tc>
        <w:tc>
          <w:tcPr>
            <w:tcW w:w="3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Serbia</w:t>
            </w:r>
          </w:p>
        </w:tc>
      </w:tr>
      <w:tr>
        <w:trPr>
          <w:trHeight w:val="21"/>
        </w:trPr>
        <w:tc>
          <w:tcPr>
            <w:tcW w:w="4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8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4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Cambodia</w:t>
            </w:r>
          </w:p>
        </w:tc>
        <w:tc>
          <w:tcPr>
            <w:tcW w:w="3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Laos</w:t>
            </w:r>
          </w:p>
        </w:tc>
        <w:tc>
          <w:tcPr>
            <w:tcW w:w="3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Sierra Leone</w:t>
            </w:r>
          </w:p>
        </w:tc>
      </w:tr>
      <w:tr>
        <w:trPr>
          <w:trHeight w:val="21"/>
        </w:trPr>
        <w:tc>
          <w:tcPr>
            <w:tcW w:w="4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8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4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Canada</w:t>
            </w:r>
          </w:p>
        </w:tc>
        <w:tc>
          <w:tcPr>
            <w:tcW w:w="3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Liberia</w:t>
            </w:r>
          </w:p>
        </w:tc>
        <w:tc>
          <w:tcPr>
            <w:tcW w:w="3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South Africa</w:t>
            </w:r>
          </w:p>
        </w:tc>
      </w:tr>
      <w:tr>
        <w:trPr>
          <w:trHeight w:val="21"/>
        </w:trPr>
        <w:tc>
          <w:tcPr>
            <w:tcW w:w="4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8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4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Chile</w:t>
            </w:r>
          </w:p>
        </w:tc>
        <w:tc>
          <w:tcPr>
            <w:tcW w:w="3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Madagascar</w:t>
            </w:r>
          </w:p>
        </w:tc>
        <w:tc>
          <w:tcPr>
            <w:tcW w:w="3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South Korea</w:t>
            </w:r>
          </w:p>
        </w:tc>
      </w:tr>
      <w:tr>
        <w:trPr>
          <w:trHeight w:val="21"/>
        </w:trPr>
        <w:tc>
          <w:tcPr>
            <w:tcW w:w="4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8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4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China</w:t>
            </w:r>
          </w:p>
        </w:tc>
        <w:tc>
          <w:tcPr>
            <w:tcW w:w="3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Malaysia</w:t>
            </w:r>
          </w:p>
        </w:tc>
        <w:tc>
          <w:tcPr>
            <w:tcW w:w="3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Spain</w:t>
            </w:r>
          </w:p>
        </w:tc>
      </w:tr>
      <w:tr>
        <w:trPr>
          <w:trHeight w:val="21"/>
        </w:trPr>
        <w:tc>
          <w:tcPr>
            <w:tcW w:w="4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8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4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Colombia</w:t>
            </w:r>
          </w:p>
        </w:tc>
        <w:tc>
          <w:tcPr>
            <w:tcW w:w="3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Mali</w:t>
            </w:r>
          </w:p>
        </w:tc>
        <w:tc>
          <w:tcPr>
            <w:tcW w:w="3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Sudan</w:t>
            </w:r>
          </w:p>
        </w:tc>
      </w:tr>
      <w:tr>
        <w:trPr>
          <w:trHeight w:val="21"/>
        </w:trPr>
        <w:tc>
          <w:tcPr>
            <w:tcW w:w="4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8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4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Congo, Democratic Republic of the*</w:t>
            </w:r>
          </w:p>
        </w:tc>
        <w:tc>
          <w:tcPr>
            <w:tcW w:w="3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Mauritania</w:t>
            </w:r>
          </w:p>
        </w:tc>
        <w:tc>
          <w:tcPr>
            <w:tcW w:w="3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Suriname</w:t>
            </w:r>
          </w:p>
        </w:tc>
      </w:tr>
      <w:tr>
        <w:trPr>
          <w:trHeight w:val="21"/>
        </w:trPr>
        <w:tc>
          <w:tcPr>
            <w:tcW w:w="4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8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4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Dominican Republic</w:t>
            </w:r>
          </w:p>
        </w:tc>
        <w:tc>
          <w:tcPr>
            <w:tcW w:w="3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Mexico</w:t>
            </w:r>
          </w:p>
        </w:tc>
        <w:tc>
          <w:tcPr>
            <w:tcW w:w="3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Sweden</w:t>
            </w:r>
          </w:p>
        </w:tc>
      </w:tr>
      <w:tr>
        <w:trPr>
          <w:trHeight w:val="21"/>
        </w:trPr>
        <w:tc>
          <w:tcPr>
            <w:tcW w:w="4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8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4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Ecuador</w:t>
            </w:r>
          </w:p>
        </w:tc>
        <w:tc>
          <w:tcPr>
            <w:tcW w:w="3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Mongolia</w:t>
            </w:r>
          </w:p>
        </w:tc>
        <w:tc>
          <w:tcPr>
            <w:tcW w:w="3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Tanzania*</w:t>
            </w:r>
          </w:p>
        </w:tc>
      </w:tr>
      <w:tr>
        <w:trPr>
          <w:trHeight w:val="21"/>
        </w:trPr>
        <w:tc>
          <w:tcPr>
            <w:tcW w:w="4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8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4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Egypt</w:t>
            </w:r>
          </w:p>
        </w:tc>
        <w:tc>
          <w:tcPr>
            <w:tcW w:w="3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Morocco</w:t>
            </w:r>
          </w:p>
        </w:tc>
        <w:tc>
          <w:tcPr>
            <w:tcW w:w="3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Thailand</w:t>
            </w:r>
          </w:p>
        </w:tc>
      </w:tr>
      <w:tr>
        <w:trPr>
          <w:trHeight w:val="21"/>
        </w:trPr>
        <w:tc>
          <w:tcPr>
            <w:tcW w:w="4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8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4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Ethiopia</w:t>
            </w:r>
          </w:p>
        </w:tc>
        <w:tc>
          <w:tcPr>
            <w:tcW w:w="3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Mozambique</w:t>
            </w:r>
          </w:p>
        </w:tc>
        <w:tc>
          <w:tcPr>
            <w:tcW w:w="3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Turkey</w:t>
            </w:r>
          </w:p>
        </w:tc>
      </w:tr>
      <w:tr>
        <w:trPr>
          <w:trHeight w:val="21"/>
        </w:trPr>
        <w:tc>
          <w:tcPr>
            <w:tcW w:w="4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8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4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Fiji</w:t>
            </w:r>
          </w:p>
        </w:tc>
        <w:tc>
          <w:tcPr>
            <w:tcW w:w="3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Myanmar</w:t>
            </w:r>
          </w:p>
        </w:tc>
        <w:tc>
          <w:tcPr>
            <w:tcW w:w="3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Uganda*</w:t>
            </w:r>
          </w:p>
        </w:tc>
      </w:tr>
      <w:tr>
        <w:trPr>
          <w:trHeight w:val="21"/>
        </w:trPr>
        <w:tc>
          <w:tcPr>
            <w:tcW w:w="4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8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r>
        <w:trPr>
          <w:trHeight w:val="254"/>
        </w:trPr>
        <w:tc>
          <w:tcPr>
            <w:tcW w:w="4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Finland</w:t>
            </w:r>
          </w:p>
        </w:tc>
        <w:tc>
          <w:tcPr>
            <w:tcW w:w="3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Namibia</w:t>
            </w:r>
          </w:p>
        </w:tc>
        <w:tc>
          <w:tcPr>
            <w:tcW w:w="3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 of Great Britain and</w:t>
            </w:r>
          </w:p>
        </w:tc>
      </w:tr>
      <w:tr>
        <w:trPr>
          <w:trHeight w:val="258"/>
        </w:trPr>
        <w:tc>
          <w:tcPr>
            <w:tcW w:w="4220" w:type="dxa"/>
            <w:vAlign w:val="bottom"/>
            <w:tcBorders>
              <w:left w:val="single" w:sz="8" w:color="auto"/>
              <w:right w:val="single" w:sz="8" w:color="auto"/>
            </w:tcBorders>
          </w:tcPr>
          <w:p>
            <w:pPr>
              <w:spacing w:after="0"/>
              <w:rPr>
                <w:sz w:val="22"/>
                <w:szCs w:val="22"/>
                <w:color w:val="auto"/>
              </w:rPr>
            </w:pPr>
          </w:p>
        </w:tc>
        <w:tc>
          <w:tcPr>
            <w:tcW w:w="3280" w:type="dxa"/>
            <w:vAlign w:val="bottom"/>
            <w:tcBorders>
              <w:right w:val="single" w:sz="8" w:color="auto"/>
            </w:tcBorders>
          </w:tcPr>
          <w:p>
            <w:pPr>
              <w:spacing w:after="0"/>
              <w:rPr>
                <w:sz w:val="22"/>
                <w:szCs w:val="22"/>
                <w:color w:val="auto"/>
              </w:rPr>
            </w:pPr>
          </w:p>
        </w:tc>
        <w:tc>
          <w:tcPr>
            <w:tcW w:w="3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Northern Ireland</w:t>
            </w:r>
          </w:p>
        </w:tc>
      </w:tr>
      <w:tr>
        <w:trPr>
          <w:trHeight w:val="34"/>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280" w:type="dxa"/>
            <w:vAlign w:val="bottom"/>
            <w:tcBorders>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r>
      <w:tr>
        <w:trPr>
          <w:trHeight w:val="270"/>
        </w:trPr>
        <w:tc>
          <w:tcPr>
            <w:tcW w:w="4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France</w:t>
            </w:r>
          </w:p>
        </w:tc>
        <w:tc>
          <w:tcPr>
            <w:tcW w:w="3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New Zealand</w:t>
            </w:r>
          </w:p>
        </w:tc>
        <w:tc>
          <w:tcPr>
            <w:tcW w:w="3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States of America</w:t>
            </w:r>
          </w:p>
        </w:tc>
      </w:tr>
      <w:tr>
        <w:trPr>
          <w:trHeight w:val="21"/>
        </w:trPr>
        <w:tc>
          <w:tcPr>
            <w:tcW w:w="4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8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4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French Guiana</w:t>
            </w:r>
          </w:p>
        </w:tc>
        <w:tc>
          <w:tcPr>
            <w:tcW w:w="3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Nicaragua</w:t>
            </w:r>
          </w:p>
        </w:tc>
        <w:tc>
          <w:tcPr>
            <w:tcW w:w="3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Uzbekistan</w:t>
            </w:r>
          </w:p>
        </w:tc>
      </w:tr>
      <w:tr>
        <w:trPr>
          <w:trHeight w:val="21"/>
        </w:trPr>
        <w:tc>
          <w:tcPr>
            <w:tcW w:w="4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8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4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Georgia</w:t>
            </w:r>
          </w:p>
        </w:tc>
        <w:tc>
          <w:tcPr>
            <w:tcW w:w="3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Niger</w:t>
            </w:r>
          </w:p>
        </w:tc>
        <w:tc>
          <w:tcPr>
            <w:tcW w:w="3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Vietnam</w:t>
            </w:r>
          </w:p>
        </w:tc>
      </w:tr>
      <w:tr>
        <w:trPr>
          <w:trHeight w:val="21"/>
        </w:trPr>
        <w:tc>
          <w:tcPr>
            <w:tcW w:w="4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8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4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Ghana</w:t>
            </w:r>
          </w:p>
        </w:tc>
        <w:tc>
          <w:tcPr>
            <w:tcW w:w="3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Nigeria</w:t>
            </w:r>
          </w:p>
        </w:tc>
        <w:tc>
          <w:tcPr>
            <w:tcW w:w="3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Zambia*</w:t>
            </w:r>
          </w:p>
        </w:tc>
      </w:tr>
      <w:tr>
        <w:trPr>
          <w:trHeight w:val="21"/>
        </w:trPr>
        <w:tc>
          <w:tcPr>
            <w:tcW w:w="4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8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4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Guatemala</w:t>
            </w:r>
          </w:p>
        </w:tc>
        <w:tc>
          <w:tcPr>
            <w:tcW w:w="3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Oman</w:t>
            </w:r>
          </w:p>
        </w:tc>
        <w:tc>
          <w:tcPr>
            <w:tcW w:w="3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Zimbabwe</w:t>
            </w:r>
          </w:p>
        </w:tc>
      </w:tr>
      <w:tr>
        <w:trPr>
          <w:trHeight w:val="21"/>
        </w:trPr>
        <w:tc>
          <w:tcPr>
            <w:tcW w:w="4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8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r>
        <w:trPr>
          <w:trHeight w:val="701"/>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*Covered Country</w:t>
            </w:r>
          </w:p>
        </w:tc>
        <w:tc>
          <w:tcPr>
            <w:tcW w:w="3280" w:type="dxa"/>
            <w:vAlign w:val="bottom"/>
          </w:tcPr>
          <w:p>
            <w:pPr>
              <w:spacing w:after="0"/>
              <w:rPr>
                <w:sz w:val="24"/>
                <w:szCs w:val="24"/>
                <w:color w:val="auto"/>
              </w:rPr>
            </w:pPr>
          </w:p>
        </w:tc>
        <w:tc>
          <w:tcPr>
            <w:tcW w:w="37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60"/>
      </w:cols>
      <w:pgMar w:left="320" w:top="142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2024-05-24T11:13:51Z</dcterms:created>
  <dcterms:modified xsi:type="dcterms:W3CDTF">2024-05-24T11:13:51Z</dcterms:modified>
</cp:coreProperties>
</file>