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Securities Exchange Act of 1934</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3, 2016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0"/>
              </w:rPr>
              <w:t>001-32871</w:t>
            </w:r>
          </w:p>
        </w:tc>
        <w:tc>
          <w:tcPr>
            <w:tcW w:w="4320" w:type="dxa"/>
            <w:vAlign w:val="bottom"/>
          </w:tcPr>
          <w:p>
            <w:pPr>
              <w:jc w:val="center"/>
              <w:ind w:left="2279"/>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4680" w:type="dxa"/>
            <w:vAlign w:val="bottom"/>
          </w:tcPr>
          <w:p>
            <w:pPr>
              <w:jc w:val="center"/>
              <w:ind w:right="2257"/>
              <w:spacing w:after="0"/>
              <w:rPr>
                <w:sz w:val="20"/>
                <w:szCs w:val="20"/>
                <w:color w:val="auto"/>
              </w:rPr>
            </w:pPr>
            <w:r>
              <w:rPr>
                <w:rFonts w:ascii="Arial" w:cs="Arial" w:eastAsia="Arial" w:hAnsi="Arial"/>
                <w:sz w:val="14"/>
                <w:szCs w:val="14"/>
                <w:color w:val="auto"/>
                <w:w w:val="94"/>
              </w:rPr>
              <w:t>(Commission File Number)</w:t>
            </w:r>
          </w:p>
        </w:tc>
        <w:tc>
          <w:tcPr>
            <w:tcW w:w="4320" w:type="dxa"/>
            <w:vAlign w:val="bottom"/>
          </w:tcPr>
          <w:p>
            <w:pPr>
              <w:jc w:val="center"/>
              <w:ind w:left="2259"/>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0"/>
              </w:rPr>
              <w:t>One Comcast Center</w:t>
            </w:r>
          </w:p>
        </w:tc>
        <w:tc>
          <w:tcPr>
            <w:tcW w:w="4320" w:type="dxa"/>
            <w:vAlign w:val="bottom"/>
          </w:tcPr>
          <w:p>
            <w:pPr>
              <w:spacing w:after="0"/>
              <w:rPr>
                <w:sz w:val="24"/>
                <w:szCs w:val="24"/>
                <w:color w:val="auto"/>
              </w:rPr>
            </w:pPr>
          </w:p>
        </w:tc>
      </w:tr>
      <w:tr>
        <w:trPr>
          <w:trHeight w:val="216"/>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2"/>
              </w:rPr>
              <w:t>Philadelphia, PA</w:t>
            </w:r>
          </w:p>
        </w:tc>
        <w:tc>
          <w:tcPr>
            <w:tcW w:w="4320" w:type="dxa"/>
            <w:vAlign w:val="bottom"/>
          </w:tcPr>
          <w:p>
            <w:pPr>
              <w:jc w:val="center"/>
              <w:ind w:left="2279"/>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4680" w:type="dxa"/>
            <w:vAlign w:val="bottom"/>
          </w:tcPr>
          <w:p>
            <w:pPr>
              <w:jc w:val="center"/>
              <w:ind w:right="2257"/>
              <w:spacing w:after="0"/>
              <w:rPr>
                <w:sz w:val="20"/>
                <w:szCs w:val="20"/>
                <w:color w:val="auto"/>
              </w:rPr>
            </w:pPr>
            <w:r>
              <w:rPr>
                <w:rFonts w:ascii="Arial" w:cs="Arial" w:eastAsia="Arial" w:hAnsi="Arial"/>
                <w:sz w:val="14"/>
                <w:szCs w:val="14"/>
                <w:color w:val="auto"/>
                <w:w w:val="95"/>
              </w:rPr>
              <w:t>(Address of Principal Executive Offices)</w:t>
            </w:r>
          </w:p>
        </w:tc>
        <w:tc>
          <w:tcPr>
            <w:tcW w:w="4320" w:type="dxa"/>
            <w:vAlign w:val="bottom"/>
          </w:tcPr>
          <w:p>
            <w:pPr>
              <w:jc w:val="center"/>
              <w:ind w:left="2279"/>
              <w:spacing w:after="0"/>
              <w:rPr>
                <w:sz w:val="20"/>
                <w:szCs w:val="20"/>
                <w:color w:val="auto"/>
              </w:rPr>
            </w:pPr>
            <w:r>
              <w:rPr>
                <w:rFonts w:ascii="Arial" w:cs="Arial" w:eastAsia="Arial" w:hAnsi="Arial"/>
                <w:sz w:val="14"/>
                <w:szCs w:val="14"/>
                <w:color w:val="auto"/>
                <w:w w:val="96"/>
              </w:rPr>
              <w:t>(Zip Code)</w:t>
            </w:r>
          </w:p>
        </w:tc>
      </w:tr>
    </w:tbl>
    <w:p>
      <w:pPr>
        <w:spacing w:after="0" w:line="39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February 3, 2016, Comcast Corporation (“Comcast”) issued a press release reporting the results of its operations for the three and twelve months ended December 31, 2015.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347"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4"/>
          <w:szCs w:val="24"/>
          <w:color w:val="auto"/>
        </w:rPr>
      </w:pPr>
    </w:p>
    <w:p>
      <w:pPr>
        <w:ind w:left="200"/>
        <w:spacing w:after="0"/>
        <w:tabs>
          <w:tab w:leader="none" w:pos="12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4"/>
          <w:szCs w:val="24"/>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February 3, 2016.</w:t>
      </w:r>
    </w:p>
    <w:p>
      <w:pPr>
        <w:spacing w:after="0" w:line="23" w:lineRule="exact"/>
        <w:rPr>
          <w:sz w:val="24"/>
          <w:szCs w:val="24"/>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Explanation of Non-GAAP and Other Financial Measures.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3"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740" w:type="dxa"/>
            <w:vAlign w:val="bottom"/>
          </w:tcPr>
          <w:p>
            <w:pPr>
              <w:spacing w:after="0"/>
              <w:rPr>
                <w:sz w:val="20"/>
                <w:szCs w:val="20"/>
                <w:color w:val="auto"/>
              </w:rPr>
            </w:pPr>
            <w:r>
              <w:rPr>
                <w:rFonts w:ascii="Arial" w:cs="Arial" w:eastAsia="Arial" w:hAnsi="Arial"/>
                <w:sz w:val="18"/>
                <w:szCs w:val="18"/>
                <w:color w:val="auto"/>
              </w:rPr>
              <w:t>Date:  February 3, 2016</w:t>
            </w: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By:  /s/ Lawrence J. Salva</w:t>
            </w:r>
          </w:p>
        </w:tc>
        <w:tc>
          <w:tcPr>
            <w:tcW w:w="4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4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and Chief Accounting Officer</w:t>
            </w:r>
          </w:p>
        </w:tc>
        <w:tc>
          <w:tcPr>
            <w:tcW w:w="4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74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363345"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COMCAST REPORTS 4</w:t>
      </w:r>
      <w:r>
        <w:rPr>
          <w:rFonts w:ascii="Arial" w:cs="Arial" w:eastAsia="Arial" w:hAnsi="Arial"/>
          <w:sz w:val="18"/>
          <w:szCs w:val="18"/>
          <w:b w:val="1"/>
          <w:bCs w:val="1"/>
          <w:color w:val="auto"/>
          <w:vertAlign w:val="superscript"/>
        </w:rPr>
        <w:t>th</w:t>
      </w:r>
      <w:r>
        <w:rPr>
          <w:rFonts w:ascii="Arial" w:cs="Arial" w:eastAsia="Arial" w:hAnsi="Arial"/>
          <w:sz w:val="18"/>
          <w:szCs w:val="18"/>
          <w:b w:val="1"/>
          <w:bCs w:val="1"/>
          <w:color w:val="auto"/>
        </w:rPr>
        <w:t xml:space="preserve"> QUARTER AND YEAR END 2015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2015 Highlights:</w:t>
      </w:r>
    </w:p>
    <w:p>
      <w:pPr>
        <w:spacing w:after="0" w:line="247" w:lineRule="exact"/>
        <w:rPr>
          <w:sz w:val="20"/>
          <w:szCs w:val="20"/>
          <w:color w:val="auto"/>
        </w:rPr>
      </w:pPr>
    </w:p>
    <w:p>
      <w:pPr>
        <w:ind w:left="660" w:right="80" w:hanging="328"/>
        <w:spacing w:after="0" w:line="225"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Consolidated Revenue Increased 8.3%, Operating Cash Flow Increased 7.7%, Operating Income Increased 7.3% and Free Cash Flow Increased 9.4% to $8.9 Billion</w:t>
      </w:r>
    </w:p>
    <w:p>
      <w:pPr>
        <w:spacing w:after="0" w:line="140"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Earnings per Share Increased 1.3% to $3.24; On an Adjusted Basis, EPS Increased 10.9% to $3.25</w:t>
      </w:r>
    </w:p>
    <w:p>
      <w:pPr>
        <w:spacing w:after="0" w:line="152"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Cable Communications Revenue Increased 6.2% and Operating Cash Flow Increased 5.6%</w:t>
      </w:r>
    </w:p>
    <w:p>
      <w:pPr>
        <w:spacing w:after="0" w:line="188" w:lineRule="exact"/>
        <w:rPr>
          <w:rFonts w:ascii="Arial" w:cs="Arial" w:eastAsia="Arial" w:hAnsi="Arial"/>
          <w:sz w:val="22"/>
          <w:szCs w:val="22"/>
          <w:color w:val="auto"/>
        </w:rPr>
      </w:pPr>
    </w:p>
    <w:p>
      <w:pPr>
        <w:ind w:left="660" w:right="260" w:hanging="328"/>
        <w:spacing w:after="0" w:line="225"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Customer Relationships Increased by 666,000, an 85.9% Improvement Compared to 2014; Best Video Customer Results in 9 Years; Best High-Speed Internet Customer Results in 8 Years</w:t>
      </w:r>
    </w:p>
    <w:p>
      <w:pPr>
        <w:spacing w:after="0" w:line="140"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NBCUniversal Revenue Increased 11.9% and Operating Cash Flow Increased 14.8%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color w:val="auto"/>
          <w:vertAlign w:val="superscript"/>
        </w:rPr>
        <w:t>th</w:t>
      </w:r>
      <w:r>
        <w:rPr>
          <w:rFonts w:ascii="Arial" w:cs="Arial" w:eastAsia="Arial" w:hAnsi="Arial"/>
          <w:sz w:val="18"/>
          <w:szCs w:val="18"/>
          <w:b w:val="1"/>
          <w:bCs w:val="1"/>
          <w:color w:val="auto"/>
        </w:rPr>
        <w:t xml:space="preserve"> Quarter 2015 Highlights:</w:t>
      </w:r>
    </w:p>
    <w:p>
      <w:pPr>
        <w:spacing w:after="0" w:line="212" w:lineRule="exact"/>
        <w:rPr>
          <w:sz w:val="20"/>
          <w:szCs w:val="20"/>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Consolidated Revenue Increased 8.5%, Operating Cash Flow Increased 6.7% and Operating Income Increased 5.7%</w:t>
      </w:r>
    </w:p>
    <w:p>
      <w:pPr>
        <w:spacing w:after="0" w:line="152"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Earnings per Share Increased 6.8% to $0.79; On an Adjusted Basis, EPS Increased 5.2% to $0.81</w:t>
      </w:r>
    </w:p>
    <w:p>
      <w:pPr>
        <w:spacing w:after="0" w:line="152"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Cable Communications Revenue Increased 5.9% and Operating Cash Flow Increased 4.6%</w:t>
      </w:r>
    </w:p>
    <w:p>
      <w:pPr>
        <w:spacing w:after="0" w:line="188" w:lineRule="exact"/>
        <w:rPr>
          <w:rFonts w:ascii="Arial" w:cs="Arial" w:eastAsia="Arial" w:hAnsi="Arial"/>
          <w:sz w:val="22"/>
          <w:szCs w:val="22"/>
          <w:color w:val="auto"/>
        </w:rPr>
      </w:pPr>
    </w:p>
    <w:p>
      <w:pPr>
        <w:ind w:left="660" w:right="160" w:hanging="328"/>
        <w:spacing w:after="0" w:line="225"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Customer Relationships Increased by 281,000, a 57.6% Increase from the Fourth Quarter of 2014; Best Video Customer Results for a Quarter in 8 Years; Best Fourth Quarter High-Speed Internet Customer Results in 9 Years</w:t>
      </w:r>
    </w:p>
    <w:p>
      <w:pPr>
        <w:spacing w:after="0" w:line="140"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NBCUniversal Revenue Increased 13.0% and Operating Cash Flow Increased 8.7%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Share Repurchase:</w:t>
      </w:r>
    </w:p>
    <w:p>
      <w:pPr>
        <w:spacing w:after="0" w:line="21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18"/>
          <w:szCs w:val="18"/>
          <w:color w:val="auto"/>
        </w:rPr>
        <w:t>Dividends and Share Repurchases Increased 41.2% to $9.2 Billion in 2015</w:t>
      </w:r>
    </w:p>
    <w:p>
      <w:pPr>
        <w:spacing w:after="0" w:line="188" w:lineRule="exact"/>
        <w:rPr>
          <w:rFonts w:ascii="Arial" w:cs="Arial" w:eastAsia="Arial" w:hAnsi="Arial"/>
          <w:sz w:val="22"/>
          <w:szCs w:val="22"/>
          <w:color w:val="auto"/>
        </w:rPr>
      </w:pPr>
    </w:p>
    <w:p>
      <w:pPr>
        <w:ind w:left="660" w:right="340" w:hanging="328"/>
        <w:spacing w:after="0" w:line="225" w:lineRule="auto"/>
        <w:tabs>
          <w:tab w:leader="none" w:pos="645" w:val="left"/>
        </w:tabs>
        <w:numPr>
          <w:ilvl w:val="0"/>
          <w:numId w:val="4"/>
        </w:numPr>
        <w:rPr>
          <w:rFonts w:ascii="Arial" w:cs="Arial" w:eastAsia="Arial" w:hAnsi="Arial"/>
          <w:sz w:val="22"/>
          <w:szCs w:val="22"/>
          <w:color w:val="auto"/>
        </w:rPr>
      </w:pPr>
      <w:r>
        <w:rPr>
          <w:rFonts w:ascii="Arial" w:cs="Arial" w:eastAsia="Arial" w:hAnsi="Arial"/>
          <w:sz w:val="18"/>
          <w:szCs w:val="18"/>
          <w:color w:val="auto"/>
        </w:rPr>
        <w:t>Dividend to Increase 10% to $1.10 per Share on an Annualized Basis; Share Repurchase Authorization to Increase to $10.0 Billion, with $5.0 Billion to be Repurchased in 2016</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PHILADELPHIA – February 3, 2016… Comcast Corporation (NASDAQ: CMCSA) today reported results for the quarter and year ended December 31, 2015.</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“I am exceptionally proud of our results this year, which were driven by strong performances in each of our core businesses. At Comcast Cable, our focus on delivering the most innovative products and improving the customer experience led to fantastic operating metrics, including our best video customer results in nine years, and our best high-speed Internet customer results in eight years. NBCUniversal had a remarkable year, with record-breaking results at both Theme Parks and Film, and continued success at NBC, which was number one in primetime for the second consecutive season. As we enter 2016, the momentum we see across our portfolio is truly exciting. We are executing at the highest level, investing prudently, and energized and focused on driving growth and shareholder value. Underscoring our confidence in our company, we are increasing our dividend by 10% to $1.10 per share and we also plan to repurchase $5.0 billion of our stock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00" w:type="dxa"/>
            <w:vAlign w:val="bottom"/>
          </w:tcPr>
          <w:p>
            <w:pPr>
              <w:jc w:val="right"/>
              <w:ind w:right="428"/>
              <w:spacing w:after="0"/>
              <w:rPr>
                <w:sz w:val="20"/>
                <w:szCs w:val="20"/>
                <w:color w:val="auto"/>
              </w:rPr>
            </w:pPr>
            <w:r>
              <w:rPr>
                <w:rFonts w:ascii="Arial" w:cs="Arial" w:eastAsia="Arial" w:hAnsi="Arial"/>
                <w:sz w:val="14"/>
                <w:szCs w:val="14"/>
                <w:color w:val="auto"/>
              </w:rPr>
              <w:t>4th Quarter</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jc w:val="right"/>
              <w:ind w:right="468"/>
              <w:spacing w:after="0"/>
              <w:rPr>
                <w:sz w:val="20"/>
                <w:szCs w:val="20"/>
                <w:color w:val="auto"/>
              </w:rPr>
            </w:pPr>
            <w:r>
              <w:rPr>
                <w:rFonts w:ascii="Arial" w:cs="Arial" w:eastAsia="Arial" w:hAnsi="Arial"/>
                <w:sz w:val="14"/>
                <w:szCs w:val="14"/>
                <w:color w:val="auto"/>
              </w:rPr>
              <w:t>Full Year</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8"/>
        </w:trPr>
        <w:tc>
          <w:tcPr>
            <w:tcW w:w="3180" w:type="dxa"/>
            <w:vAlign w:val="bottom"/>
          </w:tcPr>
          <w:p>
            <w:pPr>
              <w:ind w:left="40"/>
              <w:spacing w:after="0"/>
              <w:rPr>
                <w:sz w:val="20"/>
                <w:szCs w:val="20"/>
                <w:color w:val="auto"/>
              </w:rPr>
            </w:pPr>
            <w:r>
              <w:rPr>
                <w:rFonts w:ascii="Arial" w:cs="Arial" w:eastAsia="Arial" w:hAnsi="Arial"/>
                <w:sz w:val="11"/>
                <w:szCs w:val="11"/>
                <w:i w:val="1"/>
                <w:iCs w:val="1"/>
                <w:color w:val="auto"/>
              </w:rPr>
              <w:t>($ in millions)</w:t>
            </w:r>
          </w:p>
        </w:tc>
        <w:tc>
          <w:tcPr>
            <w:tcW w:w="2280" w:type="dxa"/>
            <w:vAlign w:val="bottom"/>
          </w:tcPr>
          <w:p>
            <w:pPr>
              <w:jc w:val="right"/>
              <w:ind w:right="8"/>
              <w:spacing w:after="0"/>
              <w:rPr>
                <w:sz w:val="20"/>
                <w:szCs w:val="20"/>
                <w:color w:val="auto"/>
              </w:rPr>
            </w:pPr>
            <w:r>
              <w:rPr>
                <w:rFonts w:ascii="Arial" w:cs="Arial" w:eastAsia="Arial" w:hAnsi="Arial"/>
                <w:sz w:val="14"/>
                <w:szCs w:val="14"/>
                <w:color w:val="auto"/>
              </w:rPr>
              <w:t>2014</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2015</w:t>
            </w:r>
          </w:p>
        </w:tc>
        <w:tc>
          <w:tcPr>
            <w:tcW w:w="1400" w:type="dxa"/>
            <w:vAlign w:val="bottom"/>
          </w:tcPr>
          <w:p>
            <w:pPr>
              <w:jc w:val="right"/>
              <w:ind w:right="508"/>
              <w:spacing w:after="0"/>
              <w:rPr>
                <w:sz w:val="20"/>
                <w:szCs w:val="20"/>
                <w:color w:val="auto"/>
              </w:rPr>
            </w:pPr>
            <w:r>
              <w:rPr>
                <w:rFonts w:ascii="Arial" w:cs="Arial" w:eastAsia="Arial" w:hAnsi="Arial"/>
                <w:sz w:val="14"/>
                <w:szCs w:val="14"/>
                <w:color w:val="auto"/>
              </w:rPr>
              <w:t>Growth</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2014</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2015</w:t>
            </w:r>
          </w:p>
        </w:tc>
        <w:tc>
          <w:tcPr>
            <w:tcW w:w="840" w:type="dxa"/>
            <w:vAlign w:val="bottom"/>
            <w:gridSpan w:val="2"/>
          </w:tcPr>
          <w:p>
            <w:pPr>
              <w:ind w:left="320"/>
              <w:spacing w:after="0"/>
              <w:rPr>
                <w:sz w:val="20"/>
                <w:szCs w:val="20"/>
                <w:color w:val="auto"/>
              </w:rPr>
            </w:pPr>
            <w:r>
              <w:rPr>
                <w:rFonts w:ascii="Arial" w:cs="Arial" w:eastAsia="Arial" w:hAnsi="Arial"/>
                <w:sz w:val="14"/>
                <w:szCs w:val="14"/>
                <w:color w:val="auto"/>
              </w:rPr>
              <w:t>Growth</w:t>
            </w:r>
          </w:p>
        </w:tc>
      </w:tr>
      <w:tr>
        <w:trPr>
          <w:trHeight w:val="20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22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$17,732</w:t>
            </w:r>
          </w:p>
        </w:tc>
        <w:tc>
          <w:tcPr>
            <w:tcW w:w="13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$19,245</w:t>
            </w:r>
          </w:p>
        </w:tc>
        <w:tc>
          <w:tcPr>
            <w:tcW w:w="140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color w:val="auto"/>
              </w:rPr>
              <w:t>8.5%</w:t>
            </w: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$68,775</w:t>
            </w:r>
          </w:p>
        </w:tc>
        <w:tc>
          <w:tcPr>
            <w:tcW w:w="12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$74,510</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20" w:type="dxa"/>
            <w:vAlign w:val="bottom"/>
          </w:tcPr>
          <w:p>
            <w:pPr>
              <w:spacing w:after="0"/>
              <w:rPr>
                <w:sz w:val="17"/>
                <w:szCs w:val="17"/>
                <w:color w:val="auto"/>
              </w:rPr>
            </w:pPr>
          </w:p>
        </w:tc>
      </w:tr>
      <w:tr>
        <w:trPr>
          <w:trHeight w:val="185"/>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w:t>
            </w:r>
          </w:p>
        </w:tc>
        <w:tc>
          <w:tcPr>
            <w:tcW w:w="2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i w:val="1"/>
                <w:iCs w:val="1"/>
                <w:color w:val="auto"/>
              </w:rPr>
              <w:t>$17,732</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$19,076</w:t>
            </w:r>
          </w:p>
        </w:tc>
        <w:tc>
          <w:tcPr>
            <w:tcW w:w="14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i w:val="1"/>
                <w:iCs w:val="1"/>
                <w:color w:val="auto"/>
              </w:rPr>
              <w:t>7.6%</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$67,672</w:t>
            </w: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$73,965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9.3%</w:t>
            </w:r>
          </w:p>
        </w:tc>
        <w:tc>
          <w:tcPr>
            <w:tcW w:w="20" w:type="dxa"/>
            <w:vAlign w:val="bottom"/>
          </w:tcPr>
          <w:p>
            <w:pPr>
              <w:spacing w:after="0"/>
              <w:rPr>
                <w:sz w:val="16"/>
                <w:szCs w:val="16"/>
                <w:color w:val="auto"/>
              </w:rPr>
            </w:pPr>
          </w:p>
        </w:tc>
      </w:tr>
      <w:tr>
        <w:trPr>
          <w:trHeight w:val="146"/>
        </w:trPr>
        <w:tc>
          <w:tcPr>
            <w:tcW w:w="3180" w:type="dxa"/>
            <w:vAlign w:val="bottom"/>
          </w:tcPr>
          <w:p>
            <w:pPr>
              <w:ind w:left="40"/>
              <w:spacing w:after="0" w:line="147" w:lineRule="exact"/>
              <w:rPr>
                <w:sz w:val="20"/>
                <w:szCs w:val="20"/>
                <w:color w:val="auto"/>
              </w:rPr>
            </w:pPr>
            <w:r>
              <w:rPr>
                <w:rFonts w:ascii="Arial" w:cs="Arial" w:eastAsia="Arial" w:hAnsi="Arial"/>
                <w:sz w:val="14"/>
                <w:szCs w:val="14"/>
                <w:color w:val="auto"/>
              </w:rPr>
              <w:t>Operating Cash Flow</w:t>
            </w:r>
            <w:r>
              <w:rPr>
                <w:rFonts w:ascii="Arial" w:cs="Arial" w:eastAsia="Arial" w:hAnsi="Arial"/>
                <w:sz w:val="14"/>
                <w:szCs w:val="14"/>
                <w:color w:val="auto"/>
                <w:vertAlign w:val="superscript"/>
              </w:rPr>
              <w:t>1</w:t>
            </w:r>
          </w:p>
        </w:tc>
        <w:tc>
          <w:tcPr>
            <w:tcW w:w="2280" w:type="dxa"/>
            <w:vAlign w:val="bottom"/>
          </w:tcPr>
          <w:p>
            <w:pPr>
              <w:jc w:val="right"/>
              <w:ind w:right="8"/>
              <w:spacing w:after="0" w:line="147" w:lineRule="exact"/>
              <w:rPr>
                <w:sz w:val="20"/>
                <w:szCs w:val="20"/>
                <w:color w:val="auto"/>
              </w:rPr>
            </w:pPr>
            <w:r>
              <w:rPr>
                <w:rFonts w:ascii="Arial" w:cs="Arial" w:eastAsia="Arial" w:hAnsi="Arial"/>
                <w:sz w:val="14"/>
                <w:szCs w:val="14"/>
                <w:color w:val="auto"/>
              </w:rPr>
              <w:t>$5,877</w:t>
            </w:r>
          </w:p>
        </w:tc>
        <w:tc>
          <w:tcPr>
            <w:tcW w:w="1300" w:type="dxa"/>
            <w:vAlign w:val="bottom"/>
          </w:tcPr>
          <w:p>
            <w:pPr>
              <w:jc w:val="right"/>
              <w:ind w:right="268"/>
              <w:spacing w:after="0" w:line="147" w:lineRule="exact"/>
              <w:rPr>
                <w:sz w:val="20"/>
                <w:szCs w:val="20"/>
                <w:color w:val="auto"/>
              </w:rPr>
            </w:pPr>
            <w:r>
              <w:rPr>
                <w:rFonts w:ascii="Arial" w:cs="Arial" w:eastAsia="Arial" w:hAnsi="Arial"/>
                <w:sz w:val="14"/>
                <w:szCs w:val="14"/>
                <w:color w:val="auto"/>
              </w:rPr>
              <w:t>$6,272</w:t>
            </w:r>
          </w:p>
        </w:tc>
        <w:tc>
          <w:tcPr>
            <w:tcW w:w="1400" w:type="dxa"/>
            <w:vAlign w:val="bottom"/>
          </w:tcPr>
          <w:p>
            <w:pPr>
              <w:jc w:val="right"/>
              <w:ind w:right="508"/>
              <w:spacing w:after="0" w:line="147" w:lineRule="exact"/>
              <w:rPr>
                <w:sz w:val="20"/>
                <w:szCs w:val="20"/>
                <w:color w:val="auto"/>
              </w:rPr>
            </w:pPr>
            <w:r>
              <w:rPr>
                <w:rFonts w:ascii="Arial" w:cs="Arial" w:eastAsia="Arial" w:hAnsi="Arial"/>
                <w:sz w:val="14"/>
                <w:szCs w:val="14"/>
                <w:color w:val="auto"/>
              </w:rPr>
              <w:t>6.7%</w:t>
            </w:r>
          </w:p>
        </w:tc>
        <w:tc>
          <w:tcPr>
            <w:tcW w:w="1220" w:type="dxa"/>
            <w:vAlign w:val="bottom"/>
          </w:tcPr>
          <w:p>
            <w:pPr>
              <w:jc w:val="right"/>
              <w:ind w:right="28"/>
              <w:spacing w:after="0" w:line="147" w:lineRule="exact"/>
              <w:rPr>
                <w:sz w:val="20"/>
                <w:szCs w:val="20"/>
                <w:color w:val="auto"/>
              </w:rPr>
            </w:pPr>
            <w:r>
              <w:rPr>
                <w:rFonts w:ascii="Arial" w:cs="Arial" w:eastAsia="Arial" w:hAnsi="Arial"/>
                <w:sz w:val="14"/>
                <w:szCs w:val="14"/>
                <w:color w:val="auto"/>
              </w:rPr>
              <w:t>$22,923</w:t>
            </w:r>
          </w:p>
        </w:tc>
        <w:tc>
          <w:tcPr>
            <w:tcW w:w="122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$24,678</w:t>
            </w:r>
          </w:p>
        </w:tc>
        <w:tc>
          <w:tcPr>
            <w:tcW w:w="820" w:type="dxa"/>
            <w:vAlign w:val="bottom"/>
          </w:tcPr>
          <w:p>
            <w:pPr>
              <w:jc w:val="right"/>
              <w:spacing w:after="0" w:line="147" w:lineRule="exact"/>
              <w:rPr>
                <w:sz w:val="20"/>
                <w:szCs w:val="20"/>
                <w:color w:val="auto"/>
              </w:rPr>
            </w:pPr>
            <w:r>
              <w:rPr>
                <w:rFonts w:ascii="Arial" w:cs="Arial" w:eastAsia="Arial" w:hAnsi="Arial"/>
                <w:sz w:val="14"/>
                <w:szCs w:val="14"/>
                <w:i w:val="1"/>
                <w:iCs w:val="1"/>
                <w:color w:val="auto"/>
              </w:rPr>
              <w:t>7.7%</w:t>
            </w:r>
          </w:p>
        </w:tc>
        <w:tc>
          <w:tcPr>
            <w:tcW w:w="20" w:type="dxa"/>
            <w:vAlign w:val="bottom"/>
          </w:tcPr>
          <w:p>
            <w:pPr>
              <w:spacing w:after="0"/>
              <w:rPr>
                <w:sz w:val="12"/>
                <w:szCs w:val="12"/>
                <w:color w:val="auto"/>
              </w:rPr>
            </w:pPr>
          </w:p>
        </w:tc>
      </w:tr>
      <w:tr>
        <w:trPr>
          <w:trHeight w:val="185"/>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w:t>
            </w:r>
          </w:p>
        </w:tc>
        <w:tc>
          <w:tcPr>
            <w:tcW w:w="2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i w:val="1"/>
                <w:iCs w:val="1"/>
                <w:color w:val="auto"/>
              </w:rPr>
              <w:t>$5,976</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$6,214</w:t>
            </w:r>
          </w:p>
        </w:tc>
        <w:tc>
          <w:tcPr>
            <w:tcW w:w="14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i w:val="1"/>
                <w:iCs w:val="1"/>
                <w:color w:val="auto"/>
              </w:rPr>
              <w:t>4.0%</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$23,160</w:t>
            </w: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$24,798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7.1%</w:t>
            </w:r>
          </w:p>
        </w:tc>
        <w:tc>
          <w:tcPr>
            <w:tcW w:w="20" w:type="dxa"/>
            <w:vAlign w:val="bottom"/>
          </w:tcPr>
          <w:p>
            <w:pPr>
              <w:spacing w:after="0"/>
              <w:rPr>
                <w:sz w:val="16"/>
                <w:szCs w:val="16"/>
                <w:color w:val="auto"/>
              </w:rPr>
            </w:pPr>
          </w:p>
        </w:tc>
      </w:tr>
      <w:tr>
        <w:trPr>
          <w:trHeight w:val="169"/>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Income</w:t>
            </w:r>
          </w:p>
        </w:tc>
        <w:tc>
          <w:tcPr>
            <w:tcW w:w="2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$3,787</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$4,002</w:t>
            </w:r>
          </w:p>
        </w:tc>
        <w:tc>
          <w:tcPr>
            <w:tcW w:w="14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5.7%</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$14,904</w:t>
            </w: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$15,998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14"/>
                <w:szCs w:val="14"/>
                <w:color w:val="auto"/>
              </w:rPr>
            </w:pPr>
          </w:p>
        </w:tc>
      </w:tr>
      <w:tr>
        <w:trPr>
          <w:trHeight w:val="160"/>
        </w:trPr>
        <w:tc>
          <w:tcPr>
            <w:tcW w:w="3180" w:type="dxa"/>
            <w:vAlign w:val="bottom"/>
          </w:tcPr>
          <w:p>
            <w:pPr>
              <w:ind w:left="40"/>
              <w:spacing w:after="0" w:line="160" w:lineRule="exact"/>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2280" w:type="dxa"/>
            <w:vAlign w:val="bottom"/>
          </w:tcPr>
          <w:p>
            <w:pPr>
              <w:jc w:val="right"/>
              <w:ind w:right="8"/>
              <w:spacing w:after="0" w:line="160" w:lineRule="exact"/>
              <w:rPr>
                <w:sz w:val="20"/>
                <w:szCs w:val="20"/>
                <w:color w:val="auto"/>
              </w:rPr>
            </w:pPr>
            <w:r>
              <w:rPr>
                <w:rFonts w:ascii="Arial" w:cs="Arial" w:eastAsia="Arial" w:hAnsi="Arial"/>
                <w:sz w:val="14"/>
                <w:szCs w:val="14"/>
                <w:color w:val="auto"/>
              </w:rPr>
              <w:t>$0.74</w:t>
            </w:r>
          </w:p>
        </w:tc>
        <w:tc>
          <w:tcPr>
            <w:tcW w:w="1300" w:type="dxa"/>
            <w:vAlign w:val="bottom"/>
          </w:tcPr>
          <w:p>
            <w:pPr>
              <w:jc w:val="right"/>
              <w:ind w:right="268"/>
              <w:spacing w:after="0" w:line="160" w:lineRule="exact"/>
              <w:rPr>
                <w:sz w:val="20"/>
                <w:szCs w:val="20"/>
                <w:color w:val="auto"/>
              </w:rPr>
            </w:pPr>
            <w:r>
              <w:rPr>
                <w:rFonts w:ascii="Arial" w:cs="Arial" w:eastAsia="Arial" w:hAnsi="Arial"/>
                <w:sz w:val="14"/>
                <w:szCs w:val="14"/>
                <w:color w:val="auto"/>
              </w:rPr>
              <w:t>$0.79</w:t>
            </w:r>
          </w:p>
        </w:tc>
        <w:tc>
          <w:tcPr>
            <w:tcW w:w="1400" w:type="dxa"/>
            <w:vAlign w:val="bottom"/>
          </w:tcPr>
          <w:p>
            <w:pPr>
              <w:jc w:val="right"/>
              <w:ind w:right="508"/>
              <w:spacing w:after="0" w:line="160" w:lineRule="exact"/>
              <w:rPr>
                <w:sz w:val="20"/>
                <w:szCs w:val="20"/>
                <w:color w:val="auto"/>
              </w:rPr>
            </w:pPr>
            <w:r>
              <w:rPr>
                <w:rFonts w:ascii="Arial" w:cs="Arial" w:eastAsia="Arial" w:hAnsi="Arial"/>
                <w:sz w:val="14"/>
                <w:szCs w:val="14"/>
                <w:color w:val="auto"/>
              </w:rPr>
              <w:t>6.8%</w:t>
            </w:r>
          </w:p>
        </w:tc>
        <w:tc>
          <w:tcPr>
            <w:tcW w:w="1220" w:type="dxa"/>
            <w:vAlign w:val="bottom"/>
          </w:tcPr>
          <w:p>
            <w:pPr>
              <w:jc w:val="right"/>
              <w:ind w:right="28"/>
              <w:spacing w:after="0" w:line="160" w:lineRule="exact"/>
              <w:rPr>
                <w:sz w:val="20"/>
                <w:szCs w:val="20"/>
                <w:color w:val="auto"/>
              </w:rPr>
            </w:pPr>
            <w:r>
              <w:rPr>
                <w:rFonts w:ascii="Arial" w:cs="Arial" w:eastAsia="Arial" w:hAnsi="Arial"/>
                <w:sz w:val="14"/>
                <w:szCs w:val="14"/>
                <w:color w:val="auto"/>
              </w:rPr>
              <w:t>$3.20</w:t>
            </w:r>
          </w:p>
        </w:tc>
        <w:tc>
          <w:tcPr>
            <w:tcW w:w="1220" w:type="dxa"/>
            <w:vAlign w:val="bottom"/>
          </w:tcPr>
          <w:p>
            <w:pPr>
              <w:jc w:val="right"/>
              <w:ind w:right="248"/>
              <w:spacing w:after="0" w:line="160" w:lineRule="exact"/>
              <w:rPr>
                <w:sz w:val="20"/>
                <w:szCs w:val="20"/>
                <w:color w:val="auto"/>
              </w:rPr>
            </w:pPr>
            <w:r>
              <w:rPr>
                <w:rFonts w:ascii="Arial" w:cs="Arial" w:eastAsia="Arial" w:hAnsi="Arial"/>
                <w:sz w:val="14"/>
                <w:szCs w:val="14"/>
                <w:color w:val="auto"/>
              </w:rPr>
              <w:t>$3.24</w:t>
            </w:r>
          </w:p>
        </w:tc>
        <w:tc>
          <w:tcPr>
            <w:tcW w:w="820" w:type="dxa"/>
            <w:vAlign w:val="bottom"/>
          </w:tcPr>
          <w:p>
            <w:pPr>
              <w:jc w:val="right"/>
              <w:spacing w:after="0" w:line="160"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3"/>
                <w:szCs w:val="13"/>
                <w:color w:val="auto"/>
              </w:rPr>
            </w:pPr>
          </w:p>
        </w:tc>
      </w:tr>
      <w:tr>
        <w:trPr>
          <w:trHeight w:val="185"/>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w:t>
            </w:r>
          </w:p>
        </w:tc>
        <w:tc>
          <w:tcPr>
            <w:tcW w:w="2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i w:val="1"/>
                <w:iCs w:val="1"/>
                <w:color w:val="auto"/>
              </w:rPr>
              <w:t>$0.77</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$0.81</w:t>
            </w:r>
          </w:p>
        </w:tc>
        <w:tc>
          <w:tcPr>
            <w:tcW w:w="14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i w:val="1"/>
                <w:iCs w:val="1"/>
                <w:color w:val="auto"/>
              </w:rPr>
              <w:t>5.2%</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$2.93</w:t>
            </w: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$3.25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10.9%</w:t>
            </w:r>
          </w:p>
        </w:tc>
        <w:tc>
          <w:tcPr>
            <w:tcW w:w="20" w:type="dxa"/>
            <w:vAlign w:val="bottom"/>
          </w:tcPr>
          <w:p>
            <w:pPr>
              <w:spacing w:after="0"/>
              <w:rPr>
                <w:sz w:val="16"/>
                <w:szCs w:val="16"/>
                <w:color w:val="auto"/>
              </w:rPr>
            </w:pPr>
          </w:p>
        </w:tc>
      </w:tr>
      <w:tr>
        <w:trPr>
          <w:trHeight w:val="211"/>
        </w:trPr>
        <w:tc>
          <w:tcPr>
            <w:tcW w:w="318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2280" w:type="dxa"/>
            <w:vAlign w:val="bottom"/>
          </w:tcPr>
          <w:p>
            <w:pPr>
              <w:jc w:val="right"/>
              <w:ind w:right="8"/>
              <w:spacing w:after="0"/>
              <w:rPr>
                <w:sz w:val="20"/>
                <w:szCs w:val="20"/>
                <w:color w:val="auto"/>
              </w:rPr>
            </w:pPr>
            <w:r>
              <w:rPr>
                <w:rFonts w:ascii="Arial" w:cs="Arial" w:eastAsia="Arial" w:hAnsi="Arial"/>
                <w:sz w:val="14"/>
                <w:szCs w:val="14"/>
                <w:color w:val="auto"/>
              </w:rPr>
              <w:t>$1,694</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$1,588</w:t>
            </w:r>
          </w:p>
        </w:tc>
        <w:tc>
          <w:tcPr>
            <w:tcW w:w="1400" w:type="dxa"/>
            <w:vAlign w:val="bottom"/>
          </w:tcPr>
          <w:p>
            <w:pPr>
              <w:jc w:val="right"/>
              <w:ind w:right="508"/>
              <w:spacing w:after="0"/>
              <w:rPr>
                <w:sz w:val="20"/>
                <w:szCs w:val="20"/>
                <w:color w:val="auto"/>
              </w:rPr>
            </w:pPr>
            <w:r>
              <w:rPr>
                <w:rFonts w:ascii="Arial" w:cs="Arial" w:eastAsia="Arial" w:hAnsi="Arial"/>
                <w:sz w:val="14"/>
                <w:szCs w:val="14"/>
                <w:color w:val="auto"/>
              </w:rPr>
              <w:t>(6.3%)</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$8,167</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$8,935</w:t>
            </w:r>
          </w:p>
        </w:tc>
        <w:tc>
          <w:tcPr>
            <w:tcW w:w="820" w:type="dxa"/>
            <w:vAlign w:val="bottom"/>
          </w:tcPr>
          <w:p>
            <w:pPr>
              <w:jc w:val="right"/>
              <w:spacing w:after="0"/>
              <w:rPr>
                <w:sz w:val="20"/>
                <w:szCs w:val="20"/>
                <w:color w:val="auto"/>
              </w:rPr>
            </w:pPr>
            <w:r>
              <w:rPr>
                <w:rFonts w:ascii="Arial" w:cs="Arial" w:eastAsia="Arial" w:hAnsi="Arial"/>
                <w:sz w:val="14"/>
                <w:szCs w:val="14"/>
                <w:color w:val="auto"/>
              </w:rPr>
              <w:t>9.4%</w:t>
            </w:r>
          </w:p>
        </w:tc>
        <w:tc>
          <w:tcPr>
            <w:tcW w:w="20" w:type="dxa"/>
            <w:vAlign w:val="bottom"/>
          </w:tcPr>
          <w:p>
            <w:pPr>
              <w:spacing w:after="0"/>
              <w:rPr>
                <w:sz w:val="18"/>
                <w:szCs w:val="18"/>
                <w:color w:val="auto"/>
              </w:rPr>
            </w:pPr>
          </w:p>
        </w:tc>
      </w:tr>
    </w:tbl>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fourth quarter of 2015 increased 8.5% to $19.2 billion.</w:t>
      </w:r>
      <w:r>
        <w:rPr>
          <w:rFonts w:ascii="Arial" w:cs="Arial" w:eastAsia="Arial" w:hAnsi="Arial"/>
          <w:sz w:val="18"/>
          <w:szCs w:val="18"/>
          <w:b w:val="1"/>
          <w:bCs w:val="1"/>
          <w:i w:val="1"/>
          <w:iCs w:val="1"/>
          <w:color w:val="auto"/>
        </w:rPr>
        <w:t xml:space="preserve"> Consolidated Operating Cash Flow </w:t>
      </w:r>
      <w:r>
        <w:rPr>
          <w:rFonts w:ascii="Arial" w:cs="Arial" w:eastAsia="Arial" w:hAnsi="Arial"/>
          <w:sz w:val="18"/>
          <w:szCs w:val="18"/>
          <w:color w:val="auto"/>
        </w:rPr>
        <w:t>increased 6.7%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$6.3 billion. </w:t>
      </w:r>
      <w:r>
        <w:rPr>
          <w:rFonts w:ascii="Arial" w:cs="Arial" w:eastAsia="Arial" w:hAnsi="Arial"/>
          <w:sz w:val="18"/>
          <w:szCs w:val="18"/>
          <w:b w:val="1"/>
          <w:bCs w:val="1"/>
          <w:i w:val="1"/>
          <w:iCs w:val="1"/>
          <w:color w:val="auto"/>
        </w:rPr>
        <w:t>Consolidated Operating Income</w:t>
      </w:r>
      <w:r>
        <w:rPr>
          <w:rFonts w:ascii="Arial" w:cs="Arial" w:eastAsia="Arial" w:hAnsi="Arial"/>
          <w:sz w:val="18"/>
          <w:szCs w:val="18"/>
          <w:color w:val="auto"/>
        </w:rPr>
        <w:t xml:space="preserve"> increased 5.7% to $4.0 billion. On November 13, 2015, we acquired a 51% interest in the Universal Studios theme park located in Osaka, Japan (“Universal Studios Japan”). Fourth quarter and full-year 2015 results include $169 million of revenue and $80 million of operating cash flow attributable to Universal Studios Japan from its acquisition date. Consolidated revenue for the fourth quarter of 2015 excluding Universal Studios Japan increased 7.6%. Consolidated operating cash flow excluding Universal Studios Japan, as well as $22 million of costs associated with a change in the presentation of amounts payable for a contractual obligation</w:t>
      </w:r>
      <w:r>
        <w:rPr>
          <w:rFonts w:ascii="Arial" w:cs="Arial" w:eastAsia="Arial" w:hAnsi="Arial"/>
          <w:sz w:val="18"/>
          <w:szCs w:val="18"/>
          <w:color w:val="auto"/>
          <w:vertAlign w:val="superscript"/>
        </w:rPr>
        <w:t>4</w:t>
      </w:r>
      <w:r>
        <w:rPr>
          <w:rFonts w:ascii="Arial" w:cs="Arial" w:eastAsia="Arial" w:hAnsi="Arial"/>
          <w:sz w:val="18"/>
          <w:szCs w:val="18"/>
          <w:color w:val="auto"/>
        </w:rPr>
        <w:t xml:space="preserve"> in the fourth</w:t>
      </w:r>
    </w:p>
    <w:p>
      <w:pPr>
        <w:sectPr>
          <w:pgSz w:w="11900" w:h="16838" w:orient="portrait"/>
          <w:cols w:equalWidth="0" w:num="1">
            <w:col w:w="11420"/>
          </w:cols>
          <w:pgMar w:left="240" w:top="118" w:right="239" w:bottom="0" w:gutter="0" w:footer="0" w:header="0"/>
        </w:sectPr>
      </w:pPr>
    </w:p>
    <w:bookmarkStart w:id="3" w:name="page4"/>
    <w:bookmarkEnd w:id="3"/>
    <w:p>
      <w:pPr>
        <w:jc w:val="both"/>
        <w:spacing w:after="0" w:line="245" w:lineRule="auto"/>
        <w:rPr>
          <w:sz w:val="20"/>
          <w:szCs w:val="20"/>
          <w:color w:val="auto"/>
        </w:rPr>
      </w:pPr>
      <w:r>
        <w:rPr>
          <w:rFonts w:ascii="Arial" w:cs="Arial" w:eastAsia="Arial" w:hAnsi="Arial"/>
          <w:sz w:val="18"/>
          <w:szCs w:val="18"/>
          <w:color w:val="auto"/>
        </w:rPr>
        <w:t>quarter of 2015 and $99 million of Time Warner Cable and Charter transaction-related costs in the fourth quarter of 2014, increased 4.0% (see Table 5).</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year ended December 31, 2015, consolidated revenue increased 8.3% to $74.5 billion. Consolidated operating cash flow increased 7.7% to $24.7 billion. Consolidated operating income increased 7.3% to $16.0 billion. Full-year 2015 results include $169 million of revenue and $80 million of operating cash flow attributable to Universal Studios Japan from its acquisition date. Consolidated revenue for the full year 2015 excluding Universal Studios Japan, as well as $376 million of revenue generated by the broadcast of the NFL’s Super Bowl in the first quarter of 2015 and $1.1 billion of revenue generated by the Sochi Olympics in the first quarter of 2014, increased 9.3%. Consolidated operating cash flow excluding Universal Studios Japan, as well as $178 million of transaction-related costs in 2015 and $237 million in 2014, and $ 22 million of costs associated with a change in the presentation of amounts payable for a contractual obligation</w:t>
      </w:r>
      <w:r>
        <w:rPr>
          <w:rFonts w:ascii="Arial" w:cs="Arial" w:eastAsia="Arial" w:hAnsi="Arial"/>
          <w:sz w:val="18"/>
          <w:szCs w:val="18"/>
          <w:color w:val="auto"/>
          <w:vertAlign w:val="superscript"/>
        </w:rPr>
        <w:t>4</w:t>
      </w:r>
      <w:r>
        <w:rPr>
          <w:rFonts w:ascii="Arial" w:cs="Arial" w:eastAsia="Arial" w:hAnsi="Arial"/>
          <w:sz w:val="18"/>
          <w:szCs w:val="18"/>
          <w:color w:val="auto"/>
        </w:rPr>
        <w:t xml:space="preserve"> in the fourth quarter of 2015, increased 7.1% (see Table 5).</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fourth quarter of 2015 was $0.79, a 6.8% increase from the $0.74 reported in the fourth quarter of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a $ 0.02 loss on an investment resulting from our proportionate share of an impairment loss recorded at The Weather Channel in the fourth quarter of 2015, as well as $0.03 of transaction-related costs in the fourth quarter of 2014, EPS increased 5.2% to $0.81 (see Table 4).</w:t>
      </w:r>
    </w:p>
    <w:p>
      <w:pPr>
        <w:spacing w:after="0" w:line="13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EPS for the year ended December 31, 2015 was $3.24, a 1.3% increase from the $3.20 reported in the prior year. On an adjusted basis, EPS increased 10.9% to $3.25 (see Table 4).</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18.6% to $2.6 billion in the fourth quarter of 2015 compared to the fourth quarter of 2014. 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capital expenditures increased $190 million, or 10.2%, to $2.1 billion in the fourth quarter of 2015, primarily reflecting our continued spending on customer premise equipment related to the deployment of the X1 platform and wireless gateways and increased investment in network infrastructure to increase network capacity. Cable capital expenditures represented 17.2% of Cable revenue in the fourth quarter of 2015 compared to 16.5% in last year’s fourth quarter. NBCUniversal’s capital expenditures increased $ 220 million, or 65.2%, to $557 million in the fourth quarter of 2015, primarily reflecting increased spending at Theme Parks, including a land purchase adjacent to an existing theme park of $130 million and $12 million attributable to Universal Studios Japan.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 ended December 31, 2015, capital expenditures increased 14.5% to $8.5 billion compared to the prior year. Cable Communications’ capital expenditures increased $880 million, or 14.3%, to $ 7.0 billion, primarily reflecting increased spending on customer premise equipment related to the deployment of the X1 platform and wireless gateways, as well as increased investment in our network. For the year, Cable capital expenditures represented 15.0% of Cable revenue compared to 13.9% in 2014. NBCUniversal’s capital expenditures increased $165 million, or 13.5%, to $1.4 billion in 2015, primarily reflecting increased investments in Theme Parks.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decreased 6.3% to $1.6 billion in the fourth quarter of 2015 compared to $1.7 billion in the fourth quarter of 2014, reflecting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in consolidated operating cash flow and lower cash taxes, offset by higher capital expenditures and increased working capital.</w:t>
      </w:r>
    </w:p>
    <w:p>
      <w:pPr>
        <w:spacing w:after="0" w:line="16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Free cash flow for the year ended December 31, 2015 increased 9.4% to $ 8.9 billion compared to $8.2 billion in 2014, reflecting growth in consolidated operating cash flow and improvement in working capital, partially offset by increased capital expenditures.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4th Quarter</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Arial" w:cs="Arial" w:eastAsia="Arial" w:hAnsi="Arial"/>
                <w:sz w:val="14"/>
                <w:szCs w:val="14"/>
                <w:color w:val="auto"/>
              </w:rPr>
              <w:t>Full Year</w:t>
            </w:r>
          </w:p>
        </w:tc>
        <w:tc>
          <w:tcPr>
            <w:tcW w:w="840" w:type="dxa"/>
            <w:vAlign w:val="bottom"/>
          </w:tcPr>
          <w:p>
            <w:pPr>
              <w:spacing w:after="0"/>
              <w:rPr>
                <w:sz w:val="14"/>
                <w:szCs w:val="14"/>
                <w:color w:val="auto"/>
              </w:rPr>
            </w:pPr>
          </w:p>
        </w:tc>
      </w:tr>
      <w:tr>
        <w:trPr>
          <w:trHeight w:val="181"/>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2015</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Growth</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2014</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03"/>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Cash Flow</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$5,877</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$6,272</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6.7%</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$22,923</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$24,678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r>
      <w:tr>
        <w:trPr>
          <w:trHeight w:val="196"/>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Capital Expenditures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(2,637)</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18.6%</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(7,420)</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(8,499)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r>
      <w:tr>
        <w:trPr>
          <w:trHeight w:val="196"/>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(454)</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17.3%</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(1,122)</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(1,370)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r>
      <w:tr>
        <w:trPr>
          <w:trHeight w:val="196"/>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Interest Expense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(529)</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(7.0%)</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(2,389)</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(2,443)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196"/>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Taxes on Operating Items (Including Economic Stimulus Packages)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(326)</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(44.4%)</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(3,765)</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(3,731)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196"/>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(375)</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NM</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(507)</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(267)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r>
      <w:tr>
        <w:trPr>
          <w:trHeight w:val="203"/>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Noncash Share-Based Compensation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137</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7.9%</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513</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567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207"/>
        </w:trPr>
        <w:tc>
          <w:tcPr>
            <w:tcW w:w="512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 and Dividends for Redeemable</w:t>
            </w: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64"/>
        </w:trPr>
        <w:tc>
          <w:tcPr>
            <w:tcW w:w="512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Subsidiary Preferred Stock</w:t>
            </w: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(50)</w:t>
            </w:r>
          </w:p>
        </w:tc>
        <w:tc>
          <w:tcPr>
            <w:tcW w:w="110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(54)</w:t>
            </w:r>
          </w:p>
        </w:tc>
        <w:tc>
          <w:tcPr>
            <w:tcW w:w="116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8.0%</w:t>
            </w:r>
          </w:p>
        </w:tc>
        <w:tc>
          <w:tcPr>
            <w:tcW w:w="11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(220)</w:t>
            </w:r>
          </w:p>
        </w:tc>
        <w:tc>
          <w:tcPr>
            <w:tcW w:w="118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(232)</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5.5%</w:t>
            </w:r>
          </w:p>
        </w:tc>
      </w:tr>
      <w:tr>
        <w:trPr>
          <w:trHeight w:val="203"/>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46.2%</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234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r>
      <w:tr>
        <w:trPr>
          <w:trHeight w:val="203"/>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Free Cash Flow (Including Economic Stimulus Packages)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$2,213</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$2,091</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(5.5%)</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$8,203</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$8,937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r>
      <w:tr>
        <w:trPr>
          <w:trHeight w:val="210"/>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Economic Stimulus Packages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(503)</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(3.1%)</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w:t>
            </w:r>
          </w:p>
        </w:tc>
      </w:tr>
      <w:tr>
        <w:trPr>
          <w:trHeight w:val="210"/>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Free Cash Flow</w:t>
            </w:r>
            <w:r>
              <w:rPr>
                <w:rFonts w:ascii="Arial" w:cs="Arial" w:eastAsia="Arial" w:hAnsi="Arial"/>
                <w:sz w:val="14"/>
                <w:szCs w:val="14"/>
                <w:color w:val="auto"/>
                <w:vertAlign w:val="superscript"/>
              </w:rPr>
              <w:t>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$1,694</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$1,588</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(6.3%)</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$8,167</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$8,935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r>
    </w:tbl>
    <w:p>
      <w:pPr>
        <w:spacing w:after="0" w:line="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NM=comparison not meaningful.</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fourth quarter of 2015, Comcast paid dividends totaling $614 million and repurchased 16.3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$980 million. For the full year, Comcast repurchased 115.9 million of its common shares for $6.75 billion and made four cash dividend payments totaling $2.4 billion, resulting in a total return of capital to shareholders of $9.2 billion for 2015.</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Today, Comcast announced that its Board of Directors has increased its stock repurchase program authorization to $10.0 billion. Comcast expects to repurchase $5.0 billion of its Class A common stock during 2016, subject to market conditions.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Comcast announced that it increased its dividend by 10.0% to $1.10 per share on an annualized basis. In accordance with the increase, the Board of Directors declared a quarterly cash dividend of $0.275 a share on the company’s common stock, payable on April 27, 2016 to shareholders of record as of the close of business on April 6, 2016.</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4th Quarter</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Arial" w:cs="Arial" w:eastAsia="Arial" w:hAnsi="Arial"/>
                <w:sz w:val="14"/>
                <w:szCs w:val="14"/>
                <w:color w:val="auto"/>
              </w:rPr>
              <w:t>Full Year</w:t>
            </w:r>
          </w:p>
        </w:tc>
        <w:tc>
          <w:tcPr>
            <w:tcW w:w="820" w:type="dxa"/>
            <w:vAlign w:val="bottom"/>
          </w:tcPr>
          <w:p>
            <w:pPr>
              <w:spacing w:after="0"/>
              <w:rPr>
                <w:sz w:val="14"/>
                <w:szCs w:val="14"/>
                <w:color w:val="auto"/>
              </w:rPr>
            </w:pPr>
          </w:p>
        </w:tc>
      </w:tr>
      <w:tr>
        <w:trPr>
          <w:trHeight w:val="1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9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2014</w:t>
            </w:r>
          </w:p>
        </w:tc>
        <w:tc>
          <w:tcPr>
            <w:tcW w:w="128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2015</w:t>
            </w:r>
          </w:p>
        </w:tc>
        <w:tc>
          <w:tcPr>
            <w:tcW w:w="1260" w:type="dxa"/>
            <w:vAlign w:val="bottom"/>
            <w:tcBorders>
              <w:bottom w:val="single" w:sz="8" w:color="auto"/>
            </w:tcBorders>
          </w:tcPr>
          <w:p>
            <w:pPr>
              <w:jc w:val="right"/>
              <w:ind w:right="388"/>
              <w:spacing w:after="0" w:line="157" w:lineRule="exact"/>
              <w:rPr>
                <w:sz w:val="20"/>
                <w:szCs w:val="20"/>
                <w:color w:val="auto"/>
              </w:rPr>
            </w:pPr>
            <w:r>
              <w:rPr>
                <w:rFonts w:ascii="Arial" w:cs="Arial" w:eastAsia="Arial" w:hAnsi="Arial"/>
                <w:sz w:val="14"/>
                <w:szCs w:val="14"/>
                <w:color w:val="auto"/>
              </w:rPr>
              <w:t>Growth</w:t>
            </w:r>
          </w:p>
        </w:tc>
        <w:tc>
          <w:tcPr>
            <w:tcW w:w="108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2014</w:t>
            </w:r>
          </w:p>
        </w:tc>
        <w:tc>
          <w:tcPr>
            <w:tcW w:w="126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2015</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Growth</w:t>
            </w:r>
          </w:p>
        </w:tc>
      </w:tr>
      <w:tr>
        <w:trPr>
          <w:trHeight w:val="203"/>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6"/>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1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$5,187</w:t>
            </w: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$5,416</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4.4%</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$20,783</w:t>
            </w: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$21,526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196"/>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1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2,912</w:t>
            </w: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3,197</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9.8%</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11,321</w:t>
            </w: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12,471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196"/>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1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916</w:t>
            </w: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899</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(1.7%)</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3,671</w:t>
            </w: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3,608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1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1,058</w:t>
            </w: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1,259</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18.9%</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3,951</w:t>
            </w: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4,742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196"/>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1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w:t>
            </w: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639</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(9.3%)</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2,393</w:t>
            </w: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2,318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w:t>
            </w: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570</w:t>
            </w: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6.4%</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2,021</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2,214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40" w:type="dxa"/>
            <w:vAlign w:val="bottom"/>
          </w:tcPr>
          <w:p>
            <w:pPr>
              <w:spacing w:after="0"/>
              <w:rPr>
                <w:sz w:val="14"/>
                <w:szCs w:val="14"/>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$11,313</w:t>
            </w: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$11,980</w:t>
            </w: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5.9%</w:t>
            </w: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$44,140</w:t>
            </w: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$46,879</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40" w:type="dxa"/>
            <w:vAlign w:val="bottom"/>
          </w:tcPr>
          <w:p>
            <w:pPr>
              <w:spacing w:after="0"/>
              <w:rPr>
                <w:sz w:val="18"/>
                <w:szCs w:val="18"/>
                <w:color w:val="auto"/>
              </w:rPr>
            </w:pPr>
          </w:p>
        </w:tc>
      </w:tr>
      <w:tr>
        <w:trPr>
          <w:trHeight w:val="195"/>
        </w:trPr>
        <w:tc>
          <w:tcPr>
            <w:tcW w:w="4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Operating Cash Flow</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$4,684</w:t>
            </w: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$4,900</w:t>
            </w: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4.6%</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$18,112</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$19,120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40" w:type="dxa"/>
            <w:vAlign w:val="bottom"/>
          </w:tcPr>
          <w:p>
            <w:pPr>
              <w:spacing w:after="0"/>
              <w:rPr>
                <w:sz w:val="17"/>
                <w:szCs w:val="17"/>
                <w:color w:val="auto"/>
              </w:rPr>
            </w:pPr>
          </w:p>
        </w:tc>
      </w:tr>
      <w:tr>
        <w:trPr>
          <w:trHeight w:val="211"/>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Operating Cash Flow Margin</w:t>
            </w: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41.4%</w:t>
            </w:r>
          </w:p>
        </w:tc>
        <w:tc>
          <w:tcPr>
            <w:tcW w:w="1360" w:type="dxa"/>
            <w:vAlign w:val="bottom"/>
          </w:tcPr>
          <w:p>
            <w:pPr>
              <w:jc w:val="right"/>
              <w:ind w:right="288"/>
              <w:spacing w:after="0"/>
              <w:rPr>
                <w:sz w:val="20"/>
                <w:szCs w:val="20"/>
                <w:color w:val="auto"/>
              </w:rPr>
            </w:pPr>
            <w:r>
              <w:rPr>
                <w:rFonts w:ascii="Arial" w:cs="Arial" w:eastAsia="Arial" w:hAnsi="Arial"/>
                <w:sz w:val="14"/>
                <w:szCs w:val="14"/>
                <w:i w:val="1"/>
                <w:iCs w:val="1"/>
                <w:color w:val="auto"/>
              </w:rPr>
              <w:t>40.9%</w:t>
            </w:r>
          </w:p>
        </w:tc>
        <w:tc>
          <w:tcPr>
            <w:tcW w:w="1240" w:type="dxa"/>
            <w:vAlign w:val="bottom"/>
          </w:tcPr>
          <w:p>
            <w:pPr>
              <w:spacing w:after="0"/>
              <w:rPr>
                <w:sz w:val="18"/>
                <w:szCs w:val="18"/>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i w:val="1"/>
                <w:iCs w:val="1"/>
                <w:color w:val="auto"/>
              </w:rPr>
              <w:t>41.0%</w:t>
            </w:r>
          </w:p>
        </w:tc>
        <w:tc>
          <w:tcPr>
            <w:tcW w:w="1120" w:type="dxa"/>
            <w:vAlign w:val="bottom"/>
          </w:tcPr>
          <w:p>
            <w:pPr>
              <w:jc w:val="right"/>
              <w:ind w:right="268"/>
              <w:spacing w:after="0"/>
              <w:rPr>
                <w:sz w:val="20"/>
                <w:szCs w:val="20"/>
                <w:color w:val="auto"/>
              </w:rPr>
            </w:pPr>
            <w:r>
              <w:rPr>
                <w:rFonts w:ascii="Arial" w:cs="Arial" w:eastAsia="Arial" w:hAnsi="Arial"/>
                <w:sz w:val="14"/>
                <w:szCs w:val="14"/>
                <w:i w:val="1"/>
                <w:iCs w:val="1"/>
                <w:color w:val="auto"/>
              </w:rPr>
              <w:t>40.8%</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4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$1,872</w:t>
            </w: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$2,062</w:t>
            </w: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10.2%</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$6,154</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$7,034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w:t>
            </w:r>
          </w:p>
        </w:tc>
        <w:tc>
          <w:tcPr>
            <w:tcW w:w="40" w:type="dxa"/>
            <w:vAlign w:val="bottom"/>
          </w:tcPr>
          <w:p>
            <w:pPr>
              <w:spacing w:after="0"/>
              <w:rPr>
                <w:sz w:val="17"/>
                <w:szCs w:val="17"/>
                <w:color w:val="auto"/>
              </w:rPr>
            </w:pPr>
          </w:p>
        </w:tc>
      </w:tr>
      <w:tr>
        <w:trPr>
          <w:trHeight w:val="19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16.5%</w:t>
            </w: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i w:val="1"/>
                <w:iCs w:val="1"/>
                <w:color w:val="auto"/>
              </w:rPr>
              <w:t>17.2%</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i w:val="1"/>
                <w:iCs w:val="1"/>
                <w:color w:val="auto"/>
              </w:rPr>
              <w:t>13.9%</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15.0%</w:t>
            </w:r>
          </w:p>
        </w:tc>
        <w:tc>
          <w:tcPr>
            <w:tcW w:w="7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373"/>
        </w:trPr>
        <w:tc>
          <w:tcPr>
            <w:tcW w:w="4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3</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41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5.9% to $12.0 billion in the fourth quarter of 2015 compared to $11.3 billion in the fourth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2014, driven by increases of 9.8% in high-speed Internet, 4.4% in video and 18.9% in business services, partially offset by a 9.3% decline in advertising due to lower political advertising revenue. The increase in Cable revenue reflects increased customer relationships (see below), customers receiving higher levels of service, customers taking additional services, as well as rate adjustments.</w:t>
      </w:r>
    </w:p>
    <w:p>
      <w:pPr>
        <w:spacing w:after="0" w:line="183"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For the year ended December 31, 2015, Cable revenue increased 6.2% to $46.9 billion compared to $44.1 billion in 2014, driven by growth in high-speed Internet, business services and video.</w:t>
      </w:r>
    </w:p>
    <w:p>
      <w:pPr>
        <w:spacing w:after="0" w:line="161"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b w:val="1"/>
          <w:bCs w:val="1"/>
          <w:i w:val="1"/>
          <w:iCs w:val="1"/>
          <w:color w:val="auto"/>
        </w:rPr>
        <w:t xml:space="preserve">Customer relationships </w:t>
      </w:r>
      <w:r>
        <w:rPr>
          <w:rFonts w:ascii="Arial" w:cs="Arial" w:eastAsia="Arial" w:hAnsi="Arial"/>
          <w:sz w:val="18"/>
          <w:szCs w:val="18"/>
          <w:color w:val="auto"/>
        </w:rPr>
        <w:t>increased by 281,000 to 27.7 million during the fourth quarter of 2015, a 57.6% improvement compared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178,000 in the fourth quarter of 2014, driven by increases in double product and triple product relationships. Video customer net additions of 89,000 were the best result for a quarter in eight years, high-speed Internet customer net additions of 460,000 were the best result for a fourth quarter in nine years, and Voice customer net additions improved to 139,000.</w:t>
      </w:r>
    </w:p>
    <w:p>
      <w:pPr>
        <w:spacing w:after="0" w:line="183"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For the year ended December 31, 2015, customer relationships increased by 666,000, an 85.9% improvement compared to net additions of 358,000 in 2014. Video customer net losses of 36,000 improved by 81.7% year-over-year and were the best result in nine years. High-speed Internet customer net additions of 1.4 million marked the tenth consecutive year of more than one million net additions, and were the best result in eight years. Voice customer net additions slowed to 282,000.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560" w:type="dxa"/>
            <w:vAlign w:val="bottom"/>
            <w:gridSpan w:val="2"/>
          </w:tcPr>
          <w:p>
            <w:pPr>
              <w:jc w:val="right"/>
              <w:ind w:right="1348"/>
              <w:spacing w:after="0"/>
              <w:rPr>
                <w:sz w:val="20"/>
                <w:szCs w:val="20"/>
                <w:color w:val="auto"/>
              </w:rPr>
            </w:pPr>
            <w:r>
              <w:rPr>
                <w:rFonts w:ascii="Arial" w:cs="Arial" w:eastAsia="Arial" w:hAnsi="Arial"/>
                <w:sz w:val="14"/>
                <w:szCs w:val="14"/>
                <w:color w:val="auto"/>
              </w:rPr>
              <w:t>Customers</w:t>
            </w:r>
          </w:p>
        </w:tc>
        <w:tc>
          <w:tcPr>
            <w:tcW w:w="1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20" w:type="dxa"/>
            <w:vAlign w:val="bottom"/>
            <w:gridSpan w:val="2"/>
          </w:tcPr>
          <w:p>
            <w:pPr>
              <w:jc w:val="right"/>
              <w:ind w:right="848"/>
              <w:spacing w:after="0"/>
              <w:rPr>
                <w:sz w:val="20"/>
                <w:szCs w:val="20"/>
                <w:color w:val="auto"/>
              </w:rPr>
            </w:pPr>
            <w:r>
              <w:rPr>
                <w:rFonts w:ascii="Arial" w:cs="Arial" w:eastAsia="Arial" w:hAnsi="Arial"/>
                <w:sz w:val="14"/>
                <w:szCs w:val="14"/>
                <w:color w:val="auto"/>
              </w:rPr>
              <w:t>Net Additions</w:t>
            </w:r>
          </w:p>
        </w:tc>
        <w:tc>
          <w:tcPr>
            <w:tcW w:w="620" w:type="dxa"/>
            <w:vAlign w:val="bottom"/>
          </w:tcPr>
          <w:p>
            <w:pPr>
              <w:spacing w:after="0"/>
              <w:rPr>
                <w:sz w:val="13"/>
                <w:szCs w:val="13"/>
                <w:color w:val="auto"/>
              </w:rPr>
            </w:pPr>
          </w:p>
        </w:tc>
      </w:tr>
      <w:tr>
        <w:trPr>
          <w:trHeight w:val="223"/>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1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YE14</w:t>
            </w:r>
          </w:p>
        </w:tc>
        <w:tc>
          <w:tcPr>
            <w:tcW w:w="176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YE15</w:t>
            </w:r>
          </w:p>
        </w:tc>
        <w:tc>
          <w:tcPr>
            <w:tcW w:w="1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4Q14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4Q15</w:t>
            </w:r>
          </w:p>
        </w:tc>
        <w:tc>
          <w:tcPr>
            <w:tcW w:w="4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r>
      <w:tr>
        <w:trPr>
          <w:trHeight w:val="162"/>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 Customers</w:t>
            </w:r>
          </w:p>
        </w:tc>
        <w:tc>
          <w:tcPr>
            <w:tcW w:w="1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22,383</w:t>
            </w:r>
          </w:p>
        </w:tc>
        <w:tc>
          <w:tcPr>
            <w:tcW w:w="176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22,347</w:t>
            </w:r>
          </w:p>
        </w:tc>
        <w:tc>
          <w:tcPr>
            <w:tcW w:w="1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4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156"/>
        </w:trPr>
        <w:tc>
          <w:tcPr>
            <w:tcW w:w="31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High-Speed Internet Customers</w:t>
            </w:r>
          </w:p>
        </w:tc>
        <w:tc>
          <w:tcPr>
            <w:tcW w:w="18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21,962</w:t>
            </w:r>
          </w:p>
        </w:tc>
        <w:tc>
          <w:tcPr>
            <w:tcW w:w="1760" w:type="dxa"/>
            <w:vAlign w:val="bottom"/>
            <w:tcBorders>
              <w:bottom w:val="single" w:sz="8" w:color="auto"/>
            </w:tcBorders>
          </w:tcPr>
          <w:p>
            <w:pPr>
              <w:jc w:val="right"/>
              <w:ind w:right="948"/>
              <w:spacing w:after="0" w:line="155" w:lineRule="exact"/>
              <w:rPr>
                <w:sz w:val="20"/>
                <w:szCs w:val="20"/>
                <w:color w:val="auto"/>
              </w:rPr>
            </w:pPr>
            <w:r>
              <w:rPr>
                <w:rFonts w:ascii="Arial" w:cs="Arial" w:eastAsia="Arial" w:hAnsi="Arial"/>
                <w:sz w:val="14"/>
                <w:szCs w:val="14"/>
                <w:color w:val="auto"/>
              </w:rPr>
              <w:t>23,329</w:t>
            </w:r>
          </w:p>
        </w:tc>
        <w:tc>
          <w:tcPr>
            <w:tcW w:w="162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375</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460</w:t>
            </w:r>
          </w:p>
        </w:tc>
        <w:tc>
          <w:tcPr>
            <w:tcW w:w="4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1,277</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1,367</w:t>
            </w:r>
          </w:p>
        </w:tc>
      </w:tr>
      <w:tr>
        <w:trPr>
          <w:trHeight w:val="163"/>
        </w:trPr>
        <w:tc>
          <w:tcPr>
            <w:tcW w:w="31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Voice Customers</w:t>
            </w:r>
          </w:p>
        </w:tc>
        <w:tc>
          <w:tcPr>
            <w:tcW w:w="18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11,193</w:t>
            </w:r>
          </w:p>
        </w:tc>
        <w:tc>
          <w:tcPr>
            <w:tcW w:w="1760" w:type="dxa"/>
            <w:vAlign w:val="bottom"/>
            <w:tcBorders>
              <w:bottom w:val="single" w:sz="8" w:color="auto"/>
            </w:tcBorders>
          </w:tcPr>
          <w:p>
            <w:pPr>
              <w:jc w:val="right"/>
              <w:ind w:right="948"/>
              <w:spacing w:after="0" w:line="155" w:lineRule="exact"/>
              <w:rPr>
                <w:sz w:val="20"/>
                <w:szCs w:val="20"/>
                <w:color w:val="auto"/>
              </w:rPr>
            </w:pPr>
            <w:r>
              <w:rPr>
                <w:rFonts w:ascii="Arial" w:cs="Arial" w:eastAsia="Arial" w:hAnsi="Arial"/>
                <w:sz w:val="14"/>
                <w:szCs w:val="14"/>
                <w:color w:val="auto"/>
              </w:rPr>
              <w:t>11,475</w:t>
            </w:r>
          </w:p>
        </w:tc>
        <w:tc>
          <w:tcPr>
            <w:tcW w:w="162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123</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w:t>
            </w:r>
          </w:p>
        </w:tc>
        <w:tc>
          <w:tcPr>
            <w:tcW w:w="4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470</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w:t>
            </w:r>
          </w:p>
        </w:tc>
      </w:tr>
      <w:tr>
        <w:trPr>
          <w:trHeight w:val="102"/>
        </w:trPr>
        <w:tc>
          <w:tcPr>
            <w:tcW w:w="314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162"/>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Single Product Customers</w:t>
            </w:r>
          </w:p>
        </w:tc>
        <w:tc>
          <w:tcPr>
            <w:tcW w:w="1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8,409</w:t>
            </w:r>
          </w:p>
        </w:tc>
        <w:tc>
          <w:tcPr>
            <w:tcW w:w="176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8,366</w:t>
            </w:r>
          </w:p>
        </w:tc>
        <w:tc>
          <w:tcPr>
            <w:tcW w:w="1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(343)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r>
      <w:tr>
        <w:trPr>
          <w:trHeight w:val="156"/>
        </w:trPr>
        <w:tc>
          <w:tcPr>
            <w:tcW w:w="31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Double Product Customers</w:t>
            </w:r>
          </w:p>
        </w:tc>
        <w:tc>
          <w:tcPr>
            <w:tcW w:w="18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8,750</w:t>
            </w:r>
          </w:p>
        </w:tc>
        <w:tc>
          <w:tcPr>
            <w:tcW w:w="1760" w:type="dxa"/>
            <w:vAlign w:val="bottom"/>
            <w:tcBorders>
              <w:bottom w:val="single" w:sz="8" w:color="auto"/>
            </w:tcBorders>
          </w:tcPr>
          <w:p>
            <w:pPr>
              <w:jc w:val="right"/>
              <w:ind w:right="948"/>
              <w:spacing w:after="0" w:line="155" w:lineRule="exact"/>
              <w:rPr>
                <w:sz w:val="20"/>
                <w:szCs w:val="20"/>
                <w:color w:val="auto"/>
              </w:rPr>
            </w:pPr>
            <w:r>
              <w:rPr>
                <w:rFonts w:ascii="Arial" w:cs="Arial" w:eastAsia="Arial" w:hAnsi="Arial"/>
                <w:sz w:val="14"/>
                <w:szCs w:val="14"/>
                <w:color w:val="auto"/>
              </w:rPr>
              <w:t>9,221</w:t>
            </w:r>
          </w:p>
        </w:tc>
        <w:tc>
          <w:tcPr>
            <w:tcW w:w="162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100</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w:t>
            </w:r>
          </w:p>
        </w:tc>
        <w:tc>
          <w:tcPr>
            <w:tcW w:w="4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209</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w:t>
            </w:r>
          </w:p>
        </w:tc>
      </w:tr>
      <w:tr>
        <w:trPr>
          <w:trHeight w:val="163"/>
        </w:trPr>
        <w:tc>
          <w:tcPr>
            <w:tcW w:w="31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Triple Product Customers</w:t>
            </w:r>
          </w:p>
        </w:tc>
        <w:tc>
          <w:tcPr>
            <w:tcW w:w="18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9,876</w:t>
            </w:r>
          </w:p>
        </w:tc>
        <w:tc>
          <w:tcPr>
            <w:tcW w:w="1760" w:type="dxa"/>
            <w:vAlign w:val="bottom"/>
            <w:tcBorders>
              <w:bottom w:val="single" w:sz="8" w:color="auto"/>
            </w:tcBorders>
          </w:tcPr>
          <w:p>
            <w:pPr>
              <w:jc w:val="right"/>
              <w:ind w:right="948"/>
              <w:spacing w:after="0" w:line="155" w:lineRule="exact"/>
              <w:rPr>
                <w:sz w:val="20"/>
                <w:szCs w:val="20"/>
                <w:color w:val="auto"/>
              </w:rPr>
            </w:pPr>
            <w:r>
              <w:rPr>
                <w:rFonts w:ascii="Arial" w:cs="Arial" w:eastAsia="Arial" w:hAnsi="Arial"/>
                <w:sz w:val="14"/>
                <w:szCs w:val="14"/>
                <w:color w:val="auto"/>
              </w:rPr>
              <w:t>10,114</w:t>
            </w:r>
          </w:p>
        </w:tc>
        <w:tc>
          <w:tcPr>
            <w:tcW w:w="162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114</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w:t>
            </w:r>
          </w:p>
        </w:tc>
        <w:tc>
          <w:tcPr>
            <w:tcW w:w="4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492</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w:t>
            </w:r>
          </w:p>
        </w:tc>
      </w:tr>
      <w:tr>
        <w:trPr>
          <w:trHeight w:val="162"/>
        </w:trPr>
        <w:tc>
          <w:tcPr>
            <w:tcW w:w="3140" w:type="dxa"/>
            <w:vAlign w:val="bottom"/>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1800" w:type="dxa"/>
            <w:vAlign w:val="bottom"/>
          </w:tcPr>
          <w:p>
            <w:pPr>
              <w:jc w:val="right"/>
              <w:ind w:right="208"/>
              <w:spacing w:after="0"/>
              <w:rPr>
                <w:sz w:val="20"/>
                <w:szCs w:val="20"/>
                <w:color w:val="auto"/>
              </w:rPr>
            </w:pPr>
            <w:r>
              <w:rPr>
                <w:rFonts w:ascii="Arial" w:cs="Arial" w:eastAsia="Arial" w:hAnsi="Arial"/>
                <w:sz w:val="14"/>
                <w:szCs w:val="14"/>
                <w:b w:val="1"/>
                <w:bCs w:val="1"/>
                <w:color w:val="auto"/>
              </w:rPr>
              <w:t>27,035</w:t>
            </w:r>
          </w:p>
        </w:tc>
        <w:tc>
          <w:tcPr>
            <w:tcW w:w="1760" w:type="dxa"/>
            <w:vAlign w:val="bottom"/>
          </w:tcPr>
          <w:p>
            <w:pPr>
              <w:jc w:val="right"/>
              <w:ind w:right="948"/>
              <w:spacing w:after="0"/>
              <w:rPr>
                <w:sz w:val="20"/>
                <w:szCs w:val="20"/>
                <w:color w:val="auto"/>
              </w:rPr>
            </w:pPr>
            <w:r>
              <w:rPr>
                <w:rFonts w:ascii="Arial" w:cs="Arial" w:eastAsia="Arial" w:hAnsi="Arial"/>
                <w:sz w:val="14"/>
                <w:szCs w:val="14"/>
                <w:b w:val="1"/>
                <w:bCs w:val="1"/>
                <w:color w:val="auto"/>
              </w:rPr>
              <w:t>27,701</w:t>
            </w:r>
          </w:p>
        </w:tc>
        <w:tc>
          <w:tcPr>
            <w:tcW w:w="1620" w:type="dxa"/>
            <w:vAlign w:val="bottom"/>
          </w:tcPr>
          <w:p>
            <w:pPr>
              <w:jc w:val="right"/>
              <w:ind w:right="188"/>
              <w:spacing w:after="0"/>
              <w:rPr>
                <w:sz w:val="20"/>
                <w:szCs w:val="20"/>
                <w:color w:val="auto"/>
              </w:rPr>
            </w:pPr>
            <w:r>
              <w:rPr>
                <w:rFonts w:ascii="Arial" w:cs="Arial" w:eastAsia="Arial" w:hAnsi="Arial"/>
                <w:sz w:val="14"/>
                <w:szCs w:val="14"/>
                <w:b w:val="1"/>
                <w:bCs w:val="1"/>
                <w:color w:val="auto"/>
              </w:rPr>
              <w:t>178</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281</w:t>
            </w:r>
          </w:p>
        </w:tc>
        <w:tc>
          <w:tcPr>
            <w:tcW w:w="480" w:type="dxa"/>
            <w:vAlign w:val="bottom"/>
            <w:tcBorders>
              <w:right w:val="single" w:sz="8" w:color="auto"/>
            </w:tcBorders>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Arial" w:cs="Arial" w:eastAsia="Arial" w:hAnsi="Arial"/>
                <w:sz w:val="14"/>
                <w:szCs w:val="14"/>
                <w:b w:val="1"/>
                <w:bCs w:val="1"/>
                <w:color w:val="auto"/>
              </w:rPr>
              <w:t>358</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666</w:t>
            </w:r>
          </w:p>
        </w:tc>
      </w:tr>
    </w:tbl>
    <w:p>
      <w:pPr>
        <w:spacing w:after="0" w:line="180"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4.6% to $4.9 billion in the fourth quarter of 2015 compared to $4.7 billion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fourth quarter of 2014, reflecting higher revenue, partially offset by a 6.8% increase in operating expenses primarily related to a 9.0% increase in technical and product support expenses, driven by an acceleration in the deployment of X1 and investments to improve the customer experience, as well as a 4.7% increase in video programming costs and a 12.0% increase in advertising, marketing and promotion costs. This quarter’s operating cash flow margin was 40.9% compared to 41.4% in the fourth quarter of 2014.</w:t>
      </w:r>
    </w:p>
    <w:p>
      <w:pPr>
        <w:spacing w:after="0" w:line="185"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For the year ended December 31, 2015, Cable operating cash flow increased 5.6% to $19.1 billion compared to $18.1 billion in 2014, driven by higher revenue, partially offset by a 6.7% increase in operating expenses primarily related to a 7.1% increase in video programming costs, as well as higher technical and product support expenses and higher advertising, marketing and promotion costs. For the year, operating cash flow margin was 40.8% compared to 41.0% in the prior year.</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4th Quarter</w:t>
            </w:r>
          </w:p>
        </w:tc>
        <w:tc>
          <w:tcPr>
            <w:tcW w:w="700" w:type="dxa"/>
            <w:vAlign w:val="bottom"/>
          </w:tcPr>
          <w:p>
            <w:pPr>
              <w:spacing w:after="0"/>
              <w:rPr>
                <w:sz w:val="14"/>
                <w:szCs w:val="14"/>
                <w:color w:val="auto"/>
              </w:rPr>
            </w:pP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i w:val="1"/>
                <w:iCs w:val="1"/>
                <w:color w:val="auto"/>
              </w:rPr>
              <w:t>Excluding</w:t>
            </w:r>
          </w:p>
        </w:tc>
        <w:tc>
          <w:tcPr>
            <w:tcW w:w="88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Full Year</w:t>
            </w:r>
          </w:p>
        </w:tc>
        <w:tc>
          <w:tcPr>
            <w:tcW w:w="7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Excluding</w:t>
            </w:r>
          </w:p>
        </w:tc>
        <w:tc>
          <w:tcPr>
            <w:tcW w:w="0" w:type="dxa"/>
            <w:vAlign w:val="bottom"/>
          </w:tcPr>
          <w:p>
            <w:pPr>
              <w:spacing w:after="0"/>
              <w:rPr>
                <w:sz w:val="1"/>
                <w:szCs w:val="1"/>
                <w:color w:val="auto"/>
              </w:rPr>
            </w:pPr>
          </w:p>
        </w:tc>
      </w:tr>
      <w:tr>
        <w:trPr>
          <w:trHeight w:val="138"/>
        </w:trPr>
        <w:tc>
          <w:tcPr>
            <w:tcW w:w="3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5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2014</w:t>
            </w:r>
          </w:p>
        </w:tc>
        <w:tc>
          <w:tcPr>
            <w:tcW w:w="12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2015</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Growth</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Adjustments</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2014</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2015</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Growth</w:t>
            </w:r>
            <w:r>
              <w:rPr>
                <w:rFonts w:ascii="Arial" w:cs="Arial" w:eastAsia="Arial" w:hAnsi="Arial"/>
                <w:sz w:val="14"/>
                <w:szCs w:val="14"/>
                <w:i w:val="1"/>
                <w:iCs w:val="1"/>
                <w:color w:val="auto"/>
              </w:rPr>
              <w:t>Adjustments</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2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Cable Networks</w:t>
            </w:r>
          </w:p>
        </w:tc>
        <w:tc>
          <w:tcPr>
            <w:tcW w:w="158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$2,327</w:t>
            </w:r>
          </w:p>
        </w:tc>
        <w:tc>
          <w:tcPr>
            <w:tcW w:w="12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$2,407</w:t>
            </w:r>
          </w:p>
        </w:tc>
        <w:tc>
          <w:tcPr>
            <w:tcW w:w="7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3.4%</w:t>
            </w:r>
          </w:p>
        </w:tc>
        <w:tc>
          <w:tcPr>
            <w:tcW w:w="1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$9,563</w:t>
            </w:r>
          </w:p>
        </w:tc>
        <w:tc>
          <w:tcPr>
            <w:tcW w:w="12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$9,628</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0.7%</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6"/>
        </w:trPr>
        <w:tc>
          <w:tcPr>
            <w:tcW w:w="32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Broadcast Television</w:t>
            </w:r>
          </w:p>
        </w:tc>
        <w:tc>
          <w:tcPr>
            <w:tcW w:w="158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2,335</w:t>
            </w:r>
          </w:p>
        </w:tc>
        <w:tc>
          <w:tcPr>
            <w:tcW w:w="12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2,498</w:t>
            </w:r>
          </w:p>
        </w:tc>
        <w:tc>
          <w:tcPr>
            <w:tcW w:w="7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7.0%</w:t>
            </w:r>
          </w:p>
        </w:tc>
        <w:tc>
          <w:tcPr>
            <w:tcW w:w="1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8,542</w:t>
            </w:r>
          </w:p>
        </w:tc>
        <w:tc>
          <w:tcPr>
            <w:tcW w:w="12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8,530</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(0.1%)</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56"/>
        </w:trPr>
        <w:tc>
          <w:tcPr>
            <w:tcW w:w="32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Filmed Entertainment</w:t>
            </w:r>
          </w:p>
        </w:tc>
        <w:tc>
          <w:tcPr>
            <w:tcW w:w="158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1,295</w:t>
            </w:r>
          </w:p>
        </w:tc>
        <w:tc>
          <w:tcPr>
            <w:tcW w:w="12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1,629</w:t>
            </w:r>
          </w:p>
        </w:tc>
        <w:tc>
          <w:tcPr>
            <w:tcW w:w="7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25.8%</w:t>
            </w:r>
          </w:p>
        </w:tc>
        <w:tc>
          <w:tcPr>
            <w:tcW w:w="1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5,008</w:t>
            </w:r>
          </w:p>
        </w:tc>
        <w:tc>
          <w:tcPr>
            <w:tcW w:w="12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7,287</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45.5%</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Theme Parks</w:t>
            </w:r>
          </w:p>
        </w:tc>
        <w:tc>
          <w:tcPr>
            <w:tcW w:w="158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735</w:t>
            </w:r>
          </w:p>
        </w:tc>
        <w:tc>
          <w:tcPr>
            <w:tcW w:w="12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1,019</w:t>
            </w:r>
          </w:p>
        </w:tc>
        <w:tc>
          <w:tcPr>
            <w:tcW w:w="7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38.6%</w:t>
            </w:r>
          </w:p>
        </w:tc>
        <w:tc>
          <w:tcPr>
            <w:tcW w:w="11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15.5%</w:t>
            </w: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2,623</w:t>
            </w:r>
          </w:p>
        </w:tc>
        <w:tc>
          <w:tcPr>
            <w:tcW w:w="12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3,339</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27.3%</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63"/>
        </w:trPr>
        <w:tc>
          <w:tcPr>
            <w:tcW w:w="32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Headquarters, Other and Eliminations</w:t>
            </w:r>
          </w:p>
        </w:tc>
        <w:tc>
          <w:tcPr>
            <w:tcW w:w="158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(77)</w:t>
            </w:r>
          </w:p>
        </w:tc>
        <w:tc>
          <w:tcPr>
            <w:tcW w:w="12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(76)</w:t>
            </w:r>
          </w:p>
        </w:tc>
        <w:tc>
          <w:tcPr>
            <w:tcW w:w="7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NM</w:t>
            </w:r>
          </w:p>
        </w:tc>
        <w:tc>
          <w:tcPr>
            <w:tcW w:w="1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(308)</w:t>
            </w:r>
          </w:p>
        </w:tc>
        <w:tc>
          <w:tcPr>
            <w:tcW w:w="12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(322)</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NM</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2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580" w:type="dxa"/>
            <w:vAlign w:val="bottom"/>
          </w:tcPr>
          <w:p>
            <w:pPr>
              <w:jc w:val="right"/>
              <w:ind w:right="348"/>
              <w:spacing w:after="0"/>
              <w:rPr>
                <w:sz w:val="20"/>
                <w:szCs w:val="20"/>
                <w:color w:val="auto"/>
              </w:rPr>
            </w:pPr>
            <w:r>
              <w:rPr>
                <w:rFonts w:ascii="Arial" w:cs="Arial" w:eastAsia="Arial" w:hAnsi="Arial"/>
                <w:sz w:val="14"/>
                <w:szCs w:val="14"/>
                <w:b w:val="1"/>
                <w:bCs w:val="1"/>
                <w:color w:val="auto"/>
              </w:rPr>
              <w:t>$6,615</w:t>
            </w:r>
          </w:p>
        </w:tc>
        <w:tc>
          <w:tcPr>
            <w:tcW w:w="1240" w:type="dxa"/>
            <w:vAlign w:val="bottom"/>
          </w:tcPr>
          <w:p>
            <w:pPr>
              <w:jc w:val="right"/>
              <w:ind w:right="288"/>
              <w:spacing w:after="0"/>
              <w:rPr>
                <w:sz w:val="20"/>
                <w:szCs w:val="20"/>
                <w:color w:val="auto"/>
              </w:rPr>
            </w:pPr>
            <w:r>
              <w:rPr>
                <w:rFonts w:ascii="Arial" w:cs="Arial" w:eastAsia="Arial" w:hAnsi="Arial"/>
                <w:sz w:val="14"/>
                <w:szCs w:val="14"/>
                <w:b w:val="1"/>
                <w:bCs w:val="1"/>
                <w:color w:val="auto"/>
              </w:rPr>
              <w:t>$7,477</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13.0%</w:t>
            </w: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10.5%</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$25,428</w:t>
            </w:r>
          </w:p>
        </w:tc>
        <w:tc>
          <w:tcPr>
            <w:tcW w:w="1200" w:type="dxa"/>
            <w:vAlign w:val="bottom"/>
          </w:tcPr>
          <w:p>
            <w:pPr>
              <w:jc w:val="right"/>
              <w:ind w:right="408"/>
              <w:spacing w:after="0"/>
              <w:rPr>
                <w:sz w:val="20"/>
                <w:szCs w:val="20"/>
                <w:color w:val="auto"/>
              </w:rPr>
            </w:pPr>
            <w:r>
              <w:rPr>
                <w:rFonts w:ascii="Arial" w:cs="Arial" w:eastAsia="Arial" w:hAnsi="Arial"/>
                <w:sz w:val="14"/>
                <w:szCs w:val="14"/>
                <w:b w:val="1"/>
                <w:bCs w:val="1"/>
                <w:color w:val="auto"/>
              </w:rPr>
              <w:t>$28,462</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11.9%</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0" w:type="dxa"/>
            <w:vAlign w:val="bottom"/>
          </w:tcPr>
          <w:p>
            <w:pPr>
              <w:spacing w:after="0"/>
              <w:rPr>
                <w:sz w:val="1"/>
                <w:szCs w:val="1"/>
                <w:color w:val="auto"/>
              </w:rPr>
            </w:pPr>
          </w:p>
        </w:tc>
      </w:tr>
      <w:tr>
        <w:trPr>
          <w:trHeight w:val="195"/>
        </w:trPr>
        <w:tc>
          <w:tcPr>
            <w:tcW w:w="3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15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Cable Networks</w:t>
            </w:r>
          </w:p>
        </w:tc>
        <w:tc>
          <w:tcPr>
            <w:tcW w:w="158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$912</w:t>
            </w:r>
          </w:p>
        </w:tc>
        <w:tc>
          <w:tcPr>
            <w:tcW w:w="12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$894</w:t>
            </w:r>
          </w:p>
        </w:tc>
        <w:tc>
          <w:tcPr>
            <w:tcW w:w="7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(1.9%)</w:t>
            </w:r>
          </w:p>
        </w:tc>
        <w:tc>
          <w:tcPr>
            <w:tcW w:w="1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$3,589</w:t>
            </w:r>
          </w:p>
        </w:tc>
        <w:tc>
          <w:tcPr>
            <w:tcW w:w="12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$3,499</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(2.5%)</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Broadcast Television</w:t>
            </w:r>
          </w:p>
        </w:tc>
        <w:tc>
          <w:tcPr>
            <w:tcW w:w="158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230</w:t>
            </w:r>
          </w:p>
        </w:tc>
        <w:tc>
          <w:tcPr>
            <w:tcW w:w="12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217</w:t>
            </w:r>
          </w:p>
        </w:tc>
        <w:tc>
          <w:tcPr>
            <w:tcW w:w="7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(5.6%)</w:t>
            </w:r>
          </w:p>
        </w:tc>
        <w:tc>
          <w:tcPr>
            <w:tcW w:w="1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734</w:t>
            </w:r>
          </w:p>
        </w:tc>
        <w:tc>
          <w:tcPr>
            <w:tcW w:w="12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780</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6.3%</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Filmed Entertainment</w:t>
            </w:r>
          </w:p>
        </w:tc>
        <w:tc>
          <w:tcPr>
            <w:tcW w:w="158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77</w:t>
            </w:r>
          </w:p>
        </w:tc>
        <w:tc>
          <w:tcPr>
            <w:tcW w:w="12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143</w:t>
            </w:r>
          </w:p>
        </w:tc>
        <w:tc>
          <w:tcPr>
            <w:tcW w:w="7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84.6%</w:t>
            </w:r>
          </w:p>
        </w:tc>
        <w:tc>
          <w:tcPr>
            <w:tcW w:w="1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711</w:t>
            </w:r>
          </w:p>
        </w:tc>
        <w:tc>
          <w:tcPr>
            <w:tcW w:w="12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1,234</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73.5%</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20" w:type="dxa"/>
            <w:vAlign w:val="bottom"/>
            <w:tcBorders>
              <w:bottom w:val="single" w:sz="8" w:color="auto"/>
            </w:tcBorders>
          </w:tcPr>
          <w:p>
            <w:pPr>
              <w:ind w:left="40"/>
              <w:spacing w:after="0" w:line="156" w:lineRule="exact"/>
              <w:rPr>
                <w:sz w:val="20"/>
                <w:szCs w:val="20"/>
                <w:color w:val="auto"/>
              </w:rPr>
            </w:pPr>
            <w:r>
              <w:rPr>
                <w:rFonts w:ascii="Arial" w:cs="Arial" w:eastAsia="Arial" w:hAnsi="Arial"/>
                <w:sz w:val="14"/>
                <w:szCs w:val="14"/>
                <w:color w:val="auto"/>
              </w:rPr>
              <w:t>Theme Parks</w:t>
            </w:r>
            <w:r>
              <w:rPr>
                <w:rFonts w:ascii="Arial" w:cs="Arial" w:eastAsia="Arial" w:hAnsi="Arial"/>
                <w:sz w:val="17"/>
                <w:szCs w:val="17"/>
                <w:color w:val="auto"/>
                <w:vertAlign w:val="superscript"/>
              </w:rPr>
              <w:t>4</w:t>
            </w:r>
          </w:p>
        </w:tc>
        <w:tc>
          <w:tcPr>
            <w:tcW w:w="158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330</w:t>
            </w:r>
          </w:p>
        </w:tc>
        <w:tc>
          <w:tcPr>
            <w:tcW w:w="12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452</w:t>
            </w:r>
          </w:p>
        </w:tc>
        <w:tc>
          <w:tcPr>
            <w:tcW w:w="7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36.6%</w:t>
            </w:r>
          </w:p>
        </w:tc>
        <w:tc>
          <w:tcPr>
            <w:tcW w:w="11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12.3%</w:t>
            </w: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1,096</w:t>
            </w:r>
          </w:p>
        </w:tc>
        <w:tc>
          <w:tcPr>
            <w:tcW w:w="12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1,464</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33.5%</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63"/>
        </w:trPr>
        <w:tc>
          <w:tcPr>
            <w:tcW w:w="3220" w:type="dxa"/>
            <w:vAlign w:val="bottom"/>
            <w:tcBorders>
              <w:bottom w:val="single" w:sz="8" w:color="auto"/>
            </w:tcBorders>
          </w:tcPr>
          <w:p>
            <w:pPr>
              <w:ind w:left="40"/>
              <w:spacing w:after="0" w:line="156" w:lineRule="exact"/>
              <w:rPr>
                <w:sz w:val="20"/>
                <w:szCs w:val="20"/>
                <w:color w:val="auto"/>
              </w:rPr>
            </w:pPr>
            <w:r>
              <w:rPr>
                <w:rFonts w:ascii="Arial" w:cs="Arial" w:eastAsia="Arial" w:hAnsi="Arial"/>
                <w:sz w:val="14"/>
                <w:szCs w:val="14"/>
                <w:color w:val="auto"/>
              </w:rPr>
              <w:t>Headquarters, Other and Eliminations</w:t>
            </w:r>
            <w:r>
              <w:rPr>
                <w:rFonts w:ascii="Arial" w:cs="Arial" w:eastAsia="Arial" w:hAnsi="Arial"/>
                <w:sz w:val="17"/>
                <w:szCs w:val="17"/>
                <w:color w:val="auto"/>
                <w:vertAlign w:val="superscript"/>
              </w:rPr>
              <w:t>4</w:t>
            </w:r>
          </w:p>
        </w:tc>
        <w:tc>
          <w:tcPr>
            <w:tcW w:w="158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(122)</w:t>
            </w:r>
          </w:p>
        </w:tc>
        <w:tc>
          <w:tcPr>
            <w:tcW w:w="12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(155)</w:t>
            </w:r>
          </w:p>
        </w:tc>
        <w:tc>
          <w:tcPr>
            <w:tcW w:w="7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NM</w:t>
            </w:r>
          </w:p>
        </w:tc>
        <w:tc>
          <w:tcPr>
            <w:tcW w:w="1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(542)</w:t>
            </w:r>
          </w:p>
        </w:tc>
        <w:tc>
          <w:tcPr>
            <w:tcW w:w="12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(563)</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NM</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20" w:type="dxa"/>
            <w:vAlign w:val="bottom"/>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1580" w:type="dxa"/>
            <w:vAlign w:val="bottom"/>
          </w:tcPr>
          <w:p>
            <w:pPr>
              <w:jc w:val="right"/>
              <w:ind w:right="348"/>
              <w:spacing w:after="0"/>
              <w:rPr>
                <w:sz w:val="20"/>
                <w:szCs w:val="20"/>
                <w:color w:val="auto"/>
              </w:rPr>
            </w:pPr>
            <w:r>
              <w:rPr>
                <w:rFonts w:ascii="Arial" w:cs="Arial" w:eastAsia="Arial" w:hAnsi="Arial"/>
                <w:sz w:val="14"/>
                <w:szCs w:val="14"/>
                <w:b w:val="1"/>
                <w:bCs w:val="1"/>
                <w:color w:val="auto"/>
              </w:rPr>
              <w:t>$1,427</w:t>
            </w:r>
          </w:p>
        </w:tc>
        <w:tc>
          <w:tcPr>
            <w:tcW w:w="1240" w:type="dxa"/>
            <w:vAlign w:val="bottom"/>
          </w:tcPr>
          <w:p>
            <w:pPr>
              <w:jc w:val="right"/>
              <w:ind w:right="288"/>
              <w:spacing w:after="0"/>
              <w:rPr>
                <w:sz w:val="20"/>
                <w:szCs w:val="20"/>
                <w:color w:val="auto"/>
              </w:rPr>
            </w:pPr>
            <w:r>
              <w:rPr>
                <w:rFonts w:ascii="Arial" w:cs="Arial" w:eastAsia="Arial" w:hAnsi="Arial"/>
                <w:sz w:val="14"/>
                <w:szCs w:val="14"/>
                <w:b w:val="1"/>
                <w:bCs w:val="1"/>
                <w:color w:val="auto"/>
              </w:rPr>
              <w:t>$1,551</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8.7%</w:t>
            </w: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4.7%</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$5,588</w:t>
            </w:r>
          </w:p>
        </w:tc>
        <w:tc>
          <w:tcPr>
            <w:tcW w:w="1200" w:type="dxa"/>
            <w:vAlign w:val="bottom"/>
          </w:tcPr>
          <w:p>
            <w:pPr>
              <w:jc w:val="right"/>
              <w:ind w:right="408"/>
              <w:spacing w:after="0"/>
              <w:rPr>
                <w:sz w:val="20"/>
                <w:szCs w:val="20"/>
                <w:color w:val="auto"/>
              </w:rPr>
            </w:pPr>
            <w:r>
              <w:rPr>
                <w:rFonts w:ascii="Arial" w:cs="Arial" w:eastAsia="Arial" w:hAnsi="Arial"/>
                <w:sz w:val="14"/>
                <w:szCs w:val="14"/>
                <w:b w:val="1"/>
                <w:bCs w:val="1"/>
                <w:color w:val="auto"/>
              </w:rPr>
              <w:t>$6,414</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14.8%</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right="40"/>
        <w:spacing w:after="0" w:line="23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13.0% to $7.5 billion in the fourth quarter of 2015 compared to $6.6 billion in the fourth quarter of 2014.</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8.7% to $1.6 billion compared to $1.4 billion in the fourth quarter of 2014. Fourth quarter results include $169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revenue and $80 million of operating cash flow attributable to Universal Studios Japan from its acquisition date. Revenue for NBCUniversal excluding Universal Studios Japan increased 10.5%. Operating Cash flow excluding Universal Studios Japan and $22 million of costs associated with a change in the presentation of amounts payable for a contractual obligation</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fourth quarter of 2015, increased 4.7%, driven by strong results at Filmed Entertainment and Theme Parks (see Table 5).</w:t>
      </w:r>
    </w:p>
    <w:p>
      <w:pPr>
        <w:sectPr>
          <w:pgSz w:w="11900" w:h="16856" w:orient="portrait"/>
          <w:cols w:equalWidth="0" w:num="1">
            <w:col w:w="11460"/>
          </w:cols>
          <w:pgMar w:left="240" w:top="141" w:right="199" w:bottom="0" w:gutter="0" w:footer="0" w:header="0"/>
        </w:sectPr>
      </w:pPr>
    </w:p>
    <w:bookmarkStart w:id="5" w:name="page6"/>
    <w:bookmarkEnd w:id="5"/>
    <w:p>
      <w:pPr>
        <w:jc w:val="both"/>
        <w:spacing w:after="0" w:line="228" w:lineRule="auto"/>
        <w:rPr>
          <w:sz w:val="20"/>
          <w:szCs w:val="20"/>
          <w:color w:val="auto"/>
        </w:rPr>
      </w:pPr>
      <w:r>
        <w:rPr>
          <w:rFonts w:ascii="Arial" w:cs="Arial" w:eastAsia="Arial" w:hAnsi="Arial"/>
          <w:sz w:val="18"/>
          <w:szCs w:val="18"/>
          <w:color w:val="auto"/>
        </w:rPr>
        <w:t>For the year ended December 31, 2015, NBCUniversal revenue increased 11.9% to $28.5 billion compared to $25.4 billion in 2014. Operating cash flow increased 14.8% to $6.4 billion compared to $5.6 billion in 2014. Full-year 2015 results include $169 million of revenue and $80 million of operating cash flow attributable to Universal Studios Japan from its acquisition date. Revenue for NBCUniversal excluding Universal Studios Japan, as well as $376 million of revenue generated by the broadcast of the NFL’s Super Bowl in the first quarter of 2015 and $1.1 billion of revenue generated by the Sochi Olympics in the first quarter of 2014, increased 14.8%. Operating cash flow excluding Universal Studios Japan and $22 million of costs associated with a change in the presentation of amounts payable for a contractual obligation</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fourth quarter of 2015, increased 13.8%, reflecting strong results at Filmed Entertainment and Theme Parks (see Table 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fourth quarter of 2015, Cable Networks segment revenue increased 3.4% to $2.4 billion and operating cash flow decreased 1.9% to $894 million. These results reflect a 6.8% increase in distribution revenue, partially reflecting NASCAR on our sports network, NBCSN, which was more than offset by a modest 0.3% decline in advertising revenue and an increase in sports programming costs, reflecting the impact of NASCAR and higher programming costs for the English Premier League.</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year ended December 31, 2015, revenue from the Cable Networks segment increased 0.7% to $9.6 billion. Excluding $257 million of revenue generated by the 2014 Sochi Olympics, revenue increased 3.5% (see Table 5), reflecting a 6.5% increase in distribution revenue and a 0.6% increase in advertising, partially offset by lower content licensing and other revenue. Operating cash flow decreased 2.5% to $3.5 billion compared to $3.6 billion in 2014, reflecting a modest increase in reported revenue and higher programming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fourth quarter of 2015, revenue from the Broadcast Television segment increased 7.0% to $2.5 billion compared to $2.3 billion in the fourth quarter of 2014, reflecting a 7.0% increase in advertising revenue, primarily driven by higher rates, a 34.9% increase in content licensing revenue, and higher retransmission consent fees. Operating cash flow decreased 5.6% to $217 million compared to $230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million in the fourth quarter of 2014, reflecting higher revenue, more than offset by higher operating costs and expenses.</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year ended December 31, 2015, revenue from the Broadcast Television segment was stable at $8.5 billion. Excluding $376 million of revenue generated by the NFL’s Super Bowl in the first quarter of 2015, as well as $846 million of revenue generated by the 2014 Sochi Olympics, revenue increased 6.0% (see Table 5), reflecting a 13.7% increase in content licensing revenue, a 4.1% increase in advertising revenue, and higher retransmission consent fees. Operating cash flow increased 6.3% to $780 million compared to $734 million in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For the fourth quarter of 2015, revenue from the Filmed Entertainment segment increased 25.8% to $1.6 billion compared to $1.3 billion in the fourth quarter of 2014, reflecting a 74.9% increase in home entertainment revenue driven by the strong performances of </w:t>
      </w:r>
      <w:r>
        <w:rPr>
          <w:rFonts w:ascii="Arial" w:cs="Arial" w:eastAsia="Arial" w:hAnsi="Arial"/>
          <w:sz w:val="18"/>
          <w:szCs w:val="18"/>
          <w:i w:val="1"/>
          <w:iCs w:val="1"/>
          <w:color w:val="auto"/>
        </w:rPr>
        <w:t>Minions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Jurassic</w:t>
      </w:r>
      <w:r>
        <w:rPr>
          <w:rFonts w:ascii="Arial" w:cs="Arial" w:eastAsia="Arial" w:hAnsi="Arial"/>
          <w:sz w:val="18"/>
          <w:szCs w:val="18"/>
          <w:color w:val="auto"/>
        </w:rPr>
        <w:t xml:space="preserve"> </w:t>
      </w:r>
      <w:r>
        <w:rPr>
          <w:rFonts w:ascii="Arial" w:cs="Arial" w:eastAsia="Arial" w:hAnsi="Arial"/>
          <w:sz w:val="18"/>
          <w:szCs w:val="18"/>
          <w:i w:val="1"/>
          <w:iCs w:val="1"/>
          <w:color w:val="auto"/>
        </w:rPr>
        <w:t>World</w:t>
      </w:r>
      <w:r>
        <w:rPr>
          <w:rFonts w:ascii="Arial" w:cs="Arial" w:eastAsia="Arial" w:hAnsi="Arial"/>
          <w:sz w:val="18"/>
          <w:szCs w:val="18"/>
          <w:color w:val="auto"/>
        </w:rPr>
        <w:t>, as well as a 22.7% increase in content licensing revenue, partially offset by a 37.5% decline in theatrical revenue. Operating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84.6% to $143 million compared to $77 million in the fourth quarter of 2014, reflecting higher revenue, partially offset by a 22.1% increase in operating costs, primarily driven by an increase in the amortization of film costs.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For the year ended December 31, 2015, revenue from the Filmed Entertainment segment increased 45.5% to $7.3 billion compared to $5.0 billion in 2014, driven by higher theatrical revenue from the record performances of </w:t>
      </w:r>
      <w:r>
        <w:rPr>
          <w:rFonts w:ascii="Arial" w:cs="Arial" w:eastAsia="Arial" w:hAnsi="Arial"/>
          <w:sz w:val="18"/>
          <w:szCs w:val="18"/>
          <w:i w:val="1"/>
          <w:iCs w:val="1"/>
          <w:color w:val="auto"/>
        </w:rPr>
        <w:t>Minions, Jurassic World,</w:t>
      </w:r>
      <w:r>
        <w:rPr>
          <w:rFonts w:ascii="Arial" w:cs="Arial" w:eastAsia="Arial" w:hAnsi="Arial"/>
          <w:sz w:val="18"/>
          <w:szCs w:val="18"/>
          <w:color w:val="auto"/>
        </w:rPr>
        <w:t xml:space="preserve"> and </w:t>
      </w:r>
      <w:r>
        <w:rPr>
          <w:rFonts w:ascii="Arial" w:cs="Arial" w:eastAsia="Arial" w:hAnsi="Arial"/>
          <w:sz w:val="18"/>
          <w:szCs w:val="18"/>
          <w:i w:val="1"/>
          <w:iCs w:val="1"/>
          <w:color w:val="auto"/>
        </w:rPr>
        <w:t>Furious 7</w:t>
      </w:r>
      <w:r>
        <w:rPr>
          <w:rFonts w:ascii="Arial" w:cs="Arial" w:eastAsia="Arial" w:hAnsi="Arial"/>
          <w:sz w:val="18"/>
          <w:szCs w:val="18"/>
          <w:color w:val="auto"/>
        </w:rPr>
        <w:t>. Operating cash flow increased 73.5% to $1.2 billion compared to $711 million in 2014, reflecting higher revenue, partially offset by a 40.9% increase in operating expenses, primarily driven by an increase in the amortization of film costs and higher advertising, marketing and promotion expense due to a larger film slate.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For the fourth quarter of 2015, revenue from the Theme Parks segment increased 38.6% to $1.0 billion compared to $735 million in the fourth quarter of 2014. Fourth quarter operating cash flow increased 36.6% to $452 million compared to $330 million in the same period last year. Previously reported amounts have been adjusted to include costs associated with a change in the presentation of amounts payable for a contractual obligation</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fourth quarter of 2015. Excluding $169 million of revenue and $80 million of operating cash flow attributable to Universal Studios Japan from its acquisition date, revenue increased 15.5% and operating cash flow increased 12.3% (see Table 5). These results reflect higher guest attendance and per capita spending, driven by the continued success of Orlando’s </w:t>
      </w:r>
      <w:r>
        <w:rPr>
          <w:rFonts w:ascii="Arial" w:cs="Arial" w:eastAsia="Arial" w:hAnsi="Arial"/>
          <w:sz w:val="18"/>
          <w:szCs w:val="18"/>
          <w:i w:val="1"/>
          <w:iCs w:val="1"/>
          <w:color w:val="auto"/>
        </w:rPr>
        <w:t>The Wizarding World of Harry</w:t>
      </w:r>
      <w:r>
        <w:rPr>
          <w:rFonts w:ascii="Arial" w:cs="Arial" w:eastAsia="Arial" w:hAnsi="Arial"/>
          <w:sz w:val="18"/>
          <w:szCs w:val="18"/>
          <w:color w:val="auto"/>
        </w:rPr>
        <w:t xml:space="preserve"> </w:t>
      </w:r>
      <w:r>
        <w:rPr>
          <w:rFonts w:ascii="Arial" w:cs="Arial" w:eastAsia="Arial" w:hAnsi="Arial"/>
          <w:sz w:val="18"/>
          <w:szCs w:val="18"/>
          <w:i w:val="1"/>
          <w:iCs w:val="1"/>
          <w:color w:val="auto"/>
        </w:rPr>
        <w:t>Potter</w:t>
      </w:r>
      <w:r>
        <w:rPr>
          <w:rFonts w:ascii="Arial" w:cs="Arial" w:eastAsia="Arial" w:hAnsi="Arial"/>
          <w:sz w:val="18"/>
          <w:szCs w:val="18"/>
          <w:color w:val="auto"/>
        </w:rPr>
        <w:t>™</w:t>
      </w:r>
      <w:r>
        <w:rPr>
          <w:rFonts w:ascii="Arial" w:cs="Arial" w:eastAsia="Arial" w:hAnsi="Arial"/>
          <w:sz w:val="18"/>
          <w:szCs w:val="18"/>
          <w:i w:val="1"/>
          <w:iCs w:val="1"/>
          <w:color w:val="auto"/>
        </w:rPr>
        <w:t xml:space="preserve"> — Diagon Alley</w:t>
      </w:r>
      <w:r>
        <w:rPr>
          <w:rFonts w:ascii="Arial" w:cs="Arial" w:eastAsia="Arial" w:hAnsi="Arial"/>
          <w:sz w:val="18"/>
          <w:szCs w:val="18"/>
          <w:color w:val="auto"/>
        </w:rPr>
        <w:t>™, Hollywood’s</w:t>
      </w:r>
      <w:r>
        <w:rPr>
          <w:rFonts w:ascii="Arial" w:cs="Arial" w:eastAsia="Arial" w:hAnsi="Arial"/>
          <w:sz w:val="18"/>
          <w:szCs w:val="18"/>
          <w:i w:val="1"/>
          <w:iCs w:val="1"/>
          <w:color w:val="auto"/>
        </w:rPr>
        <w:t xml:space="preserve"> Fast and Furious: Supercharged, </w:t>
      </w:r>
      <w:r>
        <w:rPr>
          <w:rFonts w:ascii="Arial" w:cs="Arial" w:eastAsia="Arial" w:hAnsi="Arial"/>
          <w:sz w:val="18"/>
          <w:szCs w:val="18"/>
          <w:color w:val="auto"/>
        </w:rPr>
        <w:t>as well as</w:t>
      </w:r>
      <w:r>
        <w:rPr>
          <w:rFonts w:ascii="Arial" w:cs="Arial" w:eastAsia="Arial" w:hAnsi="Arial"/>
          <w:sz w:val="18"/>
          <w:szCs w:val="18"/>
          <w:i w:val="1"/>
          <w:iCs w:val="1"/>
          <w:color w:val="auto"/>
        </w:rPr>
        <w:t xml:space="preserve"> Halloween Horror Nights </w:t>
      </w:r>
      <w:r>
        <w:rPr>
          <w:rFonts w:ascii="Arial" w:cs="Arial" w:eastAsia="Arial" w:hAnsi="Arial"/>
          <w:sz w:val="18"/>
          <w:szCs w:val="18"/>
          <w:color w:val="auto"/>
        </w:rPr>
        <w:t>at the Orlando and Hollywood</w:t>
      </w:r>
      <w:r>
        <w:rPr>
          <w:rFonts w:ascii="Arial" w:cs="Arial" w:eastAsia="Arial" w:hAnsi="Arial"/>
          <w:sz w:val="18"/>
          <w:szCs w:val="18"/>
          <w:i w:val="1"/>
          <w:iCs w:val="1"/>
          <w:color w:val="auto"/>
        </w:rPr>
        <w:t xml:space="preserve"> </w:t>
      </w:r>
      <w:r>
        <w:rPr>
          <w:rFonts w:ascii="Arial" w:cs="Arial" w:eastAsia="Arial" w:hAnsi="Arial"/>
          <w:sz w:val="18"/>
          <w:szCs w:val="18"/>
          <w:color w:val="auto"/>
        </w:rPr>
        <w:t>parks, partially offset by an increase in operating costs to support new attractions.</w:t>
      </w:r>
    </w:p>
    <w:p>
      <w:pPr>
        <w:spacing w:after="0" w:line="20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For the year ended December 31, 2015, revenue from the Theme Parks segment increased 27.3% to $3.3 billion compared to $2.6 billion in 2014. Operating cash flow increased 33.5% to $ 1.5 billion compared to $1.1 billion in 2014. Previously reported amounts have been adjusted to include costs associated with a change in the presentation of amounts payable for a contractual obligation</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fourth quarter of 2015. Excluding $169 million of revenue and $80 million of operating cash flow attributable to Universal Studios Japan from its acquisition date, revenue increased 20.8% and operating cash flow increased 26.2% (see Table 5), driven by Orlando’s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Diagon Alley</w:t>
      </w:r>
      <w:r>
        <w:rPr>
          <w:rFonts w:ascii="Arial" w:cs="Arial" w:eastAsia="Arial" w:hAnsi="Arial"/>
          <w:sz w:val="18"/>
          <w:szCs w:val="18"/>
          <w:color w:val="auto"/>
        </w:rPr>
        <w:t>™, which opened July 8</w:t>
      </w:r>
      <w:r>
        <w:rPr>
          <w:rFonts w:ascii="Arial" w:cs="Arial" w:eastAsia="Arial" w:hAnsi="Arial"/>
          <w:sz w:val="23"/>
          <w:szCs w:val="23"/>
          <w:color w:val="auto"/>
          <w:vertAlign w:val="superscript"/>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2014.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December 31, 2015, NBCUniversal Headquarters, Other and Eliminations operating cash flow loss was $155 million compared to a loss of $122 million in the fourth quarter of 2014. Previously reported amounts have been adjusted to offset the costs included in the Theme Parks segment associated with a change in the presentation of amounts payable for a contractual obligation</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fourth quarter of 2015.</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year ended December 31, 2015, NBCUniversal Headquarters, Other and Eliminations operating cash flow loss was $563 million compared to a loss of $542 million in 2014. Previously reported amounts have been adjusted to offset the costs included in the Theme Parks segment associated with a change in the presentation of amounts payable for a contractual obligation</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fourth quarter of 2015.</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5" w:right="239" w:bottom="343"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Corporate, Other and Eliminations primarily include corporate operations, Comcast-Spectacor and eliminations among Comcast’s businesses. For the quarter ended December 31, 2015, Corporate, Other and Eliminations revenue was ($212) million compared to ($196) million in 2014. The operating cash flow loss was $179 million, compared to a loss of $234 million in the fourth quarter of 2014, including $99 million of transaction-related costs.</w:t>
      </w:r>
    </w:p>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the year ended December 31, 2015, Corporate, Other and Eliminations revenue was ($831) million compared to ($793) million in 2014. The operating cash flow loss was $856 million, including $178 million of transaction-related costs and $56 million of expenses related to a contract settlement, compared to a loss of $777 million in 2014, including $237 million of transaction-related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34" w:lineRule="exact"/>
        <w:rPr>
          <w:sz w:val="20"/>
          <w:szCs w:val="20"/>
          <w:color w:val="auto"/>
        </w:rPr>
      </w:pPr>
    </w:p>
    <w:p>
      <w:pPr>
        <w:ind w:left="180" w:hanging="166"/>
        <w:spacing w:after="0" w:line="246" w:lineRule="auto"/>
        <w:tabs>
          <w:tab w:leader="none" w:pos="247"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180" w:hanging="166"/>
        <w:spacing w:after="0" w:line="23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benefits. The definition of Free Cash Flow excludes any impact from Economic Stimulus packages. These amounts have been excluded from Free Cash Flow to provide an appropriate comparison.</w:t>
      </w:r>
    </w:p>
    <w:p>
      <w:pPr>
        <w:spacing w:after="0" w:line="189" w:lineRule="exact"/>
        <w:rPr>
          <w:sz w:val="20"/>
          <w:szCs w:val="20"/>
          <w:color w:val="auto"/>
        </w:rPr>
      </w:pPr>
    </w:p>
    <w:p>
      <w:pPr>
        <w:jc w:val="both"/>
        <w:ind w:left="180" w:hanging="166"/>
        <w:spacing w:after="0" w:line="237"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NBCUniversal changed its method of accounting for a contractual obligation that involves an interest in the revenue of certain theme parks. As a result of the change, beginning in the fourth quarter of 2015, amounts payable based on current period revenue are presented in operating costs and expenses. Amounts paid through the third quarter of 2015 were included in other income (expense), net in our consolidated statement of income. For segment reporting purposes, we have adjusted periods prior to the fourth quarter of 2015 to reflect this expense on a consistent basis for all periods in the Theme Parks segment, which resulted in an offsetting adjustment in NBCUniversal Headquarters, Other and Eliminations.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February 3, 2016 at 8:30 a.m. Eastern Time (ET). The conference call and related materials will be broadcast live and posted on its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Those parties interested in participating via telephone should dial (800) 263 -8495 with the conference ID number 9896818. A replay of the call will be available starting at 11:30 a.m. ET on Wednesday, February 3, 2016, on the Investor Relations website or by telephone. To access the telephone replay, which will be available until Wednesday, February 10, 2016 at midnight ET, please dial (855) 859-2056 and enter the conference ID number 9896818.</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From time to time, we post information that may be of interest to investors on our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and on our corporate blog, </w:t>
      </w:r>
      <w:r>
        <w:rPr>
          <w:rFonts w:ascii="Arial" w:cs="Arial" w:eastAsia="Arial" w:hAnsi="Arial"/>
          <w:sz w:val="18"/>
          <w:szCs w:val="18"/>
          <w:u w:val="single" w:color="auto"/>
          <w:color w:val="auto"/>
        </w:rPr>
        <w:t>www.corporate.comcast.com/comcast-voices</w:t>
      </w:r>
      <w:r>
        <w:rPr>
          <w:rFonts w:ascii="Arial" w:cs="Arial" w:eastAsia="Arial" w:hAnsi="Arial"/>
          <w:sz w:val="18"/>
          <w:szCs w:val="18"/>
          <w:color w:val="auto"/>
        </w:rPr>
        <w:t xml:space="preserve">.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and subscribe to email alerts.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540" w:type="dxa"/>
            <w:vAlign w:val="bottom"/>
          </w:tcPr>
          <w:p>
            <w:pPr>
              <w:jc w:val="right"/>
              <w:ind w:right="213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r>
      <w:tr>
        <w:trPr>
          <w:trHeight w:val="391"/>
        </w:trPr>
        <w:tc>
          <w:tcPr>
            <w:tcW w:w="194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2600" w:type="dxa"/>
            <w:vAlign w:val="bottom"/>
          </w:tcPr>
          <w:p>
            <w:pPr>
              <w:spacing w:after="0"/>
              <w:rPr>
                <w:sz w:val="24"/>
                <w:szCs w:val="24"/>
                <w:color w:val="auto"/>
              </w:rPr>
            </w:pPr>
          </w:p>
        </w:tc>
        <w:tc>
          <w:tcPr>
            <w:tcW w:w="3540" w:type="dxa"/>
            <w:vAlign w:val="bottom"/>
          </w:tcPr>
          <w:p>
            <w:pPr>
              <w:ind w:left="1880"/>
              <w:spacing w:after="0"/>
              <w:rPr>
                <w:sz w:val="20"/>
                <w:szCs w:val="20"/>
                <w:color w:val="auto"/>
              </w:rPr>
            </w:pPr>
            <w:r>
              <w:rPr>
                <w:rFonts w:ascii="Arial" w:cs="Arial" w:eastAsia="Arial" w:hAnsi="Arial"/>
                <w:sz w:val="18"/>
                <w:szCs w:val="18"/>
                <w:b w:val="1"/>
                <w:bCs w:val="1"/>
                <w:color w:val="auto"/>
              </w:rPr>
              <w:t>Press Contacts:</w:t>
            </w:r>
          </w:p>
        </w:tc>
        <w:tc>
          <w:tcPr>
            <w:tcW w:w="1540" w:type="dxa"/>
            <w:vAlign w:val="bottom"/>
          </w:tcPr>
          <w:p>
            <w:pPr>
              <w:spacing w:after="0"/>
              <w:rPr>
                <w:sz w:val="24"/>
                <w:szCs w:val="24"/>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Jason Armstrong</w:t>
            </w:r>
          </w:p>
        </w:tc>
        <w:tc>
          <w:tcPr>
            <w:tcW w:w="2600" w:type="dxa"/>
            <w:vAlign w:val="bottom"/>
          </w:tcPr>
          <w:p>
            <w:pPr>
              <w:jc w:val="right"/>
              <w:ind w:right="910"/>
              <w:spacing w:after="0" w:line="202" w:lineRule="exact"/>
              <w:rPr>
                <w:sz w:val="20"/>
                <w:szCs w:val="20"/>
                <w:color w:val="auto"/>
              </w:rPr>
            </w:pPr>
            <w:r>
              <w:rPr>
                <w:rFonts w:ascii="Arial" w:cs="Arial" w:eastAsia="Arial" w:hAnsi="Arial"/>
                <w:sz w:val="18"/>
                <w:szCs w:val="18"/>
                <w:color w:val="auto"/>
              </w:rPr>
              <w:t>(215) 286-7972</w:t>
            </w:r>
          </w:p>
        </w:tc>
        <w:tc>
          <w:tcPr>
            <w:tcW w:w="3540" w:type="dxa"/>
            <w:vAlign w:val="bottom"/>
          </w:tcPr>
          <w:p>
            <w:pPr>
              <w:ind w:left="1880"/>
              <w:spacing w:after="0" w:line="202" w:lineRule="exact"/>
              <w:rPr>
                <w:sz w:val="20"/>
                <w:szCs w:val="20"/>
                <w:color w:val="auto"/>
              </w:rPr>
            </w:pPr>
            <w:r>
              <w:rPr>
                <w:rFonts w:ascii="Arial" w:cs="Arial" w:eastAsia="Arial" w:hAnsi="Arial"/>
                <w:sz w:val="18"/>
                <w:szCs w:val="18"/>
                <w:color w:val="auto"/>
              </w:rPr>
              <w:t>D’Arcy Rudnay</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17"/>
        </w:trPr>
        <w:tc>
          <w:tcPr>
            <w:tcW w:w="1940" w:type="dxa"/>
            <w:vAlign w:val="bottom"/>
          </w:tcPr>
          <w:p>
            <w:pPr>
              <w:spacing w:after="0"/>
              <w:rPr>
                <w:sz w:val="20"/>
                <w:szCs w:val="20"/>
                <w:color w:val="auto"/>
              </w:rPr>
            </w:pPr>
            <w:r>
              <w:rPr>
                <w:rFonts w:ascii="Arial" w:cs="Arial" w:eastAsia="Arial" w:hAnsi="Arial"/>
                <w:sz w:val="18"/>
                <w:szCs w:val="18"/>
                <w:color w:val="auto"/>
              </w:rPr>
              <w:t>Jane Kearns</w:t>
            </w:r>
          </w:p>
        </w:tc>
        <w:tc>
          <w:tcPr>
            <w:tcW w:w="2600" w:type="dxa"/>
            <w:vAlign w:val="bottom"/>
          </w:tcPr>
          <w:p>
            <w:pPr>
              <w:jc w:val="right"/>
              <w:ind w:right="910"/>
              <w:spacing w:after="0"/>
              <w:rPr>
                <w:sz w:val="20"/>
                <w:szCs w:val="20"/>
                <w:color w:val="auto"/>
              </w:rPr>
            </w:pPr>
            <w:r>
              <w:rPr>
                <w:rFonts w:ascii="Arial" w:cs="Arial" w:eastAsia="Arial" w:hAnsi="Arial"/>
                <w:sz w:val="18"/>
                <w:szCs w:val="18"/>
                <w:color w:val="auto"/>
              </w:rPr>
              <w:t>(215) 286-4794</w:t>
            </w:r>
          </w:p>
        </w:tc>
        <w:tc>
          <w:tcPr>
            <w:tcW w:w="3540" w:type="dxa"/>
            <w:vAlign w:val="bottom"/>
          </w:tcPr>
          <w:p>
            <w:pPr>
              <w:ind w:left="1880"/>
              <w:spacing w:after="0"/>
              <w:rPr>
                <w:sz w:val="20"/>
                <w:szCs w:val="20"/>
                <w:color w:val="auto"/>
              </w:rPr>
            </w:pPr>
            <w:r>
              <w:rPr>
                <w:rFonts w:ascii="Arial" w:cs="Arial" w:eastAsia="Arial" w:hAnsi="Arial"/>
                <w:sz w:val="18"/>
                <w:szCs w:val="18"/>
                <w:color w:val="auto"/>
              </w:rPr>
              <w:t>John Demming</w:t>
            </w:r>
          </w:p>
        </w:tc>
        <w:tc>
          <w:tcPr>
            <w:tcW w:w="1540" w:type="dxa"/>
            <w:vAlign w:val="bottom"/>
          </w:tcPr>
          <w:p>
            <w:pPr>
              <w:jc w:val="right"/>
              <w:spacing w:after="0"/>
              <w:rPr>
                <w:sz w:val="20"/>
                <w:szCs w:val="20"/>
                <w:color w:val="auto"/>
              </w:rPr>
            </w:pPr>
            <w:r>
              <w:rPr>
                <w:rFonts w:ascii="Arial" w:cs="Arial" w:eastAsia="Arial" w:hAnsi="Arial"/>
                <w:sz w:val="18"/>
                <w:szCs w:val="18"/>
                <w:color w:val="auto"/>
              </w:rPr>
              <w:t>(215) 286-8011</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NBCUniversal operates news, entertainment and sports cable networks, the</w:t>
      </w:r>
    </w:p>
    <w:p>
      <w:pPr>
        <w:sectPr>
          <w:pgSz w:w="11900" w:h="16838" w:orient="portrait"/>
          <w:cols w:equalWidth="0" w:num="1">
            <w:col w:w="11420"/>
          </w:cols>
          <w:pgMar w:left="240" w:top="319" w:right="239" w:bottom="0" w:gutter="0" w:footer="0" w:header="0"/>
        </w:sectPr>
      </w:pPr>
    </w:p>
    <w:bookmarkStart w:id="7" w:name="page8"/>
    <w:bookmarkEnd w:id="7"/>
    <w:p>
      <w:pPr>
        <w:ind w:right="40"/>
        <w:spacing w:after="0" w:line="245" w:lineRule="auto"/>
        <w:rPr>
          <w:sz w:val="20"/>
          <w:szCs w:val="20"/>
          <w:color w:val="auto"/>
        </w:rPr>
      </w:pPr>
      <w:r>
        <w:rPr>
          <w:rFonts w:ascii="Arial" w:cs="Arial" w:eastAsia="Arial" w:hAnsi="Arial"/>
          <w:sz w:val="18"/>
          <w:szCs w:val="18"/>
          <w:color w:val="auto"/>
        </w:rPr>
        <w:t xml:space="preserve">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auto"/>
        </w:rPr>
        <w:t>www.comcastcorporation.com</w:t>
      </w:r>
      <w:r>
        <w:rPr>
          <w:rFonts w:ascii="Arial" w:cs="Arial" w:eastAsia="Arial" w:hAnsi="Arial"/>
          <w:sz w:val="18"/>
          <w:szCs w:val="18"/>
          <w:color w:val="auto"/>
        </w:rPr>
        <w:t xml:space="preserve"> for more information.</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452120</wp:posOffset>
            </wp:positionV>
            <wp:extent cx="960755"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26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23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Twelve Months Ended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(in millions, except per share data)</w:t>
            </w:r>
          </w:p>
        </w:tc>
        <w:tc>
          <w:tcPr>
            <w:tcW w:w="2620" w:type="dxa"/>
            <w:vAlign w:val="bottom"/>
            <w:gridSpan w:val="4"/>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2340" w:type="dxa"/>
            <w:vAlign w:val="bottom"/>
            <w:gridSpan w:val="3"/>
          </w:tcPr>
          <w:p>
            <w:pPr>
              <w:jc w:val="right"/>
              <w:ind w:right="510"/>
              <w:spacing w:after="0" w:line="202" w:lineRule="exact"/>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36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$17,732</w:t>
            </w:r>
          </w:p>
        </w:tc>
        <w:tc>
          <w:tcPr>
            <w:tcW w:w="2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$19,245</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$68,775</w:t>
            </w:r>
          </w:p>
        </w:tc>
        <w:tc>
          <w:tcPr>
            <w:tcW w:w="2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$74,510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636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020" w:type="dxa"/>
            <w:vAlign w:val="bottom"/>
          </w:tcPr>
          <w:p>
            <w:pPr>
              <w:jc w:val="right"/>
              <w:spacing w:after="0"/>
              <w:rPr>
                <w:sz w:val="20"/>
                <w:szCs w:val="20"/>
                <w:color w:val="auto"/>
              </w:rPr>
            </w:pPr>
            <w:r>
              <w:rPr>
                <w:rFonts w:ascii="Arial" w:cs="Arial" w:eastAsia="Arial" w:hAnsi="Arial"/>
                <w:sz w:val="18"/>
                <w:szCs w:val="18"/>
                <w:color w:val="auto"/>
              </w:rPr>
              <w:t>5,358</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5,836</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20,912</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22,550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and administrative</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5,166</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5,586</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19,854</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21,339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1,551</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11,855</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12,973</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45,852</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49,832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36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020" w:type="dxa"/>
            <w:vAlign w:val="bottom"/>
          </w:tcPr>
          <w:p>
            <w:pPr>
              <w:jc w:val="right"/>
              <w:spacing w:after="0"/>
              <w:rPr>
                <w:sz w:val="20"/>
                <w:szCs w:val="20"/>
                <w:color w:val="auto"/>
              </w:rPr>
            </w:pPr>
            <w:r>
              <w:rPr>
                <w:rFonts w:ascii="Arial" w:cs="Arial" w:eastAsia="Arial" w:hAnsi="Arial"/>
                <w:sz w:val="18"/>
                <w:szCs w:val="18"/>
                <w:color w:val="auto"/>
              </w:rPr>
              <w:t>5,877</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6,272</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22,923</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24,678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36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1,630</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1,776</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6,337</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6,781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494</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2,090</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2,270</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8,019</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8,680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36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3,787</w:t>
            </w:r>
          </w:p>
        </w:tc>
        <w:tc>
          <w:tcPr>
            <w:tcW w:w="2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4,002</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14,904</w:t>
            </w:r>
          </w:p>
        </w:tc>
        <w:tc>
          <w:tcPr>
            <w:tcW w:w="2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15,998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63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(674)</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360" w:type="dxa"/>
            <w:vAlign w:val="bottom"/>
          </w:tcPr>
          <w:p>
            <w:pPr>
              <w:ind w:left="180"/>
              <w:spacing w:after="0" w:line="181" w:lineRule="exact"/>
              <w:rPr>
                <w:sz w:val="20"/>
                <w:szCs w:val="20"/>
                <w:color w:val="auto"/>
              </w:rPr>
            </w:pPr>
            <w:r>
              <w:rPr>
                <w:rFonts w:ascii="Arial" w:cs="Arial" w:eastAsia="Arial" w:hAnsi="Arial"/>
                <w:sz w:val="18"/>
                <w:szCs w:val="18"/>
                <w:color w:val="auto"/>
              </w:rPr>
              <w:t>Interest expense</w:t>
            </w:r>
          </w:p>
        </w:tc>
        <w:tc>
          <w:tcPr>
            <w:tcW w:w="1020" w:type="dxa"/>
            <w:vAlign w:val="bottom"/>
          </w:tcPr>
          <w:p>
            <w:pPr>
              <w:jc w:val="right"/>
              <w:spacing w:after="0" w:line="181" w:lineRule="exact"/>
              <w:rPr>
                <w:sz w:val="20"/>
                <w:szCs w:val="20"/>
                <w:color w:val="auto"/>
              </w:rPr>
            </w:pPr>
            <w:r>
              <w:rPr>
                <w:rFonts w:ascii="Arial" w:cs="Arial" w:eastAsia="Arial" w:hAnsi="Arial"/>
                <w:sz w:val="18"/>
                <w:szCs w:val="18"/>
                <w:color w:val="auto"/>
              </w:rPr>
              <w:t>(664)</w:t>
            </w: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8"/>
                <w:szCs w:val="18"/>
                <w:color w:val="auto"/>
              </w:rPr>
              <w:t>(2,617)</w:t>
            </w: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(loss), net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57</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(123)</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(677)</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(784)</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(2,439)</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(2,626)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3,110</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3,218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12,465</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13,372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360" w:type="dxa"/>
            <w:vAlign w:val="bottom"/>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(1,162)</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3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1,996</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2,056</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8,592</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8,413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636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 and redeemable</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(85)</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360" w:type="dxa"/>
            <w:vAlign w:val="bottom"/>
          </w:tcPr>
          <w:p>
            <w:pPr>
              <w:ind w:left="360"/>
              <w:spacing w:after="0"/>
              <w:rPr>
                <w:sz w:val="20"/>
                <w:szCs w:val="20"/>
                <w:color w:val="auto"/>
              </w:rPr>
            </w:pPr>
            <w:r>
              <w:rPr>
                <w:rFonts w:ascii="Arial" w:cs="Arial" w:eastAsia="Arial" w:hAnsi="Arial"/>
                <w:sz w:val="18"/>
                <w:szCs w:val="18"/>
                <w:color w:val="auto"/>
              </w:rPr>
              <w:t>subsidiary preferred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0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vMerge w:val="continue"/>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$1,925</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$1,971</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$8,380</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$8,163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 attributable to Comcast</w:t>
            </w: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6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$0.79</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$3.24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36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2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common share attributable to Comcast</w:t>
            </w: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6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$0.25</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36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$0.225</w:t>
            </w:r>
          </w:p>
        </w:tc>
        <w:tc>
          <w:tcPr>
            <w:tcW w:w="2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636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2,481</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2,518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3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349250</wp:posOffset>
            </wp:positionV>
            <wp:extent cx="995045" cy="43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504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20"/>
                <w:szCs w:val="20"/>
                <w:color w:val="auto"/>
              </w:rPr>
            </w:pPr>
            <w:r>
              <w:rPr>
                <w:rFonts w:ascii="Arial" w:cs="Arial" w:eastAsia="Arial" w:hAnsi="Arial"/>
                <w:sz w:val="18"/>
                <w:szCs w:val="18"/>
                <w:color w:val="auto"/>
              </w:rPr>
              <w:t>(in millions)</w:t>
            </w: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808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$2,295</w:t>
            </w:r>
          </w:p>
        </w:tc>
        <w:tc>
          <w:tcPr>
            <w:tcW w:w="0" w:type="dxa"/>
            <w:vAlign w:val="bottom"/>
          </w:tcPr>
          <w:p>
            <w:pPr>
              <w:spacing w:after="0"/>
              <w:rPr>
                <w:sz w:val="1"/>
                <w:szCs w:val="1"/>
                <w:color w:val="auto"/>
              </w:rPr>
            </w:pPr>
          </w:p>
        </w:tc>
      </w:tr>
      <w:tr>
        <w:trPr>
          <w:trHeight w:val="194"/>
        </w:trPr>
        <w:tc>
          <w:tcPr>
            <w:tcW w:w="8080" w:type="dxa"/>
            <w:vAlign w:val="bottom"/>
          </w:tcPr>
          <w:p>
            <w:pPr>
              <w:ind w:left="260"/>
              <w:spacing w:after="0" w:line="195" w:lineRule="exact"/>
              <w:rPr>
                <w:sz w:val="20"/>
                <w:szCs w:val="20"/>
                <w:color w:val="auto"/>
              </w:rPr>
            </w:pPr>
            <w:r>
              <w:rPr>
                <w:rFonts w:ascii="Arial" w:cs="Arial" w:eastAsia="Arial" w:hAnsi="Arial"/>
                <w:sz w:val="18"/>
                <w:szCs w:val="18"/>
                <w:color w:val="auto"/>
              </w:rPr>
              <w:t>Cash and cash equivalents</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$3,910</w:t>
            </w: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08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2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ind w:left="260"/>
              <w:spacing w:after="0"/>
              <w:rPr>
                <w:sz w:val="20"/>
                <w:szCs w:val="20"/>
                <w:color w:val="auto"/>
              </w:rPr>
            </w:pPr>
            <w:r>
              <w:rPr>
                <w:rFonts w:ascii="Arial" w:cs="Arial" w:eastAsia="Arial" w:hAnsi="Arial"/>
                <w:sz w:val="18"/>
                <w:szCs w:val="18"/>
                <w:color w:val="auto"/>
              </w:rPr>
              <w:t>Receivables, net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6,321</w:t>
            </w:r>
          </w:p>
        </w:tc>
        <w:tc>
          <w:tcPr>
            <w:tcW w:w="2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6,896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60"/>
              <w:spacing w:after="0"/>
              <w:rPr>
                <w:sz w:val="20"/>
                <w:szCs w:val="20"/>
                <w:color w:val="auto"/>
              </w:rPr>
            </w:pPr>
            <w:r>
              <w:rPr>
                <w:rFonts w:ascii="Arial" w:cs="Arial" w:eastAsia="Arial" w:hAnsi="Arial"/>
                <w:sz w:val="18"/>
                <w:szCs w:val="18"/>
                <w:color w:val="auto"/>
              </w:rPr>
              <w:t>Programming rights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2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1,213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8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1,859</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400"/>
              <w:spacing w:after="0" w:line="196" w:lineRule="exact"/>
              <w:rPr>
                <w:sz w:val="20"/>
                <w:szCs w:val="20"/>
                <w:color w:val="auto"/>
              </w:rPr>
            </w:pPr>
            <w:r>
              <w:rPr>
                <w:rFonts w:ascii="Arial" w:cs="Arial" w:eastAsia="Arial" w:hAnsi="Arial"/>
                <w:sz w:val="18"/>
                <w:szCs w:val="18"/>
                <w:color w:val="auto"/>
              </w:rPr>
              <w:t>Total current assets</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13,531</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12,303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80" w:type="dxa"/>
            <w:vAlign w:val="bottom"/>
          </w:tcPr>
          <w:p>
            <w:pPr>
              <w:ind w:left="140"/>
              <w:spacing w:after="0"/>
              <w:rPr>
                <w:sz w:val="20"/>
                <w:szCs w:val="20"/>
                <w:color w:val="auto"/>
              </w:rPr>
            </w:pPr>
            <w:r>
              <w:rPr>
                <w:rFonts w:ascii="Arial" w:cs="Arial" w:eastAsia="Arial" w:hAnsi="Arial"/>
                <w:sz w:val="18"/>
                <w:szCs w:val="18"/>
                <w:color w:val="auto"/>
              </w:rPr>
              <w:t>Film and television costs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5,727</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5,855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3,135</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3,224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30,953</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33,665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Franchise rights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59,364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27,316</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32,945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Other intangible assets, net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16,980</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16,946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80" w:type="dxa"/>
            <w:vAlign w:val="bottom"/>
          </w:tcPr>
          <w:p>
            <w:pPr>
              <w:ind w:left="140"/>
              <w:spacing w:after="0"/>
              <w:rPr>
                <w:sz w:val="20"/>
                <w:szCs w:val="20"/>
                <w:color w:val="auto"/>
              </w:rPr>
            </w:pPr>
            <w:r>
              <w:rPr>
                <w:rFonts w:ascii="Arial" w:cs="Arial" w:eastAsia="Arial" w:hAnsi="Arial"/>
                <w:sz w:val="18"/>
                <w:szCs w:val="18"/>
                <w:color w:val="auto"/>
              </w:rPr>
              <w:t>Other noncurrent assets, net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2,180</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$159,186</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$166,574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08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$6,215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80" w:type="dxa"/>
            <w:vAlign w:val="bottom"/>
          </w:tcPr>
          <w:p>
            <w:pPr>
              <w:ind w:left="260"/>
              <w:spacing w:after="0" w:line="195" w:lineRule="exact"/>
              <w:rPr>
                <w:sz w:val="20"/>
                <w:szCs w:val="20"/>
                <w:color w:val="auto"/>
              </w:rPr>
            </w:pPr>
            <w:r>
              <w:rPr>
                <w:rFonts w:ascii="Arial" w:cs="Arial" w:eastAsia="Arial" w:hAnsi="Arial"/>
                <w:sz w:val="18"/>
                <w:szCs w:val="18"/>
                <w:color w:val="auto"/>
              </w:rPr>
              <w:t>Accounts payable and accrued expenses related to trade creditors</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$5,638</w:t>
            </w: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60"/>
              <w:spacing w:after="0"/>
              <w:rPr>
                <w:sz w:val="20"/>
                <w:szCs w:val="20"/>
                <w:color w:val="auto"/>
              </w:rPr>
            </w:pPr>
            <w:r>
              <w:rPr>
                <w:rFonts w:ascii="Arial" w:cs="Arial" w:eastAsia="Arial" w:hAnsi="Arial"/>
                <w:sz w:val="18"/>
                <w:szCs w:val="18"/>
                <w:color w:val="auto"/>
              </w:rPr>
              <w:t>Accrued participations and residuals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1,347</w:t>
            </w:r>
          </w:p>
        </w:tc>
        <w:tc>
          <w:tcPr>
            <w:tcW w:w="2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1,572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2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1,302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5,293</w:t>
            </w:r>
          </w:p>
        </w:tc>
        <w:tc>
          <w:tcPr>
            <w:tcW w:w="2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5,462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8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4,217</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400"/>
              <w:spacing w:after="0" w:line="196" w:lineRule="exact"/>
              <w:rPr>
                <w:sz w:val="20"/>
                <w:szCs w:val="20"/>
                <w:color w:val="auto"/>
              </w:rPr>
            </w:pPr>
            <w:r>
              <w:rPr>
                <w:rFonts w:ascii="Arial" w:cs="Arial" w:eastAsia="Arial" w:hAnsi="Arial"/>
                <w:sz w:val="18"/>
                <w:szCs w:val="18"/>
                <w:color w:val="auto"/>
              </w:rPr>
              <w:t>Total current liabilities</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17,410</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18,178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80" w:type="dxa"/>
            <w:vAlign w:val="bottom"/>
          </w:tcPr>
          <w:p>
            <w:pPr>
              <w:ind w:left="140"/>
              <w:spacing w:after="0"/>
              <w:rPr>
                <w:sz w:val="20"/>
                <w:szCs w:val="20"/>
                <w:color w:val="auto"/>
              </w:rPr>
            </w:pPr>
            <w:r>
              <w:rPr>
                <w:rFonts w:ascii="Arial" w:cs="Arial" w:eastAsia="Arial" w:hAnsi="Arial"/>
                <w:sz w:val="18"/>
                <w:szCs w:val="18"/>
                <w:color w:val="auto"/>
              </w:rPr>
              <w:t>Long-term debt, less current portion</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43,864</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48,994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32,959</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33,566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Other noncurrent liabilities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10,819</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10,637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1,221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080" w:type="dxa"/>
            <w:vAlign w:val="bottom"/>
          </w:tcPr>
          <w:p>
            <w:pPr>
              <w:ind w:left="140"/>
              <w:spacing w:after="0"/>
              <w:rPr>
                <w:sz w:val="20"/>
                <w:szCs w:val="20"/>
                <w:color w:val="auto"/>
              </w:rPr>
            </w:pPr>
            <w:r>
              <w:rPr>
                <w:rFonts w:ascii="Arial" w:cs="Arial" w:eastAsia="Arial" w:hAnsi="Arial"/>
                <w:sz w:val="18"/>
                <w:szCs w:val="18"/>
                <w:color w:val="auto"/>
              </w:rPr>
              <w:t>Equity</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52,269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80" w:type="dxa"/>
            <w:vAlign w:val="bottom"/>
          </w:tcPr>
          <w:p>
            <w:pPr>
              <w:ind w:left="260"/>
              <w:spacing w:after="0" w:line="195" w:lineRule="exact"/>
              <w:rPr>
                <w:sz w:val="20"/>
                <w:szCs w:val="20"/>
                <w:color w:val="auto"/>
              </w:rPr>
            </w:pPr>
            <w:r>
              <w:rPr>
                <w:rFonts w:ascii="Arial" w:cs="Arial" w:eastAsia="Arial" w:hAnsi="Arial"/>
                <w:sz w:val="18"/>
                <w:szCs w:val="18"/>
                <w:color w:val="auto"/>
              </w:rPr>
              <w:t>Comcast Corporation shareholders’ equity</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52,711</w:t>
            </w: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80" w:type="dxa"/>
            <w:vAlign w:val="bottom"/>
          </w:tcPr>
          <w:p>
            <w:pPr>
              <w:ind w:left="260"/>
              <w:spacing w:after="0"/>
              <w:rPr>
                <w:sz w:val="20"/>
                <w:szCs w:val="20"/>
                <w:color w:val="auto"/>
              </w:rPr>
            </w:pPr>
            <w:r>
              <w:rPr>
                <w:rFonts w:ascii="Arial" w:cs="Arial" w:eastAsia="Arial" w:hAnsi="Arial"/>
                <w:sz w:val="18"/>
                <w:szCs w:val="18"/>
                <w:color w:val="auto"/>
              </w:rPr>
              <w:t>Noncontrolling interests</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400"/>
              <w:spacing w:after="0" w:line="196" w:lineRule="exact"/>
              <w:rPr>
                <w:sz w:val="20"/>
                <w:szCs w:val="20"/>
                <w:color w:val="auto"/>
              </w:rPr>
            </w:pPr>
            <w:r>
              <w:rPr>
                <w:rFonts w:ascii="Arial" w:cs="Arial" w:eastAsia="Arial" w:hAnsi="Arial"/>
                <w:sz w:val="18"/>
                <w:szCs w:val="18"/>
                <w:color w:val="auto"/>
              </w:rPr>
              <w:t>Total equity</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53,068</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53,978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0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$159,186</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$166,574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ind w:left="5640"/>
              <w:spacing w:after="0"/>
              <w:rPr>
                <w:sz w:val="20"/>
                <w:szCs w:val="20"/>
                <w:color w:val="auto"/>
              </w:rPr>
            </w:pPr>
            <w:r>
              <w:rPr>
                <w:rFonts w:ascii="Arial" w:cs="Arial" w:eastAsia="Arial" w:hAnsi="Arial"/>
                <w:sz w:val="14"/>
                <w:szCs w:val="14"/>
                <w:color w:val="auto"/>
              </w:rPr>
              <w:t>10</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0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0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54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40" w:type="dxa"/>
            <w:vAlign w:val="bottom"/>
          </w:tcPr>
          <w:p>
            <w:pPr>
              <w:spacing w:after="0"/>
              <w:rPr>
                <w:sz w:val="20"/>
                <w:szCs w:val="20"/>
                <w:color w:val="auto"/>
              </w:rPr>
            </w:pPr>
            <w:r>
              <w:rPr>
                <w:rFonts w:ascii="Arial" w:cs="Arial" w:eastAsia="Arial" w:hAnsi="Arial"/>
                <w:sz w:val="18"/>
                <w:szCs w:val="18"/>
                <w:color w:val="auto"/>
              </w:rPr>
              <w:t>(in millions)</w:t>
            </w:r>
          </w:p>
        </w:tc>
        <w:tc>
          <w:tcPr>
            <w:tcW w:w="318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9"/>
              </w:rPr>
              <w:t>Twelve Months Ended</w:t>
            </w:r>
          </w:p>
        </w:tc>
      </w:tr>
      <w:tr>
        <w:trPr>
          <w:trHeight w:val="257"/>
        </w:trPr>
        <w:tc>
          <w:tcPr>
            <w:tcW w:w="8240" w:type="dxa"/>
            <w:vAlign w:val="bottom"/>
          </w:tcPr>
          <w:p>
            <w:pPr>
              <w:spacing w:after="0"/>
              <w:rPr>
                <w:sz w:val="22"/>
                <w:szCs w:val="22"/>
                <w:color w:val="auto"/>
              </w:rPr>
            </w:pPr>
          </w:p>
        </w:tc>
        <w:tc>
          <w:tcPr>
            <w:tcW w:w="216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9"/>
              </w:rPr>
              <w:t>December 31,</w:t>
            </w:r>
          </w:p>
        </w:tc>
        <w:tc>
          <w:tcPr>
            <w:tcW w:w="1020" w:type="dxa"/>
            <w:vAlign w:val="bottom"/>
          </w:tcPr>
          <w:p>
            <w:pPr>
              <w:spacing w:after="0"/>
              <w:rPr>
                <w:sz w:val="22"/>
                <w:szCs w:val="22"/>
                <w:color w:val="auto"/>
              </w:rPr>
            </w:pPr>
          </w:p>
        </w:tc>
      </w:tr>
      <w:tr>
        <w:trPr>
          <w:trHeight w:val="243"/>
        </w:trPr>
        <w:tc>
          <w:tcPr>
            <w:tcW w:w="8240" w:type="dxa"/>
            <w:vAlign w:val="bottom"/>
          </w:tcPr>
          <w:p>
            <w:pPr>
              <w:spacing w:after="0"/>
              <w:rPr>
                <w:sz w:val="21"/>
                <w:szCs w:val="21"/>
                <w:color w:val="auto"/>
              </w:rPr>
            </w:pP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412"/>
        </w:trPr>
        <w:tc>
          <w:tcPr>
            <w:tcW w:w="82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$8,592</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$8,413</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8,019</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8,680</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567</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Noncash interest expense (income),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205</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Equity in net (income) losses of investees, net</w:t>
            </w:r>
          </w:p>
        </w:tc>
        <w:tc>
          <w:tcPr>
            <w:tcW w:w="150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325</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Cash received from investees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168</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Net (gain) loss on investment activity and other</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(318)</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1,165</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958</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Current and noncurrent receivables, net</w:t>
            </w:r>
          </w:p>
        </w:tc>
        <w:tc>
          <w:tcPr>
            <w:tcW w:w="1500" w:type="dxa"/>
            <w:vAlign w:val="bottom"/>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(708)</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Film and television costs, net</w:t>
            </w:r>
          </w:p>
        </w:tc>
        <w:tc>
          <w:tcPr>
            <w:tcW w:w="1500" w:type="dxa"/>
            <w:vAlign w:val="bottom"/>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(299)</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384</w:t>
            </w:r>
          </w:p>
        </w:tc>
      </w:tr>
      <w:tr>
        <w:trPr>
          <w:trHeight w:val="230"/>
        </w:trPr>
        <w:tc>
          <w:tcPr>
            <w:tcW w:w="8240" w:type="dxa"/>
            <w:vAlign w:val="bottom"/>
          </w:tcPr>
          <w:p>
            <w:pPr>
              <w:ind w:left="260"/>
              <w:spacing w:after="0"/>
              <w:rPr>
                <w:sz w:val="20"/>
                <w:szCs w:val="20"/>
                <w:color w:val="auto"/>
              </w:rPr>
            </w:pPr>
            <w:r>
              <w:rPr>
                <w:rFonts w:ascii="Arial" w:cs="Arial" w:eastAsia="Arial" w:hAnsi="Arial"/>
                <w:sz w:val="18"/>
                <w:szCs w:val="18"/>
                <w:color w:val="auto"/>
              </w:rPr>
              <w:t>Other operating assets and liabilities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403</w:t>
            </w:r>
          </w:p>
        </w:tc>
      </w:tr>
    </w:tbl>
    <w:p>
      <w:pPr>
        <w:sectPr>
          <w:pgSz w:w="11900" w:h="16838" w:orient="portrait"/>
          <w:cols w:equalWidth="0" w:num="1">
            <w:col w:w="11460"/>
          </w:cols>
          <w:pgMar w:left="240" w:top="118" w:right="19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16,945</w:t>
            </w: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18,778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8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(7,420)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(8,499)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Cash paid for intangible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(1,122)</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(1,370)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Acquisitions and construction of real estate properties</w:t>
            </w:r>
          </w:p>
        </w:tc>
        <w:tc>
          <w:tcPr>
            <w:tcW w:w="15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Acquisitions, net of cash acquired</w:t>
            </w:r>
          </w:p>
        </w:tc>
        <w:tc>
          <w:tcPr>
            <w:tcW w:w="1500" w:type="dxa"/>
            <w:vAlign w:val="bottom"/>
          </w:tcPr>
          <w:p>
            <w:pPr>
              <w:jc w:val="right"/>
              <w:spacing w:after="0"/>
              <w:rPr>
                <w:sz w:val="20"/>
                <w:szCs w:val="20"/>
                <w:color w:val="auto"/>
              </w:rPr>
            </w:pPr>
            <w:r>
              <w:rPr>
                <w:rFonts w:ascii="Arial" w:cs="Arial" w:eastAsia="Arial" w:hAnsi="Arial"/>
                <w:sz w:val="18"/>
                <w:szCs w:val="18"/>
                <w:color w:val="auto"/>
              </w:rPr>
              <w:t>(477</w:t>
            </w: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(1,786)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sales of businesses and investments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666</w:t>
            </w: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433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Purchases of investments</w:t>
            </w:r>
          </w:p>
        </w:tc>
        <w:tc>
          <w:tcPr>
            <w:tcW w:w="150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8240" w:type="dxa"/>
            <w:vAlign w:val="bottom"/>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(8,733)</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(repayments of) short-term borrowings, net</w:t>
            </w:r>
          </w:p>
        </w:tc>
        <w:tc>
          <w:tcPr>
            <w:tcW w:w="1500" w:type="dxa"/>
            <w:vAlign w:val="bottom"/>
          </w:tcPr>
          <w:p>
            <w:pPr>
              <w:jc w:val="right"/>
              <w:spacing w:after="0"/>
              <w:rPr>
                <w:sz w:val="20"/>
                <w:szCs w:val="20"/>
                <w:color w:val="auto"/>
              </w:rPr>
            </w:pPr>
            <w:r>
              <w:rPr>
                <w:rFonts w:ascii="Arial" w:cs="Arial" w:eastAsia="Arial" w:hAnsi="Arial"/>
                <w:sz w:val="18"/>
                <w:szCs w:val="18"/>
                <w:color w:val="auto"/>
              </w:rPr>
              <w:t>(504</w:t>
            </w: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borrowings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4,182</w:t>
            </w: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5,486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and repayments of debt</w:t>
            </w:r>
          </w:p>
        </w:tc>
        <w:tc>
          <w:tcPr>
            <w:tcW w:w="1500" w:type="dxa"/>
            <w:vAlign w:val="bottom"/>
          </w:tcPr>
          <w:p>
            <w:pPr>
              <w:jc w:val="right"/>
              <w:spacing w:after="0"/>
              <w:rPr>
                <w:sz w:val="20"/>
                <w:szCs w:val="20"/>
                <w:color w:val="auto"/>
              </w:rPr>
            </w:pPr>
            <w:r>
              <w:rPr>
                <w:rFonts w:ascii="Arial" w:cs="Arial" w:eastAsia="Arial" w:hAnsi="Arial"/>
                <w:sz w:val="18"/>
                <w:szCs w:val="18"/>
                <w:color w:val="auto"/>
              </w:rPr>
              <w:t>(3,175)</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(4,378)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and retirements of common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(4,251)</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(6,750)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500" w:type="dxa"/>
            <w:vAlign w:val="bottom"/>
          </w:tcPr>
          <w:p>
            <w:pPr>
              <w:jc w:val="right"/>
              <w:spacing w:after="0"/>
              <w:rPr>
                <w:sz w:val="20"/>
                <w:szCs w:val="20"/>
                <w:color w:val="auto"/>
              </w:rPr>
            </w:pPr>
            <w:r>
              <w:rPr>
                <w:rFonts w:ascii="Arial" w:cs="Arial" w:eastAsia="Arial" w:hAnsi="Arial"/>
                <w:sz w:val="18"/>
                <w:szCs w:val="18"/>
                <w:color w:val="auto"/>
              </w:rPr>
              <w:t>(2,254)</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(2,437)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Issuances of common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240" w:type="dxa"/>
            <w:vAlign w:val="bottom"/>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(6,020)</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2,192</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(1,615)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1,718</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$3,910</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5640"/>
              <w:spacing w:after="0"/>
              <w:rPr>
                <w:sz w:val="20"/>
                <w:szCs w:val="20"/>
                <w:color w:val="auto"/>
              </w:rPr>
            </w:pPr>
            <w:r>
              <w:rPr>
                <w:rFonts w:ascii="Arial" w:cs="Arial" w:eastAsia="Arial" w:hAnsi="Arial"/>
                <w:sz w:val="14"/>
                <w:szCs w:val="14"/>
                <w:color w:val="auto"/>
              </w:rPr>
              <w:t>11</w:t>
            </w: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2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2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4</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99695</wp:posOffset>
            </wp:positionV>
            <wp:extent cx="960755" cy="394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239" w:lineRule="exact"/>
        <w:rPr>
          <w:sz w:val="20"/>
          <w:szCs w:val="20"/>
          <w:color w:val="auto"/>
        </w:rPr>
      </w:pPr>
    </w:p>
    <w:p>
      <w:pPr>
        <w:ind w:right="2940"/>
        <w:spacing w:after="0" w:line="261" w:lineRule="auto"/>
        <w:rPr>
          <w:sz w:val="20"/>
          <w:szCs w:val="20"/>
          <w:color w:val="auto"/>
        </w:rPr>
      </w:pPr>
      <w:r>
        <w:rPr>
          <w:rFonts w:ascii="Arial" w:cs="Arial" w:eastAsia="Arial" w:hAnsi="Arial"/>
          <w:sz w:val="22"/>
          <w:szCs w:val="22"/>
          <w:b w:val="1"/>
          <w:bCs w:val="1"/>
          <w:color w:val="C9C9C9"/>
        </w:rPr>
        <w:t>Alternate Presentation of Net Cash Provided by Operating Activities and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jc w:val="center"/>
              <w:ind w:right="2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jc w:val="center"/>
              <w:ind w:right="28"/>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gridSpan w:val="3"/>
          </w:tcPr>
          <w:p>
            <w:pPr>
              <w:jc w:val="right"/>
              <w:ind w:right="8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2014</w:t>
            </w:r>
          </w:p>
        </w:tc>
        <w:tc>
          <w:tcPr>
            <w:tcW w:w="180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2014</w:t>
            </w:r>
          </w:p>
        </w:tc>
        <w:tc>
          <w:tcPr>
            <w:tcW w:w="184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42"/>
        </w:trPr>
        <w:tc>
          <w:tcPr>
            <w:tcW w:w="3900" w:type="dxa"/>
            <w:vAlign w:val="bottom"/>
          </w:tcPr>
          <w:p>
            <w:pPr>
              <w:spacing w:after="0" w:line="143" w:lineRule="exact"/>
              <w:rPr>
                <w:sz w:val="20"/>
                <w:szCs w:val="20"/>
                <w:color w:val="auto"/>
              </w:rPr>
            </w:pPr>
            <w:r>
              <w:rPr>
                <w:rFonts w:ascii="Arial" w:cs="Arial" w:eastAsia="Arial" w:hAnsi="Arial"/>
                <w:sz w:val="14"/>
                <w:szCs w:val="14"/>
                <w:color w:val="auto"/>
              </w:rPr>
              <w:t>Operating income</w:t>
            </w:r>
          </w:p>
        </w:tc>
        <w:tc>
          <w:tcPr>
            <w:tcW w:w="86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$3,787</w:t>
            </w:r>
          </w:p>
        </w:tc>
        <w:tc>
          <w:tcPr>
            <w:tcW w:w="1800" w:type="dxa"/>
            <w:vAlign w:val="bottom"/>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$4,002</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$14,904</w:t>
            </w:r>
          </w:p>
        </w:tc>
        <w:tc>
          <w:tcPr>
            <w:tcW w:w="6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$15,998</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2,090</w:t>
            </w:r>
          </w:p>
        </w:tc>
        <w:tc>
          <w:tcPr>
            <w:tcW w:w="18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2,270</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8,019</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8,680</w:t>
            </w:r>
          </w:p>
        </w:tc>
        <w:tc>
          <w:tcPr>
            <w:tcW w:w="0" w:type="dxa"/>
            <w:vAlign w:val="bottom"/>
          </w:tcPr>
          <w:p>
            <w:pPr>
              <w:spacing w:after="0"/>
              <w:rPr>
                <w:sz w:val="1"/>
                <w:szCs w:val="1"/>
                <w:color w:val="auto"/>
              </w:rPr>
            </w:pPr>
          </w:p>
        </w:tc>
      </w:tr>
      <w:tr>
        <w:trPr>
          <w:trHeight w:val="142"/>
        </w:trPr>
        <w:tc>
          <w:tcPr>
            <w:tcW w:w="3900" w:type="dxa"/>
            <w:vAlign w:val="bottom"/>
          </w:tcPr>
          <w:p>
            <w:pPr>
              <w:spacing w:after="0" w:line="143" w:lineRule="exact"/>
              <w:rPr>
                <w:sz w:val="20"/>
                <w:szCs w:val="20"/>
                <w:color w:val="auto"/>
              </w:rPr>
            </w:pPr>
            <w:r>
              <w:rPr>
                <w:rFonts w:ascii="Arial" w:cs="Arial" w:eastAsia="Arial" w:hAnsi="Arial"/>
                <w:sz w:val="14"/>
                <w:szCs w:val="14"/>
                <w:color w:val="auto"/>
              </w:rPr>
              <w:t>Operating income before depreciation and amortization</w:t>
            </w:r>
          </w:p>
        </w:tc>
        <w:tc>
          <w:tcPr>
            <w:tcW w:w="86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5,877</w:t>
            </w:r>
          </w:p>
        </w:tc>
        <w:tc>
          <w:tcPr>
            <w:tcW w:w="1800" w:type="dxa"/>
            <w:vAlign w:val="bottom"/>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6,272</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22,923</w:t>
            </w:r>
          </w:p>
        </w:tc>
        <w:tc>
          <w:tcPr>
            <w:tcW w:w="6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24,678</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Noncash share-based compensation expense</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127</w:t>
            </w:r>
          </w:p>
        </w:tc>
        <w:tc>
          <w:tcPr>
            <w:tcW w:w="18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513</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567</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8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(375)</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(357)</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42"/>
        </w:trPr>
        <w:tc>
          <w:tcPr>
            <w:tcW w:w="3900" w:type="dxa"/>
            <w:vAlign w:val="bottom"/>
          </w:tcPr>
          <w:p>
            <w:pPr>
              <w:spacing w:after="0" w:line="143" w:lineRule="exact"/>
              <w:rPr>
                <w:sz w:val="20"/>
                <w:szCs w:val="20"/>
                <w:color w:val="auto"/>
              </w:rPr>
            </w:pPr>
            <w:r>
              <w:rPr>
                <w:rFonts w:ascii="Arial" w:cs="Arial" w:eastAsia="Arial" w:hAnsi="Arial"/>
                <w:sz w:val="14"/>
                <w:szCs w:val="14"/>
                <w:color w:val="auto"/>
              </w:rPr>
              <w:t>Cash basis operating income</w:t>
            </w:r>
          </w:p>
        </w:tc>
        <w:tc>
          <w:tcPr>
            <w:tcW w:w="86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5,990</w:t>
            </w:r>
          </w:p>
        </w:tc>
        <w:tc>
          <w:tcPr>
            <w:tcW w:w="1800" w:type="dxa"/>
            <w:vAlign w:val="bottom"/>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6,034</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23,079</w:t>
            </w:r>
          </w:p>
        </w:tc>
        <w:tc>
          <w:tcPr>
            <w:tcW w:w="6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24,978</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Payments of interest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(569)</w:t>
            </w:r>
          </w:p>
        </w:tc>
        <w:tc>
          <w:tcPr>
            <w:tcW w:w="18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(529)</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(2,389)</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(2,443)</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Payments of income taxes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(790)</w:t>
            </w:r>
          </w:p>
        </w:tc>
        <w:tc>
          <w:tcPr>
            <w:tcW w:w="18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(581)</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(3,668)</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(3,726)</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Excess tax benefits under share-based compensation</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8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(267)</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(282)</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Other</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39</w:t>
            </w:r>
          </w:p>
        </w:tc>
        <w:tc>
          <w:tcPr>
            <w:tcW w:w="18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190</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251</w:t>
            </w:r>
          </w:p>
        </w:tc>
        <w:tc>
          <w:tcPr>
            <w:tcW w:w="0" w:type="dxa"/>
            <w:vAlign w:val="bottom"/>
          </w:tcPr>
          <w:p>
            <w:pPr>
              <w:spacing w:after="0"/>
              <w:rPr>
                <w:sz w:val="1"/>
                <w:szCs w:val="1"/>
                <w:color w:val="auto"/>
              </w:rPr>
            </w:pPr>
          </w:p>
        </w:tc>
      </w:tr>
      <w:tr>
        <w:trPr>
          <w:trHeight w:val="156"/>
        </w:trPr>
        <w:tc>
          <w:tcPr>
            <w:tcW w:w="390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$4,643</w:t>
            </w:r>
          </w:p>
        </w:tc>
        <w:tc>
          <w:tcPr>
            <w:tcW w:w="18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$4,965</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$16,945</w:t>
            </w:r>
          </w:p>
        </w:tc>
        <w:tc>
          <w:tcPr>
            <w:tcW w:w="60" w:type="dxa"/>
            <w:vAlign w:val="bottom"/>
            <w:tcBorders>
              <w:top w:val="single" w:sz="8" w:color="auto"/>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$18,778</w:t>
            </w:r>
          </w:p>
        </w:tc>
        <w:tc>
          <w:tcPr>
            <w:tcW w:w="0" w:type="dxa"/>
            <w:vAlign w:val="bottom"/>
          </w:tcPr>
          <w:p>
            <w:pPr>
              <w:spacing w:after="0"/>
              <w:rPr>
                <w:sz w:val="1"/>
                <w:szCs w:val="1"/>
                <w:color w:val="auto"/>
              </w:rPr>
            </w:pPr>
          </w:p>
        </w:tc>
      </w:tr>
      <w:tr>
        <w:trPr>
          <w:trHeight w:val="160"/>
        </w:trPr>
        <w:tc>
          <w:tcPr>
            <w:tcW w:w="3900" w:type="dxa"/>
            <w:vAlign w:val="bottom"/>
          </w:tcPr>
          <w:p>
            <w:pPr>
              <w:spacing w:after="0" w:line="157" w:lineRule="exact"/>
              <w:rPr>
                <w:sz w:val="20"/>
                <w:szCs w:val="20"/>
                <w:color w:val="auto"/>
              </w:rPr>
            </w:pPr>
            <w:r>
              <w:rPr>
                <w:rFonts w:ascii="Arial" w:cs="Arial" w:eastAsia="Arial" w:hAnsi="Arial"/>
                <w:sz w:val="14"/>
                <w:szCs w:val="14"/>
                <w:color w:val="auto"/>
              </w:rPr>
              <w:t>Capital expenditures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(2,224)</w:t>
            </w:r>
          </w:p>
        </w:tc>
        <w:tc>
          <w:tcPr>
            <w:tcW w:w="1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(2,637)</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(7,420)</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(8,499)</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w:t>
            </w: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(454)</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(1,370)</w:t>
            </w:r>
          </w:p>
        </w:tc>
        <w:tc>
          <w:tcPr>
            <w:tcW w:w="0" w:type="dxa"/>
            <w:vAlign w:val="bottom"/>
          </w:tcPr>
          <w:p>
            <w:pPr>
              <w:spacing w:after="0"/>
              <w:rPr>
                <w:sz w:val="1"/>
                <w:szCs w:val="1"/>
                <w:color w:val="auto"/>
              </w:rPr>
            </w:pPr>
          </w:p>
        </w:tc>
      </w:tr>
      <w:tr>
        <w:trPr>
          <w:trHeight w:val="144"/>
        </w:trPr>
        <w:tc>
          <w:tcPr>
            <w:tcW w:w="3900" w:type="dxa"/>
            <w:vAlign w:val="bottom"/>
          </w:tcPr>
          <w:p>
            <w:pPr>
              <w:ind w:left="180"/>
              <w:spacing w:after="0" w:line="144" w:lineRule="exact"/>
              <w:rPr>
                <w:sz w:val="20"/>
                <w:szCs w:val="20"/>
                <w:color w:val="auto"/>
              </w:rPr>
            </w:pPr>
            <w:r>
              <w:rPr>
                <w:rFonts w:ascii="Arial" w:cs="Arial" w:eastAsia="Arial" w:hAnsi="Arial"/>
                <w:sz w:val="14"/>
                <w:szCs w:val="14"/>
                <w:color w:val="auto"/>
              </w:rPr>
              <w:t>assets</w:t>
            </w:r>
          </w:p>
        </w:tc>
        <w:tc>
          <w:tcPr>
            <w:tcW w:w="860" w:type="dxa"/>
            <w:vAlign w:val="bottom"/>
          </w:tcPr>
          <w:p>
            <w:pPr>
              <w:jc w:val="right"/>
              <w:ind w:right="48"/>
              <w:spacing w:after="0" w:line="144" w:lineRule="exact"/>
              <w:rPr>
                <w:sz w:val="20"/>
                <w:szCs w:val="20"/>
                <w:color w:val="auto"/>
              </w:rPr>
            </w:pPr>
            <w:r>
              <w:rPr>
                <w:rFonts w:ascii="Arial" w:cs="Arial" w:eastAsia="Arial" w:hAnsi="Arial"/>
                <w:sz w:val="14"/>
                <w:szCs w:val="14"/>
                <w:color w:val="auto"/>
              </w:rPr>
              <w:t>(387)</w:t>
            </w:r>
          </w:p>
        </w:tc>
        <w:tc>
          <w:tcPr>
            <w:tcW w:w="18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Arial" w:cs="Arial" w:eastAsia="Arial" w:hAnsi="Arial"/>
                <w:sz w:val="14"/>
                <w:szCs w:val="14"/>
                <w:color w:val="auto"/>
              </w:rPr>
              <w:t>(1,122)</w:t>
            </w:r>
          </w:p>
        </w:tc>
        <w:tc>
          <w:tcPr>
            <w:tcW w:w="1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Principal payments on capital leases</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w:t>
            </w: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(54)</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(232)</w:t>
            </w:r>
          </w:p>
        </w:tc>
        <w:tc>
          <w:tcPr>
            <w:tcW w:w="0" w:type="dxa"/>
            <w:vAlign w:val="bottom"/>
          </w:tcPr>
          <w:p>
            <w:pPr>
              <w:spacing w:after="0"/>
              <w:rPr>
                <w:sz w:val="1"/>
                <w:szCs w:val="1"/>
                <w:color w:val="auto"/>
              </w:rPr>
            </w:pPr>
          </w:p>
        </w:tc>
      </w:tr>
      <w:tr>
        <w:trPr>
          <w:trHeight w:val="130"/>
        </w:trPr>
        <w:tc>
          <w:tcPr>
            <w:tcW w:w="3900" w:type="dxa"/>
            <w:vAlign w:val="bottom"/>
          </w:tcPr>
          <w:p>
            <w:pPr>
              <w:ind w:left="180"/>
              <w:spacing w:after="0" w:line="131" w:lineRule="exact"/>
              <w:rPr>
                <w:sz w:val="20"/>
                <w:szCs w:val="20"/>
                <w:color w:val="auto"/>
              </w:rPr>
            </w:pPr>
            <w:r>
              <w:rPr>
                <w:rFonts w:ascii="Arial" w:cs="Arial" w:eastAsia="Arial" w:hAnsi="Arial"/>
                <w:sz w:val="14"/>
                <w:szCs w:val="14"/>
                <w:color w:val="auto"/>
              </w:rPr>
              <w:t>redeemable subsidiary preferred stock</w:t>
            </w:r>
          </w:p>
        </w:tc>
        <w:tc>
          <w:tcPr>
            <w:tcW w:w="860" w:type="dxa"/>
            <w:vAlign w:val="bottom"/>
          </w:tcPr>
          <w:p>
            <w:pPr>
              <w:jc w:val="right"/>
              <w:ind w:right="48"/>
              <w:spacing w:after="0" w:line="131" w:lineRule="exact"/>
              <w:rPr>
                <w:sz w:val="20"/>
                <w:szCs w:val="20"/>
                <w:color w:val="auto"/>
              </w:rPr>
            </w:pPr>
            <w:r>
              <w:rPr>
                <w:rFonts w:ascii="Arial" w:cs="Arial" w:eastAsia="Arial" w:hAnsi="Arial"/>
                <w:sz w:val="14"/>
                <w:szCs w:val="14"/>
                <w:color w:val="auto"/>
              </w:rPr>
              <w:t>(50)</w:t>
            </w:r>
          </w:p>
        </w:tc>
        <w:tc>
          <w:tcPr>
            <w:tcW w:w="1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rPr>
              <w:t>(220)</w:t>
            </w:r>
          </w:p>
        </w:tc>
        <w:tc>
          <w:tcPr>
            <w:tcW w:w="1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line="189" w:lineRule="exact"/>
              <w:rPr>
                <w:sz w:val="20"/>
                <w:szCs w:val="20"/>
                <w:color w:val="auto"/>
              </w:rPr>
            </w:pPr>
            <w:r>
              <w:rPr>
                <w:rFonts w:ascii="Arial" w:cs="Arial" w:eastAsia="Arial" w:hAnsi="Arial"/>
                <w:sz w:val="14"/>
                <w:szCs w:val="14"/>
                <w:color w:val="auto"/>
              </w:rPr>
              <w:t>Nonoperating items</w:t>
            </w:r>
            <w:r>
              <w:rPr>
                <w:rFonts w:ascii="Arial" w:cs="Arial" w:eastAsia="Arial" w:hAnsi="Arial"/>
                <w:sz w:val="21"/>
                <w:szCs w:val="21"/>
                <w:color w:val="auto"/>
                <w:vertAlign w:val="superscript"/>
              </w:rPr>
              <w:t>(1)</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(288)</w:t>
            </w:r>
          </w:p>
        </w:tc>
        <w:tc>
          <w:tcPr>
            <w:tcW w:w="18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(221)</w:t>
            </w: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275</w:t>
            </w:r>
          </w:p>
        </w:tc>
        <w:tc>
          <w:tcPr>
            <w:tcW w:w="0" w:type="dxa"/>
            <w:vAlign w:val="bottom"/>
          </w:tcPr>
          <w:p>
            <w:pPr>
              <w:spacing w:after="0"/>
              <w:rPr>
                <w:sz w:val="1"/>
                <w:szCs w:val="1"/>
                <w:color w:val="auto"/>
              </w:rPr>
            </w:pPr>
          </w:p>
        </w:tc>
      </w:tr>
      <w:tr>
        <w:trPr>
          <w:trHeight w:val="156"/>
        </w:trPr>
        <w:tc>
          <w:tcPr>
            <w:tcW w:w="3900" w:type="dxa"/>
            <w:vAlign w:val="bottom"/>
          </w:tcPr>
          <w:p>
            <w:pPr>
              <w:spacing w:after="0" w:line="155" w:lineRule="exact"/>
              <w:rPr>
                <w:sz w:val="20"/>
                <w:szCs w:val="20"/>
                <w:color w:val="auto"/>
              </w:rPr>
            </w:pPr>
            <w:r>
              <w:rPr>
                <w:rFonts w:ascii="Arial" w:cs="Arial" w:eastAsia="Arial" w:hAnsi="Arial"/>
                <w:sz w:val="14"/>
                <w:szCs w:val="14"/>
                <w:b w:val="1"/>
                <w:bCs w:val="1"/>
                <w:color w:val="auto"/>
              </w:rPr>
              <w:t>Total Free Cash Flow</w:t>
            </w:r>
          </w:p>
        </w:tc>
        <w:tc>
          <w:tcPr>
            <w:tcW w:w="8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$1,694</w:t>
            </w:r>
          </w:p>
        </w:tc>
        <w:tc>
          <w:tcPr>
            <w:tcW w:w="18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$1,588</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$8,167</w:t>
            </w:r>
          </w:p>
        </w:tc>
        <w:tc>
          <w:tcPr>
            <w:tcW w:w="60" w:type="dxa"/>
            <w:vAlign w:val="bottom"/>
            <w:tcBorders>
              <w:top w:val="single" w:sz="8" w:color="auto"/>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$8,935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120"/>
        <w:spacing w:after="0" w:line="261" w:lineRule="auto"/>
        <w:rPr>
          <w:sz w:val="20"/>
          <w:szCs w:val="20"/>
          <w:color w:val="auto"/>
        </w:rPr>
      </w:pPr>
      <w:r>
        <w:rPr>
          <w:rFonts w:ascii="Arial" w:cs="Arial" w:eastAsia="Arial" w:hAnsi="Arial"/>
          <w:sz w:val="22"/>
          <w:szCs w:val="22"/>
          <w:b w:val="1"/>
          <w:bCs w:val="1"/>
          <w:color w:val="828282"/>
        </w:rPr>
        <w:t>Reconciliation of EPS Excluding Gains on Sales, Acquisition-Related Items, Losses on Early Debt Redemption and Investment, and Favorable Income Tax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Twelve Months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8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90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900" w:type="dxa"/>
            <w:vAlign w:val="bottom"/>
            <w:vMerge w:val="continue"/>
          </w:tcPr>
          <w:p>
            <w:pPr>
              <w:spacing w:after="0"/>
              <w:rPr>
                <w:sz w:val="13"/>
                <w:szCs w:val="13"/>
                <w:color w:val="auto"/>
              </w:rPr>
            </w:pPr>
          </w:p>
        </w:tc>
        <w:tc>
          <w:tcPr>
            <w:tcW w:w="98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color w:val="auto"/>
                <w:w w:val="93"/>
              </w:rPr>
              <w:t xml:space="preserve">EPS </w:t>
            </w:r>
            <w:r>
              <w:rPr>
                <w:rFonts w:ascii="Arial" w:cs="Arial" w:eastAsia="Arial" w:hAnsi="Arial"/>
                <w:sz w:val="21"/>
                <w:szCs w:val="21"/>
                <w:color w:val="auto"/>
                <w:w w:val="93"/>
                <w:vertAlign w:val="superscript"/>
              </w:rPr>
              <w:t>(2)</w:t>
            </w:r>
          </w:p>
        </w:tc>
        <w:tc>
          <w:tcPr>
            <w:tcW w:w="180" w:type="dxa"/>
            <w:vAlign w:val="bottom"/>
            <w:vMerge w:val="restart"/>
          </w:tcPr>
          <w:p>
            <w:pPr>
              <w:spacing w:after="0"/>
              <w:rPr>
                <w:sz w:val="13"/>
                <w:szCs w:val="13"/>
                <w:color w:val="auto"/>
              </w:rPr>
            </w:pPr>
          </w:p>
        </w:tc>
        <w:tc>
          <w:tcPr>
            <w:tcW w:w="9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 xml:space="preserve">EPS </w:t>
            </w:r>
            <w:r>
              <w:rPr>
                <w:rFonts w:ascii="Arial" w:cs="Arial" w:eastAsia="Arial" w:hAnsi="Arial"/>
                <w:sz w:val="21"/>
                <w:szCs w:val="21"/>
                <w:color w:val="auto"/>
                <w:w w:val="93"/>
                <w:vertAlign w:val="superscript"/>
              </w:rPr>
              <w:t>(2)</w:t>
            </w:r>
          </w:p>
        </w:tc>
        <w:tc>
          <w:tcPr>
            <w:tcW w:w="200" w:type="dxa"/>
            <w:vAlign w:val="bottom"/>
            <w:tcBorders>
              <w:right w:val="single" w:sz="8" w:color="auto"/>
            </w:tcBorders>
            <w:vMerge w:val="restart"/>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color w:val="auto"/>
                <w:w w:val="93"/>
              </w:rPr>
              <w:t xml:space="preserve">EPS </w:t>
            </w:r>
            <w:r>
              <w:rPr>
                <w:rFonts w:ascii="Arial" w:cs="Arial" w:eastAsia="Arial" w:hAnsi="Arial"/>
                <w:sz w:val="21"/>
                <w:szCs w:val="21"/>
                <w:color w:val="auto"/>
                <w:w w:val="93"/>
                <w:vertAlign w:val="superscript"/>
              </w:rPr>
              <w:t>(2)</w:t>
            </w:r>
          </w:p>
        </w:tc>
        <w:tc>
          <w:tcPr>
            <w:tcW w:w="280" w:type="dxa"/>
            <w:vAlign w:val="bottom"/>
            <w:vMerge w:val="restart"/>
          </w:tcPr>
          <w:p>
            <w:pPr>
              <w:spacing w:after="0"/>
              <w:rPr>
                <w:sz w:val="13"/>
                <w:szCs w:val="13"/>
                <w:color w:val="auto"/>
              </w:rPr>
            </w:pPr>
          </w:p>
        </w:tc>
        <w:tc>
          <w:tcPr>
            <w:tcW w:w="9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390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$1,925</w:t>
            </w:r>
          </w:p>
        </w:tc>
        <w:tc>
          <w:tcPr>
            <w:tcW w:w="640" w:type="dxa"/>
            <w:vAlign w:val="bottom"/>
          </w:tcPr>
          <w:p>
            <w:pPr>
              <w:jc w:val="right"/>
              <w:spacing w:after="0"/>
              <w:rPr>
                <w:sz w:val="20"/>
                <w:szCs w:val="20"/>
                <w:color w:val="auto"/>
              </w:rPr>
            </w:pPr>
            <w:r>
              <w:rPr>
                <w:rFonts w:ascii="Arial" w:cs="Arial" w:eastAsia="Arial" w:hAnsi="Arial"/>
                <w:sz w:val="14"/>
                <w:szCs w:val="14"/>
                <w:color w:val="auto"/>
              </w:rPr>
              <w:t>$0.74</w:t>
            </w:r>
          </w:p>
        </w:tc>
        <w:tc>
          <w:tcPr>
            <w:tcW w:w="18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$1,971</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$0.79</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$8,380</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$3.20</w:t>
            </w:r>
          </w:p>
        </w:tc>
        <w:tc>
          <w:tcPr>
            <w:tcW w:w="920" w:type="dxa"/>
            <w:vAlign w:val="bottom"/>
          </w:tcPr>
          <w:p>
            <w:pPr>
              <w:jc w:val="right"/>
              <w:ind w:right="168"/>
              <w:spacing w:after="0"/>
              <w:rPr>
                <w:sz w:val="20"/>
                <w:szCs w:val="20"/>
                <w:color w:val="auto"/>
              </w:rPr>
            </w:pPr>
            <w:r>
              <w:rPr>
                <w:rFonts w:ascii="Arial" w:cs="Arial" w:eastAsia="Arial" w:hAnsi="Arial"/>
                <w:sz w:val="14"/>
                <w:szCs w:val="14"/>
                <w:b w:val="1"/>
                <w:bCs w:val="1"/>
                <w:color w:val="auto"/>
              </w:rPr>
              <w:t>$8,163</w:t>
            </w:r>
          </w:p>
        </w:tc>
        <w:tc>
          <w:tcPr>
            <w:tcW w:w="700" w:type="dxa"/>
            <w:vAlign w:val="bottom"/>
          </w:tcPr>
          <w:p>
            <w:pPr>
              <w:ind w:left="240"/>
              <w:spacing w:after="0"/>
              <w:rPr>
                <w:sz w:val="20"/>
                <w:szCs w:val="20"/>
                <w:color w:val="auto"/>
              </w:rPr>
            </w:pPr>
            <w:r>
              <w:rPr>
                <w:rFonts w:ascii="Arial" w:cs="Arial" w:eastAsia="Arial" w:hAnsi="Arial"/>
                <w:sz w:val="14"/>
                <w:szCs w:val="14"/>
                <w:b w:val="1"/>
                <w:bCs w:val="1"/>
                <w:color w:val="auto"/>
              </w:rPr>
              <w:t>$3.24</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i w:val="1"/>
                <w:iCs w:val="1"/>
                <w:color w:val="auto"/>
              </w:rPr>
              <w:t>2.4%</w:t>
            </w: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6.8%</w:t>
            </w: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i w:val="1"/>
                <w:iCs w:val="1"/>
                <w:color w:val="auto"/>
              </w:rPr>
              <w:t>(2.6%)</w:t>
            </w:r>
          </w:p>
        </w:tc>
        <w:tc>
          <w:tcPr>
            <w:tcW w:w="700" w:type="dxa"/>
            <w:vAlign w:val="bottom"/>
          </w:tcPr>
          <w:p>
            <w:pPr>
              <w:ind w:left="260"/>
              <w:spacing w:after="0"/>
              <w:rPr>
                <w:sz w:val="20"/>
                <w:szCs w:val="20"/>
                <w:color w:val="auto"/>
              </w:rPr>
            </w:pPr>
            <w:r>
              <w:rPr>
                <w:rFonts w:ascii="Arial" w:cs="Arial" w:eastAsia="Arial" w:hAnsi="Arial"/>
                <w:sz w:val="14"/>
                <w:szCs w:val="14"/>
                <w:i w:val="1"/>
                <w:iCs w:val="1"/>
                <w:color w:val="auto"/>
              </w:rPr>
              <w:t>1.3%</w:t>
            </w:r>
          </w:p>
        </w:tc>
        <w:tc>
          <w:tcPr>
            <w:tcW w:w="0" w:type="dxa"/>
            <w:vAlign w:val="bottom"/>
          </w:tcPr>
          <w:p>
            <w:pPr>
              <w:spacing w:after="0"/>
              <w:rPr>
                <w:sz w:val="1"/>
                <w:szCs w:val="1"/>
                <w:color w:val="auto"/>
              </w:rPr>
            </w:pPr>
          </w:p>
        </w:tc>
      </w:tr>
      <w:tr>
        <w:trPr>
          <w:trHeight w:val="296"/>
        </w:trPr>
        <w:tc>
          <w:tcPr>
            <w:tcW w:w="3900" w:type="dxa"/>
            <w:vAlign w:val="bottom"/>
          </w:tcPr>
          <w:p>
            <w:pPr>
              <w:ind w:left="440"/>
              <w:spacing w:after="0"/>
              <w:rPr>
                <w:sz w:val="20"/>
                <w:szCs w:val="20"/>
                <w:color w:val="auto"/>
              </w:rPr>
            </w:pPr>
            <w:r>
              <w:rPr>
                <w:rFonts w:ascii="Arial" w:cs="Arial" w:eastAsia="Arial" w:hAnsi="Arial"/>
                <w:sz w:val="14"/>
                <w:szCs w:val="14"/>
                <w:color w:val="auto"/>
              </w:rPr>
              <w:t>Gains on sales of businesses and investments</w:t>
            </w:r>
            <w:r>
              <w:rPr>
                <w:rFonts w:ascii="Arial" w:cs="Arial" w:eastAsia="Arial" w:hAnsi="Arial"/>
                <w:sz w:val="21"/>
                <w:szCs w:val="21"/>
                <w:color w:val="auto"/>
                <w:vertAlign w:val="superscript"/>
              </w:rPr>
              <w:t>(3)</w:t>
            </w: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(97)</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(0.04)</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(202)</w:t>
            </w:r>
          </w:p>
        </w:tc>
        <w:tc>
          <w:tcPr>
            <w:tcW w:w="700" w:type="dxa"/>
            <w:vAlign w:val="bottom"/>
          </w:tcPr>
          <w:p>
            <w:pPr>
              <w:ind w:left="260"/>
              <w:spacing w:after="0"/>
              <w:rPr>
                <w:sz w:val="20"/>
                <w:szCs w:val="20"/>
                <w:color w:val="auto"/>
              </w:rPr>
            </w:pPr>
            <w:r>
              <w:rPr>
                <w:rFonts w:ascii="Arial" w:cs="Arial" w:eastAsia="Arial" w:hAnsi="Arial"/>
                <w:sz w:val="14"/>
                <w:szCs w:val="14"/>
                <w:b w:val="1"/>
                <w:bCs w:val="1"/>
                <w:color w:val="auto"/>
              </w:rPr>
              <w:t>(0.08)</w:t>
            </w:r>
          </w:p>
        </w:tc>
        <w:tc>
          <w:tcPr>
            <w:tcW w:w="0" w:type="dxa"/>
            <w:vAlign w:val="bottom"/>
          </w:tcPr>
          <w:p>
            <w:pPr>
              <w:spacing w:after="0"/>
              <w:rPr>
                <w:sz w:val="1"/>
                <w:szCs w:val="1"/>
                <w:color w:val="auto"/>
              </w:rPr>
            </w:pPr>
          </w:p>
        </w:tc>
      </w:tr>
      <w:tr>
        <w:trPr>
          <w:trHeight w:val="178"/>
        </w:trPr>
        <w:tc>
          <w:tcPr>
            <w:tcW w:w="3900" w:type="dxa"/>
            <w:vAlign w:val="bottom"/>
          </w:tcPr>
          <w:p>
            <w:pPr>
              <w:ind w:left="440"/>
              <w:spacing w:after="0"/>
              <w:rPr>
                <w:sz w:val="20"/>
                <w:szCs w:val="20"/>
                <w:color w:val="auto"/>
              </w:rPr>
            </w:pPr>
            <w:r>
              <w:rPr>
                <w:rFonts w:ascii="Arial" w:cs="Arial" w:eastAsia="Arial" w:hAnsi="Arial"/>
                <w:sz w:val="14"/>
                <w:szCs w:val="14"/>
                <w:color w:val="auto"/>
              </w:rPr>
              <w:t>Gain on settlement of contingent consideration</w:t>
            </w: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(150)</w:t>
            </w:r>
          </w:p>
        </w:tc>
        <w:tc>
          <w:tcPr>
            <w:tcW w:w="700" w:type="dxa"/>
            <w:vAlign w:val="bottom"/>
          </w:tcPr>
          <w:p>
            <w:pPr>
              <w:ind w:left="260"/>
              <w:spacing w:after="0"/>
              <w:rPr>
                <w:sz w:val="20"/>
                <w:szCs w:val="20"/>
                <w:color w:val="auto"/>
              </w:rPr>
            </w:pPr>
            <w:r>
              <w:rPr>
                <w:rFonts w:ascii="Arial" w:cs="Arial" w:eastAsia="Arial" w:hAnsi="Arial"/>
                <w:sz w:val="14"/>
                <w:szCs w:val="14"/>
                <w:b w:val="1"/>
                <w:bCs w:val="1"/>
                <w:color w:val="auto"/>
              </w:rPr>
              <w:t>(0.06)</w:t>
            </w:r>
          </w:p>
        </w:tc>
        <w:tc>
          <w:tcPr>
            <w:tcW w:w="0" w:type="dxa"/>
            <w:vAlign w:val="bottom"/>
          </w:tcPr>
          <w:p>
            <w:pPr>
              <w:spacing w:after="0"/>
              <w:rPr>
                <w:sz w:val="1"/>
                <w:szCs w:val="1"/>
                <w:color w:val="auto"/>
              </w:rPr>
            </w:pPr>
          </w:p>
        </w:tc>
      </w:tr>
    </w:tbl>
    <w:p>
      <w:pPr>
        <w:sectPr>
          <w:pgSz w:w="11900" w:h="16900" w:orient="portrait"/>
          <w:cols w:equalWidth="0" w:num="1">
            <w:col w:w="11460"/>
          </w:cols>
          <w:pgMar w:left="240" w:top="360" w:right="199" w:bottom="0" w:gutter="0" w:footer="0" w:header="0"/>
        </w:sectPr>
      </w:pPr>
    </w:p>
    <w:bookmarkStart w:id="10" w:name="page11"/>
    <w:bookmarkEnd w:id="10"/>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3900" w:type="dxa"/>
            <w:vAlign w:val="bottom"/>
          </w:tcPr>
          <w:p>
            <w:pPr>
              <w:ind w:left="620"/>
              <w:spacing w:after="0"/>
              <w:rPr>
                <w:sz w:val="20"/>
                <w:szCs w:val="20"/>
                <w:color w:val="auto"/>
              </w:rPr>
            </w:pPr>
            <w:r>
              <w:rPr>
                <w:rFonts w:ascii="Arial" w:cs="Arial" w:eastAsia="Arial" w:hAnsi="Arial"/>
                <w:sz w:val="14"/>
                <w:szCs w:val="14"/>
                <w:color w:val="auto"/>
              </w:rPr>
              <w:t>liability</w:t>
            </w:r>
            <w:r>
              <w:rPr>
                <w:rFonts w:ascii="Arial" w:cs="Arial" w:eastAsia="Arial" w:hAnsi="Arial"/>
                <w:sz w:val="21"/>
                <w:szCs w:val="21"/>
                <w:color w:val="auto"/>
                <w:vertAlign w:val="superscript"/>
              </w:rPr>
              <w:t>(4)</w:t>
            </w: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900" w:type="dxa"/>
            <w:vAlign w:val="bottom"/>
          </w:tcPr>
          <w:p>
            <w:pPr>
              <w:ind w:left="440"/>
              <w:spacing w:after="0" w:line="194" w:lineRule="exact"/>
              <w:rPr>
                <w:sz w:val="20"/>
                <w:szCs w:val="20"/>
                <w:color w:val="auto"/>
              </w:rPr>
            </w:pPr>
            <w:r>
              <w:rPr>
                <w:rFonts w:ascii="Arial" w:cs="Arial" w:eastAsia="Arial" w:hAnsi="Arial"/>
                <w:sz w:val="14"/>
                <w:szCs w:val="14"/>
                <w:color w:val="auto"/>
              </w:rPr>
              <w:t>Loss on early redemption of debt</w:t>
            </w:r>
            <w:r>
              <w:rPr>
                <w:rFonts w:ascii="Arial" w:cs="Arial" w:eastAsia="Arial" w:hAnsi="Arial"/>
                <w:sz w:val="21"/>
                <w:szCs w:val="21"/>
                <w:color w:val="auto"/>
                <w:vertAlign w:val="superscript"/>
              </w:rPr>
              <w:t>(5)</w:t>
            </w: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29</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130"/>
        </w:trPr>
        <w:tc>
          <w:tcPr>
            <w:tcW w:w="3900" w:type="dxa"/>
            <w:vAlign w:val="bottom"/>
          </w:tcPr>
          <w:p>
            <w:pPr>
              <w:ind w:left="440"/>
              <w:spacing w:after="0" w:line="131" w:lineRule="exact"/>
              <w:rPr>
                <w:sz w:val="20"/>
                <w:szCs w:val="20"/>
                <w:color w:val="auto"/>
              </w:rPr>
            </w:pPr>
            <w:r>
              <w:rPr>
                <w:rFonts w:ascii="Arial" w:cs="Arial" w:eastAsia="Arial" w:hAnsi="Arial"/>
                <w:sz w:val="14"/>
                <w:szCs w:val="14"/>
                <w:color w:val="auto"/>
              </w:rPr>
              <w:t>Costs related to Time Warner Cable and Charter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00" w:type="dxa"/>
            <w:vAlign w:val="bottom"/>
          </w:tcPr>
          <w:p>
            <w:pPr>
              <w:ind w:left="620"/>
              <w:spacing w:after="0" w:line="162" w:lineRule="exact"/>
              <w:rPr>
                <w:sz w:val="20"/>
                <w:szCs w:val="20"/>
                <w:color w:val="auto"/>
              </w:rPr>
            </w:pPr>
            <w:r>
              <w:rPr>
                <w:rFonts w:ascii="Arial" w:cs="Arial" w:eastAsia="Arial" w:hAnsi="Arial"/>
                <w:sz w:val="13"/>
                <w:szCs w:val="13"/>
                <w:color w:val="auto"/>
              </w:rPr>
              <w:t>transactions</w:t>
            </w:r>
            <w:r>
              <w:rPr>
                <w:rFonts w:ascii="Arial" w:cs="Arial" w:eastAsia="Arial" w:hAnsi="Arial"/>
                <w:sz w:val="18"/>
                <w:szCs w:val="18"/>
                <w:color w:val="auto"/>
                <w:vertAlign w:val="superscript"/>
              </w:rPr>
              <w:t>(6)</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63</w:t>
            </w:r>
          </w:p>
        </w:tc>
        <w:tc>
          <w:tcPr>
            <w:tcW w:w="680" w:type="dxa"/>
            <w:vAlign w:val="bottom"/>
          </w:tcPr>
          <w:p>
            <w:pPr>
              <w:jc w:val="right"/>
              <w:spacing w:after="0"/>
              <w:rPr>
                <w:sz w:val="20"/>
                <w:szCs w:val="20"/>
                <w:color w:val="auto"/>
              </w:rPr>
            </w:pPr>
            <w:r>
              <w:rPr>
                <w:rFonts w:ascii="Arial" w:cs="Arial" w:eastAsia="Arial" w:hAnsi="Arial"/>
                <w:sz w:val="14"/>
                <w:szCs w:val="14"/>
                <w:color w:val="auto"/>
              </w:rPr>
              <w:t>0.03</w:t>
            </w:r>
          </w:p>
        </w:tc>
        <w:tc>
          <w:tcPr>
            <w:tcW w:w="1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149</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0.06</w:t>
            </w:r>
          </w:p>
        </w:tc>
        <w:tc>
          <w:tcPr>
            <w:tcW w:w="16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123</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0.05</w:t>
            </w:r>
          </w:p>
        </w:tc>
        <w:tc>
          <w:tcPr>
            <w:tcW w:w="0" w:type="dxa"/>
            <w:vAlign w:val="bottom"/>
          </w:tcPr>
          <w:p>
            <w:pPr>
              <w:spacing w:after="0"/>
              <w:rPr>
                <w:sz w:val="1"/>
                <w:szCs w:val="1"/>
                <w:color w:val="auto"/>
              </w:rPr>
            </w:pPr>
          </w:p>
        </w:tc>
      </w:tr>
      <w:tr>
        <w:trPr>
          <w:trHeight w:val="162"/>
        </w:trPr>
        <w:tc>
          <w:tcPr>
            <w:tcW w:w="3900" w:type="dxa"/>
            <w:vAlign w:val="bottom"/>
          </w:tcPr>
          <w:p>
            <w:pPr>
              <w:ind w:left="440"/>
              <w:spacing w:after="0" w:line="162" w:lineRule="exact"/>
              <w:rPr>
                <w:sz w:val="20"/>
                <w:szCs w:val="20"/>
                <w:color w:val="auto"/>
              </w:rPr>
            </w:pPr>
            <w:r>
              <w:rPr>
                <w:rFonts w:ascii="Arial" w:cs="Arial" w:eastAsia="Arial" w:hAnsi="Arial"/>
                <w:sz w:val="13"/>
                <w:szCs w:val="13"/>
                <w:color w:val="auto"/>
              </w:rPr>
              <w:t>Loss on investment</w:t>
            </w:r>
            <w:r>
              <w:rPr>
                <w:rFonts w:ascii="Arial" w:cs="Arial" w:eastAsia="Arial" w:hAnsi="Arial"/>
                <w:sz w:val="18"/>
                <w:szCs w:val="18"/>
                <w:color w:val="auto"/>
                <w:vertAlign w:val="superscript"/>
              </w:rPr>
              <w:t>(7)</w:t>
            </w: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b w:val="1"/>
                <w:bCs w:val="1"/>
                <w:color w:val="auto"/>
              </w:rPr>
              <w:t>50</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208</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0.09</w:t>
            </w:r>
          </w:p>
        </w:tc>
        <w:tc>
          <w:tcPr>
            <w:tcW w:w="0" w:type="dxa"/>
            <w:vAlign w:val="bottom"/>
          </w:tcPr>
          <w:p>
            <w:pPr>
              <w:spacing w:after="0"/>
              <w:rPr>
                <w:sz w:val="1"/>
                <w:szCs w:val="1"/>
                <w:color w:val="auto"/>
              </w:rPr>
            </w:pPr>
          </w:p>
        </w:tc>
      </w:tr>
      <w:tr>
        <w:trPr>
          <w:trHeight w:val="194"/>
        </w:trPr>
        <w:tc>
          <w:tcPr>
            <w:tcW w:w="3900" w:type="dxa"/>
            <w:vAlign w:val="bottom"/>
          </w:tcPr>
          <w:p>
            <w:pPr>
              <w:ind w:left="440"/>
              <w:spacing w:after="0" w:line="194" w:lineRule="exact"/>
              <w:rPr>
                <w:sz w:val="20"/>
                <w:szCs w:val="20"/>
                <w:color w:val="auto"/>
              </w:rPr>
            </w:pPr>
            <w:r>
              <w:rPr>
                <w:rFonts w:ascii="Arial" w:cs="Arial" w:eastAsia="Arial" w:hAnsi="Arial"/>
                <w:sz w:val="14"/>
                <w:szCs w:val="14"/>
                <w:color w:val="auto"/>
              </w:rPr>
              <w:t>Favorable income tax adjustments</w:t>
            </w:r>
            <w:r>
              <w:rPr>
                <w:rFonts w:ascii="Arial" w:cs="Arial" w:eastAsia="Arial" w:hAnsi="Arial"/>
                <w:sz w:val="21"/>
                <w:szCs w:val="21"/>
                <w:color w:val="auto"/>
                <w:vertAlign w:val="superscript"/>
              </w:rPr>
              <w:t>(8)</w:t>
            </w: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(724)</w:t>
            </w:r>
          </w:p>
        </w:tc>
        <w:tc>
          <w:tcPr>
            <w:tcW w:w="700" w:type="dxa"/>
            <w:vAlign w:val="bottom"/>
          </w:tcPr>
          <w:p>
            <w:pPr>
              <w:jc w:val="right"/>
              <w:spacing w:after="0"/>
              <w:rPr>
                <w:sz w:val="20"/>
                <w:szCs w:val="20"/>
                <w:color w:val="auto"/>
              </w:rPr>
            </w:pPr>
            <w:r>
              <w:rPr>
                <w:rFonts w:ascii="Arial" w:cs="Arial" w:eastAsia="Arial" w:hAnsi="Arial"/>
                <w:sz w:val="14"/>
                <w:szCs w:val="14"/>
                <w:color w:val="auto"/>
              </w:rPr>
              <w:t>(0.28)</w:t>
            </w:r>
          </w:p>
        </w:tc>
        <w:tc>
          <w:tcPr>
            <w:tcW w:w="16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0"/>
        </w:trPr>
        <w:tc>
          <w:tcPr>
            <w:tcW w:w="3900" w:type="dxa"/>
            <w:vAlign w:val="bottom"/>
          </w:tcPr>
          <w:p>
            <w:pPr>
              <w:ind w:left="440"/>
              <w:spacing w:after="0" w:line="131" w:lineRule="exact"/>
              <w:rPr>
                <w:sz w:val="20"/>
                <w:szCs w:val="20"/>
                <w:color w:val="auto"/>
              </w:rPr>
            </w:pPr>
            <w:r>
              <w:rPr>
                <w:rFonts w:ascii="Arial" w:cs="Arial" w:eastAsia="Arial" w:hAnsi="Arial"/>
                <w:sz w:val="14"/>
                <w:szCs w:val="14"/>
                <w:color w:val="auto"/>
              </w:rPr>
              <w:t>Favorable resolution of a contingency of an</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00" w:type="dxa"/>
            <w:vAlign w:val="bottom"/>
          </w:tcPr>
          <w:p>
            <w:pPr>
              <w:ind w:left="620"/>
              <w:spacing w:after="0" w:line="194" w:lineRule="exact"/>
              <w:rPr>
                <w:sz w:val="20"/>
                <w:szCs w:val="20"/>
                <w:color w:val="auto"/>
              </w:rPr>
            </w:pPr>
            <w:r>
              <w:rPr>
                <w:rFonts w:ascii="Arial" w:cs="Arial" w:eastAsia="Arial" w:hAnsi="Arial"/>
                <w:sz w:val="14"/>
                <w:szCs w:val="14"/>
                <w:color w:val="auto"/>
              </w:rPr>
              <w:t>acquired company</w:t>
            </w:r>
            <w:r>
              <w:rPr>
                <w:rFonts w:ascii="Arial" w:cs="Arial" w:eastAsia="Arial" w:hAnsi="Arial"/>
                <w:sz w:val="21"/>
                <w:szCs w:val="21"/>
                <w:color w:val="auto"/>
                <w:vertAlign w:val="superscript"/>
              </w:rPr>
              <w:t>(9)</w:t>
            </w: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(27)</w:t>
            </w:r>
          </w:p>
        </w:tc>
        <w:tc>
          <w:tcPr>
            <w:tcW w:w="700" w:type="dxa"/>
            <w:vAlign w:val="bottom"/>
          </w:tcPr>
          <w:p>
            <w:pPr>
              <w:jc w:val="right"/>
              <w:spacing w:after="0"/>
              <w:rPr>
                <w:sz w:val="20"/>
                <w:szCs w:val="20"/>
                <w:color w:val="auto"/>
              </w:rPr>
            </w:pPr>
            <w:r>
              <w:rPr>
                <w:rFonts w:ascii="Arial" w:cs="Arial" w:eastAsia="Arial" w:hAnsi="Arial"/>
                <w:sz w:val="14"/>
                <w:szCs w:val="14"/>
                <w:color w:val="auto"/>
              </w:rPr>
              <w:t>(0.01)</w:t>
            </w:r>
          </w:p>
        </w:tc>
        <w:tc>
          <w:tcPr>
            <w:tcW w:w="16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7"/>
        </w:trPr>
        <w:tc>
          <w:tcPr>
            <w:tcW w:w="3900" w:type="dxa"/>
            <w:vAlign w:val="bottom"/>
          </w:tcPr>
          <w:p>
            <w:pPr>
              <w:spacing w:after="0" w:line="157" w:lineRule="exact"/>
              <w:rPr>
                <w:sz w:val="20"/>
                <w:szCs w:val="20"/>
                <w:color w:val="auto"/>
              </w:rPr>
            </w:pPr>
            <w:r>
              <w:rPr>
                <w:rFonts w:ascii="Arial" w:cs="Arial" w:eastAsia="Arial" w:hAnsi="Arial"/>
                <w:sz w:val="14"/>
                <w:szCs w:val="14"/>
                <w:color w:val="auto"/>
              </w:rPr>
              <w:t>Net income attributable to Comcast Corporation</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900" w:type="dxa"/>
            <w:vAlign w:val="bottom"/>
          </w:tcPr>
          <w:p>
            <w:pPr>
              <w:ind w:left="220"/>
              <w:spacing w:after="0" w:line="147" w:lineRule="exact"/>
              <w:rPr>
                <w:sz w:val="20"/>
                <w:szCs w:val="20"/>
                <w:color w:val="auto"/>
              </w:rPr>
            </w:pPr>
            <w:r>
              <w:rPr>
                <w:rFonts w:ascii="Arial" w:cs="Arial" w:eastAsia="Arial" w:hAnsi="Arial"/>
                <w:sz w:val="14"/>
                <w:szCs w:val="14"/>
                <w:color w:val="auto"/>
              </w:rPr>
              <w:t>(excluding gains on sales, acquisition-related items,</w:t>
            </w: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00" w:type="dxa"/>
            <w:vAlign w:val="bottom"/>
          </w:tcPr>
          <w:p>
            <w:pPr>
              <w:ind w:left="220"/>
              <w:spacing w:after="0"/>
              <w:rPr>
                <w:sz w:val="20"/>
                <w:szCs w:val="20"/>
                <w:color w:val="auto"/>
              </w:rPr>
            </w:pPr>
            <w:r>
              <w:rPr>
                <w:rFonts w:ascii="Arial" w:cs="Arial" w:eastAsia="Arial" w:hAnsi="Arial"/>
                <w:sz w:val="14"/>
                <w:szCs w:val="14"/>
                <w:color w:val="auto"/>
              </w:rPr>
              <w:t>losses on early debt redemption and investment, and</w:t>
            </w: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color w:val="auto"/>
              </w:rPr>
              <w:t>$1,988</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$0.77</w:t>
            </w:r>
          </w:p>
        </w:tc>
        <w:tc>
          <w:tcPr>
            <w:tcW w:w="180" w:type="dxa"/>
            <w:vAlign w:val="bottom"/>
          </w:tcPr>
          <w:p>
            <w:pPr>
              <w:spacing w:after="0"/>
              <w:rPr>
                <w:sz w:val="14"/>
                <w:szCs w:val="14"/>
                <w:color w:val="auto"/>
              </w:rPr>
            </w:pP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$0.81</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color w:val="auto"/>
              </w:rPr>
              <w:t>$7,681</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$2.93</w:t>
            </w:r>
          </w:p>
        </w:tc>
        <w:tc>
          <w:tcPr>
            <w:tcW w:w="160" w:type="dxa"/>
            <w:vAlign w:val="bottom"/>
          </w:tcPr>
          <w:p>
            <w:pPr>
              <w:spacing w:after="0"/>
              <w:rPr>
                <w:sz w:val="14"/>
                <w:szCs w:val="14"/>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$8,171</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$3.25</w:t>
            </w:r>
          </w:p>
        </w:tc>
        <w:tc>
          <w:tcPr>
            <w:tcW w:w="0" w:type="dxa"/>
            <w:vAlign w:val="bottom"/>
          </w:tcPr>
          <w:p>
            <w:pPr>
              <w:spacing w:after="0"/>
              <w:rPr>
                <w:sz w:val="1"/>
                <w:szCs w:val="1"/>
                <w:color w:val="auto"/>
              </w:rPr>
            </w:pPr>
          </w:p>
        </w:tc>
      </w:tr>
      <w:tr>
        <w:trPr>
          <w:trHeight w:val="149"/>
        </w:trPr>
        <w:tc>
          <w:tcPr>
            <w:tcW w:w="3900" w:type="dxa"/>
            <w:vAlign w:val="bottom"/>
          </w:tcPr>
          <w:p>
            <w:pPr>
              <w:ind w:left="220"/>
              <w:spacing w:after="0" w:line="144" w:lineRule="exact"/>
              <w:rPr>
                <w:sz w:val="20"/>
                <w:szCs w:val="20"/>
                <w:color w:val="auto"/>
              </w:rPr>
            </w:pPr>
            <w:r>
              <w:rPr>
                <w:rFonts w:ascii="Arial" w:cs="Arial" w:eastAsia="Arial" w:hAnsi="Arial"/>
                <w:sz w:val="14"/>
                <w:szCs w:val="14"/>
                <w:color w:val="auto"/>
              </w:rPr>
              <w:t>favorable income tax adjustments)</w:t>
            </w:r>
          </w:p>
        </w:tc>
        <w:tc>
          <w:tcPr>
            <w:tcW w:w="94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168"/>
              <w:spacing w:after="0" w:line="143" w:lineRule="exact"/>
              <w:rPr>
                <w:sz w:val="20"/>
                <w:szCs w:val="20"/>
                <w:color w:val="auto"/>
              </w:rPr>
            </w:pPr>
            <w:r>
              <w:rPr>
                <w:rFonts w:ascii="Arial" w:cs="Arial" w:eastAsia="Arial" w:hAnsi="Arial"/>
                <w:sz w:val="14"/>
                <w:szCs w:val="14"/>
                <w:i w:val="1"/>
                <w:iCs w:val="1"/>
                <w:color w:val="auto"/>
              </w:rPr>
              <w:t>1.7%</w:t>
            </w:r>
          </w:p>
        </w:tc>
        <w:tc>
          <w:tcPr>
            <w:tcW w:w="680" w:type="dxa"/>
            <w:vAlign w:val="bottom"/>
          </w:tcPr>
          <w:p>
            <w:pPr>
              <w:jc w:val="right"/>
              <w:spacing w:after="0" w:line="143" w:lineRule="exact"/>
              <w:rPr>
                <w:sz w:val="20"/>
                <w:szCs w:val="20"/>
                <w:color w:val="auto"/>
              </w:rPr>
            </w:pPr>
            <w:r>
              <w:rPr>
                <w:rFonts w:ascii="Arial" w:cs="Arial" w:eastAsia="Arial" w:hAnsi="Arial"/>
                <w:sz w:val="14"/>
                <w:szCs w:val="14"/>
                <w:i w:val="1"/>
                <w:iCs w:val="1"/>
                <w:color w:val="auto"/>
              </w:rPr>
              <w:t>5.2%</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28"/>
              <w:spacing w:after="0" w:line="143" w:lineRule="exact"/>
              <w:rPr>
                <w:sz w:val="20"/>
                <w:szCs w:val="20"/>
                <w:color w:val="auto"/>
              </w:rPr>
            </w:pPr>
            <w:r>
              <w:rPr>
                <w:rFonts w:ascii="Arial" w:cs="Arial" w:eastAsia="Arial" w:hAnsi="Arial"/>
                <w:sz w:val="14"/>
                <w:szCs w:val="14"/>
                <w:i w:val="1"/>
                <w:iCs w:val="1"/>
                <w:color w:val="auto"/>
              </w:rPr>
              <w:t>6.4%</w:t>
            </w:r>
          </w:p>
        </w:tc>
        <w:tc>
          <w:tcPr>
            <w:tcW w:w="740" w:type="dxa"/>
            <w:vAlign w:val="bottom"/>
          </w:tcPr>
          <w:p>
            <w:pPr>
              <w:jc w:val="right"/>
              <w:ind w:right="28"/>
              <w:spacing w:after="0" w:line="143" w:lineRule="exact"/>
              <w:rPr>
                <w:sz w:val="20"/>
                <w:szCs w:val="20"/>
                <w:color w:val="auto"/>
              </w:rPr>
            </w:pPr>
            <w:r>
              <w:rPr>
                <w:rFonts w:ascii="Arial" w:cs="Arial" w:eastAsia="Arial" w:hAnsi="Arial"/>
                <w:sz w:val="14"/>
                <w:szCs w:val="14"/>
                <w:i w:val="1"/>
                <w:iCs w:val="1"/>
                <w:color w:val="auto"/>
              </w:rPr>
              <w:t>10.9%</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right="160" w:hanging="332"/>
        <w:spacing w:after="0" w:line="223"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Nonoperating items include adjustments for cash taxes paid related to certain investing and financing transactions, to reflect cash taxes paid in the year of the related taxable income and to exclude the impacts of Economic Stimulus packages. Net cash provided by operating activities for 2014 includes a $150 million increase in July 2014 resulting from a change in our credit card payment processes that resulted in the acceleration of the recognition of cash receipts in Cable Communications. For free cash flow purposes, we consider the acceleration to be nonrecurring in nature and therefore, we excluded this amount from free cash flow as a nonoperating item.</w:t>
      </w:r>
    </w:p>
    <w:p>
      <w:pPr>
        <w:spacing w:after="0" w:line="11" w:lineRule="exact"/>
        <w:rPr>
          <w:rFonts w:ascii="Arial" w:cs="Arial" w:eastAsia="Arial" w:hAnsi="Arial"/>
          <w:sz w:val="13"/>
          <w:szCs w:val="13"/>
          <w:color w:val="auto"/>
        </w:rPr>
      </w:pPr>
    </w:p>
    <w:p>
      <w:pPr>
        <w:ind w:left="340" w:hanging="332"/>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Based on diluted weighted-average number of common shares for the respective periods as presented in Table 1.</w:t>
      </w:r>
    </w:p>
    <w:p>
      <w:pPr>
        <w:spacing w:after="0" w:line="12" w:lineRule="exact"/>
        <w:rPr>
          <w:rFonts w:ascii="Arial" w:cs="Arial" w:eastAsia="Arial" w:hAnsi="Arial"/>
          <w:sz w:val="13"/>
          <w:szCs w:val="13"/>
          <w:color w:val="auto"/>
        </w:rPr>
      </w:pPr>
    </w:p>
    <w:p>
      <w:pPr>
        <w:ind w:left="340" w:right="80" w:hanging="332"/>
        <w:spacing w:after="0" w:line="258" w:lineRule="auto"/>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2015 year to date net income attributable to Comcast Corporation includes $335 million of other income, $202 million net of tax and noncontrolling interests, resulting from sales of an investment and a business. 2014 year to date net income attributable to Comcast Corporation includes $154 million of investment income, $97 million net of tax, resulting from sales of investments.</w:t>
      </w:r>
    </w:p>
    <w:p>
      <w:pPr>
        <w:ind w:left="340" w:right="60" w:hanging="332"/>
        <w:spacing w:after="0" w:line="230"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2015 year to date net income attributable to Comcast Corporation includes $240 million of other income, $150 million net of tax, resulting from the settlement of a contingent consideration liability with General Electric Company related to the acquisition of NBCUniversal.</w:t>
      </w:r>
    </w:p>
    <w:p>
      <w:pPr>
        <w:spacing w:after="0" w:line="10" w:lineRule="exact"/>
        <w:rPr>
          <w:rFonts w:ascii="Arial" w:cs="Arial" w:eastAsia="Arial" w:hAnsi="Arial"/>
          <w:sz w:val="13"/>
          <w:szCs w:val="13"/>
          <w:color w:val="auto"/>
        </w:rPr>
      </w:pPr>
    </w:p>
    <w:p>
      <w:pPr>
        <w:ind w:left="340" w:hanging="332"/>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2015 year to date net income attributable to Comcast Corporation includes $47 million of interest expense, $29 million net of tax, resulting from the early redemption of debt.</w:t>
      </w:r>
    </w:p>
    <w:p>
      <w:pPr>
        <w:spacing w:after="0" w:line="12" w:lineRule="exact"/>
        <w:rPr>
          <w:rFonts w:ascii="Arial" w:cs="Arial" w:eastAsia="Arial" w:hAnsi="Arial"/>
          <w:sz w:val="13"/>
          <w:szCs w:val="13"/>
          <w:color w:val="auto"/>
        </w:rPr>
      </w:pPr>
    </w:p>
    <w:p>
      <w:pPr>
        <w:ind w:left="340" w:right="140" w:hanging="332"/>
        <w:spacing w:after="0" w:line="223"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4th quarter 2014 net income attributable to Comcast Corporation includes $99 million of operating costs and expenses, $63 million net of tax, related to the Time Warner Cable and Charter transactions. 2015 year to date net income attributable to Comcast Corporation includes $198 million of expense ($178 million of operating costs and expenses and $20 million of depreciation and amortization expense), $123 million net of tax, related to the Time Warner Cable and Charter transactions. 2014 year to date net income attributable to Comcast Corporation includes $237 million of operating costs and expenses, $149 million net of tax, related to the Time Warner Cable and Charter transactions.</w:t>
      </w:r>
    </w:p>
    <w:p>
      <w:pPr>
        <w:spacing w:after="0" w:line="11" w:lineRule="exact"/>
        <w:rPr>
          <w:rFonts w:ascii="Arial" w:cs="Arial" w:eastAsia="Arial" w:hAnsi="Arial"/>
          <w:sz w:val="13"/>
          <w:szCs w:val="13"/>
          <w:color w:val="auto"/>
        </w:rPr>
      </w:pPr>
    </w:p>
    <w:p>
      <w:pPr>
        <w:ind w:left="340" w:right="20" w:hanging="332"/>
        <w:spacing w:after="0" w:line="225"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4th quarter 2015 net income attributable to Comcast Corporation includes $81 million of equity in net losses of investees, $50 million net of tax, resulting from our proportionate share of an impairment loss recorded at The Weather Channel. 2015 year to date net income attributable to Comcast Corporation includes $333 million of equity in net losses of investees, $208 million net of tax, resulting from our proportionate share of impairment losses recorded at The Weather Channel.</w:t>
      </w:r>
    </w:p>
    <w:p>
      <w:pPr>
        <w:spacing w:after="0" w:line="11" w:lineRule="exact"/>
        <w:rPr>
          <w:rFonts w:ascii="Arial" w:cs="Arial" w:eastAsia="Arial" w:hAnsi="Arial"/>
          <w:sz w:val="13"/>
          <w:szCs w:val="13"/>
          <w:color w:val="auto"/>
        </w:rPr>
      </w:pPr>
    </w:p>
    <w:p>
      <w:pPr>
        <w:ind w:left="340" w:right="480" w:hanging="332"/>
        <w:spacing w:after="0" w:line="230"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2014 year to date net income attributable to Comcast Corporation includes $724 million of favorable income tax adjustments resulting from adjustments of uncertain tax positions. This amount excludes the benefits of uncertain tax positions for which we have been indemnified.</w:t>
      </w:r>
    </w:p>
    <w:p>
      <w:pPr>
        <w:spacing w:after="0" w:line="10" w:lineRule="exact"/>
        <w:rPr>
          <w:rFonts w:ascii="Arial" w:cs="Arial" w:eastAsia="Arial" w:hAnsi="Arial"/>
          <w:sz w:val="13"/>
          <w:szCs w:val="13"/>
          <w:color w:val="auto"/>
        </w:rPr>
      </w:pPr>
    </w:p>
    <w:p>
      <w:pPr>
        <w:ind w:left="340" w:right="500" w:hanging="332"/>
        <w:spacing w:after="0" w:line="230"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2014 year to date net income attributable to Comcast Corporation includes $27 million of other income, resulting from the favorable resolution of a contingency related to the AT&amp;T Broadband transaction.</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TABLE 5</w:t>
      </w:r>
    </w:p>
    <w:p>
      <w:pPr>
        <w:spacing w:after="0" w:line="162" w:lineRule="exact"/>
        <w:rPr>
          <w:sz w:val="20"/>
          <w:szCs w:val="20"/>
          <w:color w:val="auto"/>
        </w:rPr>
      </w:pPr>
    </w:p>
    <w:p>
      <w:pPr>
        <w:ind w:right="2260"/>
        <w:spacing w:after="0" w:line="253" w:lineRule="auto"/>
        <w:rPr>
          <w:sz w:val="20"/>
          <w:szCs w:val="20"/>
          <w:color w:val="auto"/>
        </w:rPr>
      </w:pPr>
      <w:r>
        <w:rPr>
          <w:rFonts w:ascii="Arial" w:cs="Arial" w:eastAsia="Arial" w:hAnsi="Arial"/>
          <w:sz w:val="18"/>
          <w:szCs w:val="18"/>
          <w:b w:val="1"/>
          <w:bCs w:val="1"/>
          <w:color w:val="828282"/>
        </w:rPr>
        <w:t>Reconciliation of Consolidated Revenue Excluding 2015 Super Bowl, Universal Studios Japan and 2014 Olympics and Operating Cash Flow Excluding Universal Studios Japan, Contractual Obligation Accounting Change and Costs Related to Time Warner Cable and Charter Transactions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7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center"/>
              <w:ind w:left="768"/>
              <w:spacing w:after="0"/>
              <w:rPr>
                <w:sz w:val="20"/>
                <w:szCs w:val="20"/>
                <w:color w:val="auto"/>
              </w:rPr>
            </w:pPr>
            <w:r>
              <w:rPr>
                <w:rFonts w:ascii="Arial" w:cs="Arial" w:eastAsia="Arial" w:hAnsi="Arial"/>
                <w:sz w:val="14"/>
                <w:szCs w:val="14"/>
                <w:b w:val="1"/>
                <w:bCs w:val="1"/>
                <w:color w:val="auto"/>
              </w:rPr>
              <w:t>Twelve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6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2014</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252"/>
        </w:trPr>
        <w:tc>
          <w:tcPr>
            <w:tcW w:w="460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$17,732</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$19,245</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$68,775</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$74,510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4"/>
                <w:szCs w:val="14"/>
                <w:color w:val="auto"/>
              </w:rPr>
              <w:t>2015 Super Bowl</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Arial" w:cs="Arial" w:eastAsia="Arial" w:hAnsi="Arial"/>
                <w:sz w:val="14"/>
                <w:szCs w:val="14"/>
                <w:color w:val="auto"/>
              </w:rPr>
              <w:t>Universal Studios Japan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(169)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00" w:type="dxa"/>
            <w:vAlign w:val="bottom"/>
          </w:tcPr>
          <w:p>
            <w:pPr>
              <w:spacing w:after="0"/>
              <w:rPr>
                <w:sz w:val="20"/>
                <w:szCs w:val="20"/>
                <w:color w:val="auto"/>
              </w:rPr>
            </w:pPr>
            <w:r>
              <w:rPr>
                <w:rFonts w:ascii="Arial" w:cs="Arial" w:eastAsia="Arial" w:hAnsi="Arial"/>
                <w:sz w:val="14"/>
                <w:szCs w:val="14"/>
                <w:color w:val="auto"/>
              </w:rPr>
              <w:t>Revenue excluding 2015 Super Bowl, Universal Studios Japan and</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$17,732</w:t>
            </w:r>
          </w:p>
        </w:tc>
        <w:tc>
          <w:tcPr>
            <w:tcW w:w="4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$19,076</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$67,672</w:t>
            </w:r>
          </w:p>
        </w:tc>
        <w:tc>
          <w:tcPr>
            <w:tcW w:w="24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$73,965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600" w:type="dxa"/>
            <w:vAlign w:val="bottom"/>
          </w:tcPr>
          <w:p>
            <w:pPr>
              <w:ind w:left="180"/>
              <w:spacing w:after="0" w:line="144" w:lineRule="exact"/>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4"/>
                <w:szCs w:val="14"/>
                <w:color w:val="auto"/>
              </w:rPr>
              <w:t>7.6%</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60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2014</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292"/>
        </w:trPr>
        <w:tc>
          <w:tcPr>
            <w:tcW w:w="4600" w:type="dxa"/>
            <w:vAlign w:val="bottom"/>
          </w:tcPr>
          <w:p>
            <w:pPr>
              <w:spacing w:after="0"/>
              <w:rPr>
                <w:sz w:val="20"/>
                <w:szCs w:val="20"/>
                <w:color w:val="auto"/>
              </w:rPr>
            </w:pPr>
            <w:r>
              <w:rPr>
                <w:rFonts w:ascii="Arial" w:cs="Arial" w:eastAsia="Arial" w:hAnsi="Arial"/>
                <w:sz w:val="14"/>
                <w:szCs w:val="14"/>
                <w:color w:val="auto"/>
              </w:rPr>
              <w:t>Operating Cash Flow</w:t>
            </w:r>
          </w:p>
        </w:tc>
        <w:tc>
          <w:tcPr>
            <w:tcW w:w="880" w:type="dxa"/>
            <w:vAlign w:val="bottom"/>
          </w:tcPr>
          <w:p>
            <w:pPr>
              <w:jc w:val="right"/>
              <w:spacing w:after="0"/>
              <w:rPr>
                <w:sz w:val="20"/>
                <w:szCs w:val="20"/>
                <w:color w:val="auto"/>
              </w:rPr>
            </w:pPr>
            <w:r>
              <w:rPr>
                <w:rFonts w:ascii="Arial" w:cs="Arial" w:eastAsia="Arial" w:hAnsi="Arial"/>
                <w:sz w:val="14"/>
                <w:szCs w:val="14"/>
                <w:color w:val="auto"/>
              </w:rPr>
              <w:t>$5,877</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$6,272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$22,923</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$24,678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4"/>
                <w:szCs w:val="14"/>
                <w:color w:val="auto"/>
              </w:rPr>
              <w:t>Universal Studios Japan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(80)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Arial" w:cs="Arial" w:eastAsia="Arial" w:hAnsi="Arial"/>
                <w:sz w:val="14"/>
                <w:szCs w:val="14"/>
                <w:color w:val="auto"/>
              </w:rPr>
              <w:t>Contractual obligation accounting change</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20"/>
                <w:szCs w:val="20"/>
                <w:color w:val="auto"/>
              </w:rPr>
            </w:pPr>
            <w:r>
              <w:rPr>
                <w:rFonts w:ascii="Arial" w:cs="Arial" w:eastAsia="Arial" w:hAnsi="Arial"/>
                <w:sz w:val="14"/>
                <w:szCs w:val="14"/>
                <w:color w:val="auto"/>
              </w:rPr>
              <w:t>Costs related to Time Warner Cable and Charter transactions</w:t>
            </w:r>
          </w:p>
        </w:tc>
        <w:tc>
          <w:tcPr>
            <w:tcW w:w="880" w:type="dxa"/>
            <w:vAlign w:val="bottom"/>
          </w:tcPr>
          <w:p>
            <w:pPr>
              <w:jc w:val="right"/>
              <w:spacing w:after="0"/>
              <w:rPr>
                <w:sz w:val="20"/>
                <w:szCs w:val="20"/>
                <w:color w:val="auto"/>
              </w:rPr>
            </w:pPr>
            <w:r>
              <w:rPr>
                <w:rFonts w:ascii="Arial" w:cs="Arial" w:eastAsia="Arial" w:hAnsi="Arial"/>
                <w:sz w:val="14"/>
                <w:szCs w:val="14"/>
                <w:color w:val="auto"/>
              </w:rPr>
              <w:t>99</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237</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178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00" w:type="dxa"/>
            <w:vAlign w:val="bottom"/>
          </w:tcPr>
          <w:p>
            <w:pPr>
              <w:spacing w:after="0"/>
              <w:rPr>
                <w:sz w:val="20"/>
                <w:szCs w:val="20"/>
                <w:color w:val="auto"/>
              </w:rPr>
            </w:pPr>
            <w:r>
              <w:rPr>
                <w:rFonts w:ascii="Arial" w:cs="Arial" w:eastAsia="Arial" w:hAnsi="Arial"/>
                <w:sz w:val="14"/>
                <w:szCs w:val="14"/>
                <w:color w:val="auto"/>
              </w:rPr>
              <w:t>Operating Cash Flow excluding Universal Studios Japan,</w:t>
            </w: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180"/>
              <w:spacing w:after="0"/>
              <w:rPr>
                <w:sz w:val="20"/>
                <w:szCs w:val="20"/>
                <w:color w:val="auto"/>
              </w:rPr>
            </w:pPr>
            <w:r>
              <w:rPr>
                <w:rFonts w:ascii="Arial" w:cs="Arial" w:eastAsia="Arial" w:hAnsi="Arial"/>
                <w:sz w:val="14"/>
                <w:szCs w:val="14"/>
                <w:color w:val="auto"/>
              </w:rPr>
              <w:t>contractual obligation accounting change and costs related to</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$5,976</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$6,214</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$23,160</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$24,798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180"/>
              <w:spacing w:after="0" w:line="144" w:lineRule="exact"/>
              <w:rPr>
                <w:sz w:val="20"/>
                <w:szCs w:val="20"/>
                <w:color w:val="auto"/>
              </w:rPr>
            </w:pPr>
            <w:r>
              <w:rPr>
                <w:rFonts w:ascii="Arial" w:cs="Arial" w:eastAsia="Arial" w:hAnsi="Arial"/>
                <w:sz w:val="14"/>
                <w:szCs w:val="14"/>
                <w:color w:val="auto"/>
              </w:rPr>
              <w:t>Time Warner Cable and Charter transactions</w:t>
            </w:r>
          </w:p>
        </w:tc>
        <w:tc>
          <w:tcPr>
            <w:tcW w:w="880" w:type="dxa"/>
            <w:vAlign w:val="bottom"/>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4"/>
                <w:szCs w:val="14"/>
                <w:color w:val="auto"/>
              </w:rPr>
              <w:t>4.0%</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828282"/>
        </w:rPr>
        <w:t>Reconciliation of Consolidated NBCUniversal Revenue Excluding 2015 Super Bowl, Universal Studios Japan and 2014 Olympics and Operating Cash Flow Excluding Universal Studios Japan and Contractual Obligation Accounting Change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center"/>
              <w:ind w:left="768"/>
              <w:spacing w:after="0"/>
              <w:rPr>
                <w:sz w:val="20"/>
                <w:szCs w:val="20"/>
                <w:color w:val="auto"/>
              </w:rPr>
            </w:pPr>
            <w:r>
              <w:rPr>
                <w:rFonts w:ascii="Arial" w:cs="Arial" w:eastAsia="Arial" w:hAnsi="Arial"/>
                <w:sz w:val="14"/>
                <w:szCs w:val="14"/>
                <w:b w:val="1"/>
                <w:bCs w:val="1"/>
                <w:color w:val="auto"/>
              </w:rPr>
              <w:t>Twelve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6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2014</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292"/>
        </w:trPr>
        <w:tc>
          <w:tcPr>
            <w:tcW w:w="460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$6,615</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$7,477</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$25,428</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$28,462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55"/>
        </w:trPr>
        <w:tc>
          <w:tcPr>
            <w:tcW w:w="4600" w:type="dxa"/>
            <w:vAlign w:val="bottom"/>
          </w:tcPr>
          <w:p>
            <w:pPr>
              <w:spacing w:after="0"/>
              <w:rPr>
                <w:sz w:val="20"/>
                <w:szCs w:val="20"/>
                <w:color w:val="auto"/>
              </w:rPr>
            </w:pPr>
            <w:r>
              <w:rPr>
                <w:rFonts w:ascii="Arial" w:cs="Arial" w:eastAsia="Arial" w:hAnsi="Arial"/>
                <w:sz w:val="14"/>
                <w:szCs w:val="14"/>
                <w:color w:val="auto"/>
              </w:rPr>
              <w:t>2015 Super Bowl</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Arial" w:cs="Arial" w:eastAsia="Arial" w:hAnsi="Arial"/>
                <w:sz w:val="14"/>
                <w:szCs w:val="14"/>
                <w:color w:val="auto"/>
              </w:rPr>
              <w:t>Universal Studios Japan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(169)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00" w:type="dxa"/>
            <w:vAlign w:val="bottom"/>
          </w:tcPr>
          <w:p>
            <w:pPr>
              <w:spacing w:after="0"/>
              <w:rPr>
                <w:sz w:val="20"/>
                <w:szCs w:val="20"/>
                <w:color w:val="auto"/>
              </w:rPr>
            </w:pPr>
            <w:r>
              <w:rPr>
                <w:rFonts w:ascii="Arial" w:cs="Arial" w:eastAsia="Arial" w:hAnsi="Arial"/>
                <w:sz w:val="14"/>
                <w:szCs w:val="14"/>
                <w:color w:val="auto"/>
              </w:rPr>
              <w:t>Revenue excluding 2015 Super Bowl, Universal Studios Japan and</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$6,615</w:t>
            </w:r>
          </w:p>
        </w:tc>
        <w:tc>
          <w:tcPr>
            <w:tcW w:w="4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$7,308</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$24,325</w:t>
            </w:r>
          </w:p>
        </w:tc>
        <w:tc>
          <w:tcPr>
            <w:tcW w:w="24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$27,917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600" w:type="dxa"/>
            <w:vAlign w:val="bottom"/>
          </w:tcPr>
          <w:p>
            <w:pPr>
              <w:ind w:left="180"/>
              <w:spacing w:after="0" w:line="144" w:lineRule="exact"/>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4"/>
                <w:szCs w:val="14"/>
                <w:color w:val="auto"/>
              </w:rPr>
              <w:t>10.5%</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60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2014</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292"/>
        </w:trPr>
        <w:tc>
          <w:tcPr>
            <w:tcW w:w="4600" w:type="dxa"/>
            <w:vAlign w:val="bottom"/>
          </w:tcPr>
          <w:p>
            <w:pPr>
              <w:spacing w:after="0"/>
              <w:rPr>
                <w:sz w:val="20"/>
                <w:szCs w:val="20"/>
                <w:color w:val="auto"/>
              </w:rPr>
            </w:pPr>
            <w:r>
              <w:rPr>
                <w:rFonts w:ascii="Arial" w:cs="Arial" w:eastAsia="Arial" w:hAnsi="Arial"/>
                <w:sz w:val="14"/>
                <w:szCs w:val="14"/>
                <w:color w:val="auto"/>
              </w:rPr>
              <w:t>Operating Cash Flow</w:t>
            </w:r>
          </w:p>
        </w:tc>
        <w:tc>
          <w:tcPr>
            <w:tcW w:w="880" w:type="dxa"/>
            <w:vAlign w:val="bottom"/>
          </w:tcPr>
          <w:p>
            <w:pPr>
              <w:jc w:val="right"/>
              <w:spacing w:after="0"/>
              <w:rPr>
                <w:sz w:val="20"/>
                <w:szCs w:val="20"/>
                <w:color w:val="auto"/>
              </w:rPr>
            </w:pPr>
            <w:r>
              <w:rPr>
                <w:rFonts w:ascii="Arial" w:cs="Arial" w:eastAsia="Arial" w:hAnsi="Arial"/>
                <w:sz w:val="14"/>
                <w:szCs w:val="14"/>
                <w:color w:val="auto"/>
              </w:rPr>
              <w:t>$1,427</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$1,551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$5,588</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$6,414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55"/>
        </w:trPr>
        <w:tc>
          <w:tcPr>
            <w:tcW w:w="4600" w:type="dxa"/>
            <w:vAlign w:val="bottom"/>
          </w:tcPr>
          <w:p>
            <w:pPr>
              <w:spacing w:after="0"/>
              <w:rPr>
                <w:sz w:val="20"/>
                <w:szCs w:val="20"/>
                <w:color w:val="auto"/>
              </w:rPr>
            </w:pPr>
            <w:r>
              <w:rPr>
                <w:rFonts w:ascii="Arial" w:cs="Arial" w:eastAsia="Arial" w:hAnsi="Arial"/>
                <w:sz w:val="14"/>
                <w:szCs w:val="14"/>
                <w:color w:val="auto"/>
              </w:rPr>
              <w:t>Universal Studios Japan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(80)</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20"/>
                <w:szCs w:val="20"/>
                <w:color w:val="auto"/>
              </w:rPr>
            </w:pPr>
            <w:r>
              <w:rPr>
                <w:rFonts w:ascii="Arial" w:cs="Arial" w:eastAsia="Arial" w:hAnsi="Arial"/>
                <w:sz w:val="14"/>
                <w:szCs w:val="14"/>
                <w:color w:val="auto"/>
              </w:rPr>
              <w:t>Contractual obligation accounting change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00" w:type="dxa"/>
            <w:vAlign w:val="bottom"/>
          </w:tcPr>
          <w:p>
            <w:pPr>
              <w:spacing w:after="0"/>
              <w:rPr>
                <w:sz w:val="20"/>
                <w:szCs w:val="20"/>
                <w:color w:val="auto"/>
              </w:rPr>
            </w:pPr>
            <w:r>
              <w:rPr>
                <w:rFonts w:ascii="Arial" w:cs="Arial" w:eastAsia="Arial" w:hAnsi="Arial"/>
                <w:sz w:val="14"/>
                <w:szCs w:val="14"/>
                <w:color w:val="auto"/>
              </w:rPr>
              <w:t>Operating Cash Flow excluding Universal Studios Japan and</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$1,427</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$1,493</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$5,588</w:t>
            </w:r>
          </w:p>
        </w:tc>
        <w:tc>
          <w:tcPr>
            <w:tcW w:w="24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$6,356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180"/>
              <w:spacing w:after="0" w:line="144" w:lineRule="exact"/>
              <w:rPr>
                <w:sz w:val="20"/>
                <w:szCs w:val="20"/>
                <w:color w:val="auto"/>
              </w:rPr>
            </w:pPr>
            <w:r>
              <w:rPr>
                <w:rFonts w:ascii="Arial" w:cs="Arial" w:eastAsia="Arial" w:hAnsi="Arial"/>
                <w:sz w:val="14"/>
                <w:szCs w:val="14"/>
                <w:color w:val="auto"/>
              </w:rPr>
              <w:t>contractual obligation accounting change</w:t>
            </w:r>
          </w:p>
        </w:tc>
        <w:tc>
          <w:tcPr>
            <w:tcW w:w="880" w:type="dxa"/>
            <w:vAlign w:val="bottom"/>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4"/>
                <w:szCs w:val="14"/>
                <w:color w:val="auto"/>
              </w:rPr>
              <w:t>4.7%</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3" w:right="239" w:bottom="49"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828282"/>
        </w:rPr>
        <w:t>Reconciliation of Cable Networks Revenue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5"/>
          </w:tcPr>
          <w:p>
            <w:pPr>
              <w:jc w:val="center"/>
              <w:ind w:left="748"/>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14"/>
                <w:szCs w:val="14"/>
                <w:color w:val="auto"/>
              </w:rPr>
            </w:pPr>
          </w:p>
        </w:tc>
      </w:tr>
      <w:tr>
        <w:trPr>
          <w:trHeight w:val="190"/>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r>
      <w:tr>
        <w:trPr>
          <w:trHeight w:val="269"/>
        </w:trPr>
        <w:tc>
          <w:tcPr>
            <w:tcW w:w="4600" w:type="dxa"/>
            <w:vAlign w:val="bottom"/>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w:t>
            </w:r>
          </w:p>
        </w:tc>
      </w:tr>
      <w:tr>
        <w:trPr>
          <w:trHeight w:val="252"/>
        </w:trPr>
        <w:tc>
          <w:tcPr>
            <w:tcW w:w="4600" w:type="dxa"/>
            <w:vAlign w:val="bottom"/>
          </w:tcPr>
          <w:p>
            <w:pPr>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spacing w:after="0"/>
              <w:rPr>
                <w:sz w:val="20"/>
                <w:szCs w:val="20"/>
                <w:color w:val="auto"/>
              </w:rPr>
            </w:pPr>
            <w:r>
              <w:rPr>
                <w:rFonts w:ascii="Arial" w:cs="Arial" w:eastAsia="Arial" w:hAnsi="Arial"/>
                <w:sz w:val="14"/>
                <w:szCs w:val="14"/>
                <w:color w:val="auto"/>
              </w:rPr>
              <w:t>$2,327</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$2,407</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$9,563</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$9,628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28"/>
        </w:trPr>
        <w:tc>
          <w:tcPr>
            <w:tcW w:w="4600" w:type="dxa"/>
            <w:vAlign w:val="bottom"/>
          </w:tcPr>
          <w:p>
            <w:pPr>
              <w:spacing w:after="0"/>
              <w:rPr>
                <w:sz w:val="20"/>
                <w:szCs w:val="20"/>
                <w:color w:val="auto"/>
              </w:rPr>
            </w:pPr>
            <w:r>
              <w:rPr>
                <w:rFonts w:ascii="Arial" w:cs="Arial" w:eastAsia="Arial" w:hAnsi="Arial"/>
                <w:sz w:val="14"/>
                <w:szCs w:val="14"/>
                <w:color w:val="auto"/>
              </w:rPr>
              <w:t>2014 Olympics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920" w:type="dxa"/>
            <w:vAlign w:val="bottom"/>
          </w:tcPr>
          <w:p>
            <w:pPr>
              <w:jc w:val="right"/>
              <w:spacing w:after="0"/>
              <w:rPr>
                <w:sz w:val="20"/>
                <w:szCs w:val="20"/>
                <w:color w:val="auto"/>
              </w:rPr>
            </w:pPr>
            <w:r>
              <w:rPr>
                <w:rFonts w:ascii="Arial" w:cs="Arial" w:eastAsia="Arial" w:hAnsi="Arial"/>
                <w:sz w:val="14"/>
                <w:szCs w:val="14"/>
                <w:color w:val="auto"/>
              </w:rPr>
              <w:t>$2,327</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$2,407</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$9,306</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$9,628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4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of Broadcast Television Revenue Excluding 2015 Super Bowl and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5"/>
          </w:tcPr>
          <w:p>
            <w:pPr>
              <w:jc w:val="center"/>
              <w:ind w:left="748"/>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14"/>
                <w:szCs w:val="14"/>
                <w:color w:val="auto"/>
              </w:rPr>
            </w:pPr>
          </w:p>
        </w:tc>
      </w:tr>
      <w:tr>
        <w:trPr>
          <w:trHeight w:val="190"/>
        </w:trPr>
        <w:tc>
          <w:tcPr>
            <w:tcW w:w="3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r>
      <w:tr>
        <w:trPr>
          <w:trHeight w:val="269"/>
        </w:trPr>
        <w:tc>
          <w:tcPr>
            <w:tcW w:w="46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w:t>
            </w:r>
          </w:p>
        </w:tc>
      </w:tr>
      <w:tr>
        <w:trPr>
          <w:trHeight w:val="252"/>
        </w:trPr>
        <w:tc>
          <w:tcPr>
            <w:tcW w:w="460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spacing w:after="0"/>
              <w:rPr>
                <w:sz w:val="20"/>
                <w:szCs w:val="20"/>
                <w:color w:val="auto"/>
              </w:rPr>
            </w:pPr>
            <w:r>
              <w:rPr>
                <w:rFonts w:ascii="Arial" w:cs="Arial" w:eastAsia="Arial" w:hAnsi="Arial"/>
                <w:sz w:val="14"/>
                <w:szCs w:val="14"/>
                <w:color w:val="auto"/>
              </w:rPr>
              <w:t>$2,335</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$2,498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$8,542</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$8,530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5"/>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426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(376)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75"/>
        </w:trPr>
        <w:tc>
          <w:tcPr>
            <w:tcW w:w="340" w:type="dxa"/>
            <w:vAlign w:val="bottom"/>
          </w:tcPr>
          <w:p>
            <w:pPr>
              <w:spacing w:after="0"/>
              <w:rPr>
                <w:sz w:val="20"/>
                <w:szCs w:val="20"/>
                <w:color w:val="auto"/>
              </w:rPr>
            </w:pPr>
            <w:r>
              <w:rPr>
                <w:rFonts w:ascii="Arial" w:cs="Arial" w:eastAsia="Arial" w:hAnsi="Arial"/>
                <w:sz w:val="14"/>
                <w:szCs w:val="14"/>
                <w:color w:val="auto"/>
              </w:rPr>
              <w:t>2014</w:t>
            </w:r>
          </w:p>
        </w:tc>
        <w:tc>
          <w:tcPr>
            <w:tcW w:w="4260" w:type="dxa"/>
            <w:vAlign w:val="bottom"/>
          </w:tcPr>
          <w:p>
            <w:pPr>
              <w:ind w:left="20"/>
              <w:spacing w:after="0"/>
              <w:rPr>
                <w:sz w:val="20"/>
                <w:szCs w:val="20"/>
                <w:color w:val="auto"/>
              </w:rPr>
            </w:pPr>
            <w:r>
              <w:rPr>
                <w:rFonts w:ascii="Arial" w:cs="Arial" w:eastAsia="Arial" w:hAnsi="Arial"/>
                <w:sz w:val="14"/>
                <w:szCs w:val="14"/>
                <w:color w:val="auto"/>
              </w:rPr>
              <w:t>Olympics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7"/>
        </w:trPr>
        <w:tc>
          <w:tcPr>
            <w:tcW w:w="4600" w:type="dxa"/>
            <w:vAlign w:val="bottom"/>
            <w:gridSpan w:val="2"/>
          </w:tcPr>
          <w:p>
            <w:pPr>
              <w:spacing w:after="0"/>
              <w:rPr>
                <w:sz w:val="20"/>
                <w:szCs w:val="20"/>
                <w:color w:val="auto"/>
              </w:rPr>
            </w:pPr>
            <w:r>
              <w:rPr>
                <w:rFonts w:ascii="Arial" w:cs="Arial" w:eastAsia="Arial" w:hAnsi="Arial"/>
                <w:sz w:val="14"/>
                <w:szCs w:val="14"/>
                <w:color w:val="auto"/>
              </w:rPr>
              <w:t>Revenue excluding 2015 Super Bowl and 2014 Olympics</w:t>
            </w:r>
          </w:p>
        </w:tc>
        <w:tc>
          <w:tcPr>
            <w:tcW w:w="920" w:type="dxa"/>
            <w:vAlign w:val="bottom"/>
          </w:tcPr>
          <w:p>
            <w:pPr>
              <w:jc w:val="right"/>
              <w:spacing w:after="0"/>
              <w:rPr>
                <w:sz w:val="20"/>
                <w:szCs w:val="20"/>
                <w:color w:val="auto"/>
              </w:rPr>
            </w:pPr>
            <w:r>
              <w:rPr>
                <w:rFonts w:ascii="Arial" w:cs="Arial" w:eastAsia="Arial" w:hAnsi="Arial"/>
                <w:sz w:val="14"/>
                <w:szCs w:val="14"/>
                <w:color w:val="auto"/>
              </w:rPr>
              <w:t>$2,335</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$2,498</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$7,696</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$8,154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of Theme Parks Revenue and Operating Cash Flow Excluding Universal Studios Japan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center"/>
              <w:ind w:left="768"/>
              <w:spacing w:after="0"/>
              <w:rPr>
                <w:sz w:val="20"/>
                <w:szCs w:val="20"/>
                <w:color w:val="auto"/>
              </w:rPr>
            </w:pPr>
            <w:r>
              <w:rPr>
                <w:rFonts w:ascii="Arial" w:cs="Arial" w:eastAsia="Arial" w:hAnsi="Arial"/>
                <w:sz w:val="14"/>
                <w:szCs w:val="14"/>
                <w:b w:val="1"/>
                <w:bCs w:val="1"/>
                <w:color w:val="auto"/>
              </w:rPr>
              <w:t>Twelve Months Ended</w:t>
            </w:r>
          </w:p>
        </w:tc>
        <w:tc>
          <w:tcPr>
            <w:tcW w:w="840" w:type="dxa"/>
            <w:vAlign w:val="bottom"/>
          </w:tcPr>
          <w:p>
            <w:pPr>
              <w:spacing w:after="0"/>
              <w:rPr>
                <w:sz w:val="14"/>
                <w:szCs w:val="14"/>
                <w:color w:val="auto"/>
              </w:rPr>
            </w:pPr>
          </w:p>
        </w:tc>
      </w:tr>
      <w:tr>
        <w:trPr>
          <w:trHeight w:val="190"/>
        </w:trPr>
        <w:tc>
          <w:tcPr>
            <w:tcW w:w="4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r>
      <w:tr>
        <w:trPr>
          <w:trHeight w:val="269"/>
        </w:trPr>
        <w:tc>
          <w:tcPr>
            <w:tcW w:w="46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2014</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Growth%</w:t>
            </w:r>
          </w:p>
        </w:tc>
      </w:tr>
      <w:tr>
        <w:trPr>
          <w:trHeight w:val="252"/>
        </w:trPr>
        <w:tc>
          <w:tcPr>
            <w:tcW w:w="460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$735</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$1,019</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38.6%</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$2,623</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$3,339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228"/>
        </w:trPr>
        <w:tc>
          <w:tcPr>
            <w:tcW w:w="4600" w:type="dxa"/>
            <w:vAlign w:val="bottom"/>
          </w:tcPr>
          <w:p>
            <w:pPr>
              <w:spacing w:after="0"/>
              <w:rPr>
                <w:sz w:val="20"/>
                <w:szCs w:val="20"/>
                <w:color w:val="auto"/>
              </w:rPr>
            </w:pPr>
            <w:r>
              <w:rPr>
                <w:rFonts w:ascii="Arial" w:cs="Arial" w:eastAsia="Arial" w:hAnsi="Arial"/>
                <w:sz w:val="14"/>
                <w:szCs w:val="14"/>
                <w:color w:val="auto"/>
              </w:rPr>
              <w:t>Universal Studios Japan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4"/>
                <w:szCs w:val="14"/>
                <w:color w:val="auto"/>
              </w:rPr>
              <w:t>Revenue excluding Universal Studios Japan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w:t>
            </w: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$850</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$2,623</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20"/>
        </w:trPr>
        <w:tc>
          <w:tcPr>
            <w:tcW w:w="4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05"/>
        </w:trPr>
        <w:tc>
          <w:tcPr>
            <w:tcW w:w="460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2014</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r>
      <w:tr>
        <w:trPr>
          <w:trHeight w:val="292"/>
        </w:trPr>
        <w:tc>
          <w:tcPr>
            <w:tcW w:w="4600" w:type="dxa"/>
            <w:vAlign w:val="bottom"/>
          </w:tcPr>
          <w:p>
            <w:pPr>
              <w:spacing w:after="0"/>
              <w:rPr>
                <w:sz w:val="20"/>
                <w:szCs w:val="20"/>
                <w:color w:val="auto"/>
              </w:rPr>
            </w:pPr>
            <w:r>
              <w:rPr>
                <w:rFonts w:ascii="Arial" w:cs="Arial" w:eastAsia="Arial" w:hAnsi="Arial"/>
                <w:sz w:val="14"/>
                <w:szCs w:val="14"/>
                <w:color w:val="auto"/>
              </w:rPr>
              <w:t>Operating Cash Flow</w:t>
            </w:r>
          </w:p>
        </w:tc>
        <w:tc>
          <w:tcPr>
            <w:tcW w:w="880" w:type="dxa"/>
            <w:vAlign w:val="bottom"/>
          </w:tcPr>
          <w:p>
            <w:pPr>
              <w:jc w:val="right"/>
              <w:spacing w:after="0"/>
              <w:rPr>
                <w:sz w:val="20"/>
                <w:szCs w:val="20"/>
                <w:color w:val="auto"/>
              </w:rPr>
            </w:pPr>
            <w:r>
              <w:rPr>
                <w:rFonts w:ascii="Arial" w:cs="Arial" w:eastAsia="Arial" w:hAnsi="Arial"/>
                <w:sz w:val="14"/>
                <w:szCs w:val="14"/>
                <w:color w:val="auto"/>
              </w:rPr>
              <w:t>$330</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$452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36.6%</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$1,096</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$1,464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33.5%</w:t>
            </w:r>
          </w:p>
        </w:tc>
      </w:tr>
      <w:tr>
        <w:trPr>
          <w:trHeight w:val="228"/>
        </w:trPr>
        <w:tc>
          <w:tcPr>
            <w:tcW w:w="4600" w:type="dxa"/>
            <w:vAlign w:val="bottom"/>
          </w:tcPr>
          <w:p>
            <w:pPr>
              <w:spacing w:after="0"/>
              <w:rPr>
                <w:sz w:val="20"/>
                <w:szCs w:val="20"/>
                <w:color w:val="auto"/>
              </w:rPr>
            </w:pPr>
            <w:r>
              <w:rPr>
                <w:rFonts w:ascii="Arial" w:cs="Arial" w:eastAsia="Arial" w:hAnsi="Arial"/>
                <w:sz w:val="14"/>
                <w:szCs w:val="14"/>
                <w:color w:val="auto"/>
              </w:rPr>
              <w:t>Universal Studios Japan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4"/>
                <w:szCs w:val="14"/>
                <w:color w:val="auto"/>
              </w:rPr>
              <w:t>Operating Cash Flow excluding Universal Studios Japan</w:t>
            </w:r>
          </w:p>
        </w:tc>
        <w:tc>
          <w:tcPr>
            <w:tcW w:w="880" w:type="dxa"/>
            <w:vAlign w:val="bottom"/>
          </w:tcPr>
          <w:p>
            <w:pPr>
              <w:jc w:val="right"/>
              <w:spacing w:after="0"/>
              <w:rPr>
                <w:sz w:val="20"/>
                <w:szCs w:val="20"/>
                <w:color w:val="auto"/>
              </w:rPr>
            </w:pPr>
            <w:r>
              <w:rPr>
                <w:rFonts w:ascii="Arial" w:cs="Arial" w:eastAsia="Arial" w:hAnsi="Arial"/>
                <w:sz w:val="14"/>
                <w:szCs w:val="14"/>
                <w:color w:val="auto"/>
              </w:rPr>
              <w:t>$330</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$372</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$1,096</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$1,384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7"/>
          <w:szCs w:val="17"/>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Operating Cash Flow is defined as operating income (loss) before depreciation and amortization, excluding impairment charges related to fixed and intangible assets and gains or losses on the sale of assets, if any.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Free Cash Flow, which is a non-GAAP financial measure, is defined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 cont’d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6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Exhibit 99.1 to this Current Report on Form 8-K we provide reconciliations of Free Cash Flow in Table 4, Consolidated Operating Cash Flow in Table 1 and “adjusted” data in Tables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emdash "/>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3"/>
      <w:numFmt w:val="bullet"/>
      <w:start w:val="1"/>
    </w:lvl>
  </w:abstractNum>
  <w:abstractNum w:abstractNumId="7">
    <w:nsid w:val="515F007C"/>
    <w:multiLevelType w:val="hybridMultilevel"/>
    <w:lvl w:ilvl="0">
      <w:lvlJc w:val="left"/>
      <w:lvlText w:val="4"/>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2019-12-07T16:03:02Z</dcterms:created>
  <dcterms:modified xsi:type="dcterms:W3CDTF">2019-12-07T16:03:02Z</dcterms:modified>
</cp:coreProperties>
</file>