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424(b)(2)</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333-266390</w:t>
      </w:r>
    </w:p>
    <w:p>
      <w:pPr>
        <w:spacing w:after="0" w:line="1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prospectus dated July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160020</wp:posOffset>
            </wp:positionV>
            <wp:extent cx="1388745" cy="488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8745" cy="4883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5"/>
          <w:szCs w:val="25"/>
          <w:b w:val="1"/>
          <w:bCs w:val="1"/>
          <w:color w:val="auto"/>
        </w:rPr>
        <w:t>€900,000,000 3.250% Notes due 2032</w:t>
      </w:r>
    </w:p>
    <w:p>
      <w:pPr>
        <w:spacing w:after="0" w:line="44"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5"/>
          <w:szCs w:val="25"/>
          <w:b w:val="1"/>
          <w:bCs w:val="1"/>
          <w:color w:val="auto"/>
        </w:rPr>
        <w:t>€900,000,000 3.550% Notes due 2036</w:t>
      </w:r>
    </w:p>
    <w:p>
      <w:pPr>
        <w:spacing w:after="0" w:line="10"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5"/>
          <w:szCs w:val="25"/>
          <w:b w:val="1"/>
          <w:bCs w:val="1"/>
          <w:color w:val="auto"/>
        </w:rPr>
        <w:t>£750,000,000 5.250% Notes due 2040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156845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5" w:lineRule="exact"/>
        <w:rPr>
          <w:sz w:val="24"/>
          <w:szCs w:val="24"/>
          <w:color w:val="auto"/>
        </w:rPr>
      </w:pPr>
    </w:p>
    <w:p>
      <w:pPr>
        <w:ind w:left="120" w:right="40" w:firstLine="440"/>
        <w:spacing w:after="0" w:line="269" w:lineRule="auto"/>
        <w:rPr>
          <w:sz w:val="20"/>
          <w:szCs w:val="20"/>
          <w:color w:val="auto"/>
        </w:rPr>
      </w:pPr>
      <w:r>
        <w:rPr>
          <w:rFonts w:ascii="Times New Roman" w:cs="Times New Roman" w:eastAsia="Times New Roman" w:hAnsi="Times New Roman"/>
          <w:sz w:val="16"/>
          <w:szCs w:val="16"/>
          <w:color w:val="auto"/>
        </w:rPr>
        <w:t>We are offering €900,000,000 of 3.250% notes due 2032 (the “euro notes due 2032”), €900,000,000 of 3.550% notes due 2036 (the “euro notes due 2036” and, together with the euro notes due 2032, the “euro notes”) and £750,000,000 of 5.250% notes due 2040 (the “sterling notes” and, together with the euro notes, the “notes”). The euro notes due 2032 will bear interest at a rate of 3.250% per year and will mature on September 26, 2032 and the euro notes due 2036 will bear interest at a rate of 3.550% per year and will mature on September 26, 2036. The sterling notes will bear interest at a rate of 5.250% per year and will mature on September 26, 2040. We will pay interest on the notes on September 26 of each year, beginning on September 26, 2025. We may redeem any of the notes at any time by paying the applicable redemption price described under the heading “Description of the Notes—Optional Redemption.” In addition, we may redeem the notes in whole but not in part, at any time at our option, in the event of certain developments affecting United States taxation as described under the heading “Description of the Notes—Redemption for Tax Reasons.”</w:t>
      </w:r>
    </w:p>
    <w:p>
      <w:pPr>
        <w:spacing w:after="0" w:line="78" w:lineRule="exact"/>
        <w:rPr>
          <w:sz w:val="24"/>
          <w:szCs w:val="24"/>
          <w:color w:val="auto"/>
        </w:rPr>
      </w:pPr>
    </w:p>
    <w:p>
      <w:pPr>
        <w:ind w:left="120" w:right="220" w:firstLine="440"/>
        <w:spacing w:after="0" w:line="298" w:lineRule="auto"/>
        <w:rPr>
          <w:sz w:val="20"/>
          <w:szCs w:val="20"/>
          <w:color w:val="auto"/>
        </w:rPr>
      </w:pPr>
      <w:r>
        <w:rPr>
          <w:rFonts w:ascii="Times New Roman" w:cs="Times New Roman" w:eastAsia="Times New Roman" w:hAnsi="Times New Roman"/>
          <w:sz w:val="16"/>
          <w:szCs w:val="16"/>
          <w:color w:val="auto"/>
        </w:rPr>
        <w:t>The euro notes will be issued in minimum denominations of €100,000 and integral multiples of €1,000 in excess thereof, and the sterling notes will be issued in minimum denominations of £100,000 and integral multiples of £1,000 in excess thereof.</w:t>
      </w:r>
    </w:p>
    <w:p>
      <w:pPr>
        <w:spacing w:after="0" w:line="56" w:lineRule="exact"/>
        <w:rPr>
          <w:sz w:val="24"/>
          <w:szCs w:val="24"/>
          <w:color w:val="auto"/>
        </w:rPr>
      </w:pPr>
    </w:p>
    <w:p>
      <w:pPr>
        <w:ind w:left="120" w:right="380" w:firstLine="440"/>
        <w:spacing w:after="0" w:line="298" w:lineRule="auto"/>
        <w:rPr>
          <w:sz w:val="20"/>
          <w:szCs w:val="20"/>
          <w:color w:val="auto"/>
        </w:rPr>
      </w:pPr>
      <w:r>
        <w:rPr>
          <w:rFonts w:ascii="Times New Roman" w:cs="Times New Roman" w:eastAsia="Times New Roman" w:hAnsi="Times New Roman"/>
          <w:sz w:val="16"/>
          <w:szCs w:val="16"/>
          <w:color w:val="auto"/>
        </w:rPr>
        <w:t>The notes will be unsecured and will rank equally with all of our and our guarantors’ unsecured and unsubordinated indebtedness. The notes will be fully and unconditionally guaranteed by our wholly-owned subsidiaries named in this prospectus supplement and in the accompanying prospectus.</w:t>
      </w:r>
    </w:p>
    <w:p>
      <w:pPr>
        <w:spacing w:after="0" w:line="56" w:lineRule="exact"/>
        <w:rPr>
          <w:sz w:val="24"/>
          <w:szCs w:val="24"/>
          <w:color w:val="auto"/>
        </w:rPr>
      </w:pPr>
    </w:p>
    <w:p>
      <w:pPr>
        <w:ind w:left="120" w:right="80" w:firstLine="440"/>
        <w:spacing w:after="0" w:line="275" w:lineRule="auto"/>
        <w:rPr>
          <w:sz w:val="20"/>
          <w:szCs w:val="20"/>
          <w:color w:val="auto"/>
        </w:rPr>
      </w:pPr>
      <w:r>
        <w:rPr>
          <w:rFonts w:ascii="Times New Roman" w:cs="Times New Roman" w:eastAsia="Times New Roman" w:hAnsi="Times New Roman"/>
          <w:sz w:val="16"/>
          <w:szCs w:val="16"/>
          <w:color w:val="auto"/>
        </w:rPr>
        <w:t>Each series of the notes is a new issue of securities with no established trading market. We currently intend to apply to list the notes on the NASDAQ Global Market (“NASDAQ”). The listing applications will be subject to approval by NASDAQ. If such listings are obtained, we have no obligation to maintain such listings for any series of the notes and we may delist any series of the notes at any time. We currently expect trading in the notes on NASDAQ to begin within 30 days after the original issue date.</w:t>
      </w:r>
    </w:p>
    <w:p>
      <w:pPr>
        <w:spacing w:after="0" w:line="62" w:lineRule="exact"/>
        <w:rPr>
          <w:sz w:val="24"/>
          <w:szCs w:val="24"/>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20"/>
          <w:szCs w:val="20"/>
          <w:b w:val="1"/>
          <w:bCs w:val="1"/>
          <w:color w:val="auto"/>
        </w:rPr>
        <w:t>Investing in these securities involves certain risks. See “</w:t>
      </w:r>
      <w:r>
        <w:rPr>
          <w:rFonts w:ascii="Times New Roman" w:cs="Times New Roman" w:eastAsia="Times New Roman" w:hAnsi="Times New Roman"/>
          <w:sz w:val="20"/>
          <w:szCs w:val="20"/>
          <w:b w:val="1"/>
          <w:bCs w:val="1"/>
          <w:u w:val="single" w:color="auto"/>
          <w:color w:val="0000EE"/>
        </w:rPr>
        <w:t>Risk Factors</w:t>
      </w:r>
      <w:r>
        <w:rPr>
          <w:rFonts w:ascii="Times New Roman" w:cs="Times New Roman" w:eastAsia="Times New Roman" w:hAnsi="Times New Roman"/>
          <w:sz w:val="20"/>
          <w:szCs w:val="20"/>
          <w:b w:val="1"/>
          <w:bCs w:val="1"/>
          <w:color w:val="auto"/>
        </w:rPr>
        <w:t>” beginning on page S-6 of this prospectus supplement and “Item 1A—Risk Factors” beginning on page 20 of Comcast Corporation’s (“Comcast”) Annual Report on Form 10-K for the year ended December 31, 2023, which is incorporated by reference herein.</w:t>
      </w:r>
    </w:p>
    <w:p>
      <w:pPr>
        <w:spacing w:after="0" w:line="64" w:lineRule="exact"/>
        <w:rPr>
          <w:sz w:val="24"/>
          <w:szCs w:val="24"/>
          <w:color w:val="auto"/>
        </w:rPr>
      </w:pPr>
    </w:p>
    <w:tbl>
      <w:tblPr>
        <w:tblLayout w:type="fixed"/>
        <w:tblInd w:w="100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6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Price to</w:t>
            </w:r>
          </w:p>
        </w:tc>
        <w:tc>
          <w:tcPr>
            <w:tcW w:w="1500" w:type="dxa"/>
            <w:vAlign w:val="bottom"/>
            <w:gridSpan w:val="4"/>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Proceeds to Us</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0" w:type="dxa"/>
            <w:vAlign w:val="bottom"/>
          </w:tcPr>
          <w:p>
            <w:pPr>
              <w:spacing w:after="0"/>
              <w:rPr>
                <w:sz w:val="1"/>
                <w:szCs w:val="1"/>
                <w:color w:val="auto"/>
              </w:rPr>
            </w:pPr>
          </w:p>
        </w:tc>
      </w:tr>
      <w:tr>
        <w:trPr>
          <w:trHeight w:val="173"/>
        </w:trPr>
        <w:tc>
          <w:tcPr>
            <w:tcW w:w="3400" w:type="dxa"/>
            <w:vAlign w:val="bottom"/>
            <w:tcBorders>
              <w:bottom w:val="single" w:sz="8" w:color="CCEEFF"/>
            </w:tcBorders>
          </w:tcPr>
          <w:p>
            <w:pPr>
              <w:spacing w:after="0"/>
              <w:rPr>
                <w:sz w:val="15"/>
                <w:szCs w:val="15"/>
                <w:color w:val="auto"/>
              </w:rPr>
            </w:pPr>
          </w:p>
        </w:tc>
        <w:tc>
          <w:tcPr>
            <w:tcW w:w="17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Investors</w:t>
            </w:r>
          </w:p>
        </w:tc>
        <w:tc>
          <w:tcPr>
            <w:tcW w:w="3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3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5"/>
                <w:szCs w:val="15"/>
                <w:color w:val="auto"/>
              </w:rPr>
              <w:t>Per euro note due 2032</w:t>
            </w:r>
            <w:r>
              <w:rPr>
                <w:rFonts w:ascii="Times New Roman" w:cs="Times New Roman" w:eastAsia="Times New Roman" w:hAnsi="Times New Roman"/>
                <w:sz w:val="22"/>
                <w:szCs w:val="22"/>
                <w:color w:val="auto"/>
                <w:vertAlign w:val="superscript"/>
              </w:rPr>
              <w:t>(1)</w:t>
            </w:r>
          </w:p>
        </w:tc>
        <w:tc>
          <w:tcPr>
            <w:tcW w:w="17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99.702%</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0.350%</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99.352%</w:t>
            </w:r>
          </w:p>
        </w:tc>
        <w:tc>
          <w:tcPr>
            <w:tcW w:w="0" w:type="dxa"/>
            <w:vAlign w:val="bottom"/>
          </w:tcPr>
          <w:p>
            <w:pPr>
              <w:spacing w:after="0"/>
              <w:rPr>
                <w:sz w:val="1"/>
                <w:szCs w:val="1"/>
                <w:color w:val="auto"/>
              </w:rPr>
            </w:pPr>
          </w:p>
        </w:tc>
      </w:tr>
      <w:tr>
        <w:trPr>
          <w:trHeight w:val="203"/>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304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€897,318,000</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3,150,000</w:t>
            </w:r>
          </w:p>
        </w:tc>
        <w:tc>
          <w:tcPr>
            <w:tcW w:w="380" w:type="dxa"/>
            <w:vAlign w:val="bottom"/>
          </w:tcPr>
          <w:p>
            <w:pPr>
              <w:spacing w:after="0"/>
              <w:rPr>
                <w:sz w:val="17"/>
                <w:szCs w:val="17"/>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€894,168,000</w:t>
            </w: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Per euro note due 2036</w:t>
            </w:r>
            <w:r>
              <w:rPr>
                <w:rFonts w:ascii="Times New Roman" w:cs="Times New Roman" w:eastAsia="Times New Roman" w:hAnsi="Times New Roman"/>
                <w:sz w:val="23"/>
                <w:szCs w:val="23"/>
                <w:color w:val="auto"/>
                <w:vertAlign w:val="superscript"/>
              </w:rPr>
              <w:t>(1)</w:t>
            </w:r>
          </w:p>
        </w:tc>
        <w:tc>
          <w:tcPr>
            <w:tcW w:w="30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99.568%</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0.375%</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99.193%</w:t>
            </w:r>
          </w:p>
        </w:tc>
        <w:tc>
          <w:tcPr>
            <w:tcW w:w="0" w:type="dxa"/>
            <w:vAlign w:val="bottom"/>
          </w:tcPr>
          <w:p>
            <w:pPr>
              <w:spacing w:after="0"/>
              <w:rPr>
                <w:sz w:val="1"/>
                <w:szCs w:val="1"/>
                <w:color w:val="auto"/>
              </w:rPr>
            </w:pPr>
          </w:p>
        </w:tc>
      </w:tr>
      <w:tr>
        <w:trPr>
          <w:trHeight w:val="202"/>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304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€896,112,000</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3,375,000</w:t>
            </w:r>
          </w:p>
        </w:tc>
        <w:tc>
          <w:tcPr>
            <w:tcW w:w="380" w:type="dxa"/>
            <w:vAlign w:val="bottom"/>
          </w:tcPr>
          <w:p>
            <w:pPr>
              <w:spacing w:after="0"/>
              <w:rPr>
                <w:sz w:val="17"/>
                <w:szCs w:val="17"/>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€892,737,000</w:t>
            </w: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Per sterling note</w:t>
            </w:r>
            <w:r>
              <w:rPr>
                <w:rFonts w:ascii="Times New Roman" w:cs="Times New Roman" w:eastAsia="Times New Roman" w:hAnsi="Times New Roman"/>
                <w:sz w:val="23"/>
                <w:szCs w:val="23"/>
                <w:color w:val="auto"/>
                <w:vertAlign w:val="superscript"/>
              </w:rPr>
              <w:t>(1)</w:t>
            </w:r>
          </w:p>
        </w:tc>
        <w:tc>
          <w:tcPr>
            <w:tcW w:w="30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99.411%</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0.495%</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98.916%</w:t>
            </w:r>
          </w:p>
        </w:tc>
        <w:tc>
          <w:tcPr>
            <w:tcW w:w="0" w:type="dxa"/>
            <w:vAlign w:val="bottom"/>
          </w:tcPr>
          <w:p>
            <w:pPr>
              <w:spacing w:after="0"/>
              <w:rPr>
                <w:sz w:val="1"/>
                <w:szCs w:val="1"/>
                <w:color w:val="auto"/>
              </w:rPr>
            </w:pPr>
          </w:p>
        </w:tc>
      </w:tr>
      <w:tr>
        <w:trPr>
          <w:trHeight w:val="210"/>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£745,582,500</w:t>
            </w:r>
          </w:p>
        </w:tc>
        <w:tc>
          <w:tcPr>
            <w:tcW w:w="38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3,712,500</w:t>
            </w:r>
          </w:p>
        </w:tc>
        <w:tc>
          <w:tcPr>
            <w:tcW w:w="3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£741,870,000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7715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7" w:lineRule="exact"/>
        <w:rPr>
          <w:sz w:val="24"/>
          <w:szCs w:val="24"/>
          <w:color w:val="auto"/>
        </w:rPr>
      </w:pPr>
    </w:p>
    <w:p>
      <w:pPr>
        <w:ind w:left="540" w:hanging="424"/>
        <w:spacing w:after="0"/>
        <w:tabs>
          <w:tab w:leader="none" w:pos="5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Plus accrued interest, if any, from September 26, 2024, if settlement occurs after that date.</w:t>
      </w:r>
    </w:p>
    <w:p>
      <w:pPr>
        <w:spacing w:after="0" w:line="125" w:lineRule="exact"/>
        <w:rPr>
          <w:sz w:val="24"/>
          <w:szCs w:val="24"/>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(the “SEC” or the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69" w:lineRule="exact"/>
        <w:rPr>
          <w:sz w:val="24"/>
          <w:szCs w:val="24"/>
          <w:color w:val="auto"/>
        </w:rPr>
      </w:pPr>
    </w:p>
    <w:p>
      <w:pPr>
        <w:ind w:left="120" w:right="120" w:firstLine="440"/>
        <w:spacing w:after="0" w:line="298" w:lineRule="auto"/>
        <w:rPr>
          <w:sz w:val="20"/>
          <w:szCs w:val="20"/>
          <w:color w:val="auto"/>
        </w:rPr>
      </w:pPr>
      <w:r>
        <w:rPr>
          <w:rFonts w:ascii="Times New Roman" w:cs="Times New Roman" w:eastAsia="Times New Roman" w:hAnsi="Times New Roman"/>
          <w:sz w:val="16"/>
          <w:szCs w:val="16"/>
          <w:color w:val="auto"/>
        </w:rPr>
        <w:t>The notes will be ready for delivery only through the delivery system of Clearstream Banking, S.A. (“Clearstream”) and Euroclear Bank SA/NV (“Euroclear”) in book-entry form on or about September 26, 2024, which is the third business day following the date of this prospectus supplement. See “Underwriting.”</w:t>
      </w:r>
    </w:p>
    <w:p>
      <w:pPr>
        <w:spacing w:after="0" w:line="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i w:val="1"/>
          <w:iCs w:val="1"/>
          <w:color w:val="auto"/>
        </w:rPr>
        <w:t>Joint Book-Running Managers</w:t>
      </w:r>
    </w:p>
    <w:p>
      <w:pPr>
        <w:sectPr>
          <w:pgSz w:w="11900" w:h="16838" w:orient="portrait"/>
          <w:cols w:equalWidth="0" w:num="1">
            <w:col w:w="11140"/>
          </w:cols>
          <w:pgMar w:left="320" w:top="225" w:right="439" w:bottom="1440" w:gutter="0" w:footer="0" w:header="0"/>
        </w:sectPr>
      </w:pPr>
    </w:p>
    <w:p>
      <w:pPr>
        <w:spacing w:after="0" w:line="237"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24"/>
          <w:szCs w:val="24"/>
          <w:b w:val="1"/>
          <w:bCs w:val="1"/>
          <w:color w:val="auto"/>
        </w:rPr>
        <w:t>Barclays</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BNP PARIBAS</w:t>
      </w:r>
    </w:p>
    <w:p>
      <w:pPr>
        <w:spacing w:after="0" w:line="136" w:lineRule="exact"/>
        <w:rPr>
          <w:sz w:val="24"/>
          <w:szCs w:val="24"/>
          <w:color w:val="auto"/>
        </w:rPr>
      </w:pPr>
    </w:p>
    <w:p>
      <w:pPr>
        <w:sectPr>
          <w:pgSz w:w="11900" w:h="16838" w:orient="portrait"/>
          <w:cols w:equalWidth="0" w:num="2">
            <w:col w:w="7060" w:space="720"/>
            <w:col w:w="3360"/>
          </w:cols>
          <w:pgMar w:left="320" w:top="225" w:right="439" w:bottom="1440" w:gutter="0" w:footer="0" w:header="0"/>
          <w:type w:val="continuous"/>
        </w:sectPr>
      </w:pPr>
    </w:p>
    <w:p>
      <w:pPr>
        <w:ind w:left="1980"/>
        <w:spacing w:after="0"/>
        <w:rPr>
          <w:sz w:val="20"/>
          <w:szCs w:val="20"/>
          <w:color w:val="auto"/>
        </w:rPr>
      </w:pPr>
      <w:r>
        <w:rPr>
          <w:rFonts w:ascii="Times New Roman" w:cs="Times New Roman" w:eastAsia="Times New Roman" w:hAnsi="Times New Roman"/>
          <w:sz w:val="17"/>
          <w:szCs w:val="17"/>
          <w:b w:val="1"/>
          <w:bCs w:val="1"/>
          <w:color w:val="auto"/>
        </w:rPr>
        <w:t>Goldman Sachs &amp; Co. LLC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Morgan Stanley</w:t>
      </w:r>
    </w:p>
    <w:p>
      <w:pPr>
        <w:spacing w:after="0" w:line="124" w:lineRule="exact"/>
        <w:rPr>
          <w:sz w:val="24"/>
          <w:szCs w:val="24"/>
          <w:color w:val="auto"/>
        </w:rPr>
      </w:pPr>
    </w:p>
    <w:p>
      <w:pPr>
        <w:sectPr>
          <w:pgSz w:w="11900" w:h="16838" w:orient="portrait"/>
          <w:cols w:equalWidth="0" w:num="2">
            <w:col w:w="7260" w:space="720"/>
            <w:col w:w="3160"/>
          </w:cols>
          <w:pgMar w:left="320" w:top="225" w:right="43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The date of this prospectus supplement is September 23, 2024.</w:t>
      </w:r>
    </w:p>
    <w:p>
      <w:pPr>
        <w:sectPr>
          <w:pgSz w:w="11900" w:h="16838" w:orient="portrait"/>
          <w:cols w:equalWidth="0" w:num="1">
            <w:col w:w="11140"/>
          </w:cols>
          <w:pgMar w:left="320" w:top="225"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40" w:type="dxa"/>
            <w:vAlign w:val="bottom"/>
            <w:gridSpan w:val="4"/>
          </w:tcPr>
          <w:p>
            <w:pPr>
              <w:jc w:val="center"/>
              <w:ind w:right="45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0" w:type="dxa"/>
            <w:vAlign w:val="bottom"/>
          </w:tcPr>
          <w:p>
            <w:pPr>
              <w:spacing w:after="0"/>
              <w:rPr>
                <w:sz w:val="1"/>
                <w:szCs w:val="1"/>
                <w:color w:val="auto"/>
              </w:rPr>
            </w:pPr>
          </w:p>
        </w:tc>
      </w:tr>
      <w:tr>
        <w:trPr>
          <w:trHeight w:val="453"/>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45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08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4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9"/>
        </w:trPr>
        <w:tc>
          <w:tcPr>
            <w:tcW w:w="4080" w:type="dxa"/>
            <w:vAlign w:val="bottom"/>
            <w:gridSpan w:val="18"/>
            <w:vMerge w:val="continue"/>
          </w:tcPr>
          <w:p>
            <w:pPr>
              <w:spacing w:after="0"/>
              <w:rPr>
                <w:sz w:val="14"/>
                <w:szCs w:val="14"/>
                <w:color w:val="auto"/>
              </w:rPr>
            </w:pPr>
          </w:p>
        </w:tc>
        <w:tc>
          <w:tcPr>
            <w:tcW w:w="4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4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iv</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1220" w:type="dxa"/>
            <w:vAlign w:val="bottom"/>
            <w:gridSpan w:val="4"/>
          </w:tcPr>
          <w:p>
            <w:pPr>
              <w:spacing w:after="0"/>
              <w:rPr>
                <w:sz w:val="17"/>
                <w:szCs w:val="17"/>
                <w:color w:val="auto"/>
              </w:rPr>
            </w:pPr>
          </w:p>
        </w:tc>
        <w:tc>
          <w:tcPr>
            <w:tcW w:w="4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242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660" w:type="dxa"/>
            <w:vAlign w:val="bottom"/>
            <w:gridSpan w:val="5"/>
          </w:tcPr>
          <w:p>
            <w:pPr>
              <w:spacing w:after="0"/>
              <w:rPr>
                <w:sz w:val="17"/>
                <w:szCs w:val="17"/>
                <w:color w:val="auto"/>
              </w:rPr>
            </w:pPr>
          </w:p>
        </w:tc>
        <w:tc>
          <w:tcPr>
            <w:tcW w:w="4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4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the Notes</w:t>
            </w:r>
          </w:p>
        </w:tc>
        <w:tc>
          <w:tcPr>
            <w:tcW w:w="2320" w:type="dxa"/>
            <w:vAlign w:val="bottom"/>
            <w:gridSpan w:val="7"/>
          </w:tcPr>
          <w:p>
            <w:pPr>
              <w:spacing w:after="0"/>
              <w:rPr>
                <w:sz w:val="17"/>
                <w:szCs w:val="17"/>
                <w:color w:val="auto"/>
              </w:rPr>
            </w:pPr>
          </w:p>
        </w:tc>
        <w:tc>
          <w:tcPr>
            <w:tcW w:w="4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196"/>
        </w:trPr>
        <w:tc>
          <w:tcPr>
            <w:tcW w:w="40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Consequences</w:t>
            </w:r>
          </w:p>
        </w:tc>
        <w:tc>
          <w:tcPr>
            <w:tcW w:w="4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S-20</w:t>
            </w:r>
          </w:p>
        </w:tc>
        <w:tc>
          <w:tcPr>
            <w:tcW w:w="0" w:type="dxa"/>
            <w:vAlign w:val="bottom"/>
          </w:tcPr>
          <w:p>
            <w:pPr>
              <w:spacing w:after="0"/>
              <w:rPr>
                <w:sz w:val="1"/>
                <w:szCs w:val="1"/>
                <w:color w:val="auto"/>
              </w:rPr>
            </w:pPr>
          </w:p>
        </w:tc>
      </w:tr>
      <w:tr>
        <w:trPr>
          <w:trHeight w:val="196"/>
        </w:trPr>
        <w:tc>
          <w:tcPr>
            <w:tcW w:w="352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56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4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S-32</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080" w:type="dxa"/>
            <w:vAlign w:val="bottom"/>
            <w:gridSpan w:val="14"/>
          </w:tcPr>
          <w:p>
            <w:pPr>
              <w:spacing w:after="0"/>
              <w:rPr>
                <w:sz w:val="17"/>
                <w:szCs w:val="17"/>
                <w:color w:val="auto"/>
              </w:rPr>
            </w:pPr>
          </w:p>
        </w:tc>
        <w:tc>
          <w:tcPr>
            <w:tcW w:w="4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S-32</w:t>
            </w:r>
          </w:p>
        </w:tc>
        <w:tc>
          <w:tcPr>
            <w:tcW w:w="0" w:type="dxa"/>
            <w:vAlign w:val="bottom"/>
          </w:tcPr>
          <w:p>
            <w:pPr>
              <w:spacing w:after="0"/>
              <w:rPr>
                <w:sz w:val="1"/>
                <w:szCs w:val="1"/>
                <w:color w:val="auto"/>
              </w:rPr>
            </w:pPr>
          </w:p>
        </w:tc>
      </w:tr>
      <w:tr>
        <w:trPr>
          <w:trHeight w:val="453"/>
        </w:trPr>
        <w:tc>
          <w:tcPr>
            <w:tcW w:w="5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40" w:type="dxa"/>
            <w:vAlign w:val="bottom"/>
            <w:gridSpan w:val="4"/>
          </w:tcPr>
          <w:p>
            <w:pPr>
              <w:jc w:val="center"/>
              <w:ind w:right="452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0" w:type="dxa"/>
            <w:vAlign w:val="bottom"/>
          </w:tcPr>
          <w:p>
            <w:pPr>
              <w:spacing w:after="0"/>
              <w:rPr>
                <w:sz w:val="1"/>
                <w:szCs w:val="1"/>
                <w:color w:val="auto"/>
              </w:rPr>
            </w:pPr>
          </w:p>
        </w:tc>
      </w:tr>
      <w:tr>
        <w:trPr>
          <w:trHeight w:val="418"/>
        </w:trPr>
        <w:tc>
          <w:tcPr>
            <w:tcW w:w="16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440" w:type="dxa"/>
            <w:vAlign w:val="bottom"/>
            <w:gridSpan w:val="8"/>
          </w:tcPr>
          <w:p>
            <w:pPr>
              <w:spacing w:after="0"/>
              <w:rPr>
                <w:sz w:val="24"/>
                <w:szCs w:val="24"/>
                <w:color w:val="auto"/>
              </w:rPr>
            </w:pPr>
          </w:p>
        </w:tc>
        <w:tc>
          <w:tcPr>
            <w:tcW w:w="69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The Companies</w:t>
            </w:r>
          </w:p>
        </w:tc>
        <w:tc>
          <w:tcPr>
            <w:tcW w:w="2920" w:type="dxa"/>
            <w:vAlign w:val="bottom"/>
            <w:gridSpan w:val="13"/>
          </w:tcPr>
          <w:p>
            <w:pPr>
              <w:spacing w:after="0"/>
              <w:rPr>
                <w:sz w:val="17"/>
                <w:szCs w:val="17"/>
                <w:color w:val="auto"/>
              </w:rPr>
            </w:pPr>
          </w:p>
        </w:tc>
        <w:tc>
          <w:tcPr>
            <w:tcW w:w="690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40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Caution Concerning Forward-Looking Statements</w:t>
            </w:r>
          </w:p>
        </w:tc>
        <w:tc>
          <w:tcPr>
            <w:tcW w:w="690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360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480" w:type="dxa"/>
            <w:vAlign w:val="bottom"/>
          </w:tcPr>
          <w:p>
            <w:pPr>
              <w:spacing w:after="0"/>
              <w:rPr>
                <w:sz w:val="17"/>
                <w:szCs w:val="17"/>
                <w:color w:val="auto"/>
              </w:rPr>
            </w:pPr>
          </w:p>
        </w:tc>
        <w:tc>
          <w:tcPr>
            <w:tcW w:w="690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9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Dividend Policy</w:t>
            </w:r>
          </w:p>
        </w:tc>
        <w:tc>
          <w:tcPr>
            <w:tcW w:w="2900" w:type="dxa"/>
            <w:vAlign w:val="bottom"/>
            <w:gridSpan w:val="12"/>
          </w:tcPr>
          <w:p>
            <w:pPr>
              <w:spacing w:after="0"/>
              <w:rPr>
                <w:sz w:val="17"/>
                <w:szCs w:val="17"/>
                <w:color w:val="auto"/>
              </w:rPr>
            </w:pPr>
          </w:p>
        </w:tc>
        <w:tc>
          <w:tcPr>
            <w:tcW w:w="690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334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 and Guarantees</w:t>
            </w:r>
          </w:p>
        </w:tc>
        <w:tc>
          <w:tcPr>
            <w:tcW w:w="740" w:type="dxa"/>
            <w:vAlign w:val="bottom"/>
            <w:gridSpan w:val="3"/>
          </w:tcPr>
          <w:p>
            <w:pPr>
              <w:spacing w:after="0"/>
              <w:rPr>
                <w:sz w:val="17"/>
                <w:szCs w:val="17"/>
                <w:color w:val="auto"/>
              </w:rPr>
            </w:pPr>
          </w:p>
        </w:tc>
        <w:tc>
          <w:tcPr>
            <w:tcW w:w="690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40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Global Securities</w:t>
            </w:r>
          </w:p>
        </w:tc>
        <w:tc>
          <w:tcPr>
            <w:tcW w:w="690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9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90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204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040" w:type="dxa"/>
            <w:vAlign w:val="bottom"/>
            <w:gridSpan w:val="6"/>
          </w:tcPr>
          <w:p>
            <w:pPr>
              <w:spacing w:after="0"/>
              <w:rPr>
                <w:sz w:val="17"/>
                <w:szCs w:val="17"/>
                <w:color w:val="auto"/>
              </w:rPr>
            </w:pPr>
          </w:p>
        </w:tc>
        <w:tc>
          <w:tcPr>
            <w:tcW w:w="690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660" w:type="dxa"/>
            <w:vAlign w:val="bottom"/>
            <w:gridSpan w:val="10"/>
          </w:tcPr>
          <w:p>
            <w:pPr>
              <w:spacing w:after="0"/>
              <w:rPr>
                <w:sz w:val="17"/>
                <w:szCs w:val="17"/>
                <w:color w:val="auto"/>
              </w:rPr>
            </w:pPr>
          </w:p>
        </w:tc>
        <w:tc>
          <w:tcPr>
            <w:tcW w:w="690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080" w:type="dxa"/>
            <w:vAlign w:val="bottom"/>
            <w:gridSpan w:val="14"/>
          </w:tcPr>
          <w:p>
            <w:pPr>
              <w:spacing w:after="0"/>
              <w:rPr>
                <w:sz w:val="17"/>
                <w:szCs w:val="17"/>
                <w:color w:val="auto"/>
              </w:rPr>
            </w:pPr>
          </w:p>
        </w:tc>
        <w:tc>
          <w:tcPr>
            <w:tcW w:w="690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40" w:type="dxa"/>
            <w:vAlign w:val="bottom"/>
            <w:gridSpan w:val="8"/>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9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Available Information</w:t>
            </w:r>
          </w:p>
        </w:tc>
        <w:tc>
          <w:tcPr>
            <w:tcW w:w="690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1580" w:type="dxa"/>
            <w:vAlign w:val="bottom"/>
            <w:gridSpan w:val="9"/>
            <w:shd w:val="clear" w:color="auto" w:fill="0000EE"/>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9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690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We have not, and the underwriters have not, authorized anyone to provide any information other than that contained or incorporated by reference in this prospectus supplement, the accompanying prospectus or any free writing prospectus prepared by or on behalf of us or to which we have referred you. We and the underwriters take no responsibility for, and can provide no assurance as to the reliability of, any other information that others may give you. If information in this prospectus supplement is inconsistent with the accompanying prospectus, you should rely on this prospectus supplement. We are not, and the underwriters are not, making an offer to sell these securities in any jurisdiction where the offer or sale is not permitted. You should assume that the information appearing in this prospectus supplement, the accompanying prospectus, any related free writing prospectus and the documents incorporated by reference herein or therein is accurate only as of their respective dates. Our business, financial condition, results of operations and prospects may have changed since those dates.</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notes are being offered for sale only in jurisdictions where it is lawful to make such offers. The distribution of this prospectus supplement and the accompanying prospectus and the offering of the notes in certain jurisdictions may be restricted by law. Persons outside the United States who receive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authorized or in which the person making such offer or solicitation is not qualified to do so or to any person to whom it is unlawful to make such offer or solicitation. See “Underwriting.”</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refer to Comcast Corporation in this prospectus supplement as “Comcast,” and Comcast and its consolidated subsidiaries as “we,” “us,” “our” or comparable terms. We refer to Comcast Cable Communications, LLC and its consolidated subsidiaries as “Comcast Cable,” NBCUniversal Media, LLC and its consolidated subsidiaries as “NBCUniversal,” and both of them collectively as the “guarantors.” References in this prospectus supplement to “$,” “dollars,” “USD” or “U.S. dollars” are to the lawful currency of the United States of America; references to “€” or “euro” are to the single currency introduced at the third stage of the European Economic and Monetary Union pursuant to the Treaty establishing the European Community, as amended; and references to “£,” “GBP” or “sterling” are to the lawful currency of the United Kingdom.</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ISSUE OF THE EURO NOTES, BARCLAYS BANK PLC, IN ITS ROLE AS STABILIZATION MANAGER (INCLUDING ANY PERSONS ACTING ON ITS BEHALF, THE “EURO STABILIZATION MANAGER”) MAY OVER-ALLOT THE EURO NOTES OR EFFECT TRANSACTIONS WITH A VIEW TO SUPPORTING THE MARKET PRICE OF THE EURO NOTES AT A LEVEL HIGHER THAN THAT WHICH MIGHT OTHERWISE PREVAIL. HOWEVER, STABILIZATION MAY NOT NECESSARILY OCCUR. ANY STABILIZATION ACTION MAY BEGIN ON OR AFTER THE DATE ON WHICH ADEQUATE PUBLIC DISCLOSURE OF THE TERMS OF THE OFFER OF THE EURO NOTES IS MADE AND, IF BEGUN, MAY CEASE AT ANY TIME, BUT IT MUST END NO LATER THAN THE EARLIER OF 30 DAYS AFTER THE ISSUE DATE OF THE EURO NOTES AND 60 DAYS AFTER THE DATE OF THE ALLOTMENT OF THE EURO NOTES. ANY STABILIZATION ACTION OR OVER-ALLOTMENT MUST BE CONDUCTED BY THE EURO STABILIZATION MANAGER IN ACCORDANCE WITH ALL APPLICABLE LAWS AND RULES.</w:t>
      </w:r>
    </w:p>
    <w:p>
      <w:pPr>
        <w:spacing w:after="0" w:line="188"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ISSUE OF THE STERLING NOTES, BNP PARIBAS, IN ITS ROLE AS STABILIZATION MANAGER (INCLUDING ANY PERSONS ACTING ON ITS BEHALF, THE “STERLING STABILIZATION MANAGER”) MAY OVER-ALLOT THE STERLING NOTES OR EFFECT TRANSACTIONS WITH A VIEW TO SUPPORTING THE MARKET PRICE OF THE STERLING NOTES AT A LEVEL HIGHER THAN THAT WHICH MIGHT OTHERWISE PREVAIL. HOWEVER, STABILIZATION MAY NOT NECESSARILY OCCUR. ANY STABILIZATION ACTION MAY BEGIN ON OR AFTER THE DATE ON WHICH ADEQUATE PUBLIC DISCLOSURE OF THE TERMS OF THE OFFER OF THE STERLING NOTES IS MADE AND, IF BEGUN, MAY CEASE AT ANY TIME, BUT IT MUST END NO LATER THAN THE EARLIER OF 30 DAYS AFTER THE ISSUE DATE OF THE STERLING NOTES AND 60 DAYS AFTER THE DATE OF THE ALLOTMENT OF THE STERLING NOTES. ANY STABILIZATION ACTION OR OVER-ALLOTMENT MUST BE CONDUCTED BY THE STERLING STABILIZATION MANAGER IN ACCORDANCE WITH ALL APPLICABLE LAWS AND RULES.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 (“EEA”)</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EEA.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9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has been prepared on the basis that any offer of notes in any member state of the EEA will be made pursuant to an exemption under the Prospectus Regulation from the requirement to publish a prospectus for offers of notes. Accordingly, any person making or intending to make an offer in a member state of the EEA of securities which are the subject of the offering contemplated in this prospectus supplement may only do so in circumstances in which no obligation arises for the issuer or any underwriter to publish a</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prospectus pursuant to Article 3 of the Prospectus Regulation, in each case, in relation to such offer. This prospectus supplement is not a prospectus for the purposes of the Prospectus Regulation.</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MIFID II product governance/Professional investors and Eligible Counter Parties (“ECPs”) only target market</w:t>
      </w:r>
    </w:p>
    <w:p>
      <w:pPr>
        <w:spacing w:after="0" w:line="121"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Solely for the purposes of each manufacturer’s product approval process, the target market assessment in respect of the notes has led to the conclusion that: (i) the target market for the notes is eligible counterparties and professional clients only, each as defined in Directive 2014/65/EU (as amended, “MiFID II”); and (ii) all channels for distribution of the notes to eligible counterparties and professional clients are appropriate. Any person subsequently offering, selling or recommending the notes (an “EU distributor”) should take into consideration the manufacturers’ target market assessment; however, an EU distributor subject to MiFID II is responsible for undertaking its own target market assessment in respect of the notes (by either adopting or refining the manufacturers’ target market assessment) and determining appropriate distribution channels.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 (“UK”)</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UK. For these purposes, a retail investor means a person who is one (or more) of: (i) a retail client, as defined in point (8) of Article 2 of Regulation (EU) No 2017/565 as it forms part of domestic law by virtue of the European Union (Withdrawal) Act 2018 (“EUWA”); (ii) a customer within the meaning of the provisions of the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(the “UK Prospectus Regulation”).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w:t>
      </w:r>
    </w:p>
    <w:p>
      <w:pPr>
        <w:spacing w:after="0" w:line="194" w:lineRule="exact"/>
        <w:rPr>
          <w:sz w:val="20"/>
          <w:szCs w:val="20"/>
          <w:color w:val="auto"/>
        </w:rPr>
      </w:pPr>
    </w:p>
    <w:p>
      <w:pPr>
        <w:ind w:left="120" w:right="120" w:firstLine="440"/>
        <w:spacing w:after="0" w:line="277" w:lineRule="auto"/>
        <w:rPr>
          <w:sz w:val="20"/>
          <w:szCs w:val="20"/>
          <w:color w:val="auto"/>
        </w:rPr>
      </w:pPr>
      <w:r>
        <w:rPr>
          <w:rFonts w:ascii="Times New Roman" w:cs="Times New Roman" w:eastAsia="Times New Roman" w:hAnsi="Times New Roman"/>
          <w:sz w:val="17"/>
          <w:szCs w:val="17"/>
          <w:color w:val="auto"/>
        </w:rPr>
        <w:t>This prospectus supplement has been prepared on the basis that any offer of notes in the United Kingdom will be made pursuant to an exemption under the UK Prospectus Regulation from the requirement to publish a prospectus for offers of notes. Accordingly, any person making or intending to make an offer in the United Kingdom of securities which are the subject of the offering contemplated in this prospectus supplement may only do so in circumstances in which no obligation arises for the issuer or any underwriter to publish a prospectus pursuant to Article 3 of the UK Prospectus Regulation, in each case, in relation to such offer. This prospectus supplement is not a prospectus for the purposes of the UK Prospectus Regulation.</w:t>
      </w:r>
    </w:p>
    <w:p>
      <w:pPr>
        <w:spacing w:after="0" w:line="2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UK MIFIR product governance / Professional investors and ECPs only target market</w:t>
      </w:r>
    </w:p>
    <w:p>
      <w:pPr>
        <w:spacing w:after="0" w:line="121" w:lineRule="exact"/>
        <w:rPr>
          <w:sz w:val="20"/>
          <w:szCs w:val="20"/>
          <w:color w:val="auto"/>
        </w:rPr>
      </w:pPr>
    </w:p>
    <w:p>
      <w:pPr>
        <w:ind w:left="120" w:right="260" w:firstLine="440"/>
        <w:spacing w:after="0" w:line="254" w:lineRule="auto"/>
        <w:rPr>
          <w:sz w:val="20"/>
          <w:szCs w:val="20"/>
          <w:color w:val="auto"/>
        </w:rPr>
      </w:pPr>
      <w:r>
        <w:rPr>
          <w:rFonts w:ascii="Times New Roman" w:cs="Times New Roman" w:eastAsia="Times New Roman" w:hAnsi="Times New Roman"/>
          <w:sz w:val="18"/>
          <w:szCs w:val="18"/>
          <w:color w:val="auto"/>
        </w:rPr>
        <w:t>Solely for the purposes of each manufacturer’s product approval process, the target market assessment in respect of the notes has led to the conclusion that: (i) the target market for the notes is only eligible counterparties, as defined in the FCA Handbook Conduct of Business Sourcebook (“COBS”), and professional clients, as defined in Regulation (EU) No 600/2014 as it forms part of domestic law by virtue of the European Union (Withdrawal) Act 2018 (“UK MiFIR”); and (ii) all channels for distribution of the notes to eligible counterparties and professional clients are appropriate. Any person subsequently offering, selling or recommending the notes (a “UK distributor”) should take into consideration the manufacturers’ target market assessment; however, a UK distributor subject to the FCA Handbook Product Intervention and Product Governance Sourcebook (the “UK MiFIR Product Governance Rules”) is responsible for undertaking its own target market assessment in respect of the notes (by either adopting or refining the manufacturers’ target market assessment) and determining appropriate distribution channels.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00"/>
          </w:cols>
          <w:pgMar w:left="320" w:top="455"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file annual reports on Form 10-K, quarterly reports on Form 10-Q, current reports on Form 8-K, proxy statements and information statements and amendments to reports filed or furnished pursuant to the Securities Exchange Act of 1934, as amended (the “Exchange Act”), with the SEC. The SEC maintains an internet website at www.sec.gov that contains periodic and current reports, proxy and information statements, and other information regarding registrants that file electronically with the SEC. The SEC allows us to “incorporate by reference” the information we file with them, which means that we can disclose important information to you by referring you directly to those documents. The information incorporated by reference is considered to be part of this prospectus supplement. In addition, information we file with the SEC in the future will automatically update and supersede information contained in this prospectus supplement and the accompanying prospectus.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supplement incorporates by reference the documents of Comcast set forth below that we have previously filed with the SEC:</w:t>
      </w:r>
    </w:p>
    <w:p>
      <w:pPr>
        <w:spacing w:after="0" w:line="131"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Comcast’s Annual Report on </w:t>
      </w:r>
      <w:hyperlink r:id="rId1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filed on January 31, 2024.</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Comcast’s Quarterly Report on </w:t>
      </w:r>
      <w:hyperlink r:id="rId16">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quarter ended March 31, 2024, filed on April 25, 2024 and Comcast’s Quarterly Report on </w:t>
      </w:r>
      <w:hyperlink r:id="rId17">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June 30, 2024, filed on July 23, 2024.</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Comcast’s Current Reports on Form 8-K, filed on </w:t>
      </w:r>
      <w:hyperlink r:id="rId18">
        <w:r>
          <w:rPr>
            <w:rFonts w:ascii="Times New Roman" w:cs="Times New Roman" w:eastAsia="Times New Roman" w:hAnsi="Times New Roman"/>
            <w:sz w:val="18"/>
            <w:szCs w:val="18"/>
            <w:u w:val="single" w:color="auto"/>
            <w:color w:val="0000EE"/>
          </w:rPr>
          <w:t>April 15, 2024</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May 17, 2024</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EE"/>
          </w:rPr>
          <w:t>May 22,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1">
        <w:r>
          <w:rPr>
            <w:rFonts w:ascii="Times New Roman" w:cs="Times New Roman" w:eastAsia="Times New Roman" w:hAnsi="Times New Roman"/>
            <w:sz w:val="18"/>
            <w:szCs w:val="18"/>
            <w:u w:val="single" w:color="auto"/>
            <w:color w:val="0000EE"/>
          </w:rPr>
          <w:t>June 12,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sections of Comcast’s </w:t>
      </w:r>
      <w:hyperlink r:id="rId22">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on Schedule 14A for the 2024 annual meeting of shareholders incorporated by reference in Comcast’s Annual Report on </w:t>
      </w:r>
      <w:hyperlink r:id="rId1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w:t>
      </w:r>
    </w:p>
    <w:p>
      <w:pPr>
        <w:spacing w:after="0" w:line="162" w:lineRule="exact"/>
        <w:rPr>
          <w:rFonts w:ascii="Times New Roman" w:cs="Times New Roman" w:eastAsia="Times New Roman" w:hAnsi="Times New Roman"/>
          <w:sz w:val="18"/>
          <w:szCs w:val="18"/>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also incorporate by reference into this prospectus supplement and the accompanying prospectus additional documents that we may file with the SEC under Sections 13(a), 13(c), 14 or 15(d) of the Exchange Act, until we sell all of the securities we are offering. 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20"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080"/>
          </w:cols>
          <w:pgMar w:left="320" w:top="455"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55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6998970" cy="60559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The Companies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12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We are a global media and technology company that reaches customers, viewers and guests worldwide through the connectivity and platforms services we provide and the content and experiences we create. We deliver broadband, wireless, video and voice services primarily under the Xfinity, Comcast Business and Sky brands; produce, distribute and stream leading entertainment, sports and news through brands including NBC, Telemundo, Universal, Peacock and Sky; and own and operate Universal theme parks.</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operate two primary businesses:</w:t>
      </w:r>
    </w:p>
    <w:p>
      <w:pPr>
        <w:spacing w:after="0" w:line="127" w:lineRule="exact"/>
        <w:rPr>
          <w:sz w:val="20"/>
          <w:szCs w:val="20"/>
          <w:color w:val="auto"/>
        </w:rPr>
      </w:pPr>
    </w:p>
    <w:p>
      <w:pPr>
        <w:ind w:left="1240" w:right="500" w:hanging="415"/>
        <w:spacing w:after="0" w:line="26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Connectivity &amp; Platforms</w:t>
      </w:r>
      <w:r>
        <w:rPr>
          <w:rFonts w:ascii="Times New Roman" w:cs="Times New Roman" w:eastAsia="Times New Roman" w:hAnsi="Times New Roman"/>
          <w:sz w:val="18"/>
          <w:szCs w:val="18"/>
          <w:color w:val="auto"/>
        </w:rPr>
        <w:t>: Contains our broadband, wireless, video and wireline voice businesses in the United States,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Kingdom and Italy (collectively, the “Connectivity &amp; Platforms markets”). Also includes the operations of our Sky-branded entertainment television networks in the United Kingdom and Italy. Our Connectivity &amp; Platforms business is reported in two segments:</w:t>
      </w:r>
    </w:p>
    <w:p>
      <w:pPr>
        <w:spacing w:after="0" w:line="81" w:lineRule="exact"/>
        <w:rPr>
          <w:rFonts w:ascii="Times New Roman" w:cs="Times New Roman" w:eastAsia="Times New Roman" w:hAnsi="Times New Roman"/>
          <w:sz w:val="18"/>
          <w:szCs w:val="18"/>
          <w:color w:val="auto"/>
        </w:rPr>
      </w:pPr>
    </w:p>
    <w:p>
      <w:pPr>
        <w:ind w:left="1640" w:right="380" w:hanging="289"/>
        <w:spacing w:after="0" w:line="286" w:lineRule="auto"/>
        <w:tabs>
          <w:tab w:leader="none" w:pos="1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Residential Connectivity &amp; Platforms Segment</w:t>
      </w:r>
      <w:r>
        <w:rPr>
          <w:rFonts w:ascii="Times New Roman" w:cs="Times New Roman" w:eastAsia="Times New Roman" w:hAnsi="Times New Roman"/>
          <w:sz w:val="18"/>
          <w:szCs w:val="18"/>
          <w:color w:val="auto"/>
        </w:rPr>
        <w:t>: Includes our residential broadband and wireless services, residential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video services, Sky-branded entertainment television networks and advertising.</w:t>
      </w:r>
    </w:p>
    <w:p>
      <w:pPr>
        <w:spacing w:after="0" w:line="60" w:lineRule="exact"/>
        <w:rPr>
          <w:rFonts w:ascii="Times New Roman" w:cs="Times New Roman" w:eastAsia="Times New Roman" w:hAnsi="Times New Roman"/>
          <w:sz w:val="18"/>
          <w:szCs w:val="18"/>
          <w:color w:val="auto"/>
        </w:rPr>
      </w:pPr>
    </w:p>
    <w:p>
      <w:pPr>
        <w:ind w:left="1640" w:right="60" w:hanging="289"/>
        <w:spacing w:after="0" w:line="268" w:lineRule="auto"/>
        <w:tabs>
          <w:tab w:leader="none" w:pos="1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Business Services Connectivity Segment</w:t>
      </w:r>
      <w:r>
        <w:rPr>
          <w:rFonts w:ascii="Times New Roman" w:cs="Times New Roman" w:eastAsia="Times New Roman" w:hAnsi="Times New Roman"/>
          <w:sz w:val="18"/>
          <w:szCs w:val="18"/>
          <w:color w:val="auto"/>
        </w:rPr>
        <w:t>: Includes our service offerings for small business locations in the United States,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include broadband, wireline voice and wireless services, as well as our service offerings for medium-sized customers and larger enterprises.</w:t>
      </w:r>
    </w:p>
    <w:p>
      <w:pPr>
        <w:spacing w:after="0" w:line="76" w:lineRule="exact"/>
        <w:rPr>
          <w:rFonts w:ascii="Times New Roman" w:cs="Times New Roman" w:eastAsia="Times New Roman" w:hAnsi="Times New Roman"/>
          <w:sz w:val="18"/>
          <w:szCs w:val="18"/>
          <w:color w:val="auto"/>
        </w:rPr>
      </w:pPr>
    </w:p>
    <w:p>
      <w:pPr>
        <w:ind w:left="1240" w:right="280" w:hanging="415"/>
        <w:spacing w:after="0" w:line="268"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Content &amp; Experiences</w:t>
      </w:r>
      <w:r>
        <w:rPr>
          <w:rFonts w:ascii="Times New Roman" w:cs="Times New Roman" w:eastAsia="Times New Roman" w:hAnsi="Times New Roman"/>
          <w:sz w:val="18"/>
          <w:szCs w:val="18"/>
          <w:color w:val="auto"/>
        </w:rPr>
        <w:t>: Contains our media and entertainment businesses that produce and distribute entertainment, sports, news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content for global audiences and that own and operate theme parks and attractions in the United States and Asia. Our Content &amp; Experiences business is reported in three segments:</w:t>
      </w:r>
    </w:p>
    <w:p>
      <w:pPr>
        <w:spacing w:after="0" w:line="76" w:lineRule="exact"/>
        <w:rPr>
          <w:rFonts w:ascii="Times New Roman" w:cs="Times New Roman" w:eastAsia="Times New Roman" w:hAnsi="Times New Roman"/>
          <w:sz w:val="18"/>
          <w:szCs w:val="18"/>
          <w:color w:val="auto"/>
        </w:rPr>
      </w:pPr>
    </w:p>
    <w:p>
      <w:pPr>
        <w:ind w:left="1640" w:right="380" w:hanging="289"/>
        <w:spacing w:after="0" w:line="268" w:lineRule="auto"/>
        <w:tabs>
          <w:tab w:leader="none" w:pos="1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Media Segment</w:t>
      </w:r>
      <w:r>
        <w:rPr>
          <w:rFonts w:ascii="Times New Roman" w:cs="Times New Roman" w:eastAsia="Times New Roman" w:hAnsi="Times New Roman"/>
          <w:sz w:val="18"/>
          <w:szCs w:val="18"/>
          <w:color w:val="auto"/>
        </w:rPr>
        <w:t>: Includes primarily NBCUniversal’s national and regional cable networks, NBC and Telemundo broadcast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networks and owned local broadcast television stations, Peacock direct-to-consumer streaming service and international television networks, including Sky Sports networks in the United Kingdom and Italy.</w:t>
      </w:r>
    </w:p>
    <w:p>
      <w:pPr>
        <w:spacing w:after="0" w:line="76" w:lineRule="exact"/>
        <w:rPr>
          <w:rFonts w:ascii="Times New Roman" w:cs="Times New Roman" w:eastAsia="Times New Roman" w:hAnsi="Times New Roman"/>
          <w:sz w:val="18"/>
          <w:szCs w:val="18"/>
          <w:color w:val="auto"/>
        </w:rPr>
      </w:pPr>
    </w:p>
    <w:p>
      <w:pPr>
        <w:ind w:left="1640" w:right="660" w:hanging="289"/>
        <w:spacing w:after="0" w:line="286" w:lineRule="auto"/>
        <w:tabs>
          <w:tab w:leader="none" w:pos="1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Studios Segment</w:t>
      </w:r>
      <w:r>
        <w:rPr>
          <w:rFonts w:ascii="Times New Roman" w:cs="Times New Roman" w:eastAsia="Times New Roman" w:hAnsi="Times New Roman"/>
          <w:sz w:val="18"/>
          <w:szCs w:val="18"/>
          <w:color w:val="auto"/>
        </w:rPr>
        <w:t>: Includes primarily our NBCUniversal and Sky film and television studio production and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w:t>
      </w:r>
    </w:p>
    <w:p>
      <w:pPr>
        <w:spacing w:after="0" w:line="60" w:lineRule="exact"/>
        <w:rPr>
          <w:rFonts w:ascii="Times New Roman" w:cs="Times New Roman" w:eastAsia="Times New Roman" w:hAnsi="Times New Roman"/>
          <w:sz w:val="18"/>
          <w:szCs w:val="18"/>
          <w:color w:val="auto"/>
        </w:rPr>
      </w:pPr>
    </w:p>
    <w:p>
      <w:pPr>
        <w:ind w:left="1640" w:right="200" w:hanging="289"/>
        <w:spacing w:after="0" w:line="286" w:lineRule="auto"/>
        <w:tabs>
          <w:tab w:leader="none" w:pos="1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Theme Parks Segment</w:t>
      </w:r>
      <w:r>
        <w:rPr>
          <w:rFonts w:ascii="Times New Roman" w:cs="Times New Roman" w:eastAsia="Times New Roman" w:hAnsi="Times New Roman"/>
          <w:sz w:val="18"/>
          <w:szCs w:val="18"/>
          <w:color w:val="auto"/>
        </w:rPr>
        <w:t>: Includes primarily the operations of the following Universal theme parks: Universal Orlando Resort,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Universal Studios Hollywood, Universal Studios Japan and Universal Beijing Resort.</w:t>
      </w:r>
    </w:p>
    <w:p>
      <w:pPr>
        <w:spacing w:after="0" w:line="159" w:lineRule="exact"/>
        <w:rPr>
          <w:sz w:val="20"/>
          <w:szCs w:val="20"/>
          <w:color w:val="auto"/>
        </w:rPr>
      </w:pPr>
    </w:p>
    <w:p>
      <w:pPr>
        <w:ind w:left="300" w:right="280" w:firstLine="426"/>
        <w:spacing w:after="0" w:line="266" w:lineRule="auto"/>
        <w:rPr>
          <w:sz w:val="20"/>
          <w:szCs w:val="20"/>
          <w:color w:val="auto"/>
        </w:rPr>
      </w:pPr>
      <w:r>
        <w:rPr>
          <w:rFonts w:ascii="Times New Roman" w:cs="Times New Roman" w:eastAsia="Times New Roman" w:hAnsi="Times New Roman"/>
          <w:sz w:val="18"/>
          <w:szCs w:val="18"/>
          <w:color w:val="auto"/>
        </w:rPr>
        <w:t>Our other business interests consist primarily of our Sky-branded video services and television networks in Germany, Comcast Spectacor, which owns the Philadelphia Flyers and the Wells Fargo Center arena in Philadelphia, Pennsylvania, and Xumo, our consolidated streaming platform joint venture with Charter Communications.</w:t>
      </w:r>
    </w:p>
    <w:p>
      <w:pPr>
        <w:spacing w:after="0" w:line="176" w:lineRule="exact"/>
        <w:rPr>
          <w:sz w:val="20"/>
          <w:szCs w:val="20"/>
          <w:color w:val="auto"/>
        </w:rPr>
      </w:pPr>
    </w:p>
    <w:p>
      <w:pPr>
        <w:jc w:val="both"/>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 incorporated by reference in this prospectus supplement. For instructions on how to find copies of these and our other filings incorporated by reference in this prospectus supplement, see “Available Information” in this prospectus supplement.</w:t>
      </w:r>
    </w:p>
    <w:p>
      <w:pPr>
        <w:spacing w:after="0" w:line="2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20"/>
          </w:cols>
          <w:pgMar w:left="320" w:top="455" w:right="6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721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6998970" cy="27216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Comcast’s principal executive offices are located at One Comcast Center, Philadelphia, Pennsylvania 19103-2838. Comcast’s telephone number is (215) 286-1700. The address of our website is www.comcastcorporation.com. The information on, or accessible through, our website is not part of this prospectus supplement or the accompanying prospectus.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Guarantors</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Our obligations, including the payment of principal, premium, if any, and interest on the notes will be fully and unconditionally guaranteed by each of Comcast Cable and NBCUniversal. In this prospectus supplement, we refer to these guarantors as the guarantors and to these guarantees as the guarantees.</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guarantees will not contain any restrictions on the ability of any guarantor to:</w:t>
      </w:r>
    </w:p>
    <w:p>
      <w:pPr>
        <w:spacing w:after="0" w:line="131" w:lineRule="exact"/>
        <w:rPr>
          <w:sz w:val="20"/>
          <w:szCs w:val="20"/>
          <w:color w:val="auto"/>
        </w:rPr>
      </w:pPr>
    </w:p>
    <w:p>
      <w:pPr>
        <w:ind w:left="1240" w:right="4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distributions on, or redeem, purchase, acquire, or make a liquidation payment with respect to, any of that guarantor’s capital stock; or</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 of principal, interest or premium, if any, on or repay, repurchase or redeem any debt securities of that guarantor.</w:t>
      </w:r>
    </w:p>
    <w:p>
      <w:pPr>
        <w:spacing w:after="0" w:line="225" w:lineRule="exact"/>
        <w:rPr>
          <w:sz w:val="20"/>
          <w:szCs w:val="20"/>
          <w:color w:val="auto"/>
        </w:rPr>
      </w:pPr>
    </w:p>
    <w:p>
      <w:pPr>
        <w:ind w:left="300" w:right="400" w:firstLine="426"/>
        <w:spacing w:after="0" w:line="282" w:lineRule="auto"/>
        <w:rPr>
          <w:sz w:val="20"/>
          <w:szCs w:val="20"/>
          <w:color w:val="auto"/>
        </w:rPr>
      </w:pPr>
      <w:r>
        <w:rPr>
          <w:rFonts w:ascii="Times New Roman" w:cs="Times New Roman" w:eastAsia="Times New Roman" w:hAnsi="Times New Roman"/>
          <w:sz w:val="18"/>
          <w:szCs w:val="18"/>
          <w:color w:val="auto"/>
        </w:rPr>
        <w:t>Comcast Cable’s principal place of business is One Comcast Center, Philadelphia, Pennsylvania 19103-2838. NBCUniversal’s principal executive offices are located at 30 Rockefeller Plaza, New York, New York 10112-0015.</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20"/>
          </w:cols>
          <w:pgMar w:left="320" w:top="455" w:right="6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95"/>
        </w:trPr>
        <w:tc>
          <w:tcPr>
            <w:tcW w:w="3000" w:type="dxa"/>
            <w:vAlign w:val="bottom"/>
            <w:tcBorders>
              <w:top w:val="single" w:sz="8" w:color="auto"/>
              <w:left w:val="single" w:sz="8" w:color="auto"/>
            </w:tcBorders>
          </w:tcPr>
          <w:p>
            <w:pPr>
              <w:spacing w:after="0"/>
              <w:rPr>
                <w:sz w:val="24"/>
                <w:szCs w:val="24"/>
                <w:color w:val="auto"/>
              </w:rPr>
            </w:pPr>
          </w:p>
        </w:tc>
        <w:tc>
          <w:tcPr>
            <w:tcW w:w="8020" w:type="dxa"/>
            <w:vAlign w:val="bottom"/>
            <w:tcBorders>
              <w:top w:val="single" w:sz="8" w:color="auto"/>
              <w:right w:val="single" w:sz="8" w:color="auto"/>
            </w:tcBorders>
          </w:tcPr>
          <w:p>
            <w:pPr>
              <w:ind w:left="200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59"/>
        </w:trPr>
        <w:tc>
          <w:tcPr>
            <w:tcW w:w="3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Issuer</w:t>
            </w: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Comcast Corporation.</w:t>
            </w:r>
          </w:p>
        </w:tc>
      </w:tr>
      <w:tr>
        <w:trPr>
          <w:trHeight w:val="473"/>
        </w:trPr>
        <w:tc>
          <w:tcPr>
            <w:tcW w:w="3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Securities Offered</w:t>
            </w: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€900,000,000 aggregate principal amount of 3.250% euro notes due 2032.</w:t>
            </w:r>
          </w:p>
        </w:tc>
      </w:tr>
      <w:tr>
        <w:trPr>
          <w:trHeight w:val="473"/>
        </w:trPr>
        <w:tc>
          <w:tcPr>
            <w:tcW w:w="3000" w:type="dxa"/>
            <w:vAlign w:val="bottom"/>
            <w:tcBorders>
              <w:left w:val="single" w:sz="8" w:color="auto"/>
            </w:tcBorders>
          </w:tcPr>
          <w:p>
            <w:pPr>
              <w:spacing w:after="0"/>
              <w:rPr>
                <w:sz w:val="24"/>
                <w:szCs w:val="24"/>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€900,000,000 aggregate principal amount of 3.550% euro notes due 2036.</w:t>
            </w:r>
          </w:p>
        </w:tc>
      </w:tr>
      <w:tr>
        <w:trPr>
          <w:trHeight w:val="459"/>
        </w:trPr>
        <w:tc>
          <w:tcPr>
            <w:tcW w:w="3000" w:type="dxa"/>
            <w:vAlign w:val="bottom"/>
            <w:tcBorders>
              <w:left w:val="single" w:sz="8" w:color="auto"/>
            </w:tcBorders>
          </w:tcPr>
          <w:p>
            <w:pPr>
              <w:spacing w:after="0"/>
              <w:rPr>
                <w:sz w:val="24"/>
                <w:szCs w:val="24"/>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£750,000,000 aggregate principal amount of 5.250% sterling notes due 2040.</w:t>
            </w:r>
          </w:p>
        </w:tc>
      </w:tr>
      <w:tr>
        <w:trPr>
          <w:trHeight w:val="459"/>
        </w:trPr>
        <w:tc>
          <w:tcPr>
            <w:tcW w:w="3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Maturity</w:t>
            </w: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The euro notes due 2032 will mature on September 26, 2032.</w:t>
            </w:r>
          </w:p>
        </w:tc>
      </w:tr>
      <w:tr>
        <w:trPr>
          <w:trHeight w:val="473"/>
        </w:trPr>
        <w:tc>
          <w:tcPr>
            <w:tcW w:w="3000" w:type="dxa"/>
            <w:vAlign w:val="bottom"/>
            <w:tcBorders>
              <w:left w:val="single" w:sz="8" w:color="auto"/>
            </w:tcBorders>
          </w:tcPr>
          <w:p>
            <w:pPr>
              <w:spacing w:after="0"/>
              <w:rPr>
                <w:sz w:val="24"/>
                <w:szCs w:val="24"/>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The euro notes due 2036 will mature on September 26, 2036.</w:t>
            </w:r>
          </w:p>
        </w:tc>
      </w:tr>
      <w:tr>
        <w:trPr>
          <w:trHeight w:val="459"/>
        </w:trPr>
        <w:tc>
          <w:tcPr>
            <w:tcW w:w="3000" w:type="dxa"/>
            <w:vAlign w:val="bottom"/>
            <w:tcBorders>
              <w:left w:val="single" w:sz="8" w:color="auto"/>
            </w:tcBorders>
          </w:tcPr>
          <w:p>
            <w:pPr>
              <w:spacing w:after="0"/>
              <w:rPr>
                <w:sz w:val="24"/>
                <w:szCs w:val="24"/>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The sterling notes will mature on September 26, 2040.</w:t>
            </w:r>
          </w:p>
        </w:tc>
      </w:tr>
      <w:tr>
        <w:trPr>
          <w:trHeight w:val="441"/>
        </w:trPr>
        <w:tc>
          <w:tcPr>
            <w:tcW w:w="3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Interest on the euro notes due 2032 will accrue at the rate of 3.250% per year, payable</w:t>
            </w:r>
          </w:p>
        </w:tc>
      </w:tr>
      <w:tr>
        <w:trPr>
          <w:trHeight w:val="234"/>
        </w:trPr>
        <w:tc>
          <w:tcPr>
            <w:tcW w:w="3000" w:type="dxa"/>
            <w:vAlign w:val="bottom"/>
            <w:tcBorders>
              <w:left w:val="single" w:sz="8" w:color="auto"/>
            </w:tcBorders>
          </w:tcPr>
          <w:p>
            <w:pPr>
              <w:spacing w:after="0"/>
              <w:rPr>
                <w:sz w:val="20"/>
                <w:szCs w:val="20"/>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annually in cash in arrears on September 26, beginning September 26, 2025.</w:t>
            </w:r>
          </w:p>
        </w:tc>
      </w:tr>
      <w:tr>
        <w:trPr>
          <w:trHeight w:val="441"/>
        </w:trPr>
        <w:tc>
          <w:tcPr>
            <w:tcW w:w="3000" w:type="dxa"/>
            <w:vAlign w:val="bottom"/>
            <w:tcBorders>
              <w:left w:val="single" w:sz="8" w:color="auto"/>
            </w:tcBorders>
          </w:tcPr>
          <w:p>
            <w:pPr>
              <w:spacing w:after="0"/>
              <w:rPr>
                <w:sz w:val="24"/>
                <w:szCs w:val="24"/>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Interest on the euro notes due 2036 will accrue at the rate of 3.550% per year, payable</w:t>
            </w:r>
          </w:p>
        </w:tc>
      </w:tr>
      <w:tr>
        <w:trPr>
          <w:trHeight w:val="234"/>
        </w:trPr>
        <w:tc>
          <w:tcPr>
            <w:tcW w:w="3000" w:type="dxa"/>
            <w:vAlign w:val="bottom"/>
            <w:tcBorders>
              <w:left w:val="single" w:sz="8" w:color="auto"/>
            </w:tcBorders>
          </w:tcPr>
          <w:p>
            <w:pPr>
              <w:spacing w:after="0"/>
              <w:rPr>
                <w:sz w:val="20"/>
                <w:szCs w:val="20"/>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annually in cash in arrears on September 26, beginning September 26, 2025.</w:t>
            </w:r>
          </w:p>
        </w:tc>
      </w:tr>
      <w:tr>
        <w:trPr>
          <w:trHeight w:val="441"/>
        </w:trPr>
        <w:tc>
          <w:tcPr>
            <w:tcW w:w="3000" w:type="dxa"/>
            <w:vAlign w:val="bottom"/>
            <w:tcBorders>
              <w:left w:val="single" w:sz="8" w:color="auto"/>
            </w:tcBorders>
          </w:tcPr>
          <w:p>
            <w:pPr>
              <w:spacing w:after="0"/>
              <w:rPr>
                <w:sz w:val="24"/>
                <w:szCs w:val="24"/>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Interest on the sterling notes will accrue at the rate of 5.250% per year, payable annually in</w:t>
            </w:r>
          </w:p>
        </w:tc>
      </w:tr>
      <w:tr>
        <w:trPr>
          <w:trHeight w:val="234"/>
        </w:trPr>
        <w:tc>
          <w:tcPr>
            <w:tcW w:w="3000" w:type="dxa"/>
            <w:vAlign w:val="bottom"/>
            <w:tcBorders>
              <w:left w:val="single" w:sz="8" w:color="auto"/>
            </w:tcBorders>
          </w:tcPr>
          <w:p>
            <w:pPr>
              <w:spacing w:after="0"/>
              <w:rPr>
                <w:sz w:val="20"/>
                <w:szCs w:val="20"/>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cash in arrears on September 26, beginning September 26, 2025.</w:t>
            </w:r>
          </w:p>
        </w:tc>
      </w:tr>
      <w:tr>
        <w:trPr>
          <w:trHeight w:val="441"/>
        </w:trPr>
        <w:tc>
          <w:tcPr>
            <w:tcW w:w="3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Currency of Payments</w:t>
            </w: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All payments of principal of, and premium, if any, and interest on, the euro notes, including</w:t>
            </w:r>
          </w:p>
        </w:tc>
      </w:tr>
      <w:tr>
        <w:trPr>
          <w:trHeight w:val="216"/>
        </w:trPr>
        <w:tc>
          <w:tcPr>
            <w:tcW w:w="30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any payments made upon any redemption or repurchase of the euro notes, will be made in</w:t>
            </w:r>
          </w:p>
        </w:tc>
      </w:tr>
      <w:tr>
        <w:trPr>
          <w:trHeight w:val="216"/>
        </w:trPr>
        <w:tc>
          <w:tcPr>
            <w:tcW w:w="30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euro. All payments of principal of, and premium, if any, and interest on, the sterling notes,</w:t>
            </w:r>
          </w:p>
        </w:tc>
      </w:tr>
      <w:tr>
        <w:trPr>
          <w:trHeight w:val="216"/>
        </w:trPr>
        <w:tc>
          <w:tcPr>
            <w:tcW w:w="30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including any payments made upon any redemption or repurchase of the sterling notes, will</w:t>
            </w:r>
          </w:p>
        </w:tc>
      </w:tr>
      <w:tr>
        <w:trPr>
          <w:trHeight w:val="234"/>
        </w:trPr>
        <w:tc>
          <w:tcPr>
            <w:tcW w:w="3000" w:type="dxa"/>
            <w:vAlign w:val="bottom"/>
            <w:tcBorders>
              <w:left w:val="single" w:sz="8" w:color="auto"/>
            </w:tcBorders>
          </w:tcPr>
          <w:p>
            <w:pPr>
              <w:spacing w:after="0"/>
              <w:rPr>
                <w:sz w:val="20"/>
                <w:szCs w:val="20"/>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be made in GBP.</w:t>
            </w:r>
          </w:p>
        </w:tc>
      </w:tr>
      <w:tr>
        <w:trPr>
          <w:trHeight w:val="441"/>
        </w:trPr>
        <w:tc>
          <w:tcPr>
            <w:tcW w:w="3000" w:type="dxa"/>
            <w:vAlign w:val="bottom"/>
            <w:tcBorders>
              <w:left w:val="single" w:sz="8" w:color="auto"/>
            </w:tcBorders>
          </w:tcPr>
          <w:p>
            <w:pPr>
              <w:spacing w:after="0"/>
              <w:rPr>
                <w:sz w:val="24"/>
                <w:szCs w:val="24"/>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If euro or GBP is unavailable to us due to the imposition of exchange controls or other</w:t>
            </w:r>
          </w:p>
        </w:tc>
      </w:tr>
      <w:tr>
        <w:trPr>
          <w:trHeight w:val="216"/>
        </w:trPr>
        <w:tc>
          <w:tcPr>
            <w:tcW w:w="30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circumstances beyond our control or is no longer used for the settlement of transactions by</w:t>
            </w:r>
          </w:p>
        </w:tc>
      </w:tr>
      <w:tr>
        <w:trPr>
          <w:trHeight w:val="216"/>
        </w:trPr>
        <w:tc>
          <w:tcPr>
            <w:tcW w:w="30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public institutions within the international banking community or, with respect to the euro</w:t>
            </w:r>
          </w:p>
        </w:tc>
      </w:tr>
      <w:tr>
        <w:trPr>
          <w:trHeight w:val="216"/>
        </w:trPr>
        <w:tc>
          <w:tcPr>
            <w:tcW w:w="30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notes, the euro is no longer used by the then member states of the European Economic and</w:t>
            </w:r>
          </w:p>
        </w:tc>
      </w:tr>
      <w:tr>
        <w:trPr>
          <w:trHeight w:val="216"/>
        </w:trPr>
        <w:tc>
          <w:tcPr>
            <w:tcW w:w="30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Monetary Union that have adopted the euro as their currency, then all payments in respect</w:t>
            </w:r>
          </w:p>
        </w:tc>
      </w:tr>
      <w:tr>
        <w:trPr>
          <w:trHeight w:val="216"/>
        </w:trPr>
        <w:tc>
          <w:tcPr>
            <w:tcW w:w="30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of the applicable series of notes will be made in U.S. dollars until the euro or GBP, as</w:t>
            </w:r>
          </w:p>
        </w:tc>
      </w:tr>
      <w:tr>
        <w:trPr>
          <w:trHeight w:val="216"/>
        </w:trPr>
        <w:tc>
          <w:tcPr>
            <w:tcW w:w="30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applicable, is again available to us or so used. See “Description of the Notes—Euro Notes</w:t>
            </w:r>
          </w:p>
        </w:tc>
      </w:tr>
      <w:tr>
        <w:trPr>
          <w:trHeight w:val="234"/>
        </w:trPr>
        <w:tc>
          <w:tcPr>
            <w:tcW w:w="3000" w:type="dxa"/>
            <w:vAlign w:val="bottom"/>
            <w:tcBorders>
              <w:left w:val="single" w:sz="8" w:color="auto"/>
            </w:tcBorders>
          </w:tcPr>
          <w:p>
            <w:pPr>
              <w:spacing w:after="0"/>
              <w:rPr>
                <w:sz w:val="20"/>
                <w:szCs w:val="20"/>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—Issuance in Euro; Sterling Notes—Issuance in GBP.”</w:t>
            </w:r>
          </w:p>
        </w:tc>
      </w:tr>
      <w:tr>
        <w:trPr>
          <w:trHeight w:val="441"/>
        </w:trPr>
        <w:tc>
          <w:tcPr>
            <w:tcW w:w="3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Ranking</w:t>
            </w: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The notes will be unsecured and will rank equally with all of our and the guarantors’</w:t>
            </w:r>
          </w:p>
        </w:tc>
      </w:tr>
      <w:tr>
        <w:trPr>
          <w:trHeight w:val="234"/>
        </w:trPr>
        <w:tc>
          <w:tcPr>
            <w:tcW w:w="3000" w:type="dxa"/>
            <w:vAlign w:val="bottom"/>
            <w:tcBorders>
              <w:left w:val="single" w:sz="8" w:color="auto"/>
            </w:tcBorders>
          </w:tcPr>
          <w:p>
            <w:pPr>
              <w:spacing w:after="0"/>
              <w:rPr>
                <w:sz w:val="20"/>
                <w:szCs w:val="20"/>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unsecured and unsubordinated indebtedness.</w:t>
            </w:r>
          </w:p>
        </w:tc>
      </w:tr>
      <w:tr>
        <w:trPr>
          <w:trHeight w:val="172"/>
        </w:trPr>
        <w:tc>
          <w:tcPr>
            <w:tcW w:w="3000" w:type="dxa"/>
            <w:vAlign w:val="bottom"/>
            <w:tcBorders>
              <w:left w:val="single" w:sz="8" w:color="auto"/>
              <w:bottom w:val="single" w:sz="8" w:color="auto"/>
            </w:tcBorders>
          </w:tcPr>
          <w:p>
            <w:pPr>
              <w:spacing w:after="0"/>
              <w:rPr>
                <w:sz w:val="14"/>
                <w:szCs w:val="14"/>
                <w:color w:val="auto"/>
              </w:rPr>
            </w:pPr>
          </w:p>
        </w:tc>
        <w:tc>
          <w:tcPr>
            <w:tcW w:w="8020" w:type="dxa"/>
            <w:vAlign w:val="bottom"/>
            <w:tcBorders>
              <w:bottom w:val="single" w:sz="8" w:color="auto"/>
              <w:right w:val="single" w:sz="8" w:color="auto"/>
            </w:tcBorders>
          </w:tcPr>
          <w:p>
            <w:pPr>
              <w:spacing w:after="0"/>
              <w:rPr>
                <w:sz w:val="14"/>
                <w:szCs w:val="14"/>
                <w:color w:val="auto"/>
              </w:rPr>
            </w:pPr>
          </w:p>
        </w:tc>
      </w:tr>
      <w:tr>
        <w:trPr>
          <w:trHeight w:val="361"/>
        </w:trPr>
        <w:tc>
          <w:tcPr>
            <w:tcW w:w="3000" w:type="dxa"/>
            <w:vAlign w:val="bottom"/>
          </w:tcPr>
          <w:p>
            <w:pPr>
              <w:spacing w:after="0"/>
              <w:rPr>
                <w:sz w:val="24"/>
                <w:szCs w:val="24"/>
                <w:color w:val="auto"/>
              </w:rPr>
            </w:pPr>
          </w:p>
        </w:tc>
        <w:tc>
          <w:tcPr>
            <w:tcW w:w="802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S-3</w:t>
            </w:r>
          </w:p>
        </w:tc>
      </w:tr>
    </w:tbl>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95"/>
        </w:trPr>
        <w:tc>
          <w:tcPr>
            <w:tcW w:w="324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Guarantors</w:t>
            </w:r>
          </w:p>
        </w:tc>
        <w:tc>
          <w:tcPr>
            <w:tcW w:w="7780" w:type="dxa"/>
            <w:vAlign w:val="bottom"/>
            <w:tcBorders>
              <w:top w:val="single" w:sz="8" w:color="auto"/>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Comcast Cable Communications, LLC and NBCUniversal Media, LLC.</w:t>
            </w:r>
          </w:p>
        </w:tc>
      </w:tr>
      <w:tr>
        <w:trPr>
          <w:trHeight w:val="454"/>
        </w:trPr>
        <w:tc>
          <w:tcPr>
            <w:tcW w:w="32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Guarantees</w:t>
            </w: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The guarantors will fully and unconditionally guarantee the notes, including the payment of</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principal, premium, if any, and interest. The guarantees will rank equally with all other</w:t>
            </w:r>
          </w:p>
        </w:tc>
      </w:tr>
      <w:tr>
        <w:trPr>
          <w:trHeight w:val="234"/>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general unsecured and unsubordinated obligations of the guarantors.</w:t>
            </w:r>
          </w:p>
        </w:tc>
      </w:tr>
      <w:tr>
        <w:trPr>
          <w:trHeight w:val="441"/>
        </w:trPr>
        <w:tc>
          <w:tcPr>
            <w:tcW w:w="32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Optional Redemption</w:t>
            </w: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We may, at our option, redeem any series of notes, in whole or in part, at any time at the</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applicable redemption price determined as set forth under the heading “Description of the</w:t>
            </w:r>
          </w:p>
        </w:tc>
      </w:tr>
      <w:tr>
        <w:trPr>
          <w:trHeight w:val="234"/>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Notes—Optional Redemption.”</w:t>
            </w:r>
          </w:p>
        </w:tc>
      </w:tr>
      <w:tr>
        <w:trPr>
          <w:trHeight w:val="441"/>
        </w:trPr>
        <w:tc>
          <w:tcPr>
            <w:tcW w:w="32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Redemption for Tax Reasons</w:t>
            </w: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We may, at our option, redeem any series of notes, in whole but not in part, if the tax laws</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of the United States (or any taxing authority in the United States) change and we become</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obligated to pay additional amounts on the notes as described under “Description of the</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Notes—Payment of Additional Amounts.” This redemption would be at 100% of the</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principal amount, together with accrued and unpaid interest on the notes to the date fixed</w:t>
            </w:r>
          </w:p>
        </w:tc>
      </w:tr>
      <w:tr>
        <w:trPr>
          <w:trHeight w:val="234"/>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for redemption. See “Description of the Notes—Redemption for Tax Reasons.”</w:t>
            </w:r>
          </w:p>
        </w:tc>
      </w:tr>
      <w:tr>
        <w:trPr>
          <w:trHeight w:val="441"/>
        </w:trPr>
        <w:tc>
          <w:tcPr>
            <w:tcW w:w="32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Additional Amounts</w:t>
            </w: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We will, subject to certain exceptions and limitations set forth herein, pay additional</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amounts on the notes as are necessary in order that the net payment by us of the principal</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of and interest on the notes to a holder who is not a United States person, after withholding</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or deduction for any present or future tax, assessment or other governmental charge</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imposed by the United States or a taxing authority in the United States will not be less than</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the amount provided in the notes to be then due and payable. See “Description of the Notes</w:t>
            </w:r>
          </w:p>
        </w:tc>
      </w:tr>
      <w:tr>
        <w:trPr>
          <w:trHeight w:val="234"/>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—Payment of Additional Amounts.”</w:t>
            </w:r>
          </w:p>
        </w:tc>
      </w:tr>
      <w:tr>
        <w:trPr>
          <w:trHeight w:val="441"/>
        </w:trPr>
        <w:tc>
          <w:tcPr>
            <w:tcW w:w="32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We intend to use the net proceeds from this offering, after deducting underwriters’ discount</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and expenses, for working capital and general corporate purposes, including the</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redemption in full of our outstanding 5.250% Notes due November 7, 2025 and the</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repayment of certain of our other debt with near-term maturities. We delivered a notice of</w:t>
            </w:r>
          </w:p>
        </w:tc>
      </w:tr>
      <w:tr>
        <w:trPr>
          <w:trHeight w:val="234"/>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redemption in respect of the 5.250% Notes due November 7, 2025 on September 23, 2024.</w:t>
            </w:r>
          </w:p>
        </w:tc>
      </w:tr>
      <w:tr>
        <w:trPr>
          <w:trHeight w:val="459"/>
        </w:trPr>
        <w:tc>
          <w:tcPr>
            <w:tcW w:w="3240" w:type="dxa"/>
            <w:vAlign w:val="bottom"/>
            <w:tcBorders>
              <w:left w:val="single" w:sz="8" w:color="auto"/>
            </w:tcBorders>
          </w:tcPr>
          <w:p>
            <w:pPr>
              <w:spacing w:after="0"/>
              <w:rPr>
                <w:sz w:val="24"/>
                <w:szCs w:val="24"/>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This prospectus supplement is not a notice of redemption.</w:t>
            </w:r>
          </w:p>
        </w:tc>
      </w:tr>
      <w:tr>
        <w:trPr>
          <w:trHeight w:val="441"/>
        </w:trPr>
        <w:tc>
          <w:tcPr>
            <w:tcW w:w="32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Denominations</w:t>
            </w: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We will issue the euro notes in minimum denominations of €100,000 and integral multiples</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of €1,000 in excess thereof, and we will issue the sterling notes in minimum denominations</w:t>
            </w:r>
          </w:p>
        </w:tc>
      </w:tr>
      <w:tr>
        <w:trPr>
          <w:trHeight w:val="234"/>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of £100,000 and integral multiples of £1,000 in excess thereof.</w:t>
            </w:r>
          </w:p>
        </w:tc>
      </w:tr>
      <w:tr>
        <w:trPr>
          <w:trHeight w:val="441"/>
        </w:trPr>
        <w:tc>
          <w:tcPr>
            <w:tcW w:w="32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Book-Entry</w:t>
            </w: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The notes will be issued in book-entry form and will be represented by global notes</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deposited with a common depositary on behalf of Euroclear and Clearstream and registered</w:t>
            </w:r>
          </w:p>
        </w:tc>
      </w:tr>
      <w:tr>
        <w:trPr>
          <w:trHeight w:val="234"/>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in the name of the common</w:t>
            </w:r>
          </w:p>
        </w:tc>
      </w:tr>
      <w:tr>
        <w:trPr>
          <w:trHeight w:val="172"/>
        </w:trPr>
        <w:tc>
          <w:tcPr>
            <w:tcW w:w="3240" w:type="dxa"/>
            <w:vAlign w:val="bottom"/>
            <w:tcBorders>
              <w:left w:val="single" w:sz="8" w:color="auto"/>
              <w:bottom w:val="single" w:sz="8" w:color="auto"/>
            </w:tcBorders>
          </w:tcPr>
          <w:p>
            <w:pPr>
              <w:spacing w:after="0"/>
              <w:rPr>
                <w:sz w:val="14"/>
                <w:szCs w:val="14"/>
                <w:color w:val="auto"/>
              </w:rPr>
            </w:pPr>
          </w:p>
        </w:tc>
        <w:tc>
          <w:tcPr>
            <w:tcW w:w="7780" w:type="dxa"/>
            <w:vAlign w:val="bottom"/>
            <w:tcBorders>
              <w:bottom w:val="single" w:sz="8" w:color="auto"/>
              <w:right w:val="single" w:sz="8" w:color="auto"/>
            </w:tcBorders>
          </w:tcPr>
          <w:p>
            <w:pPr>
              <w:spacing w:after="0"/>
              <w:rPr>
                <w:sz w:val="14"/>
                <w:szCs w:val="14"/>
                <w:color w:val="auto"/>
              </w:rPr>
            </w:pPr>
          </w:p>
        </w:tc>
      </w:tr>
      <w:tr>
        <w:trPr>
          <w:trHeight w:val="361"/>
        </w:trPr>
        <w:tc>
          <w:tcPr>
            <w:tcW w:w="3240" w:type="dxa"/>
            <w:vAlign w:val="bottom"/>
          </w:tcPr>
          <w:p>
            <w:pPr>
              <w:spacing w:after="0"/>
              <w:rPr>
                <w:sz w:val="24"/>
                <w:szCs w:val="24"/>
                <w:color w:val="auto"/>
              </w:rPr>
            </w:pPr>
          </w:p>
        </w:tc>
        <w:tc>
          <w:tcPr>
            <w:tcW w:w="778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S-4</w:t>
            </w:r>
          </w:p>
        </w:tc>
      </w:tr>
    </w:tbl>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320" w:type="dxa"/>
            <w:vAlign w:val="bottom"/>
            <w:tcBorders>
              <w:top w:val="single" w:sz="8" w:color="auto"/>
              <w:left w:val="single" w:sz="8" w:color="auto"/>
            </w:tcBorders>
          </w:tcPr>
          <w:p>
            <w:pPr>
              <w:spacing w:after="0"/>
              <w:rPr>
                <w:sz w:val="24"/>
                <w:szCs w:val="24"/>
                <w:color w:val="auto"/>
              </w:rPr>
            </w:pPr>
          </w:p>
        </w:tc>
        <w:tc>
          <w:tcPr>
            <w:tcW w:w="7700" w:type="dxa"/>
            <w:vAlign w:val="bottom"/>
            <w:tcBorders>
              <w:top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depositary or its nominee. Beneficial interests in any of the notes will be shown on, and</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transfers will be effected only through, records maintained by Euroclear and Clearstream</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and their participants, and these beneficial interests may not be exchanged for certificated</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notes, except in limited circumstances. See “Description of the Notes—Book-Entry</w:t>
            </w:r>
          </w:p>
        </w:tc>
      </w:tr>
      <w:tr>
        <w:trPr>
          <w:trHeight w:val="234"/>
        </w:trPr>
        <w:tc>
          <w:tcPr>
            <w:tcW w:w="3320" w:type="dxa"/>
            <w:vAlign w:val="bottom"/>
            <w:tcBorders>
              <w:left w:val="single" w:sz="8" w:color="auto"/>
            </w:tcBorders>
          </w:tcPr>
          <w:p>
            <w:pPr>
              <w:spacing w:after="0"/>
              <w:rPr>
                <w:sz w:val="20"/>
                <w:szCs w:val="20"/>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System” in this prospectus supplement.</w:t>
            </w:r>
          </w:p>
        </w:tc>
      </w:tr>
      <w:tr>
        <w:trPr>
          <w:trHeight w:val="459"/>
        </w:trPr>
        <w:tc>
          <w:tcPr>
            <w:tcW w:w="33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Trustee and Registrar</w:t>
            </w: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The Bank of New York Mellon</w:t>
            </w:r>
          </w:p>
        </w:tc>
      </w:tr>
      <w:tr>
        <w:trPr>
          <w:trHeight w:val="473"/>
        </w:trPr>
        <w:tc>
          <w:tcPr>
            <w:tcW w:w="33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Paying Agent</w:t>
            </w: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The Bank of New York Mellon, London Branch</w:t>
            </w:r>
          </w:p>
        </w:tc>
      </w:tr>
      <w:tr>
        <w:trPr>
          <w:trHeight w:val="454"/>
        </w:trPr>
        <w:tc>
          <w:tcPr>
            <w:tcW w:w="33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Listing and Trading</w:t>
            </w: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We intend to apply to list each series of the notes on NASDAQ. The listing applications</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will be subject to approval by NASDAQ. If such listings are obtained, we have no</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obligation to maintain such listings for any series of the notes and we may delist any series</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of the notes at any time. We currently expect trading in the notes on NASDAQ to begin</w:t>
            </w:r>
          </w:p>
        </w:tc>
      </w:tr>
      <w:tr>
        <w:trPr>
          <w:trHeight w:val="234"/>
        </w:trPr>
        <w:tc>
          <w:tcPr>
            <w:tcW w:w="3320" w:type="dxa"/>
            <w:vAlign w:val="bottom"/>
            <w:tcBorders>
              <w:left w:val="single" w:sz="8" w:color="auto"/>
            </w:tcBorders>
          </w:tcPr>
          <w:p>
            <w:pPr>
              <w:spacing w:after="0"/>
              <w:rPr>
                <w:sz w:val="20"/>
                <w:szCs w:val="20"/>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within 30 days after the original issue date.</w:t>
            </w:r>
          </w:p>
        </w:tc>
      </w:tr>
      <w:tr>
        <w:trPr>
          <w:trHeight w:val="459"/>
        </w:trPr>
        <w:tc>
          <w:tcPr>
            <w:tcW w:w="33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Common Code / CUSIP / ISIN</w:t>
            </w: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290974631/20030N EL1/XS2909746310 for the euro notes due 2032</w:t>
            </w:r>
          </w:p>
        </w:tc>
      </w:tr>
      <w:tr>
        <w:trPr>
          <w:trHeight w:val="473"/>
        </w:trPr>
        <w:tc>
          <w:tcPr>
            <w:tcW w:w="3320" w:type="dxa"/>
            <w:vAlign w:val="bottom"/>
            <w:tcBorders>
              <w:left w:val="single" w:sz="8" w:color="auto"/>
            </w:tcBorders>
          </w:tcPr>
          <w:p>
            <w:pPr>
              <w:spacing w:after="0"/>
              <w:rPr>
                <w:sz w:val="24"/>
                <w:szCs w:val="24"/>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290974640/20030N EM9/XS2909746401 for the euro notes due 2036</w:t>
            </w:r>
          </w:p>
        </w:tc>
      </w:tr>
      <w:tr>
        <w:trPr>
          <w:trHeight w:val="459"/>
        </w:trPr>
        <w:tc>
          <w:tcPr>
            <w:tcW w:w="3320" w:type="dxa"/>
            <w:vAlign w:val="bottom"/>
            <w:tcBorders>
              <w:left w:val="single" w:sz="8" w:color="auto"/>
            </w:tcBorders>
          </w:tcPr>
          <w:p>
            <w:pPr>
              <w:spacing w:after="0"/>
              <w:rPr>
                <w:sz w:val="24"/>
                <w:szCs w:val="24"/>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290974666/20030N EN7/XS2909746666 for the sterling notes</w:t>
            </w:r>
          </w:p>
        </w:tc>
      </w:tr>
      <w:tr>
        <w:trPr>
          <w:trHeight w:val="441"/>
        </w:trPr>
        <w:tc>
          <w:tcPr>
            <w:tcW w:w="33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Additional Notes</w:t>
            </w: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We have the ability to “reopen” a series of these notes and issue additional notes of such</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series. Additional notes of such series will be consolidated with and form a single series</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with the notes then outstanding of such series; provided that the additional notes are</w:t>
            </w:r>
          </w:p>
        </w:tc>
      </w:tr>
      <w:tr>
        <w:trPr>
          <w:trHeight w:val="234"/>
        </w:trPr>
        <w:tc>
          <w:tcPr>
            <w:tcW w:w="3320" w:type="dxa"/>
            <w:vAlign w:val="bottom"/>
            <w:tcBorders>
              <w:left w:val="single" w:sz="8" w:color="auto"/>
            </w:tcBorders>
          </w:tcPr>
          <w:p>
            <w:pPr>
              <w:spacing w:after="0"/>
              <w:rPr>
                <w:sz w:val="20"/>
                <w:szCs w:val="20"/>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fungible with the notes of such series for U.S. federal income tax purposes.</w:t>
            </w:r>
          </w:p>
        </w:tc>
      </w:tr>
      <w:tr>
        <w:trPr>
          <w:trHeight w:val="441"/>
        </w:trPr>
        <w:tc>
          <w:tcPr>
            <w:tcW w:w="33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Investing in these notes involves certain risks. See “Risk Factors” beginning on page S-6 of</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this prospectus supplement and “Item 1A—Risk Factors” beginning on page 20 of our</w:t>
            </w:r>
          </w:p>
        </w:tc>
      </w:tr>
      <w:tr>
        <w:trPr>
          <w:trHeight w:val="234"/>
        </w:trPr>
        <w:tc>
          <w:tcPr>
            <w:tcW w:w="3320" w:type="dxa"/>
            <w:vAlign w:val="bottom"/>
            <w:tcBorders>
              <w:left w:val="single" w:sz="8" w:color="auto"/>
            </w:tcBorders>
          </w:tcPr>
          <w:p>
            <w:pPr>
              <w:spacing w:after="0"/>
              <w:rPr>
                <w:sz w:val="20"/>
                <w:szCs w:val="20"/>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2023.</w:t>
            </w:r>
          </w:p>
        </w:tc>
      </w:tr>
      <w:tr>
        <w:trPr>
          <w:trHeight w:val="172"/>
        </w:trPr>
        <w:tc>
          <w:tcPr>
            <w:tcW w:w="3320" w:type="dxa"/>
            <w:vAlign w:val="bottom"/>
            <w:tcBorders>
              <w:left w:val="single" w:sz="8" w:color="auto"/>
              <w:bottom w:val="single" w:sz="8" w:color="auto"/>
            </w:tcBorders>
          </w:tcPr>
          <w:p>
            <w:pPr>
              <w:spacing w:after="0"/>
              <w:rPr>
                <w:sz w:val="14"/>
                <w:szCs w:val="14"/>
                <w:color w:val="auto"/>
              </w:rPr>
            </w:pPr>
          </w:p>
        </w:tc>
        <w:tc>
          <w:tcPr>
            <w:tcW w:w="7700" w:type="dxa"/>
            <w:vAlign w:val="bottom"/>
            <w:tcBorders>
              <w:bottom w:val="single" w:sz="8" w:color="auto"/>
              <w:right w:val="single" w:sz="8" w:color="auto"/>
            </w:tcBorders>
          </w:tcPr>
          <w:p>
            <w:pPr>
              <w:spacing w:after="0"/>
              <w:rPr>
                <w:sz w:val="14"/>
                <w:szCs w:val="14"/>
                <w:color w:val="auto"/>
              </w:rPr>
            </w:pPr>
          </w:p>
        </w:tc>
      </w:tr>
      <w:tr>
        <w:trPr>
          <w:trHeight w:val="361"/>
        </w:trPr>
        <w:tc>
          <w:tcPr>
            <w:tcW w:w="3320" w:type="dxa"/>
            <w:vAlign w:val="bottom"/>
          </w:tcPr>
          <w:p>
            <w:pPr>
              <w:spacing w:after="0"/>
              <w:rPr>
                <w:sz w:val="24"/>
                <w:szCs w:val="24"/>
                <w:color w:val="auto"/>
              </w:rPr>
            </w:pPr>
          </w:p>
        </w:tc>
        <w:tc>
          <w:tcPr>
            <w:tcW w:w="77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S-5</w:t>
            </w:r>
          </w:p>
        </w:tc>
      </w:tr>
    </w:tbl>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An investment in the notes involves risks. Before deciding whether to purchase the notes, you should consider the risks discussed below or elsewhere in this prospectus supplement, including those set forth in our filings with the SEC that we have incorporated by reference in this prospectus supplement and the accompanying prospectus. Additional risks and uncertainties not presently known to us or that we currently believe to be immaterial may also impair our business operations.</w:t>
      </w:r>
    </w:p>
    <w:p>
      <w:pPr>
        <w:spacing w:after="0" w:line="288"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Any of the risks discussed below or elsewhere in this prospectus supplement or in our SEC filings incorporated by reference in this prospectus supplement and the accompanying prospectus, and other risks we have not anticipated or discussed, could have a material impact on our business, prospects, financial condition or results of operations. In that case, our ability to pay interest on the notes when due or to repay the notes at maturity could be adversely affected, and the trading price of the notes could decline substantially.</w:t>
      </w:r>
    </w:p>
    <w:p>
      <w:pPr>
        <w:spacing w:after="0" w:line="286"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color w:val="auto"/>
        </w:rPr>
        <w:t>An investment in the notes by a holder whose home currency is not the euro, with respect to the euro notes, or not GBP, with respect to the sterling notes, entails significant risks.</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An investment in the notes by a holder whose home currency is not the euro, with respect to the euro notes, or not GBP, with respect to the sterling notes, entails significant risks. These risks include the possibility of significant changes in rates of exchange between the holder’s functional currency and the euro or GBP, as applicable, the possibility of the imposition or subsequent modification of foreign exchange controls and tax consequences as a result of any foreign exchange gains resulting from an investment in the notes. These risks generally depend on factors over which we have no control, such as economic, financial and political events and the supply of and demand for the relevant currencies.</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recent years, rates of exchange between the euro and GBP, on the one hand, and certain currencies, on the other, have been highly volatile, and each holder should be aware that volatility may be expected to continue in the future. However, the exchange rates of a holder’s home currency for the euro or for the GBP, as applicable, and the fluctuations in those exchange rates that have occurred in the past are not necessarily indicative of the exchange rates or the fluctuations that may occur during the term of the notes. Foreign currency exchange rates may be affected by, among other factors, existing and expected rates of inflation, existing and expected interest rate levels, the balance of payments between countries and the extent of governmental surpluses or deficits in various countries. Depreciation of the euro or GBP, as applicable, against the holder’s functional currency would result in a decrease in the effective yield of the notes below the coupon rate and, in certain circumstances, could result in a loss to the holder.</w:t>
      </w:r>
    </w:p>
    <w:p>
      <w:pPr>
        <w:spacing w:after="0" w:line="189" w:lineRule="exact"/>
        <w:rPr>
          <w:sz w:val="20"/>
          <w:szCs w:val="20"/>
          <w:color w:val="auto"/>
        </w:rPr>
      </w:pPr>
    </w:p>
    <w:p>
      <w:pPr>
        <w:jc w:val="both"/>
        <w:ind w:left="120" w:right="40" w:firstLine="440"/>
        <w:spacing w:after="0" w:line="312" w:lineRule="auto"/>
        <w:rPr>
          <w:sz w:val="20"/>
          <w:szCs w:val="20"/>
          <w:color w:val="auto"/>
        </w:rPr>
      </w:pPr>
      <w:r>
        <w:rPr>
          <w:rFonts w:ascii="Times New Roman" w:cs="Times New Roman" w:eastAsia="Times New Roman" w:hAnsi="Times New Roman"/>
          <w:sz w:val="17"/>
          <w:szCs w:val="17"/>
          <w:color w:val="auto"/>
        </w:rPr>
        <w:t>Appreciation of the euro or GBP, as applicable, in relation to the investor’s home currency would have the opposite effect. All of these factors are, in turn, sensitive to the monetary, fiscal and trade policies pursued by the governments of various countries important to international trade and finance.</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notes permit us to make payments in U.S. dollars if we are unable to obtain euro or GBP.</w:t>
      </w:r>
    </w:p>
    <w:p>
      <w:pPr>
        <w:spacing w:after="0" w:line="12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If the euro is unavailable to us due to the imposition of exchange controls or other circumstances beyond our control, or if the euro is no longer used by the member states of the European Economic and Monetary Union that have adopted the euro as their currency or for the settlement of transactions by public institutions within the international banking community, then all payments in respect of the euro notes will be made in U.S. dollars until the euro is again available to us or so used. If GBP is unavailable to us due to the imposition of exchange controls or other circumstances beyond our control or is no longer used for the settlement of transactions by public institutions within the international banking community, then all payments in respect of the sterling notes will be made in U.S. dollars until GBP is again available to us or so used. The amount payable on any date in euro or GBP, as applicable, will be converted into U.S. dollars at the Market Exchange Rate (as defined below) or, if such Market Exchange Rate is not then available, on the basis of the then most recent U.S. dollar/euro exchange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rate or U.S. dollar/GBP exchange rate, as applicable. Any payment in respect of the notes so made in U.S. dollars will not constitute an event of default under the indenture.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 a lawsuit for payment on the notes, holders of the notes may bear currency exchange risk.</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indenture is, and the notes will be, governed by the laws of the State of New York. A New York state statute presently in effect, but subject to amendment, would require a New York state court hearing such a lawsuit to render its decision or award in euro or GBP, as applicable. The judgment entered on that award, however, will be denominated in U.S. dollars, and converted at the exchange rate prevailing on the date of entry of the judgment. Consequently, in a lawsuit for payment on the notes, holders of such notes would bear currency exchange risk until a New York state court judgment is entered, which could be a long time. A Federal court sitting in New York with diversity jurisdiction over a dispute arising in connection with the notes would apply the foregoing New York law.</w:t>
      </w:r>
    </w:p>
    <w:p>
      <w:pPr>
        <w:spacing w:after="0" w:line="187"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courts outside of New York, investors may not be able to obtain a judgment in a currency other than U.S. dollars. For example, a judgment for money in an action based on the notes in many other U.S. federal or state courts ordinarily would be enforced in the United States only in U.S. dollars. The date used to determine the rate of conversion of euro or GBP, as applicable, into U.S. dollars would depend upon various factors, including which court renders the judgment and when the judgment is rendered.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There may be no public trading market for the notes.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notes are new issues of securities for which there is currently no established trading market. A market for the notes may not develop or, if one does develop, it may not be maintained. If a market develops, the notes could trade at prices that may be higher or lower than the initial offering price or the price at which you purchased the notes, depending on many factors, including prevailing interest rates, our financial performance, the amount of indebtedness we have outstanding, the market for similar securities, the redemption and repayment features of the notes and the time remaining to maturity of the notes. Although we intend to apply for listing the notes for trading on the NASDAQ, no assurance can be given as to the liquidity of, or trading markets for, the notes. The listing applications will be subject to approval by NASDAQ. If such listings are obtained, we may delist any series of the notes at any time. If an active market for the notes fails to develop or be sustained, the trading price and liquidity of the notes could be adversely affected.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Trading in the clearing systems is subject to minimum denomination requirements.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euro notes will be issued only in minimum denominations of €100,000 and integral multiples of €1,000 in excess thereof. It is possible that the clearing systems may process trades that could result in amounts being held in denominations smaller than the minimum denominations. If definitive notes are required to be issued in relation to such euro notes in accordance with the provisions of the relevant global notes, a beneficial owner who does not have the minimum denomination or any integral multiple of €1,000 in excess thereof in its account with the relevant clearing system at the relevant time may not receive all of its entitlement in the form of definitive notes unless and until such time as its holding satisfies the minimum denomination requirement.</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sterling notes will be issued only in minimum denominations of £100,000 and integral multiples of £1,000 in excess thereof. It is possible that the clearing systems may process trades that could result in amounts being held in denominations smaller than the minimum denominations. If definitive notes are required to be issued in relation to such sterling notes in accordance with the provisions of the relevant global notes, a beneficial owner who does not have the minimum denomination or any integral multiple of £1,000 in excess thereof in its account with their relevant clearing system at the relevant time may not receive all of its entitlement in the form of definitive notes unless and until such time as its holding satisfies the minimum denomination requirement.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Holders of the notes will receive payments in euro or GBP, as applicable.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All payments of principal, premium, if any, and interest in respect of the notes will be paid in euro or GBP, as applicable, subject to certain limited exceptions, as described in this prospectus supplement. We, the underwriters, the trustee and the paying agent with respect to the notes will not be obligated to convert, or to assist any registered owner or beneficial owner of the notes in converting payments of interest, principal, premium or any redemption price in euro or GBP made with respect to such notes into U.S. dollars or any other currency.</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00"/>
          </w:cols>
          <w:pgMar w:left="320" w:top="455"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We intend to use the net proceeds from this offering, after deducting underwriters’ discount and expenses, for working capital and general corporate purposes, including the redemption in full of our outstanding 5.250% Notes due November 7, 2025 and the repayment of certain of our other debt with near-term maturities. We delivered a notice of redemption in respect of the 5.250% Notes due November 7, 2025 on September 23, 2024.</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supplement is not a notice of redemption.</w:t>
      </w:r>
    </w:p>
    <w:p>
      <w:pPr>
        <w:spacing w:after="0" w:line="1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0980"/>
          </w:cols>
          <w:pgMar w:left="320" w:top="455" w:right="5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227"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i w:val="1"/>
          <w:iCs w:val="1"/>
          <w:color w:val="auto"/>
        </w:rPr>
        <w:t>We are offering €900,000,000 aggregate principal amount of our 3.250% euro notes due 2032, €900,000,000 aggregate principal amount of our 3.550% euro notes due 2036 and £750,000,000 aggregate principal amount of our 5.250% sterling notes due 2040. The euro notes due 2032, the euro notes due 2036 and the sterling notes will each be a separate series of securities issued under a senior indenture dated September 18, 2013, entered into among us, the guarantors and The Bank of New York Mellon, as trustee, as amended by the first supplemental indenture dated as of November 17, 2015, entered into among us, the guarantors and The Bank of New York Mellon, as trustee, and as further amended by the second supplemental indenture dated as of July 29, 2022, entered into among us, the guarantors and The Bank of New York Mellon, as trustee (as amended, the “indenture”). The notes will be our direct unsecured and unsubordinated obligations and will be fully and unconditionally guaranteed by Comcast Cable and NBCUniversal, referred to as the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We also have the ability to “reopen” a series of these notes and issue additional notes of such series. Additional notes of such series will be consolidated with and form a single series with the notes then outstanding of such series; provided that the additional notes are fungible with the notes of such series for U.S. federal income tax purposes. Copies of the indenture and the form of notes are available from us upon request.</w:t>
      </w:r>
    </w:p>
    <w:p>
      <w:pPr>
        <w:spacing w:after="0" w:line="287" w:lineRule="exact"/>
        <w:rPr>
          <w:sz w:val="20"/>
          <w:szCs w:val="20"/>
          <w:color w:val="auto"/>
        </w:rPr>
      </w:pPr>
    </w:p>
    <w:p>
      <w:pPr>
        <w:ind w:left="120" w:right="1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along with the additional information contained in the accompanying prospectus under “Description of Debt Securities and Guarantees,” is a summary of the material provisions of the indenture, the notes and the guarantees. Because this is a summary, it may not contain all the information that is important to you. For further information, you should read the notes and the indenture.</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Basic Terms of the Notes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w:t>
      </w:r>
    </w:p>
    <w:p>
      <w:pPr>
        <w:spacing w:after="0" w:line="131" w:lineRule="exact"/>
        <w:rPr>
          <w:sz w:val="20"/>
          <w:szCs w:val="20"/>
          <w:color w:val="auto"/>
        </w:rPr>
      </w:pPr>
    </w:p>
    <w:p>
      <w:pPr>
        <w:ind w:left="1080" w:right="2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rank equally with all of our other unsecured and unsubordinated debt and will be entitled to the benefits of the guarantees described below;</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issued in initial aggregate principal amounts of €1,800,000,000 and £750,000,000 comprised as follows:</w:t>
      </w:r>
    </w:p>
    <w:p>
      <w:pPr>
        <w:spacing w:after="0" w:line="130" w:lineRule="exact"/>
        <w:rPr>
          <w:rFonts w:ascii="Times New Roman" w:cs="Times New Roman" w:eastAsia="Times New Roman" w:hAnsi="Times New Roman"/>
          <w:sz w:val="18"/>
          <w:szCs w:val="18"/>
          <w:color w:val="auto"/>
        </w:rPr>
      </w:pPr>
    </w:p>
    <w:p>
      <w:pPr>
        <w:ind w:left="1540" w:right="380" w:hanging="331"/>
        <w:spacing w:after="0" w:line="312" w:lineRule="auto"/>
        <w:tabs>
          <w:tab w:leader="none" w:pos="154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€900,000,000 initial aggregate principal amount of 3.250% euro notes due 2032, maturing on September 26, 2032, with interest payable annually on each September 26, beginning September 26, 2025, to holders of record on the preceding September 15;</w:t>
      </w:r>
    </w:p>
    <w:p>
      <w:pPr>
        <w:spacing w:after="0" w:line="45" w:lineRule="exact"/>
        <w:rPr>
          <w:rFonts w:ascii="Times New Roman" w:cs="Times New Roman" w:eastAsia="Times New Roman" w:hAnsi="Times New Roman"/>
          <w:sz w:val="17"/>
          <w:szCs w:val="17"/>
          <w:color w:val="auto"/>
        </w:rPr>
      </w:pPr>
    </w:p>
    <w:p>
      <w:pPr>
        <w:ind w:left="1540" w:right="380" w:hanging="331"/>
        <w:spacing w:after="0" w:line="312" w:lineRule="auto"/>
        <w:tabs>
          <w:tab w:leader="none" w:pos="154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€900,000,000 initial aggregate principal amount of 3.550% euro notes due 2036, maturing on September 26, 2036, with interest payable annually on each September 26, beginning September 26, 2025, to holders of record on the preceding September 15;</w:t>
      </w:r>
    </w:p>
    <w:p>
      <w:pPr>
        <w:spacing w:after="0" w:line="45" w:lineRule="exact"/>
        <w:rPr>
          <w:rFonts w:ascii="Times New Roman" w:cs="Times New Roman" w:eastAsia="Times New Roman" w:hAnsi="Times New Roman"/>
          <w:sz w:val="17"/>
          <w:szCs w:val="17"/>
          <w:color w:val="auto"/>
        </w:rPr>
      </w:pPr>
    </w:p>
    <w:p>
      <w:pPr>
        <w:ind w:left="1540" w:right="160" w:hanging="331"/>
        <w:spacing w:after="0" w:line="312" w:lineRule="auto"/>
        <w:tabs>
          <w:tab w:leader="none" w:pos="154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£750,000,000 initial aggregate principal amount of 5.250% sterling notes due 2040, maturing on September 26, 2040, with interest payable annually on each September 26, beginning September 26, 2025, to holders of record on the preceding September 15; and</w:t>
      </w:r>
    </w:p>
    <w:p>
      <w:pPr>
        <w:spacing w:after="0" w:line="45" w:lineRule="exact"/>
        <w:rPr>
          <w:rFonts w:ascii="Times New Roman" w:cs="Times New Roman" w:eastAsia="Times New Roman" w:hAnsi="Times New Roman"/>
          <w:sz w:val="17"/>
          <w:szCs w:val="17"/>
          <w:color w:val="auto"/>
        </w:rPr>
      </w:pPr>
    </w:p>
    <w:p>
      <w:pPr>
        <w:ind w:left="1080" w:right="2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issuable in fully registered form, in denominations of €100,000 and in multiples of €1,000 in excess thereof and in denominations of £100,000 and in multiples of £1,000 in excess thereof for the euro notes and sterling notes,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Payments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Interest on the notes will be computed on the basis of the actual number of days in the period for which interest is being calculated and the actual number of days from and including the last date to which interest was paid on the notes (or September 26, 2024 if no interest has been paid on the notes), to but excluding the next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scheduled interest payment date. This payment convention is referred to as ACTUAL/ACTUAL (ICMA) as defined in the rulebook of the International Capital Market Association.</w:t>
      </w:r>
    </w:p>
    <w:p>
      <w:pPr>
        <w:spacing w:after="0" w:line="162"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term “business day” means any day other than a Saturday or Sunday (i) which is not a day on which banking institutions in The City of New York or London are authorized or obligated by law, regulation or executive order to close and (ii) in the case of the euro notes, on which the Trans-European Automated Real-Time Gross Settlement Express Transfer System (the T2 system) or any successor thereto is open.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more information on payment and transfer procedures for the notes, see “—Book-Entry System” below.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Euro Notes—Issuance in Euro; Sterling Notes—Issuance in GBP</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Principal, premium, if any, and interest payments in respect of the euro notes will be payable in euro. If euro is unavailable to us due to the imposition of exchange controls or other circumstances beyond our control, then all payments in respect of the euro notes will be made in U.S. dollars until euro is again available to us. The amount payable on any date in euro will be converted into U.S. dollars at the Market Exchange Rate (as defined below) or, if such Market Exchange Rate is not then available, on the basis of the most recently available market exchange rate for euro. Any payment in respect of the euro notes so made in U.S. dollars will not constitute an event of default under the indenture.</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Principal, premium, if any, and interest payments in respect of the sterling notes will be payable in GBP. If GBP is unavailable to us due to the imposition of exchange controls or other circumstances beyond our control, then all payments in respect of the sterling notes will be made in U.S. dollars until GBP is again available to us. The amount payable on any date in GBP will be converted into U.S. dollars at the Market Exchange Rate (as defined below) or, if such Market Exchange Rate is not then available, on the basis of the most recently available market exchange rate for GBP. Any payment in respect of the sterling notes so made in U.S. dollars will not constitute an event of default under the indenture.</w:t>
      </w:r>
    </w:p>
    <w:p>
      <w:pPr>
        <w:spacing w:after="0" w:line="183"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amount payable on any date in euro or GBP, as applicable, will be converted into U.S. dollars at the Market Exchange Rate (as defined below) or, if such Market Exchange Rate is not then available, on the basis of the then most recent U.S. dollar/euro exchange rate or U.S. dollar/GBP exchange rate, as applicable. Any payment in respect of the notes so made in U.S. dollars will not constitute an event of default under the indenture. Neither the trustee nor the paying agent will be responsible for obtaining exchange rates, effecting currency conversions or otherwise handling re-denominations.</w:t>
      </w:r>
    </w:p>
    <w:p>
      <w:pPr>
        <w:spacing w:after="0" w:line="164"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“Market Exchange Rate” means the noon buying rate in The City of New York for cable transfers of euro or GBP, as applicable, as certified for customs purposes (or, if not so certified, as otherwise determined) by the Federal Reserve Bank of New York.</w:t>
      </w:r>
    </w:p>
    <w:p>
      <w:pPr>
        <w:spacing w:after="0" w:line="16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Investors will be subject to foreign exchange risks as to payments of principal of, and premium, if any, and interest on, the notes that may have important economic and tax consequences to them. See “Risk Factors” and “Material U.S. Federal Income Tax Consequences.”</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As of September 23, 2024, the euro/USD rate of exchange was €1.00 /U.S.$1.1111, and the GBP/USD rate of exchange was £1.00/U.S.$1.3347, each as reported by Bloomberg L.P.</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notes constitute new issues of securities for which there are no established trading markets. We intend to apply to list each series of the notes on NASDAQ. The listing applications will be subject to approval by NASDAQ. If such listings are obtained, we have no obligation to maintain such listings for any series of the notes, and we may delist any series of the notes at any time. We currently expect trading in the notes on NASDAQ to begin within 30 days after the original issue date.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Our obligations, including the payment of principal, premium, if any, and interest, will be fully and unconditionally guaranteed by each of the guarantors as described in the accompanying prospectus.</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Prior to June 26, 2032 (three (3) months prior to the maturity date of the euro notes due 2032) with respect to the euro notes due 2032 (the “2032 Euro Notes Par Call Date”), prior to June 26, 2036 (three (3) months prior to the maturity date of the euro notes due 2036) with respect to the euro notes due 2036 (the “2036 Euro Notes Par Call Date”) and prior to June 26, 2040 (three (3) months prior to the maturity date of the sterling notes) with respect to the sterling notes (the “Sterling Notes Par Call Date” and, together with the 2032 Euro Notes Par Call Date and the 2036 Euro Notes Par Call Date, each a “Par Call Date”), we may redeem such notes at our option, in whole or in part, at any time and from time to time, at a redemption price (expressed as a percentage of the principal amount and rounded to three decimal places) equal to the greater of:</w:t>
      </w:r>
    </w:p>
    <w:p>
      <w:pPr>
        <w:spacing w:after="0" w:line="93" w:lineRule="exact"/>
        <w:rPr>
          <w:sz w:val="20"/>
          <w:szCs w:val="20"/>
          <w:color w:val="auto"/>
        </w:rPr>
      </w:pPr>
    </w:p>
    <w:p>
      <w:pPr>
        <w:ind w:left="1080" w:right="40" w:hanging="532"/>
        <w:spacing w:after="0" w:line="258"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for this purpose, that such notes mature on the applicable Par Call Date) on an annual basis (ACTUAL/ACTUAL (ICMA)) at the applicable comparable government bond rate, as defined below, plus 20 basis points, in the case of the euro notes due 2032, 20 basis points, in the case of the euro notes due 2036 and 15 basis points, in the case of the sterling notes, as applicable, less (b) interest accrued to the date of redemption, and</w:t>
      </w:r>
    </w:p>
    <w:p>
      <w:pPr>
        <w:spacing w:after="0" w:line="8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of the applicable series to be redeemed,</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2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On or after the 2032 Euro Notes Par Call Date, in the case of the euro notes due 2032, the 2036 Euro Notes Par Call Date, in the case of the euro notes due 2036, and the Sterling Notes Par Call Date, in the case of the sterling notes, as applicable, we may redeem such series of notes, in whole or in part, at any time and from time to time, at a redemption price equal to 100% of the principal amount of the notes being redeemed, plus accrued and unpaid interest thereon to the redemption date.</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term “comparable government bond” means (i) with respect to the euro notes, in relation to any comparable government bond rate calculation, at the discretion of an independent investment banker selected by us, a German government bond whose maturity is closest to the maturity of the applicable series of euro notes to be redeemed (assuming for this purpose that each series of euro notes matured on the related Par Call Date), or if such independent investment banker in its discretion determines that such similar bond is not in issue, such other German government bond as such independent investment banker may, with the advice of three brokers of, and/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 market makers in, German government bonds selected by us, determine to be appropriate for determining the comparable government bond rate and</w:t>
      </w:r>
    </w:p>
    <w:p>
      <w:pPr>
        <w:spacing w:after="0" w:line="27" w:lineRule="exact"/>
        <w:rPr>
          <w:sz w:val="20"/>
          <w:szCs w:val="20"/>
          <w:color w:val="auto"/>
        </w:rPr>
      </w:pPr>
    </w:p>
    <w:p>
      <w:pPr>
        <w:ind w:left="120" w:right="20" w:hanging="4"/>
        <w:spacing w:after="0" w:line="252" w:lineRule="auto"/>
        <w:tabs>
          <w:tab w:leader="none" w:pos="3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sterling notes, in relation to any comparable government bond rate calculation, at the discretion of an independent investment banker selected by us, a United Kingdom government bond whose maturity is closest to the maturity of the applicable series of sterling notes to be redeemed (assuming for this purpose that each series of sterling notes matured on the related Par Call Date), or if such independent investment banker in its discretion determines that such similar bond is not in issue, such other United Kingdom government bond as such independent investment banker may, with the advice of three brokers of, and/or market makers in, United Kingdom government bonds selected by us, determine to be appropriate for determining the comparable government bond rate.</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term “comparable government bond rate” means the yield to maturity, expressed as a percentage (rounded to three decimal places, with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0.0005 being rounded upwards), on the third business day prior to the date fixed for redemption, of the applicable comparable government bond on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basis of the middle market price of such comparable government bond prevailing at 11:00 a.m. (London time) on such business day as determined by 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independent investment banker selected by us.</w:t>
      </w:r>
    </w:p>
    <w:p>
      <w:pPr>
        <w:spacing w:after="0" w:line="20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term “independent investment banker” means each of Barclays Bank PLC and BNP Paribas (or their respective successors), or if each such firm is unwilling or unable to select the comparable government bond, an independent investment banking institution of international standing appointed by us.</w:t>
      </w:r>
    </w:p>
    <w:p>
      <w:pPr>
        <w:spacing w:after="0" w:line="176"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notes are also subject to redemption prior to maturity if certain events occur involving United States taxation. If any of these special tax events occur, the notes may be redeemed at a redemption price of 100% of their principal amount plus accrued and unpaid interest to the date fixed for redemption. See “—Redemption for Tax Reasons.”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determination of the redemption price shall be conclusive and binding for all purposes, absent manifest error.</w:t>
      </w:r>
    </w:p>
    <w:p>
      <w:pPr>
        <w:spacing w:after="0" w:line="225"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the applicable series of notes to be redeemed.</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the case of a partial redemption, selection of the applicable series of notes for redemption will be made, if such series of notes are in the form of one or more global securities, in accordance with the procedures of Clearstream and Euroclear (or another depositary) or, if such series of notes are not in the form of one or more global securities, by lot. No notes of any series of a principal amount of €100,000 or less with respect to the euro notes, or £100,000 or less with respect to the sterling notes, will be redeemed in part. If any note of a series is to be redeemed in part only, the notice of redemption that relates to such note will state the portion of the principal amount of the applicable note to be redeemed. A new note of any series in a principal amount equal to the unredeemed portion of the applicable note will be issued in the name of the holder of such note upon surrender for cancellation of such original note. For so long as any series of notes are registered in the name of Clearstream and Euroclear (or another depositary) or such depositary’s nominee, the redemption of such series of notes shall be done in accordance with the policies and procedures of the depositary.</w:t>
      </w:r>
    </w:p>
    <w:p>
      <w:pPr>
        <w:spacing w:after="0" w:line="19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Unless we default in payment of the redemption price, on and after the redemption date, interest will cease to accrue on the applicable series of notes or portions thereof called for redemption.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of Additional Amounts</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will, subject to the exceptions and limitations set forth below, pay as additional interest in respect of the notes such additional amounts as are necessary in order that the net payment by us or our paying agent of the principal of and interest in respect of the notes to a beneficial owner who is not a United States person (as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defined below), after withholding or deduction for any present or future tax, assessment or other governmental charge imposed by the United States or a taxing authority in the United States, will not be less than the amount provided in the notes to be then due and payable; provided, however, that the foregoing obligation to pay additional amounts shall not apply:</w:t>
      </w:r>
    </w:p>
    <w:p>
      <w:pPr>
        <w:spacing w:after="0" w:line="81" w:lineRule="exact"/>
        <w:rPr>
          <w:sz w:val="20"/>
          <w:szCs w:val="20"/>
          <w:color w:val="auto"/>
        </w:rPr>
      </w:pPr>
    </w:p>
    <w:p>
      <w:pPr>
        <w:ind w:left="1080" w:right="160" w:hanging="532"/>
        <w:spacing w:after="0" w:line="261"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tax, assessment or other governmental charge that is imposed by reason of the holder (or the beneficial owner for whose benefit such holder holds such note), or a fiduciary, settlor, beneficiary, member or shareholder of the holder or beneficial owner if the holder or beneficial owner is an estate, trust, partnership, corporation or other entity, or a person holding a power over an estate or trust administered by a fiduciary holder, being considered as:</w:t>
      </w:r>
    </w:p>
    <w:p>
      <w:pPr>
        <w:spacing w:after="0" w:line="85" w:lineRule="exact"/>
        <w:rPr>
          <w:rFonts w:ascii="Times New Roman" w:cs="Times New Roman" w:eastAsia="Times New Roman" w:hAnsi="Times New Roman"/>
          <w:sz w:val="18"/>
          <w:szCs w:val="18"/>
          <w:color w:val="auto"/>
        </w:rPr>
      </w:pPr>
    </w:p>
    <w:p>
      <w:pPr>
        <w:ind w:left="1540" w:right="220" w:hanging="439"/>
        <w:spacing w:after="0" w:line="282" w:lineRule="auto"/>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or having been engaged in a trade or business in the United States or having or having had a permanent establishment in the United States;</w:t>
      </w:r>
    </w:p>
    <w:p>
      <w:pPr>
        <w:spacing w:after="0" w:line="67" w:lineRule="exact"/>
        <w:rPr>
          <w:rFonts w:ascii="Times New Roman" w:cs="Times New Roman" w:eastAsia="Times New Roman" w:hAnsi="Times New Roman"/>
          <w:sz w:val="18"/>
          <w:szCs w:val="18"/>
          <w:color w:val="auto"/>
        </w:rPr>
      </w:pPr>
    </w:p>
    <w:p>
      <w:pPr>
        <w:ind w:left="1540" w:right="200" w:hanging="439"/>
        <w:spacing w:after="0" w:line="266" w:lineRule="auto"/>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a current or former connection with the United States (other than a connection arising solely as a result of the ownership of the notes or the receipt of any payment or the enforcement of any rights thereunder), including being or having been a citizen or resident of the United States;</w:t>
      </w:r>
    </w:p>
    <w:p>
      <w:pPr>
        <w:spacing w:after="0" w:line="81" w:lineRule="exact"/>
        <w:rPr>
          <w:rFonts w:ascii="Times New Roman" w:cs="Times New Roman" w:eastAsia="Times New Roman" w:hAnsi="Times New Roman"/>
          <w:sz w:val="18"/>
          <w:szCs w:val="18"/>
          <w:color w:val="auto"/>
        </w:rPr>
      </w:pPr>
    </w:p>
    <w:p>
      <w:pPr>
        <w:jc w:val="both"/>
        <w:ind w:left="1540" w:hanging="439"/>
        <w:spacing w:after="0" w:line="266" w:lineRule="auto"/>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or having been a personal holding company, a passive foreign investment company or a controlled foreign corporation for U.S. federal income tax purposes, a foreign-tax exempt organization, or a corporation that has accumulated earnings to avoid U.S. federal income tax;</w:t>
      </w:r>
    </w:p>
    <w:p>
      <w:pPr>
        <w:spacing w:after="0" w:line="81" w:lineRule="exact"/>
        <w:rPr>
          <w:rFonts w:ascii="Times New Roman" w:cs="Times New Roman" w:eastAsia="Times New Roman" w:hAnsi="Times New Roman"/>
          <w:sz w:val="18"/>
          <w:szCs w:val="18"/>
          <w:color w:val="auto"/>
        </w:rPr>
      </w:pPr>
    </w:p>
    <w:p>
      <w:pPr>
        <w:ind w:left="1540" w:right="340" w:hanging="439"/>
        <w:spacing w:after="0" w:line="282" w:lineRule="auto"/>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or having been a “10-percent shareholder” of the issuer or applicable guarantor as defined in Section 871(h)(3) of the U.S. Internal Revenue Code of 1986, as amended (the “Code”), or any successor provision; or</w:t>
      </w:r>
    </w:p>
    <w:p>
      <w:pPr>
        <w:spacing w:after="0" w:line="67" w:lineRule="exact"/>
        <w:rPr>
          <w:rFonts w:ascii="Times New Roman" w:cs="Times New Roman" w:eastAsia="Times New Roman" w:hAnsi="Times New Roman"/>
          <w:sz w:val="18"/>
          <w:szCs w:val="18"/>
          <w:color w:val="auto"/>
        </w:rPr>
      </w:pPr>
    </w:p>
    <w:p>
      <w:pPr>
        <w:ind w:left="1540" w:right="120" w:hanging="439"/>
        <w:spacing w:after="0" w:line="282" w:lineRule="auto"/>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 bank receiving payments on an extension of credit made pursuant to a loan agreement entered into in the ordinary course of its trade or business, as described in Section 881(c)(3) of the Code or any successor provision;</w:t>
      </w:r>
    </w:p>
    <w:p>
      <w:pPr>
        <w:spacing w:after="0" w:line="67" w:lineRule="exact"/>
        <w:rPr>
          <w:rFonts w:ascii="Times New Roman" w:cs="Times New Roman" w:eastAsia="Times New Roman" w:hAnsi="Times New Roman"/>
          <w:sz w:val="18"/>
          <w:szCs w:val="18"/>
          <w:color w:val="auto"/>
        </w:rPr>
      </w:pPr>
    </w:p>
    <w:p>
      <w:pPr>
        <w:ind w:left="1080" w:right="20" w:hanging="532"/>
        <w:spacing w:after="0" w:line="258"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holder that is not the sole beneficial owner of the notes, or a portion of the notes, or that is a fiduciary, partnership, limited liability company or other fiscally transparent entity, but only to the extent that a beneficial owner with respect to the holder, a beneficiary or settlor with respect to the fiduciary, or a beneficial owner or member of the partnership, limited liability company or other fiscally transparent entity, would not have been entitled to the payment of an additional amount had the beneficiary, settlor, beneficial owner or member received directly its beneficial or distributive share of the payment;</w:t>
      </w:r>
    </w:p>
    <w:p>
      <w:pPr>
        <w:spacing w:after="0" w:line="88" w:lineRule="exact"/>
        <w:rPr>
          <w:rFonts w:ascii="Times New Roman" w:cs="Times New Roman" w:eastAsia="Times New Roman" w:hAnsi="Times New Roman"/>
          <w:sz w:val="18"/>
          <w:szCs w:val="18"/>
          <w:color w:val="auto"/>
        </w:rPr>
      </w:pPr>
    </w:p>
    <w:p>
      <w:pPr>
        <w:ind w:left="1080" w:right="20" w:hanging="532"/>
        <w:spacing w:after="0" w:line="258"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tax, assessment or other governmental charge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notes, if compliance is required by statute, by regulation of the United States or any taxing authority therein or by an applicable income tax treaty to which the United States is a party as a precondition to exemption from, or reduction in such tax, assessment or other governmental charge;</w:t>
      </w:r>
    </w:p>
    <w:p>
      <w:pPr>
        <w:spacing w:after="0" w:line="88"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assessment or other governmental charge that is imposed otherwise than by withholding by us or an applicable withholding agent from the payment;</w:t>
      </w:r>
    </w:p>
    <w:p>
      <w:pPr>
        <w:spacing w:after="0" w:line="67" w:lineRule="exact"/>
        <w:rPr>
          <w:rFonts w:ascii="Times New Roman" w:cs="Times New Roman" w:eastAsia="Times New Roman" w:hAnsi="Times New Roman"/>
          <w:sz w:val="18"/>
          <w:szCs w:val="18"/>
          <w:color w:val="auto"/>
        </w:rPr>
      </w:pPr>
    </w:p>
    <w:p>
      <w:pPr>
        <w:ind w:left="1080" w:right="200" w:hanging="532"/>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assessment or other governmental charge that would not have been imposed but for a change in law, regulation, or administrative or judicial interpretation that becomes effective more than 15 days after the payment becomes due or is duly provided for, whichever occurs later;</w:t>
      </w:r>
    </w:p>
    <w:p>
      <w:pPr>
        <w:spacing w:after="0" w:line="81" w:lineRule="exact"/>
        <w:rPr>
          <w:rFonts w:ascii="Times New Roman" w:cs="Times New Roman" w:eastAsia="Times New Roman" w:hAnsi="Times New Roman"/>
          <w:sz w:val="18"/>
          <w:szCs w:val="18"/>
          <w:color w:val="auto"/>
        </w:rPr>
      </w:pPr>
    </w:p>
    <w:p>
      <w:pPr>
        <w:ind w:left="1080" w:right="460" w:hanging="532"/>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estate, inheritance, gift, sales, excise, transfer, wealth, capital gains or personal property tax or similar tax, assessment or other governmental charge or excise tax imposed on the transfer of notes;</w:t>
      </w:r>
    </w:p>
    <w:p>
      <w:pPr>
        <w:spacing w:after="0" w:line="67" w:lineRule="exact"/>
        <w:rPr>
          <w:rFonts w:ascii="Times New Roman" w:cs="Times New Roman" w:eastAsia="Times New Roman" w:hAnsi="Times New Roman"/>
          <w:sz w:val="18"/>
          <w:szCs w:val="18"/>
          <w:color w:val="auto"/>
        </w:rPr>
      </w:pPr>
    </w:p>
    <w:p>
      <w:pPr>
        <w:ind w:left="1080" w:right="420" w:hanging="532"/>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assessment or other governmental charge required to be withheld by any paying agent from any payment of principal of or interest on any note, if such payment can be made without such withholding by at least one other paying agent;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00" w:hanging="532"/>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tax, assessment or other governmental charge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assessment or other governmental charge that is imposed or withheld solely by reason of the beneficial owner being a bank</w:t>
      </w:r>
    </w:p>
    <w:p>
      <w:pPr>
        <w:spacing w:after="0" w:line="27" w:lineRule="exact"/>
        <w:rPr>
          <w:rFonts w:ascii="Times New Roman" w:cs="Times New Roman" w:eastAsia="Times New Roman" w:hAnsi="Times New Roman"/>
          <w:sz w:val="18"/>
          <w:szCs w:val="18"/>
          <w:color w:val="auto"/>
        </w:rPr>
      </w:pPr>
    </w:p>
    <w:p>
      <w:pPr>
        <w:ind w:left="1080" w:right="2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purchasing the notes in the ordinary course of its lending business or (ii) that is neither (A) buying the notes for investment purposes only nor (B) buying the notes for resale to a third party that either is not a bank or holding the notes for investment purposes only;</w:t>
      </w:r>
    </w:p>
    <w:p>
      <w:pPr>
        <w:spacing w:after="0" w:line="86" w:lineRule="exact"/>
        <w:rPr>
          <w:rFonts w:ascii="Times New Roman" w:cs="Times New Roman" w:eastAsia="Times New Roman" w:hAnsi="Times New Roman"/>
          <w:sz w:val="18"/>
          <w:szCs w:val="18"/>
          <w:color w:val="auto"/>
        </w:rPr>
      </w:pPr>
    </w:p>
    <w:p>
      <w:pPr>
        <w:ind w:left="1080" w:right="20" w:hanging="532"/>
        <w:spacing w:after="0" w:line="258"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assessment or other governmental charge imposed under Sections 1471 through 1474 of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whether currently in effect or as published and amended from time to time; or</w:t>
      </w:r>
    </w:p>
    <w:p>
      <w:pPr>
        <w:spacing w:after="0" w:line="8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combination of items (1) through (10) above.</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we are required to pay additional amounts with respect to the notes, we will notify the trustee and paying agent pursuant to an officer’s certificate that specifies the amount of such additional amounts payable and the time when such amounts are payable. If the trustee and the paying agent do not receive such an officer’s certificate from us, the trustee and paying agent may rely on the absence of such an officer’s certificate in assuming that no such additional amounts are payable.</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notes are also subject to redemption prior to maturity if certain events occur involving U.S. taxation. If any of these special tax events occur, the notes may be redeemed at a redemption price of 100% of their principal amount plus accrued and unpaid interest to the date fixed for redemption. See “—Redemption for Tax Reasons.”</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notes are subject in all cases to any tax, fiscal or other law or regulation or administrative or judicial interpretation applicable to the notes. Except as specifically provided under this heading “—Payment of Additional Amounts,” we will not be required to make any payment for any tax, assessment or other governmental charge imposed by any government or a political subdivision or taxing authority of or in any government or political subdivision.</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used under this heading “—Payment of Additional Amounts” and under the heading “—Redemption for Tax Reasons,” the term “United States” means the United States of America, the states of the United States, and the District of Columbia, and the term “United States person” means any individual who is a citizen or resident of the United States for U.S. federal income tax purposes, a corporation, partnership or other entity created or organized in or under the laws of the United States, any state of the United States or the District of Columbia, or any estate or trust the income of which is subject to U.S. federal income taxation regardless of its source.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for Tax Reasons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If, as a result of any change in, or amendment to, the laws (or any regulations or rulings promulgated under the laws) of the United States (or any taxing authority in the United States), or any change in, or amendment to, an official position regarding the application or interpretation of such laws, regulations or rulings, which change or amendment is announced or becomes effective on or after the date of this prospectus supplement, we become or, based upon a written opinion of independent counsel selected by us, will become obligated to pay additional amounts as described under the heading “—Payment of Additional Amounts” with respect to the notes, then we may at any time at our option redeem, in whole, but not in part, the notes on not less than 15 nor more than 30 days’ prior notice, at a redemption price equal to 100% of their principal amount, together with accrued and unpaid interest on the notes to, but not including, the date fixed for redemption.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Mandatory Redemption or Sinking Fund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will be no mandatory redemption prior to maturity or sinking fund payments for the notes.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Debt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does not limit the amount of debt we may issue under the indenture or otherwise.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System</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have obtained the information in this section concerning Clearstream and Euroclear, or its successor, as operator of the Euroclear System, and their book-entry systems and procedures from sources that we believe to be reliable. We take no responsibility for an accurate portrayal of this information. In addition, the description of the clearing systems in this section reflects our understanding of the rules and procedures of Clearstream and Euroclear as they are currently in effect. Those clearing systems could change their rules and procedures at any time.</w:t>
      </w:r>
    </w:p>
    <w:p>
      <w:pPr>
        <w:spacing w:after="0" w:line="180" w:lineRule="exact"/>
        <w:rPr>
          <w:sz w:val="20"/>
          <w:szCs w:val="20"/>
          <w:color w:val="auto"/>
        </w:rPr>
      </w:pPr>
    </w:p>
    <w:p>
      <w:pPr>
        <w:jc w:val="both"/>
        <w:ind w:left="120" w:right="60" w:firstLine="440"/>
        <w:spacing w:after="0" w:line="272" w:lineRule="auto"/>
        <w:rPr>
          <w:sz w:val="20"/>
          <w:szCs w:val="20"/>
          <w:color w:val="auto"/>
        </w:rPr>
      </w:pPr>
      <w:r>
        <w:rPr>
          <w:rFonts w:ascii="Times New Roman" w:cs="Times New Roman" w:eastAsia="Times New Roman" w:hAnsi="Times New Roman"/>
          <w:sz w:val="17"/>
          <w:szCs w:val="17"/>
          <w:color w:val="auto"/>
        </w:rPr>
        <w:t>The notes of each series will initially be represented by one or more fully registered global notes. Each such global note will be deposited with, or on behalf of, a common depositary, and registered in the name of the nominee of the common depositary for the accounts of Clearstream and Euroclear. Except as set forth below, the global notes may be transferred, in whole and not in part, only to Euroclear or Clearstream or their respective nominees.</w:t>
      </w:r>
    </w:p>
    <w:p>
      <w:pPr>
        <w:spacing w:after="0" w:line="2"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You may hold your interests in the global notes in Europe through Clearstream or Euroclear, either as a participant in such systems or indirectly through organizations that are participants in such systems. Clearstream and Euroclear will hold interests in the global notes on behalf of their respective participating organizations or customers through customers’ securities accounts in Clearstream’s or Euroclear’s names on the books of their respective depositaries. Book-entry interests in the notes and all transfers relating to the notes will be reflected in the book-entry records of Clearstream and Euroclear.</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distribution of the notes will be cleared through Clearstream and Euroclear. Any secondary market trading of book-entry interests in the notes will take place through Clearstream and Euroclear participants and will settle in same-day funds. Owners of book-entry interests in the notes will receive payments relating to their notes in euro or GBP, as applicable, except as described above under “—Euro Notes—Issuance in Euro; Sterling Notes— Issuance in GBP.”</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Clearstream and Euroclear have established electronic securities and payment transfer, processing, depositary and custodial links among themselves and others, either directly or through custodians and depositaries. These links allow book-entry interests in the notes to be issued, held and transferred among the clearing systems without the physical transfer of certificates. Special procedures to facilitate clearance and settlement have been established among these clearing systems to trade securities across borders in the secondary market. The policies of Clearstream and Euroclear will govern payments, transfers, exchange and other matters relating to the investor’s interest in the notes held by them. Neither we nor the trustee or paying agent have any responsibility for any aspect of the records kept by Clearstream or Euroclear or any of their direct or indirect participants. We, the paying agent and the trustee also do not supervise these systems in any way. Clearstream and Euroclear and their participants perform these clearance and settlement functions under agreements they have made with one another or with their customers. You should be aware that they are not obligated to perform or continue to perform these procedures and may modify them or discontinue them at any time.</w:t>
      </w:r>
    </w:p>
    <w:p>
      <w:pPr>
        <w:spacing w:after="0" w:line="188"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Except as provided below, owners of beneficial interests in the notes will not be entitled to have the notes registered in their names, will not receive or be entitled to receive physical delivery of the notes in definitive form and will not be considered the owners or holders of the notes under the indenture, including for purposes of receiving any reports delivered by us or the trustee pursuant to the indenture. Accordingly, each person owning a beneficial interest in a note must rely on the procedures of the depositary and, if such person is not a participant, on the procedures of the participant through which such person owns its interest, in order to exercise any rights of a holder of notes.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description of the clearing systems in this section reflects our understanding of the rules and procedures of Clearstream and Euroclear as they are currently in effect. These systems could change their rules and procedures at any time. We have obtained the information in this section concerning Clearstream and Euroclear and their book-entry systems and procedures from sources that we believe to be reliable, but we take no responsibility for the accuracy of this information.</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Clearstream</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Clearstream has advised that it is incorporated under the laws of Luxembourg as a professional depositary. Clearstream holds securities for its participating organizations (“Clearstream Participants”). Clearstream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markets in several countries. As a professional depositary,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 companies, clearing corporations and certain other organizations and may include the underwriters. Indirect access to Clearstream is also available to others, such as banks, brokers, dealers and trust companies, that clear through or maintain a custodial relationship with a Clearstream Participant, either directly or indirectly.</w:t>
      </w:r>
    </w:p>
    <w:p>
      <w:pPr>
        <w:spacing w:after="0" w:line="194"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Distributions with respect to interests in the global notes held beneficially through Clearstream will be credited to cash accounts of Clearstream Participants in accordance with its rules and procedures.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Euroclear</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Euroclear has advised that it was created in 1968 to hold securities for its participants (“Euroclear Participants”) and to clear and settle transactions between Euroclear Participants through simultaneous electronic book-entry delivery against payment, thereby eliminating the need for physical movement of certificates and eliminating any risk from lack of simultaneous transfers of securities and cash. Euroclear provides various other services, including securities lending and borrowing and interfaces with domestic markets in several countries.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Euroclear is operated by Euroclear Bank SA/NV (the “Euroclear Operator”). All operations are conducted by the Euroclear Operator, and all Euroclear securities clearance accounts and Euroclear cash accounts are accounts with the Euroclear Operator. Euroclear Participants include banks (including central banks), securities brokers and dealers and other professional financial intermediaries and may include the underwriters. Indirect access to Euroclear is also available to other firms that clear through or maintain a custodial relationship with a Euroclear Participant, either directly or indirectly.</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Terms and Conditions Governing Use of Euroclear and the related Operating Procedures of the Euroclear System, or the Euroclear Terms and Conditions, and applicable Belgian law govern securities clearance accounts and cash accounts with the Euroclear Operator. Specifically, these terms and conditions govern transfers of securities and cash within Euroclear, withdrawals of securities and cash from Euroclear, and receipt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187"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Distributions with respect to interests in the global notes held beneficially through Euroclear will be credited to the cash accounts of Euroclear Participants in accordance with the Euroclear Terms and Conditions.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Clearance and Settlement Procedures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understand that investors that hold their notes through Clearstream or Euroclear accounts will follow the settlement procedures that are applicable to conventional eurobonds in registered form. Notes will be credited to the securities custody accounts of Clearstream Participants and Euroclear Participants on the business day following the settlement date, for value on the settlement date. They will be credited either free of payment or against payment for value on the settlement date.</w:t>
      </w:r>
    </w:p>
    <w:p>
      <w:pPr>
        <w:spacing w:after="0" w:line="180" w:lineRule="exact"/>
        <w:rPr>
          <w:sz w:val="20"/>
          <w:szCs w:val="20"/>
          <w:color w:val="auto"/>
        </w:rPr>
      </w:pPr>
    </w:p>
    <w:p>
      <w:pPr>
        <w:jc w:val="both"/>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We understand that secondary market trading between Clearstream Participants and/or Euroclear Participants will occur in the ordinary way following the applicable rules and operating procedures of Clearstream and Euroclear. Secondary market trading will be settled using procedures applicable to conventional eurobonds in registered form.</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You should be aware that investors will only be able to make and receive deliveries, payments and other communications involving the notes through Clearstream and Euroclear on days when those systems are open for business. Those systems may not be open for business on days when banks, brokers and other institutions are open for business in the United States.</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addition, because of time-zone differences, there may be problems with completing transactions involving Clearstream and Euroclear on the same business day as in the United States. U.S. investors who wish to transfer their interests in the notes, or to make or receive a payment or delivery of the notes, on a particular day, may find that the transactions will not be performed until the next business day in Luxembourg or Brussels, depending on whether Clearstream or Euroclear is used.</w:t>
      </w:r>
    </w:p>
    <w:p>
      <w:pPr>
        <w:spacing w:after="0" w:line="180"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Clearstream or Euroclear will credit payments to the cash accounts of Clearstream Participants or Euroclear Participants, as applicable, in accordance with the relevant system’s rules and procedures, to the extent received by its depositary. Clearstream or the Euroclear Operator, as the case may be, will take any other action permitted to be taken by a holder under the indenture on behalf of a Clearstream Participant or Euroclear Participant only in accordance with its relevant rules and procedures.</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Clearstream and Euroclear have agreed to the foregoing procedures in order to facilitate transfers of interests in the notes among participants of Clearstream and Euroclear. However, they are under no obligation to perform or continue to perform those procedures, and they may discontinue those procedures at any time.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Certificated Notes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If Clearstream or Euroclear is at any time unwilling or unable to continue as depositary, and a successor depositary is not appointed by us within 90 days, we will issue euro notes of like tenor in minimum denominations of €100,000 principal amount and integral multiples of €1,000 in excess thereof and sterling notes of like tenor in minimum denominations of £100,000 principal amount and integral multiples of £1,000 in excess thereof, in each case in definitive form in exchange for an applicable registered global note that had been held by the depositary. Any notes issued in definitive form in exchange for a registered global note will be registered in the name or names that the depositary gives to the trustee or other relevant agent of the trustee. It is expected that the depositary’s instructions will be based upon directions received by the depositary from participants with respect to ownership of beneficial interests in the applicable registered global note that had been held by the depositary. In addition, we may at any time determine that the notes of an applicable series shall no longer be represented by a global note and will issue notes in definitive form in exchange for such global note pursuant to the procedure described above.</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Same-Day Payment</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indenture requires payments to be made in respect of the applicable notes represented by the global notes (including principal, premium and interest) by wire transfer of immediately available funds to the accounts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specified by the holder thereof or, if no such account is specified, by mailing a check to such holder’s registered address.</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Payments (including principal, premium and interest) and transfers with respect to notes in certificated form may be executed at the office or agency maintained for such purpose within the City of London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 The paying agent for the notes will initially be The Bank of New York Mellon, London Branch.</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080"/>
          </w:cols>
          <w:pgMar w:left="320" w:top="455"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22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following are the material U.S. federal income tax consequences of ownership and disposition of the notes. This discussion only applies to notes that meet all of the following conditions:</w:t>
      </w:r>
    </w:p>
    <w:p>
      <w:pPr>
        <w:spacing w:after="0" w:line="67" w:lineRule="exact"/>
        <w:rPr>
          <w:sz w:val="20"/>
          <w:szCs w:val="20"/>
          <w:color w:val="auto"/>
        </w:rPr>
      </w:pPr>
    </w:p>
    <w:p>
      <w:pPr>
        <w:jc w:val="both"/>
        <w:ind w:left="1080" w:right="12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beneficially owned by those who purchased such notes in this offering at the “issue price,” which will equal the first price to the public (not including bond houses, brokers or similar persons or organizations acting in the capacity of underwriters, placement agents or wholesalers) at which a substantial amount of the applicable series of notes is sold for money;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held as capital assets.</w:t>
      </w:r>
    </w:p>
    <w:p>
      <w:pPr>
        <w:spacing w:after="0" w:line="225"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This discussion does not describe all of the tax consequences that may be relevant to beneficial owners of notes in light of their particular circumstances or to beneficial owners of notes subject to special rules, such as:</w:t>
      </w:r>
    </w:p>
    <w:p>
      <w:pPr>
        <w:spacing w:after="0" w:line="67"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liable for the alternative minimum tax;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in securities or foreign currencies using a mark-to-market method of tax accounting;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notes as part of a hedge, straddle or other integrated transaction;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classified as partnerships for U.S. federal income tax purposes; or</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required for U.S. federal income tax purposes to conform the timing of income accruals with respect to the notes to their financial statements under Section 451 of the Code.</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a partnership or other entity classified as a partnership for U.S. federal income tax purposes holds notes, the tax treatment of a partner will generally depend upon the status of the partner and the activities of the partnership. A partner of a partnership holding notes is urged to consult his, her or its tax advisor.</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summary is based on the Code, administrative pronouncements, judicial decisions and final, temporary and proposed Treasury Regulations, changes to any of which subsequent to the date of this prospectus supplement may affect the tax consequences described herein, possibly with retroactive effect. This summary does not discuss any aspect of state, local, or non-U.S. taxation, or any U.S. federal tax considerations other than income taxation and does not discuss the potential application of the Medicare contribution tax under Section 1411 of the Code. Persons considering the purchase of notes are urged to consult their tax advisors with regard to the application of the U.S. federal tax laws to their particular situations as well as any tax consequences arising under the laws of any state, local or non-U.S. taxing jurisdiction.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for U.S. 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herein, the term “U.S. Holder” means a beneficial owner of a note that is, for U.S. federal income tax purposes:</w:t>
      </w:r>
    </w:p>
    <w:p>
      <w:pPr>
        <w:spacing w:after="0" w:line="131"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United States, any state thereof of the District of Columbia;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080"/>
          </w:cols>
          <w:pgMar w:left="320" w:top="455" w:right="4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Payments of Interest</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Interest paid on a note will be taxable to a U.S. Holder as ordinary interest income at the time it accrues or is received in accordance with the U.S. Holder’s method of accounting for U.S. federal income tax purposes. It is expected, and this discussion assumes, that each series of the notes will be issued without original issue discount for U.S. federal income tax purposes.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 U.S. Holder that uses the cash method of accounting and that receives a payment of interest (or receives proceeds from a sale, exchange or other disposition attributable to accrued interest) in euro or GBP will be required to include in income the U.S. dollar value of the euro or GBP payment (determined based on the respective spot rate on the date the payment is received), and this U.S. dollar value will be the U.S. Holder’s tax basis in the euro or GBP received. Any such U.S. Holder generally will not recognize foreign currency gain or loss with respect to the receipt of interest payments.</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 U.S. Holder that uses the accrual method of tax accounting will be required to include in income the U.S. dollar value of the amount of interest income that accrues with respect to a note during an accrual period. The U.S. dollar value of the accrued income will generally be determined by translating the income at the average rate of exchange for the accrual period or, with respect to an accrual period that spans two taxable years, at the average rate for the partial period within the relevant taxable year. A U.S. Holder that uses the accrual method of tax accounting may elect to translate interest income for an interest accrual period into U.S. dollars at the spot rate on the last day of the interest accrual period (or, in the case of a partial accrual period, the spot rate on the last day of the taxable year) or, if the date of receipt is within five business days of the last day of the interest accrual period, the spot rate on the date of receipt. A U.S. Holder that makes this election must apply it consistently to all debt instruments from year to year and cannot change the election without the consent of the Internal Revenue Service (the “IRS”).</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 accrual method U.S. Holder will generally recognize any foreign currency gain or loss (which will be treated as U.S. source ordinary income or loss) with respect to accrued interest on the date the interest payment (or proceeds from a sale, exchange or other disposition attributable to accrued interest) is received. The amount of ordinary income or loss recognized will generally be equal to the difference between the U.S. dollar value of the euro or GBP payment received (determined based on the respective spot rate on the date the payment is received) in respect of the accrual period and the U.S. dollar value of interest income that has accrued during the accrual period (as determined above). The U.S. Holder’s tax basis in the euro or GBP received will generally be equal to its U.S. dollar value based on the respective spot rate on the date the payment is received. As discussed below under “—Sale, Exchange or Retirement of the Notes,” the amount of foreign currency gain or loss recognized with respect to accrued but unpaid interest upon a taxable disposition of a note may be limited by the total amount of gain or loss realized upon such disposition.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 Exchange or Retirement of the Notes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U.S. Holder’s tax basis in a note will generally be the U.S. dollar value of the euro or GBP amount paid for the note, determined on the date of the purchase. A U.S. Holder who purchases a note with previously owned euro or GBP will generally recognize ordinary income or loss in an amount equal to the difference, if any, between such U.S. Holder’s tax basis in the euro or GBP and the U.S. dollar value of the note on the date of purchase. If a series of notes is traded on an established securities market (as determined under applicable regulations), a cash method taxpayer who buys a note of that series will have a tax basis in the note equal to the U.S. dollar value of the euro or GBP amount paid for the note, determined on the settlement date, and such a taxpayer will recognize ordinary income or loss on any previously owned euro or GBP based on such value. An accrual method taxpayer may elect the same treatment for all purchases (and sales, as discussed below) of notes traded on an established securities market. This election by accrual method taxpayers cannot be changed without the consent of the IRS.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Upon the sale, exchange or retirement of a note, a U.S. Holder will recognize taxable gain or loss equal to the difference between the amount realized on the sale, exchange or retirement and the U.S. Holder’s tax basis in the note. For these purposes, the amount realized does not include any amount attributable to accrued interest. Amounts attributable to accrued interest are treated as interest as described under “—Payments of Interest” above. If a note is sold, exchanged or otherwise disposed of in a taxable transaction for an amount denominated in euro or GBP, a U.S. Holder’s amount realized generally will be equal to the U.S. dollar value of the euro or GBP received in the sale, exchange or other taxable disposition calculated at the spot rate in effect on the date of the disposition. If a series of notes is traded on an established securities market (as determined under applicable regulations), a cash method taxpayer who buys or sells a note of that series is required to translate units of euro or GBP paid or received into U.S. dollars at the spot rate on the settlement date of the purchase or sale and an accrual method taxpayer may elect the same treatment for all purchases and sales of notes traded on an established securities market. This election by accrual method taxpayers cannot be changed without the consent of the IRS. Except to the extent of foreign currency gain or loss (as described below), gain or loss recognized on the sale, exchange or retirement of a note will generally be capital gain or loss and will be long-term capital gain or loss if at the time of the sale, exchange or retirement the note has been held by the U.S. Holder for more than one year. The deductibility of capital losses is subject to limitations under the Code.</w:t>
      </w:r>
    </w:p>
    <w:p>
      <w:pPr>
        <w:spacing w:after="0" w:line="190"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A U.S. Holder may recognize foreign currency gain or loss upon the sale, exchange or other taxable disposition of a note as a result of fluctuations in the euro-U.S. or GBP-U.S. dollar exchange rate. Gain or loss attributable to such fluctuations will be equal to the difference between (i) the U.S. dollar value of the U.S. Holder’s purchase price in euro or GBP of the note, determined using the spot rate on the date the note is disposed of, and</w:t>
      </w:r>
    </w:p>
    <w:p>
      <w:pPr>
        <w:spacing w:after="0" w:line="2" w:lineRule="exact"/>
        <w:rPr>
          <w:sz w:val="20"/>
          <w:szCs w:val="20"/>
          <w:color w:val="auto"/>
        </w:rPr>
      </w:pPr>
    </w:p>
    <w:p>
      <w:pPr>
        <w:ind w:left="120" w:right="20" w:hanging="4"/>
        <w:spacing w:after="0" w:line="251" w:lineRule="auto"/>
        <w:tabs>
          <w:tab w:leader="none" w:pos="3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dollar value of the U.S. Holder’s purchase price in euro or GBP of the note, determined using the spot rate on the date the U.S. Holder acquired the note (although if the notes are traded on an established securities market (as determined under applicable regulations), such gain or loss will, in the case of a cash method or electing accrual method taxpayer, be determined based on the spot rates on the settlement dates of such disposition and acquisition). The foreign currency gain or loss (together with any foreign currency gain or loss with respect to accrued but unpaid interest) will be recognized only to the extent of the total gain or loss realized by a U.S. Holder on the sale, exchange or other taxable disposition of the note. Any such gain or loss generally will be U.S. source ordinary income or loss. If a U.S. Holder recognizes a loss upon a sale, exchange or other taxable disposition of a note and such loss is above certain thresholds (which thresholds are, in the case of individuals and trusts, significantly lower for foreign currency losses than for other loss transactions), the U.S. Holder may be required to file a disclosure statement with the IRS. U.S. Holders should consult their tax advisors regarding this reporting obligation.</w:t>
      </w:r>
    </w:p>
    <w:p>
      <w:pPr>
        <w:spacing w:after="0" w:line="193"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A U.S. Holder will have a tax basis in any euro or GBP received on the sale, exchange or other taxable disposition of a note equal to the U.S. dollar value of the euro or GBP, determined on the date of receipt of the euro or GBP. Any gain or loss realized by a U.S. Holder on a sale or other taxable disposition of euro or GBP (including its exchange for U.S. dollars) will generally be treated as U.S. source ordinary income or loss.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Information returns generally will be filed with the IRS in connection with payments on the notes and the proceeds from a sale or other disposition of the notes. A U.S. Holder will be subject to backup withholding on these payments if the U.S. Holder fails to provide its correct taxpayer identification number to the applicable withholding agent and comply with certain certification procedures or otherwise establish an exemption from backup withholding. Backup withholding is not an additional tax. The amount of any backup withholding from a payment to a U.S. Holder will be allowed as a credit against the U.S. Holder’s U.S. federal income tax liability and may entitle the U.S. Holder to a refund, provided that the required information is timely furnished to the IRS.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for Non-U.S. 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herein, the term “Non-U.S. Holder” means a beneficial owner of a note that is, for U.S. federal income tax purposes:</w:t>
      </w:r>
    </w:p>
    <w:p>
      <w:pPr>
        <w:spacing w:after="0" w:line="131"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not a U.S. citizen and who is classified as a nonresident for U.S. federal income tax purposes;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estate or trust.</w:t>
      </w:r>
    </w:p>
    <w:p>
      <w:pPr>
        <w:spacing w:after="0" w:line="225"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term “Non-U.S. Holder” does not include a beneficial owner of a note who is an individual present in the United States for 183 days or more in the taxable year of disposition or a former citizen or former resident of the United States. Such a beneficial owner is urged to consult his or her own tax advisor regarding the U.S. federal income tax consequences of the sale, exchange or other disposition of a note.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Payments on a Note</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Subject to the discussions below concerning backup withholding and FATCA (as defined below), payments of principal, premium, if any, and interest on the notes by us or any paying agent to a Non-U.S. Holder generally will not be subject to U.S. federal withholding tax, provided that, in the case of interest not effectively connected with the conduct of a trade or business in the United States:</w:t>
      </w:r>
    </w:p>
    <w:p>
      <w:pPr>
        <w:spacing w:after="0" w:line="81" w:lineRule="exact"/>
        <w:rPr>
          <w:sz w:val="20"/>
          <w:szCs w:val="20"/>
          <w:color w:val="auto"/>
        </w:rPr>
      </w:pPr>
    </w:p>
    <w:p>
      <w:pPr>
        <w:ind w:left="1080" w:right="40" w:hanging="424"/>
        <w:spacing w:after="0" w:line="312" w:lineRule="auto"/>
        <w:tabs>
          <w:tab w:leader="none" w:pos="10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Non-U.S. Holder does not own, actually or constructively, 10% or more of the total combined voting power of all classes of Comcast’s stock entitled to vote and is not a controlled foreign corporation related, directly or indirectly, to Comcast through stock ownership; and</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requirement described below has been fulfilled with respect to the beneficial owner, as discussed below.</w:t>
      </w:r>
    </w:p>
    <w:p>
      <w:pPr>
        <w:spacing w:after="0" w:line="225" w:lineRule="exact"/>
        <w:rPr>
          <w:sz w:val="20"/>
          <w:szCs w:val="20"/>
          <w:color w:val="auto"/>
        </w:rPr>
      </w:pPr>
    </w:p>
    <w:p>
      <w:pPr>
        <w:ind w:left="120" w:right="620" w:firstLine="440"/>
        <w:spacing w:after="0" w:line="312" w:lineRule="auto"/>
        <w:rPr>
          <w:sz w:val="20"/>
          <w:szCs w:val="20"/>
          <w:color w:val="auto"/>
        </w:rPr>
      </w:pPr>
      <w:r>
        <w:rPr>
          <w:rFonts w:ascii="Times New Roman" w:cs="Times New Roman" w:eastAsia="Times New Roman" w:hAnsi="Times New Roman"/>
          <w:sz w:val="17"/>
          <w:szCs w:val="17"/>
          <w:color w:val="auto"/>
        </w:rPr>
        <w:t>Interest on a note described above will not be exempt from withholding tax unless the beneficial owner of that note certifies on a properly executed IRS Form W-8BEN or W-8BEN-E (or successor form), as appropriate, under penalties of perjury, that it is not a U.S. person.</w:t>
      </w:r>
    </w:p>
    <w:p>
      <w:pPr>
        <w:spacing w:after="0" w:line="140" w:lineRule="exact"/>
        <w:rPr>
          <w:sz w:val="20"/>
          <w:szCs w:val="20"/>
          <w:color w:val="auto"/>
        </w:rPr>
      </w:pPr>
    </w:p>
    <w:p>
      <w:pPr>
        <w:ind w:left="120" w:right="220" w:firstLine="440"/>
        <w:spacing w:after="0" w:line="255" w:lineRule="auto"/>
        <w:rPr>
          <w:sz w:val="20"/>
          <w:szCs w:val="20"/>
          <w:color w:val="auto"/>
        </w:rPr>
      </w:pPr>
      <w:r>
        <w:rPr>
          <w:rFonts w:ascii="Times New Roman" w:cs="Times New Roman" w:eastAsia="Times New Roman" w:hAnsi="Times New Roman"/>
          <w:sz w:val="18"/>
          <w:szCs w:val="18"/>
          <w:color w:val="auto"/>
        </w:rPr>
        <w:t>If a Non-U.S. Holder is engaged in a trade or business in the United States, and if interest on a note is effectively connected with the conduct of such trade or business (and, if required by an applicable income tax treaty, is attributable to a U.S. permanent establishment or a fixed base of the Non-U.S. Holder), the Non-U.S. Holder will generally not be subject to the withholding discussed in the preceding paragraphs if a properly executed, applicable Form W-8 (generally an IRS Form W-8ECI) is provided to the applicable withholding agent. Such a Non-U.S. Holder will, however, generally be taxed on such interest in the same manner as a U.S. person, unless an applicable income tax treaty provides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 Exchange, Redemption or Other Disposition of a Note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Subject to the discussions below concerning backup withholding and FATCA, a Non-U.S. Holder will not be subject to U.S. federal income tax on gain recognized on the sale, exchange, redemption or other disposition of a note, unless the gain is effectively connected with the conduct by the Non-U.S. Holder of a trade or business in the United States.</w:t>
      </w:r>
    </w:p>
    <w:p>
      <w:pPr>
        <w:spacing w:after="0" w:line="176"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If a Non-U.S. Holder is engaged in a trade or business in the United States, and if gain recognized by the Non-U.S. Holder on a sale, exchange, redemption or other disposition of a note is effectively connected with the conduct of such trade or business, the Non-U.S. Holder will generally be taxed in the same manner as a U.S.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person, subject to an applicable income tax treaty providing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Information returns generally will be filed with the IRS in connection with interest payments on the notes. Unless a Non-U.S. Holder complies with certification procedures to establish that it is not a U.S. person, information returns may be filed with the IRS in connection with the proceeds from a sale or other disposition (including a redemption) and the Non-U.S. Holder may be subject to U.S. backup withholding on payments on the notes or on the proceeds from a sale or other disposition of the notes. The certification procedures required to claim the exemption from withholding tax on interest described above will satisfy the certification requirements necessary to avoid backup withholding as well. Backup withholding is not an additional tax. The amount of any backup withholding from a payment to a Non-U.S. Holder will be allowed as a credit against the Non-U.S. Holder’s U.S. federal income tax liability and may entitle the Non-U.S. Holder to a refund, provided that the required information is timely furnished to the IRS.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FATCA</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Provisions commonly referred to as “FATCA” generally impose withholding of 30% on payments of U.S.-source interest and, subject to the discussion of certain proposed U.S. Treasury regulations below, payments of gross proceeds of the sale, exchange, redemption, or other disposition of a note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Withholding under FATCA will apply to the applicable payments regardless of whether the recipient is a beneficial owner or acts as an intermediary with respect to such payments. An intergovernmental agreement between the United States and the non-U.S. entity’s jurisdiction may modify these requirements. If FATCA withholding is imposed, a beneficial owner that is not a foreign financial institution generally will be entitled to a refund of any amounts withheld by filing a U.S. federal income tax return (which may entail significant administrative burden).</w:t>
      </w:r>
    </w:p>
    <w:p>
      <w:pPr>
        <w:spacing w:after="0" w:line="188"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U.S. Treasury Department has released proposed regulations which, if finalized in their present form, would eliminate FATCA withholding on the gross proceeds of a sale, exchange, redemption or other disposition of a note (other than amounts treated as interest). In the preamble to the proposed regulations, the U.S. Treasury Department indicated that taxpayers may rely on the proposed regulations until final regulations are issued.</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effects of FATCA on their investment in the notes. We will not pay additional amounts with respect to any withholding taxes imposed under FATCA.</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intend to offer the notes through the underwriters named below. Subject to the terms and conditions contained in an underwriting agreement, we have agreed to sell to the underwriters and the underwriters severally and not jointly have agreed to purchase from us, the principal amount of the notes listed opposite their names below.</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60" w:type="dxa"/>
            <w:vAlign w:val="bottom"/>
          </w:tcPr>
          <w:p>
            <w:pPr>
              <w:spacing w:after="0"/>
              <w:rPr>
                <w:sz w:val="13"/>
                <w:szCs w:val="13"/>
                <w:color w:val="auto"/>
              </w:rPr>
            </w:pPr>
          </w:p>
        </w:tc>
        <w:tc>
          <w:tcPr>
            <w:tcW w:w="15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3"/>
                <w:szCs w:val="13"/>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Amount of Euro</w:t>
            </w:r>
          </w:p>
        </w:tc>
        <w:tc>
          <w:tcPr>
            <w:tcW w:w="168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Amount of Euro</w:t>
            </w:r>
          </w:p>
        </w:tc>
        <w:tc>
          <w:tcPr>
            <w:tcW w:w="100" w:type="dxa"/>
            <w:vAlign w:val="bottom"/>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Notes Due 2032</w:t>
            </w:r>
          </w:p>
        </w:tc>
        <w:tc>
          <w:tcPr>
            <w:tcW w:w="168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Notes Due 2036</w:t>
            </w:r>
          </w:p>
        </w:tc>
        <w:tc>
          <w:tcPr>
            <w:tcW w:w="10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Sterling Notes</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274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160" w:type="dxa"/>
            <w:vAlign w:val="bottom"/>
          </w:tcPr>
          <w:p>
            <w:pPr>
              <w:spacing w:after="0"/>
              <w:rPr>
                <w:sz w:val="12"/>
                <w:szCs w:val="12"/>
                <w:color w:val="auto"/>
              </w:rPr>
            </w:pPr>
          </w:p>
        </w:tc>
        <w:tc>
          <w:tcPr>
            <w:tcW w:w="152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To Be</w:t>
            </w:r>
          </w:p>
        </w:tc>
        <w:tc>
          <w:tcPr>
            <w:tcW w:w="10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27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center"/>
              <w:ind w:right="680"/>
              <w:spacing w:after="0" w:line="160"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60" w:type="dxa"/>
            <w:vAlign w:val="bottom"/>
          </w:tcPr>
          <w:p>
            <w:pPr>
              <w:spacing w:after="0"/>
              <w:rPr>
                <w:sz w:val="15"/>
                <w:szCs w:val="15"/>
                <w:color w:val="auto"/>
              </w:rPr>
            </w:pPr>
          </w:p>
        </w:tc>
        <w:tc>
          <w:tcPr>
            <w:tcW w:w="1520" w:type="dxa"/>
            <w:vAlign w:val="bottom"/>
            <w:gridSpan w:val="2"/>
          </w:tcPr>
          <w:p>
            <w:pPr>
              <w:jc w:val="center"/>
              <w:ind w:right="720"/>
              <w:spacing w:after="0" w:line="160"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15"/>
                <w:szCs w:val="15"/>
                <w:color w:val="auto"/>
              </w:rPr>
            </w:pPr>
          </w:p>
        </w:tc>
        <w:tc>
          <w:tcPr>
            <w:tcW w:w="108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203"/>
        </w:trPr>
        <w:tc>
          <w:tcPr>
            <w:tcW w:w="35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Barclays Bank PLC</w:t>
            </w: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180,000,000</w:t>
            </w: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180,000,000</w:t>
            </w: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150,000,000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BNP Paribas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180,000,000</w:t>
            </w:r>
          </w:p>
        </w:tc>
        <w:tc>
          <w:tcPr>
            <w:tcW w:w="16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180,000,000</w:t>
            </w: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150,000,000</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112,500,000</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112,500,000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93,750,000</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Morgan Stanley &amp; Co. International plc</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112,500,000</w:t>
            </w:r>
          </w:p>
        </w:tc>
        <w:tc>
          <w:tcPr>
            <w:tcW w:w="16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112,500,000</w:t>
            </w: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93,750,000</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Banco Santander, S.A.</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18,000,000</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15,000,000</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Deutsche Bank AG, London Branch</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18,000,000</w:t>
            </w:r>
          </w:p>
        </w:tc>
        <w:tc>
          <w:tcPr>
            <w:tcW w:w="16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15,000,000</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plc</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18,000,000</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15,000,000</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Merrill Lynch International</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18,000,000</w:t>
            </w:r>
          </w:p>
        </w:tc>
        <w:tc>
          <w:tcPr>
            <w:tcW w:w="16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15,000,000</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International plc</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18,000,000</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15,000,000</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PNC Capital Markets LLC</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18,000,000</w:t>
            </w:r>
          </w:p>
        </w:tc>
        <w:tc>
          <w:tcPr>
            <w:tcW w:w="16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15,000,000</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SMBC Nikko Capital Markets Limited</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18,000,000</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15,000,000</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Société Générale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18,000,000</w:t>
            </w:r>
          </w:p>
        </w:tc>
        <w:tc>
          <w:tcPr>
            <w:tcW w:w="16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15,000,000</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Toronto-Dominion Bank</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18,000,000</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15,000,000</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18,000,000</w:t>
            </w:r>
          </w:p>
        </w:tc>
        <w:tc>
          <w:tcPr>
            <w:tcW w:w="16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15,000,000</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Securities International Limited</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18,000,000</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15,000,000</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ICBC Standard Bank Plc</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12,600,000</w:t>
            </w:r>
          </w:p>
        </w:tc>
        <w:tc>
          <w:tcPr>
            <w:tcW w:w="16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12,600,000</w:t>
            </w: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10,500,000</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Lloyds Securities Inc.</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12,600,000</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12,600,000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10,500,000</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NatWest Markets Plc</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12,600,000</w:t>
            </w:r>
          </w:p>
        </w:tc>
        <w:tc>
          <w:tcPr>
            <w:tcW w:w="16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12,600,000</w:t>
            </w: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10,500,000</w:t>
            </w:r>
          </w:p>
        </w:tc>
        <w:tc>
          <w:tcPr>
            <w:tcW w:w="0" w:type="dxa"/>
            <w:vAlign w:val="bottom"/>
          </w:tcPr>
          <w:p>
            <w:pPr>
              <w:spacing w:after="0"/>
              <w:rPr>
                <w:sz w:val="1"/>
                <w:szCs w:val="1"/>
                <w:color w:val="auto"/>
              </w:rPr>
            </w:pPr>
          </w:p>
        </w:tc>
      </w:tr>
      <w:tr>
        <w:trPr>
          <w:trHeight w:val="198"/>
        </w:trPr>
        <w:tc>
          <w:tcPr>
            <w:tcW w:w="35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Scotiabank (Ireland) Designated Activity</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Company</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12,600,000</w:t>
            </w:r>
          </w:p>
        </w:tc>
        <w:tc>
          <w:tcPr>
            <w:tcW w:w="16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12,600,000</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10,500,000</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12,600,000</w:t>
            </w:r>
          </w:p>
        </w:tc>
        <w:tc>
          <w:tcPr>
            <w:tcW w:w="16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12,600,000</w:t>
            </w: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10,500,000</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Academy Securities, Inc.</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9,000,000</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9,000,000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7,500,000</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BNY Mellon Capital Markets, LLC</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9,000,000</w:t>
            </w:r>
          </w:p>
        </w:tc>
        <w:tc>
          <w:tcPr>
            <w:tcW w:w="16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9,000,000</w:t>
            </w: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7,500,000</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Commerzbank Aktiengesellschaft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9,000,000</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9,000,000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7,500,000</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ING Bank N.V., Belgian Branch</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9,000,000</w:t>
            </w:r>
          </w:p>
        </w:tc>
        <w:tc>
          <w:tcPr>
            <w:tcW w:w="16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9,000,000</w:t>
            </w: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7,500,000</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Intesa Sanpaolo IMI Securities Corp.</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9,000,000</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9,000,000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7,500,000</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Loop Capital Markets LLC</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9,000,000</w:t>
            </w: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7,500,000</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900,000,000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900,000,000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750,000,000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S-25</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455" w:right="6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several underwriters against certain liabilities, including liabilities under the Securities Act of 1933, as amended, or to contribute to payments the several underwriters may be required to make in respect of those liabilities.</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It is expected that delivery of the notes will be made against payment therefor on or about September 26, 2024, which is the third business day following the date hereof (such settlement cycle being referred to as “T+3”). Under Rule 15c6-1 under the Securities Exchange Act of 1934, as amended, trades in the secondary market generally are required to settle in one business day unless the parties to any such trade expressly agree otherwise. Accordingly, purchasers who wish to trade the notes prior to the business day preceding the settlement date will be required, by virtue of the fact that the notes initially will settle in T+3, to specify an alternative settlement cycle at the time of any such trade to prevent failed settlement and should consult their own advisors.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21" w:lineRule="exact"/>
        <w:rPr>
          <w:sz w:val="20"/>
          <w:szCs w:val="20"/>
          <w:color w:val="auto"/>
        </w:rPr>
      </w:pPr>
    </w:p>
    <w:p>
      <w:pPr>
        <w:jc w:val="both"/>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underwriters have advised us that they propose initially to offer the euro notes to the public at the public offering price on the cover page of this prospectus supplement, and to dealers at that price less a concession not in excess of 0.200% and 0.225% of the principal amount of the euro notes due 2032 and the euro notes due 2036, respectively. The underwriters may allow, and the dealers may reallow, a discount not in excess of 0.125% and 0.135% of the principal amount of the euro notes due 2032 and the euro notes due 2036, respectively, to other dealers. After the initial public offering, the public offering prices, concessions and discounts may be changed.</w:t>
      </w:r>
    </w:p>
    <w:p>
      <w:pPr>
        <w:spacing w:after="0" w:line="183"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underwriters have advised us that they propose initially to offer the sterling notes to the public at the public offering price on the cover page of this prospectus supplement, and to dealers at that price less a concession not in excess of 0.300% of the principal amount of the sterling notes. The underwriters may allow, and the dealers may reallow, a discount not in excess of 0.175% of the principal amount of the sterling notes to other dealers. After the initial public offering, the public offering prices, concessions and discounts may be changed.</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expenses of the offering, not including the underwriting discount, are estimated to be $1,150,000.</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Issue of Notes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We intend to apply to list the notes on the NASDAQ. The listing application will be subject to approval by the NASDAQ. If such a listing is obtained, we have no obligation to maintain such listing, and we may delist the notes at any time. Although the underwriters have informed us that they currently intend to make a market in the notes after we complete the offering, they have no obligation to do so and may discontinue making a market at any time without notice. We cannot assure you that liquid trading markets for the notes will develop, that you will be able to sell your notes at a particular time or that the price you receive when you sell will be favorable.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080"/>
          </w:cols>
          <w:pgMar w:left="320" w:top="455" w:right="4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Price Stabilization and Short Positions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offering, the underwriters are permitted to engage in transactions that stabilize the market price of the notes. These stabilization transactions consist of bids or purchases to peg, fix or maintain the price of the notes. If the underwriters create a short position on the notes in connection with the offering, that is, if they sell more 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 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18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260" w:firstLine="440"/>
        <w:spacing w:after="0" w:line="281" w:lineRule="auto"/>
        <w:rPr>
          <w:sz w:val="20"/>
          <w:szCs w:val="20"/>
          <w:color w:val="auto"/>
        </w:rPr>
      </w:pPr>
      <w:r>
        <w:rPr>
          <w:rFonts w:ascii="Times New Roman" w:cs="Times New Roman" w:eastAsia="Times New Roman" w:hAnsi="Times New Roman"/>
          <w:sz w:val="17"/>
          <w:szCs w:val="17"/>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for which they currently and may in the future receive customary fees and commissions. Furthermore, certain of the underwriters and their respective affiliates may, from time to time, enter into arms-length transactions with us in the ordinary course of their business.</w:t>
      </w:r>
    </w:p>
    <w:p>
      <w:pPr>
        <w:spacing w:after="0" w:line="16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 and securities activities may involve our securities and instruments, including our outstanding debt. Therefore, since proceeds from this offering will be used to repay outstanding debt, certain of the underwriters and/or their respective affiliates may receive proceeds from this offering. Certain of the underwriters or their affiliates that have a lending relationship with us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9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BNY Mellon Capital Markets, LLC, one of the underwriters, is an affiliate of The Bank of New York Mellon, the trustee under the indenture that will govern the notes.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3"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European Economic Area (the “EEA”).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9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has been prepared on the basis that any offer of notes in any member state of the EEA will be made pursuant to an exemption under the Prospectus Regulation from the requirement to publish a prospectus for offers of notes. Accordingly, any person making or intending to make an offer in any member state of the EEA of securities which are the subject of the offering contemplated in this prospectus supplement may only do so in circumstances in which no obligation arises for the issuer or any underwriter to publish a prospectus pursuant to Article 3 of the Prospectus Regulation, in each case, in relation to such offer. This prospectus supplement is not a prospectus for the purposes of the Prospectus Regulation.</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21" w:lineRule="exact"/>
        <w:rPr>
          <w:sz w:val="20"/>
          <w:szCs w:val="20"/>
          <w:color w:val="auto"/>
        </w:rPr>
      </w:pPr>
    </w:p>
    <w:p>
      <w:pPr>
        <w:ind w:left="120" w:right="180" w:firstLine="440"/>
        <w:spacing w:after="0" w:line="253"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United Kingdom (the “UK”). For these purposes, (a) a retail investor means a person who is one (or more) of: (i) a retail client, as defined in point (8) of Article 2 of Regulation (EU) No 2017/565 as it forms part of domestic law by virtue of the European Union (Withdrawal) Act 2018 (as amended, “EUWA”); (ii) a customer within the meaning of the provisions of the Financial Services and Markets Act 2000 (as amended, “FSMA”) and any rules or regulations made under the FSMA to implement Directive (EU) 2016/97, where that customer would not qualify as a professional client, as defined in point (8) of Article 2(1) of Regulation (EU) No 600/2014 as it forms part of domestic law by virtue of the EUWA; or</w:t>
      </w:r>
    </w:p>
    <w:p>
      <w:pPr>
        <w:spacing w:after="0" w:line="5" w:lineRule="exact"/>
        <w:rPr>
          <w:sz w:val="20"/>
          <w:szCs w:val="20"/>
          <w:color w:val="auto"/>
        </w:rPr>
      </w:pPr>
    </w:p>
    <w:p>
      <w:pPr>
        <w:ind w:left="120" w:hanging="4"/>
        <w:spacing w:after="0" w:line="252" w:lineRule="auto"/>
        <w:tabs>
          <w:tab w:leader="none" w:pos="4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qualified investor as defined in Article 2 of Regulation (EU) 2017/1129 as it forms part of domestic law by virtue of the EUWA (the “UK Prospectus Regulation”); and (b) “offer” includes the communication in any form and by any means of sufficient information on the terms of the offer and the notes to be offered so as to enable an investor to decide to purchase or subscribe for the notes.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40"/>
          </w:cols>
          <w:pgMar w:left="320" w:top="455"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This prospectus supplement has been prepared on the basis that any offer of notes in the UK will be made pursuant to an exemption under the UK Prospectus Regulation from the requirement to publish a prospectus for offers of notes. Accordingly, any person making or intending to make an offer in the United Kingdom of securities which are the subject of the offering contemplated in this prospectus supplement may only do so in circumstances in which no obligation arises for the issuer or any underwriter to publish a prospectus pursuant to Article 3 of the UK Prospectus Regulation, in each case, in relation to such offer. This prospectus supplement is not a prospectus for the purposes of the UK Prospectus Regulation.</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notes may not be offered or sold by means of any document other than to persons whose ordinary business is to buy or sell shares or debentures, whether as principal or agent, or in circumstances that do not constitute an offer to the public within the meaning of the Companies Ordinance (Cap. 32) of Hong Kong, and no advertisement, invitation or document relating to the notes may be issued, whether in Hong Kong or elsewhere, that is directed at, or the contents of which are likely to be accessed or read by, the public in Hong Kong (except if permitted to do so under the securities laws of Hong Kong) other than with respect to notes that are or are intended to be disposed of only to persons outside Hong Kong or only to “professional investors” within the meaning of the Securities and Futures Ordinance (Cap. 571) of Hong Kong and any rules made thereunder.</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Financial Instruments and Exchange Law of Japan (Law No. 25 of 1948) (as amended) (the “FIEL”), and each of the underwriters and each of its affiliates has represented and agreed that it has not offered or sold, and it will not offer or sell, directly or indirectly, any of the notes in or to residents of Japan or to any persons for reoffering or resale, directly or indirectly in Japan or to any resident of Japan, except pursuant to any exemption from the registration requirements of and otherwise in compliance with, the FIEL available thereunder and in compliance with the other relevant laws and regulations of Japan.</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Korea</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notes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notes have not been and will not be registered with the Financial Services Commission of Korea for public offering in Korea. Furthermore, the notes may not be resold to Korean residents unless the purchaser of the notes complies with all applicable regulatory requirements (including but not limited to government approval requirements under the Foreign Exchange Transaction Law and its subordinate decrees and regulations) in connection with the purchase of the notes.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21" w:lineRule="exact"/>
        <w:rPr>
          <w:sz w:val="20"/>
          <w:szCs w:val="20"/>
          <w:color w:val="auto"/>
        </w:rPr>
      </w:pPr>
    </w:p>
    <w:p>
      <w:pPr>
        <w:ind w:left="120" w:right="220" w:firstLine="440"/>
        <w:spacing w:after="0" w:line="253"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(as defined in Section 4A of the Securities and Futures Act 2001 of Singapore, as modified or amended from time to time (the “SFA”)) pursuant to Section 274 of the SFA, (ii) to a relevant person (as defined in Section 275(2) of the SFA) pursuant to Section 275(1A) of the SFA, and in accordance with the conditions specified in Section 275 of the SFA or</w:t>
      </w:r>
    </w:p>
    <w:p>
      <w:pPr>
        <w:spacing w:after="0" w:line="5" w:lineRule="exact"/>
        <w:rPr>
          <w:sz w:val="20"/>
          <w:szCs w:val="20"/>
          <w:color w:val="auto"/>
        </w:rPr>
      </w:pPr>
    </w:p>
    <w:p>
      <w:pPr>
        <w:ind w:left="5460" w:right="3020" w:hanging="5344"/>
        <w:spacing w:after="0" w:line="433" w:lineRule="auto"/>
        <w:tabs>
          <w:tab w:leader="none" w:pos="43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 S-29</w:t>
      </w:r>
    </w:p>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Where the notes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notes pursuant to an offer made under Section 275 of the SFA except: (i) to an institutional investor or to a relevant person, or to any person arising from an offer referred to in Section 275(1A) or Section 276(4) (i)(B) of the SFA; (ii) where no consideration is or will be given for the transfer; (iii) where the transfer is by operation of law; (iv) as specified in Section 276(7) of the SFA; or (v) as specified in Regulation 37A of the Securities and Futures (Offers of Investments) (Securities and Securities-based Derivatives Contracts) Regulations 2018.</w:t>
      </w:r>
    </w:p>
    <w:p>
      <w:pPr>
        <w:spacing w:after="0" w:line="19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Singapore Securities and Futures Act Product Classification – Solely for the purposes of its obligations pursuant to Sections 309B(1)(a) and 309B(1)(c) of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is not intended to constitute an offer or solicitation to purchase or invest in the notes described herein.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United Arab Emirates</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offering of the notes has not been approved or licensed by the UAE Central Bank, the UAE Securities and Commodities Authority (“SCA”), the Dubai Financial Services Authority (“DFSA”) or any other relevant licensing authorities in the UAE, and the notes may not be offered to the public in the UAE (including the DIFC). This prospectus supplement is being issued to a limited number of institutional and individual investors:</w:t>
      </w:r>
    </w:p>
    <w:p>
      <w:pPr>
        <w:spacing w:after="0" w:line="81" w:lineRule="exact"/>
        <w:rPr>
          <w:sz w:val="20"/>
          <w:szCs w:val="20"/>
          <w:color w:val="auto"/>
        </w:rPr>
      </w:pPr>
    </w:p>
    <w:p>
      <w:pPr>
        <w:ind w:left="1300" w:right="200" w:hanging="644"/>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meet the criteria of a “Qualified Investor” as defined in the SCA Board of Directors Decision No. 3 R.M. of 2017 (but excluding subparagraph 1(d) in the “Qualified Investor” definition relating to natural persons);</w:t>
      </w:r>
    </w:p>
    <w:p>
      <w:pPr>
        <w:spacing w:after="0" w:line="67"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their request and confirmation that they understand that the notes have not been approved or licensed by or registered with the UAE Central Bank, the SCA, DFSA or any other relevant licensing authorities or governmental agencies in the UAE; and</w:t>
      </w:r>
    </w:p>
    <w:p>
      <w:pPr>
        <w:spacing w:after="0" w:line="67" w:lineRule="exact"/>
        <w:rPr>
          <w:rFonts w:ascii="Times New Roman" w:cs="Times New Roman" w:eastAsia="Times New Roman" w:hAnsi="Times New Roman"/>
          <w:sz w:val="18"/>
          <w:szCs w:val="18"/>
          <w:color w:val="auto"/>
        </w:rPr>
      </w:pPr>
    </w:p>
    <w:p>
      <w:pPr>
        <w:ind w:left="1300" w:right="120" w:hanging="644"/>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their confirmation that they understand that the prospectus supplement must not be provided to any person other than the original recipient, and may not be reproduced or used for any other purpose.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One or more of the underwriters may be restricted in its U.S. securities dealings under the Bank Holding Company Act and not be U.S.-registered broker-dealer(s). All sales of securities in the U.S. will be made by or through U.S.-registered broker-dealers.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notes constituting part of its allotment solely outside the United States.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Investors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Each purchaser and holder of the notes (or any interest therein) will be deemed to have represented by its purchase or holding of the notes that either (a) it is not, and its purchase and holding of the notes is not made on behalf of or with assets of, (i) an employee benefit plan that is subject to Title I of the Employee Retirement Income Security Act of 1974, as amended (“ERISA”), (ii) a plan, account or other arrangement that is subject to Section 4975 of the Internal Revenue Code of 1986, as amended (the “Code”), (iii) an entity whose underlying assets include the assets of any such employee benefit plan, plan, account or arrangement or (iv) a governmental, church or non-U.S. plan that is subject to any state, local or other federal law or non-U.S. law that is substantially similar to the provisions of Title I of ERISA or Section 4975 of the Code (“Similar Law”), or (b) its purchase, holding and subsequent disposition of the notes will not constitute or result in a non-exempt prohibited transaction under Section 406 of ERISA or Section 4975 of the Code or violate any Similar Law.</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Various legal matters relating to the offering will be passed upon for us by Elizabeth Wideman, Esquire, Senior Vice President, Senior Deputy General Counsel and Assistant Secretary of Comcast Corporation, Francis M. Buono, Esquire, Executive Vice President, Legal Regulatory Affairs and Senior Deputy General Counsel of Comcast Corporation, and by Davis Polk &amp; Wardwell LLP, New York, New York. Cahill Gordon &amp; Reindel LLP, New York, New York, is representing the underwriters.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financial statements of Comcast Corporation as of December 31, 2023 and 2022, and for each of the three years in the period ended December 31, 2023, incorporated by reference in this Prospectus Supplement by reference to Comcast Corporation’s annual report on Form 10-K for the year ended December 31, 2023, and the effectiveness of Comcast Corporation’s internal control over financial reporting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217170</wp:posOffset>
            </wp:positionV>
            <wp:extent cx="1388745" cy="4883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138874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following are types of securities that may be offered and sold from time to time by Comcast Corporation or by selling security holders under this prospectus:</w:t>
      </w:r>
    </w:p>
    <w:p>
      <w:pPr>
        <w:sectPr>
          <w:pgSz w:w="11900" w:h="16838" w:orient="portrait"/>
          <w:cols w:equalWidth="0" w:num="1">
            <w:col w:w="11060"/>
          </w:cols>
          <w:pgMar w:left="320" w:top="455" w:right="519" w:bottom="1440" w:gutter="0" w:footer="0" w:header="0"/>
        </w:sectPr>
      </w:pP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•   Unsecured senior debt securities</w:t>
      </w:r>
    </w:p>
    <w:p>
      <w:pPr>
        <w:spacing w:after="0" w:line="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 Preferred stock</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 Warrants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 Depositary shares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 Purchase contracts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 Class A common stock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 Units</w:t>
      </w:r>
    </w:p>
    <w:p>
      <w:pPr>
        <w:spacing w:after="0" w:line="415" w:lineRule="exact"/>
        <w:rPr>
          <w:sz w:val="20"/>
          <w:szCs w:val="20"/>
          <w:color w:val="auto"/>
        </w:rPr>
      </w:pPr>
    </w:p>
    <w:p>
      <w:pPr>
        <w:sectPr>
          <w:pgSz w:w="11900" w:h="16838" w:orient="portrait"/>
          <w:cols w:equalWidth="0" w:num="2">
            <w:col w:w="5300" w:space="720"/>
            <w:col w:w="5040"/>
          </w:cols>
          <w:pgMar w:left="320" w:top="455" w:right="519" w:bottom="1440" w:gutter="0" w:footer="0" w:header="0"/>
          <w:type w:val="continuous"/>
        </w:sectPr>
      </w:pPr>
    </w:p>
    <w:p>
      <w:pPr>
        <w:spacing w:after="0" w:line="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If indicated in the relevant prospectus supplement, the securities may be fully and unconditionally guaranteed by a number of our wholly owned subsidiaries named in this prospectus.</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Class A common stock is quoted on the Nasdaq Global Select Market under the ticker symbol “CMCSA.” On July 28, 2022, the reported last sale price on the Nasdaq Global Select Market for our Class A common stock was $39.41.</w:t>
      </w:r>
    </w:p>
    <w:p>
      <w:pPr>
        <w:spacing w:after="0" w:line="16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•   Maturity</w:t>
            </w:r>
          </w:p>
        </w:tc>
        <w:tc>
          <w:tcPr>
            <w:tcW w:w="3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 Redemption terms</w:t>
            </w:r>
          </w:p>
        </w:tc>
        <w:tc>
          <w:tcPr>
            <w:tcW w:w="27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 Subsidiary guarantees</w:t>
            </w: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•   Dividends</w:t>
            </w:r>
          </w:p>
        </w:tc>
        <w:tc>
          <w:tcPr>
            <w:tcW w:w="3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 Liquidation amount</w:t>
            </w:r>
          </w:p>
        </w:tc>
        <w:tc>
          <w:tcPr>
            <w:tcW w:w="27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 Currency of payments</w:t>
            </w: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•   Conversion or exchange rights</w:t>
            </w:r>
          </w:p>
        </w:tc>
        <w:tc>
          <w:tcPr>
            <w:tcW w:w="3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 Sinking fund terms</w:t>
            </w:r>
          </w:p>
        </w:tc>
        <w:tc>
          <w:tcPr>
            <w:tcW w:w="27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6"/>
              </w:rPr>
              <w:t>•   Amount payable at maturity</w:t>
            </w:r>
          </w:p>
        </w:tc>
      </w:t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•   Interest rate</w:t>
            </w:r>
          </w:p>
        </w:tc>
        <w:tc>
          <w:tcPr>
            <w:tcW w:w="3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 Listing on a securities exchange</w:t>
            </w:r>
          </w:p>
        </w:tc>
        <w:tc>
          <w:tcPr>
            <w:tcW w:w="27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222885</wp:posOffset>
            </wp:positionV>
            <wp:extent cx="1474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these securities involves certain risks. See “Item 1A—Risk Factors” beginning on page 22 of our Annual Report on Form 10-K for the fiscal year ended December 31, 2021, which is incorporated by reference herein.</w:t>
      </w:r>
    </w:p>
    <w:p>
      <w:pPr>
        <w:spacing w:after="0" w:line="155" w:lineRule="exact"/>
        <w:rPr>
          <w:sz w:val="20"/>
          <w:szCs w:val="20"/>
          <w:color w:val="auto"/>
        </w:rPr>
      </w:pPr>
    </w:p>
    <w:p>
      <w:pPr>
        <w:jc w:val="both"/>
        <w:ind w:left="120" w:right="5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The Securities and Exchange Commission (the “SEC” or the “Commission”) and state securities regulators have not approved or disapproved of these securities, or determined if this prospectus is truthful or complete. Any representation to the contrary is a criminal offense.</w:t>
      </w:r>
    </w:p>
    <w:p>
      <w:pPr>
        <w:spacing w:after="0" w:line="175"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date of this prospectus is July 29, 2022</w:t>
      </w:r>
    </w:p>
    <w:p>
      <w:pPr>
        <w:sectPr>
          <w:pgSz w:w="11900" w:h="16838" w:orient="portrait"/>
          <w:cols w:equalWidth="0" w:num="1">
            <w:col w:w="11060"/>
          </w:cols>
          <w:pgMar w:left="320" w:top="455" w:right="51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90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16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440" w:type="dxa"/>
            <w:vAlign w:val="bottom"/>
            <w:gridSpan w:val="5"/>
            <w:vMerge w:val="restart"/>
          </w:tcPr>
          <w:p>
            <w:pPr>
              <w:spacing w:after="0"/>
              <w:rPr>
                <w:sz w:val="24"/>
                <w:szCs w:val="24"/>
                <w:color w:val="auto"/>
              </w:rPr>
            </w:pPr>
          </w:p>
        </w:tc>
        <w:tc>
          <w:tcPr>
            <w:tcW w:w="6560" w:type="dxa"/>
            <w:vAlign w:val="bottom"/>
          </w:tcPr>
          <w:p>
            <w:pPr>
              <w:spacing w:after="0"/>
              <w:rPr>
                <w:sz w:val="24"/>
                <w:szCs w:val="24"/>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1"/>
        </w:trPr>
        <w:tc>
          <w:tcPr>
            <w:tcW w:w="1640" w:type="dxa"/>
            <w:vAlign w:val="bottom"/>
            <w:tcBorders>
              <w:bottom w:val="single" w:sz="8" w:color="0000EE"/>
            </w:tcBorders>
            <w:gridSpan w:val="9"/>
            <w:vMerge w:val="continue"/>
          </w:tcPr>
          <w:p>
            <w:pPr>
              <w:spacing w:after="0"/>
              <w:rPr>
                <w:sz w:val="13"/>
                <w:szCs w:val="13"/>
                <w:color w:val="auto"/>
              </w:rPr>
            </w:pPr>
          </w:p>
        </w:tc>
        <w:tc>
          <w:tcPr>
            <w:tcW w:w="2440" w:type="dxa"/>
            <w:vAlign w:val="bottom"/>
            <w:gridSpan w:val="5"/>
            <w:vMerge w:val="continue"/>
          </w:tcPr>
          <w:p>
            <w:pPr>
              <w:spacing w:after="0"/>
              <w:rPr>
                <w:sz w:val="13"/>
                <w:szCs w:val="13"/>
                <w:color w:val="auto"/>
              </w:rPr>
            </w:pPr>
          </w:p>
        </w:tc>
        <w:tc>
          <w:tcPr>
            <w:tcW w:w="6560" w:type="dxa"/>
            <w:vAlign w:val="bottom"/>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The Companies</w:t>
            </w:r>
          </w:p>
        </w:tc>
        <w:tc>
          <w:tcPr>
            <w:tcW w:w="2940" w:type="dxa"/>
            <w:vAlign w:val="bottom"/>
            <w:gridSpan w:val="11"/>
          </w:tcPr>
          <w:p>
            <w:pPr>
              <w:spacing w:after="0"/>
              <w:rPr>
                <w:sz w:val="18"/>
                <w:szCs w:val="18"/>
                <w:color w:val="auto"/>
              </w:rPr>
            </w:pPr>
          </w:p>
        </w:tc>
        <w:tc>
          <w:tcPr>
            <w:tcW w:w="6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Caution Concerning Forward-Looking Statements</w:t>
            </w:r>
          </w:p>
        </w:tc>
        <w:tc>
          <w:tcPr>
            <w:tcW w:w="460" w:type="dxa"/>
            <w:vAlign w:val="bottom"/>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40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Dividend Policy</w:t>
            </w:r>
          </w:p>
        </w:tc>
        <w:tc>
          <w:tcPr>
            <w:tcW w:w="2900" w:type="dxa"/>
            <w:vAlign w:val="bottom"/>
            <w:gridSpan w:val="9"/>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33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 and Guarantees</w:t>
            </w:r>
          </w:p>
        </w:tc>
        <w:tc>
          <w:tcPr>
            <w:tcW w:w="700" w:type="dxa"/>
            <w:vAlign w:val="bottom"/>
            <w:gridSpan w:val="3"/>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40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Global Securities</w:t>
            </w: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204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040" w:type="dxa"/>
            <w:vAlign w:val="bottom"/>
            <w:gridSpan w:val="4"/>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660" w:type="dxa"/>
            <w:vAlign w:val="bottom"/>
            <w:gridSpan w:val="7"/>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080" w:type="dxa"/>
            <w:vAlign w:val="bottom"/>
            <w:gridSpan w:val="12"/>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Available Information</w:t>
            </w: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1580" w:type="dxa"/>
            <w:vAlign w:val="bottom"/>
            <w:gridSpan w:val="8"/>
            <w:shd w:val="clear" w:color="auto" w:fill="0000EE"/>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360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Part II Information Not Required in Prospectus</w:t>
            </w:r>
          </w:p>
        </w:tc>
        <w:tc>
          <w:tcPr>
            <w:tcW w:w="480" w:type="dxa"/>
            <w:vAlign w:val="bottom"/>
            <w:gridSpan w:val="2"/>
          </w:tcPr>
          <w:p>
            <w:pPr>
              <w:spacing w:after="0"/>
              <w:rPr>
                <w:sz w:val="17"/>
                <w:szCs w:val="17"/>
                <w:color w:val="auto"/>
              </w:rPr>
            </w:pPr>
          </w:p>
        </w:tc>
        <w:tc>
          <w:tcPr>
            <w:tcW w:w="6560" w:type="dxa"/>
            <w:vAlign w:val="bottom"/>
          </w:tcPr>
          <w:p>
            <w:pPr>
              <w:spacing w:after="0"/>
              <w:rPr>
                <w:sz w:val="17"/>
                <w:szCs w:val="17"/>
                <w:color w:val="auto"/>
              </w:rPr>
            </w:pPr>
          </w:p>
        </w:tc>
        <w:tc>
          <w:tcPr>
            <w:tcW w:w="34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II-1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not authorized anyone to provide any information other than that contained or incorporated by reference in this prospectus, any prospectus supplement or any free writing prospectus prepared by or on behalf of us or to which we have referred you.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or any such free writing prospectus is accurate as of any date other than their respective dates.</w:t>
      </w:r>
    </w:p>
    <w:p>
      <w:pPr>
        <w:spacing w:after="0" w:line="183" w:lineRule="exact"/>
        <w:rPr>
          <w:sz w:val="20"/>
          <w:szCs w:val="20"/>
          <w:color w:val="auto"/>
        </w:rPr>
      </w:pPr>
    </w:p>
    <w:p>
      <w:pPr>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We refer to Comcast Corporation in this prospectus as “Comcast,” and Comcast and its consolidated subsidiaries as “we,” “us,” “our” or comparable terms; Comcast Holdings Corporation as “Comcast Holdings” and Sky Limited and its consolidated subsidiaries as “Sky.” We refer to Comcast Cable Communications, LLC and its consolidated subsidiaries as “Comcast Cable,” NBCUniversal Media, LLC and its consolidated subsidiaries as “NBCUniversal,” and both of them collectively as the “Guarantors.”</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utilizing a “shelf” registration process. Under this shelf process, we may sell any combination of the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“Available Information.”</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COMPANIES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a global media and technology company with three primary businesses, Comcast Cable, NBCUniversal and Sky.</w:t>
      </w:r>
    </w:p>
    <w:p>
      <w:pPr>
        <w:spacing w:after="0" w:line="225"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We present our operations in five reportable business segments: (1) Comcast Cable in one reportable business segment, referred to as Cable Communications; (2) NBCUniversal in three reportable business segments: Media, Studios and Theme Parks (collectively, the “NBCUniversal segments”); and (3) Sky in one reportable business segment.</w:t>
      </w:r>
    </w:p>
    <w:p>
      <w:pPr>
        <w:spacing w:after="0" w:line="77" w:lineRule="exact"/>
        <w:rPr>
          <w:sz w:val="20"/>
          <w:szCs w:val="20"/>
          <w:color w:val="auto"/>
        </w:rPr>
      </w:pPr>
    </w:p>
    <w:p>
      <w:pPr>
        <w:ind w:left="1080" w:right="120" w:hanging="424"/>
        <w:spacing w:after="0" w:line="268"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Cable Communications: </w:t>
      </w:r>
      <w:r>
        <w:rPr>
          <w:rFonts w:ascii="Times New Roman" w:cs="Times New Roman" w:eastAsia="Times New Roman" w:hAnsi="Times New Roman"/>
          <w:sz w:val="18"/>
          <w:szCs w:val="18"/>
          <w:color w:val="auto"/>
        </w:rPr>
        <w:t>Consists of the operations of Comcast Cable, which is a leading provider of broadband, video, voice, wireless,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services to residential customers in the United States under the Xfinity brand; we also provide these and other services to business customers and sell advertising.</w:t>
      </w:r>
    </w:p>
    <w:p>
      <w:pPr>
        <w:spacing w:after="0" w:line="76" w:lineRule="exact"/>
        <w:rPr>
          <w:rFonts w:ascii="Times New Roman" w:cs="Times New Roman" w:eastAsia="Times New Roman" w:hAnsi="Times New Roman"/>
          <w:sz w:val="18"/>
          <w:szCs w:val="18"/>
          <w:color w:val="auto"/>
        </w:rPr>
      </w:pPr>
    </w:p>
    <w:p>
      <w:pPr>
        <w:jc w:val="both"/>
        <w:ind w:left="1080" w:right="320" w:hanging="424"/>
        <w:spacing w:after="0" w:line="317" w:lineRule="auto"/>
        <w:tabs>
          <w:tab w:leader="none" w:pos="10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Media: </w:t>
      </w:r>
      <w:r>
        <w:rPr>
          <w:rFonts w:ascii="Times New Roman" w:cs="Times New Roman" w:eastAsia="Times New Roman" w:hAnsi="Times New Roman"/>
          <w:sz w:val="17"/>
          <w:szCs w:val="17"/>
          <w:color w:val="auto"/>
        </w:rPr>
        <w:t>Consists primarily of NBCUniversal’s television and streaming platforms, including national, regional and international cable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networks; the NBC and Telemundo broadcast networks, NBC and Telemundo owned local broadcast television stations; and Peacock.</w:t>
      </w:r>
    </w:p>
    <w:p>
      <w:pPr>
        <w:spacing w:after="0" w:line="37"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Studios: </w:t>
      </w:r>
      <w:r>
        <w:rPr>
          <w:rFonts w:ascii="Times New Roman" w:cs="Times New Roman" w:eastAsia="Times New Roman" w:hAnsi="Times New Roman"/>
          <w:sz w:val="18"/>
          <w:szCs w:val="18"/>
          <w:color w:val="auto"/>
        </w:rPr>
        <w:t>Consists primarily of NBCUniversal’s film and television studio production and distribution operations.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Theme Parks: </w:t>
      </w:r>
      <w:r>
        <w:rPr>
          <w:rFonts w:ascii="Times New Roman" w:cs="Times New Roman" w:eastAsia="Times New Roman" w:hAnsi="Times New Roman"/>
          <w:sz w:val="18"/>
          <w:szCs w:val="18"/>
          <w:color w:val="auto"/>
        </w:rPr>
        <w:t>Consists primarily of our Universal theme parks in Orlando, Florida; Hollywood, California; Osaka, Japan; and Beijing,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China.</w:t>
      </w:r>
    </w:p>
    <w:p>
      <w:pPr>
        <w:spacing w:after="0" w:line="60" w:lineRule="exact"/>
        <w:rPr>
          <w:rFonts w:ascii="Times New Roman" w:cs="Times New Roman" w:eastAsia="Times New Roman" w:hAnsi="Times New Roman"/>
          <w:sz w:val="18"/>
          <w:szCs w:val="18"/>
          <w:color w:val="auto"/>
        </w:rPr>
      </w:pPr>
    </w:p>
    <w:p>
      <w:pPr>
        <w:ind w:left="1080" w:right="120" w:hanging="424"/>
        <w:spacing w:after="0" w:line="268"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Sky: </w:t>
      </w:r>
      <w:r>
        <w:rPr>
          <w:rFonts w:ascii="Times New Roman" w:cs="Times New Roman" w:eastAsia="Times New Roman" w:hAnsi="Times New Roman"/>
          <w:sz w:val="18"/>
          <w:szCs w:val="18"/>
          <w:color w:val="auto"/>
        </w:rPr>
        <w:t>Consists of the operations of Sky, one of Europe’s leading entertainment companies, which primarily includes a direct-to-consumer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providing video, broadband, voice and wireless phone services, and a content business, operating entertainment networks, the Sky News broadcast network and Sky Sports networks.</w:t>
      </w:r>
    </w:p>
    <w:p>
      <w:pPr>
        <w:spacing w:after="0" w:line="17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Our other business interests consist primarily of the operations of Comcast Spectacor, which owns the Philadelphia Flyers and the Wells Fargo Center arena in Philadelphia, Pennsylvania, and other business initiatives.</w:t>
      </w:r>
    </w:p>
    <w:p>
      <w:pPr>
        <w:spacing w:after="0" w:line="16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see “Available Information” in this prospectus.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Guarantors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obligations, including the payment of principal, premium, if any, and interest on the debt securities issued pursuant to this prospectus will be fully and unconditionally guaranteed by each of the Guarantors. In this prospectus, we refer to these guarantees as the “Guarantees.” We have numerous other subsidiaries, including Comcast Holdings, and its and the Guarantors’ respective subsidiaries, that will not be guarantors on the debt securities. If indicated in the relevant prospectus supplement, our obligations under the other securities we are offering and selling may be fully and unconditionally guaranteed by specified Guarantors.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Guarantees will not contain any restrictions on the ability of any Guarantor to:</w:t>
      </w:r>
    </w:p>
    <w:p>
      <w:pPr>
        <w:spacing w:after="0" w:line="131" w:lineRule="exact"/>
        <w:rPr>
          <w:sz w:val="20"/>
          <w:szCs w:val="20"/>
          <w:color w:val="auto"/>
        </w:rPr>
      </w:pPr>
    </w:p>
    <w:p>
      <w:pPr>
        <w:ind w:left="1080" w:right="2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distributions on, or redeem, purchase, acquire, or make a liquidation payment with respect to, any of that Guarantor’s capital stock;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 of principal, interest or premium, if any, on or repay, repurchase or redeem any debt securities of that Guarantor.</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60"/>
          </w:cols>
          <w:pgMar w:left="320" w:top="455" w:right="5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Comcast Cable Communications, LLC</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Comcast Cable, which was incorporated in 1981 as a Delaware corporation, became a Delaware limited liability company in 2003 and is an indirect wholly owned subsidiary of ours.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NBCUniversal Media, LLC</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NBCUniversal is one of the world’s leading media and entertainment companies that develops, produces and distributes entertainment, news and information, sports, and other content for global audiences, and owns and operates theme parks worldwide.</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principal executive offices of Comcast and Comcast Cable are located at One Comcast Center, Philadelphia, Pennsylvania 19103-2838, and our telephone number is (215) 286-1700.</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principal executive offices of NBCUniversal are located at 30 Rockefeller Plaza, New York, New York 10112-0015, and its telephone number is (212) 664-4444.</w:t>
      </w:r>
    </w:p>
    <w:p>
      <w:pPr>
        <w:spacing w:after="0" w:line="16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We maintain a website at http://www.comcastcorporation.com where general information about us is available. We are not incorporating the contents of the website into this prospectus.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 CONCERNING FORWARD-LOOKING STATEMENTS</w:t>
      </w:r>
    </w:p>
    <w:p>
      <w:pPr>
        <w:spacing w:after="0" w:line="229"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In this prospectus and in the documents we incorporate by reference,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 —Risk Factors” in our Annual Report on Form 10-K for the year ended December 31, 2021 incorporated herein by reference. Actual events or our actual results may differ materially from any of our forward-looking statements. We undertake no obligation to update any forward-looking statements.</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businesses may be affected by, among other things, the following:</w:t>
      </w:r>
    </w:p>
    <w:p>
      <w:pPr>
        <w:spacing w:after="0" w:line="131"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has had, and may continue to have, a material adverse effect on our businesses and results of operations;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operate in highly competitive and dynamic industries, and our businesses and results of operations could be adversely affected if we do not compete effectively;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behavior continue to adversely affect our businesses and challenge existing business models;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advertisers’ expenditures or changes in advertising markets could negatively impact our businesses;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programming expenses for our video services are increasing, which could adversely affect our Cable Communications’ video businesses;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NBCUniversal’s and Sky’s success depends on consumer acceptance of their content, and their businesses may be adversely affected if their content fails to achieve sufficient consumer acceptance or the costs to create or acquire content increase;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programming distribution and licensing agreements, or the renewal of these agreements on less favorable terms, could adversely affect its businesses;</w:t>
      </w:r>
    </w:p>
    <w:p>
      <w:pPr>
        <w:spacing w:after="0" w:line="67" w:lineRule="exact"/>
        <w:rPr>
          <w:rFonts w:ascii="Times New Roman" w:cs="Times New Roman" w:eastAsia="Times New Roman" w:hAnsi="Times New Roman"/>
          <w:sz w:val="18"/>
          <w:szCs w:val="18"/>
          <w:color w:val="auto"/>
        </w:rPr>
      </w:pPr>
    </w:p>
    <w:p>
      <w:pPr>
        <w:jc w:val="both"/>
        <w:ind w:left="1080" w:right="680" w:hanging="424"/>
        <w:spacing w:after="0" w:line="312" w:lineRule="auto"/>
        <w:tabs>
          <w:tab w:leader="none" w:pos="10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favorable European telecommunications access regulations, the loss of Sky’s transmission access agreements with satellite or telecommunications providers or the renewal of these agreements on less favorable terms could adversely affect Sky’s businesses;</w:t>
      </w:r>
    </w:p>
    <w:p>
      <w:pPr>
        <w:spacing w:after="0" w:line="45" w:lineRule="exact"/>
        <w:rPr>
          <w:rFonts w:ascii="Times New Roman" w:cs="Times New Roman" w:eastAsia="Times New Roman" w:hAnsi="Times New Roman"/>
          <w:sz w:val="17"/>
          <w:szCs w:val="17"/>
          <w:color w:val="auto"/>
        </w:rPr>
      </w:pPr>
    </w:p>
    <w:p>
      <w:pPr>
        <w:ind w:left="1080" w:right="2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depend on using and protecting certain intellectual property rights and on not infringing the intellectual property rights of others;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necessary hardware, software and operational support;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depend on keeping pace with technological developments;</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 attack, information or security breach, or technology disruption or failure may negatively impact our ability to conduct our business or result in the misuse of confidential information, all of which could adversely affect our business, reputation and results of operations;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 economic conditions may have a negative impact on our businesses;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including our acquisitions of Sky, and other strategic initiatives present many risks, and we may not realize the financial and strategic goals that we had contemplated;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relating to doing business internationally that could adversely affect our businesses;</w:t>
      </w:r>
    </w:p>
    <w:p>
      <w:pPr>
        <w:spacing w:after="0" w:line="130" w:lineRule="exact"/>
        <w:rPr>
          <w:rFonts w:ascii="Times New Roman" w:cs="Times New Roman" w:eastAsia="Times New Roman" w:hAnsi="Times New Roman"/>
          <w:sz w:val="18"/>
          <w:szCs w:val="18"/>
          <w:color w:val="auto"/>
        </w:rPr>
      </w:pPr>
    </w:p>
    <w:p>
      <w:pPr>
        <w:ind w:left="5580" w:right="140" w:hanging="4924"/>
        <w:spacing w:after="0" w:line="454" w:lineRule="auto"/>
        <w:tabs>
          <w:tab w:leader="none" w:pos="108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severe weather and other uncontrollable events could adversely affect our business, reputation and results of operations; 4</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management personnel or popular on-air and creative talent could have an adverse effect on our businesses;</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regulation by federal, state, local and foreign authorities, which impose additional costs and restrictions on our businesses;</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litigation or governmental investigation results could require us to pay significant amounts or lead to onerous operating procedures;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disputes, whether involving employees or sports organizations, may disrupt our operations and adversely affect our businesses;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60"/>
          </w:cols>
          <w:pgMar w:left="320" w:top="455" w:right="5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w:t>
      </w:r>
    </w:p>
    <w:p>
      <w:pPr>
        <w:spacing w:after="0" w:line="2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intend to pay quarterly dividends at an annualized rate currently of $1.08 per share, although each dividend is subject to approval by our Board of Directors. Our Board of Directors retains the right to change our dividend policy at any time.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DEBT SECURITIES AND GUARANTEES</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debt securities, consisting of notes, debentures or other evidences of indebtedness, may be issued from time to time in one or more series under a senior indenture dated September 18, 2013, entered into among us, the guarantors named therein and The Bank of New York Mellon, as trustee, as amended by the first supplemental indenture dated as of November 17, 2015, entered into among us, the guarantors named therein and The Bank of New York Mellon, as trustee, and the second supplemental indenture dated as of July 29, 2022, entered into among us, the guarantors named therein and The Bank of New York Mellon, as trustee.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senior indenture is included as an exhibit to the registration statement of which this prospectus is a part.</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Because the following is only a summary of the indenture and the debt securities, it does not contain all information that you may find useful. For further information about the indenture and the debt securities, you should read the indenture. As used in this section of the prospectus and under the caption “Description of Capital Stock,” the terms “we,” “us” and “our” refer solely to Comcast Corporation and such references do not include any subsidiaries of Comcast Corporation, including the Guarantors.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senior debt securities will constitute our unsecured and unsubordinated obligations. The debt securities will be fully and unconditionally guaranteed by the Guarantors, as described below. The debt securities will not be guaranteed by any of our other subsidiaries, including the Guarantors’ respective subsidiaries.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Guarantors with respect to the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should look in the applicable prospectus supplement for the following terms of the debt securities being offered:</w:t>
      </w:r>
    </w:p>
    <w:p>
      <w:pPr>
        <w:spacing w:after="0" w:line="131"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their principal amount (i.e., price) at which the debt securities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debt securities will mature and the right, if any, to extend such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if any, per year, at which the debt securities will bear interest, or the method of determining such rate or rates;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that extension;</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a sinking fund purchase or other analogous fund, if any;</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payment of additional amounts for taxes and any provision for redemption, if we must pay such additional amounts in respect of any debt security;</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pursuant to which the debt securities may be converted or exchanged for the cash value of other securities issued by us or by a third party;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“reopen” a series of the debt securities and issue additional debt securities of such series; and</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62"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relevant prospectus supplement.</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in this section, the following terms have the meanings set forth below.</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“Aggregate Debt” means, with respect to an Obligor, the sum of the following as of the date of determination:</w:t>
      </w:r>
    </w:p>
    <w:p>
      <w:pPr>
        <w:spacing w:after="0" w:line="117" w:lineRule="exact"/>
        <w:rPr>
          <w:sz w:val="20"/>
          <w:szCs w:val="20"/>
          <w:color w:val="auto"/>
        </w:rPr>
      </w:pPr>
    </w:p>
    <w:p>
      <w:pPr>
        <w:ind w:left="120" w:right="460" w:firstLine="436"/>
        <w:spacing w:after="0" w:line="282" w:lineRule="auto"/>
        <w:tabs>
          <w:tab w:leader="none" w:pos="80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such Obligor’s Indebtedness incurred after the date of initial issuance of the senior debt securities and secured by Liens not permitted by the first sentence under “—Limitation on Liens Securing Indebtedness”; and</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60"/>
          </w:cols>
          <w:pgMar w:left="320" w:top="455" w:right="5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firstLine="436"/>
        <w:spacing w:after="0" w:line="282" w:lineRule="auto"/>
        <w:tabs>
          <w:tab w:leader="none" w:pos="8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Obligor’s Attributable Liens in respect of sale and lease-back transactions entered into after the date of the initial issuance of the senior debt securities pursuant to the second paragraph of “—Limitation on Sale and Lease-Back Transactions.”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“Attributable Liens” means in connection with a sale and lease-back transaction of an Obligor the lesser of:</w:t>
      </w:r>
    </w:p>
    <w:p>
      <w:pPr>
        <w:spacing w:after="0" w:line="225" w:lineRule="exact"/>
        <w:rPr>
          <w:sz w:val="20"/>
          <w:szCs w:val="20"/>
          <w:color w:val="auto"/>
        </w:rPr>
      </w:pPr>
    </w:p>
    <w:p>
      <w:pPr>
        <w:ind w:left="120" w:right="640" w:firstLine="436"/>
        <w:spacing w:after="0" w:line="282" w:lineRule="auto"/>
        <w:tabs>
          <w:tab w:leader="none" w:pos="80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assets subject to such transaction (as determined in good faith by our board of directors (in our case) or the equivalent governing body of any Guarantor); and</w:t>
      </w:r>
    </w:p>
    <w:p>
      <w:pPr>
        <w:spacing w:after="0" w:line="161" w:lineRule="exact"/>
        <w:rPr>
          <w:rFonts w:ascii="Times New Roman" w:cs="Times New Roman" w:eastAsia="Times New Roman" w:hAnsi="Times New Roman"/>
          <w:sz w:val="18"/>
          <w:szCs w:val="18"/>
          <w:color w:val="auto"/>
        </w:rPr>
      </w:pPr>
    </w:p>
    <w:p>
      <w:pPr>
        <w:ind w:left="120" w:right="160" w:firstLine="436"/>
        <w:spacing w:after="0" w:line="266" w:lineRule="auto"/>
        <w:tabs>
          <w:tab w:leader="none" w:pos="8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(discounted at a rate per annum equal to the average interest borne by all outstanding debt securities issued under the senior indenture (which may include debt securities in addition to the senior debt security) determined on a weighted average basis and compounded semi-annually) of the obligations of the lessee for rental payments during the term of the related lease.</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“Capital Lease”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senior indenture, whether entered into before or after the date of the senior indenture.</w:t>
      </w:r>
    </w:p>
    <w:p>
      <w:pPr>
        <w:spacing w:after="0" w:line="176"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“Consolidated Net Worth” of any Person means, as of any date of determination, stockholders’ equity or members’ capital of such Person as reflected on the most recent consolidated balance sheet of such Person and prepared in accordance with GAAP.</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“GAAP”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 (i) the date of the senior indenture, for purposes of the definition of “Capital Lease” and (ii) the date of determination, for all other purposes under the senior indenture.</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“Governmental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“Indebtedness”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83"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“Lien” means any lien, security interest, charge or encumbrance of any kind (including any conditional sale or other title retention agreement, any lease in the nature thereof, and any agreement to give any security interest).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“Obligor” means us and the Guarantors.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“Permitted Liens” means, with respect to an Obligor:</w:t>
      </w:r>
    </w:p>
    <w:p>
      <w:pPr>
        <w:spacing w:after="0" w:line="117" w:lineRule="exact"/>
        <w:rPr>
          <w:sz w:val="20"/>
          <w:szCs w:val="20"/>
          <w:color w:val="auto"/>
        </w:rPr>
      </w:pPr>
    </w:p>
    <w:p>
      <w:pPr>
        <w:ind w:left="120" w:right="80" w:firstLine="436"/>
        <w:spacing w:after="0" w:line="266" w:lineRule="auto"/>
        <w:tabs>
          <w:tab w:leader="none" w:pos="80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175" w:lineRule="exact"/>
        <w:rPr>
          <w:rFonts w:ascii="Times New Roman" w:cs="Times New Roman" w:eastAsia="Times New Roman" w:hAnsi="Times New Roman"/>
          <w:sz w:val="18"/>
          <w:szCs w:val="18"/>
          <w:color w:val="auto"/>
        </w:rPr>
      </w:pPr>
    </w:p>
    <w:p>
      <w:pPr>
        <w:ind w:left="120" w:firstLine="436"/>
        <w:spacing w:after="0" w:line="255" w:lineRule="auto"/>
        <w:tabs>
          <w:tab w:leader="none" w:pos="8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w:t>
      </w:r>
    </w:p>
    <w:p>
      <w:pPr>
        <w:spacing w:after="0" w:line="188" w:lineRule="exact"/>
        <w:rPr>
          <w:rFonts w:ascii="Times New Roman" w:cs="Times New Roman" w:eastAsia="Times New Roman" w:hAnsi="Times New Roman"/>
          <w:sz w:val="18"/>
          <w:szCs w:val="18"/>
          <w:color w:val="auto"/>
        </w:rPr>
      </w:pPr>
    </w:p>
    <w:p>
      <w:pPr>
        <w:ind w:left="120" w:right="580" w:firstLine="436"/>
        <w:spacing w:after="0" w:line="282" w:lineRule="auto"/>
        <w:tabs>
          <w:tab w:leader="none" w:pos="80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w:t>
      </w:r>
    </w:p>
    <w:p>
      <w:pPr>
        <w:spacing w:after="0" w:line="161" w:lineRule="exact"/>
        <w:rPr>
          <w:rFonts w:ascii="Times New Roman" w:cs="Times New Roman" w:eastAsia="Times New Roman" w:hAnsi="Times New Roman"/>
          <w:sz w:val="18"/>
          <w:szCs w:val="18"/>
          <w:color w:val="auto"/>
        </w:rPr>
      </w:pPr>
    </w:p>
    <w:p>
      <w:pPr>
        <w:ind w:left="120" w:right="180" w:firstLine="436"/>
        <w:spacing w:after="0" w:line="282" w:lineRule="auto"/>
        <w:tabs>
          <w:tab w:leader="none" w:pos="8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not yet due or that are being contested in good faith by appropriate proceedings, provided that adequate reserves with respect thereto are maintained on such Obligor’s books in conformity with GAAP;</w:t>
      </w:r>
    </w:p>
    <w:p>
      <w:pPr>
        <w:spacing w:after="0" w:line="161" w:lineRule="exact"/>
        <w:rPr>
          <w:rFonts w:ascii="Times New Roman" w:cs="Times New Roman" w:eastAsia="Times New Roman" w:hAnsi="Times New Roman"/>
          <w:sz w:val="18"/>
          <w:szCs w:val="18"/>
          <w:color w:val="auto"/>
        </w:rPr>
      </w:pPr>
    </w:p>
    <w:p>
      <w:pPr>
        <w:ind w:left="120" w:right="120" w:firstLine="436"/>
        <w:spacing w:after="0" w:line="282" w:lineRule="auto"/>
        <w:tabs>
          <w:tab w:leader="none" w:pos="80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reimbursement obligations with respect to letters of credit that encumber documents and other Property relating to such letters of credit and the products and proceeds thereof;</w:t>
      </w:r>
    </w:p>
    <w:p>
      <w:pPr>
        <w:spacing w:after="0" w:line="161" w:lineRule="exact"/>
        <w:rPr>
          <w:rFonts w:ascii="Times New Roman" w:cs="Times New Roman" w:eastAsia="Times New Roman" w:hAnsi="Times New Roman"/>
          <w:sz w:val="18"/>
          <w:szCs w:val="18"/>
          <w:color w:val="auto"/>
        </w:rPr>
      </w:pPr>
    </w:p>
    <w:p>
      <w:pPr>
        <w:ind w:left="120" w:right="120" w:firstLine="436"/>
        <w:spacing w:after="0" w:line="266" w:lineRule="auto"/>
        <w:tabs>
          <w:tab w:leader="none" w:pos="7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w:t>
      </w:r>
    </w:p>
    <w:p>
      <w:pPr>
        <w:spacing w:after="0" w:line="17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us or any Guarantor;</w:t>
      </w:r>
    </w:p>
    <w:p>
      <w:pPr>
        <w:spacing w:after="0" w:line="225" w:lineRule="exact"/>
        <w:rPr>
          <w:rFonts w:ascii="Times New Roman" w:cs="Times New Roman" w:eastAsia="Times New Roman" w:hAnsi="Times New Roman"/>
          <w:sz w:val="18"/>
          <w:szCs w:val="18"/>
          <w:color w:val="auto"/>
        </w:rPr>
      </w:pPr>
    </w:p>
    <w:p>
      <w:pPr>
        <w:ind w:left="120" w:right="60" w:firstLine="436"/>
        <w:spacing w:after="0" w:line="266" w:lineRule="auto"/>
        <w:tabs>
          <w:tab w:leader="none" w:pos="8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75" w:lineRule="exact"/>
        <w:rPr>
          <w:rFonts w:ascii="Times New Roman" w:cs="Times New Roman" w:eastAsia="Times New Roman" w:hAnsi="Times New Roman"/>
          <w:sz w:val="18"/>
          <w:szCs w:val="18"/>
          <w:color w:val="auto"/>
        </w:rPr>
      </w:pPr>
    </w:p>
    <w:p>
      <w:pPr>
        <w:ind w:left="120" w:right="260" w:firstLine="436"/>
        <w:spacing w:after="0" w:line="282" w:lineRule="auto"/>
        <w:tabs>
          <w:tab w:leader="none" w:pos="7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61" w:lineRule="exact"/>
        <w:rPr>
          <w:rFonts w:ascii="Times New Roman" w:cs="Times New Roman" w:eastAsia="Times New Roman" w:hAnsi="Times New Roman"/>
          <w:sz w:val="18"/>
          <w:szCs w:val="18"/>
          <w:color w:val="auto"/>
        </w:rPr>
      </w:pPr>
    </w:p>
    <w:p>
      <w:pPr>
        <w:ind w:left="120" w:right="500" w:firstLine="436"/>
        <w:spacing w:after="0" w:line="282" w:lineRule="auto"/>
        <w:tabs>
          <w:tab w:leader="none" w:pos="7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61" w:lineRule="exact"/>
        <w:rPr>
          <w:rFonts w:ascii="Times New Roman" w:cs="Times New Roman" w:eastAsia="Times New Roman" w:hAnsi="Times New Roman"/>
          <w:sz w:val="18"/>
          <w:szCs w:val="18"/>
          <w:color w:val="auto"/>
        </w:rPr>
      </w:pPr>
    </w:p>
    <w:p>
      <w:pPr>
        <w:ind w:left="120" w:right="60" w:firstLine="436"/>
        <w:spacing w:after="0" w:line="266" w:lineRule="auto"/>
        <w:tabs>
          <w:tab w:leader="none" w:pos="8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pledges or deposits of Property to secure performance in connection with operating leases made in the ordinary course of business to which such Obligor is a party as lessee, provided that the aggregate value of all such pledges and deposits in connection with any such lease does not at any time exceed 16 2/3% of the annual fixed rentals payable under such lease;</w:t>
      </w:r>
    </w:p>
    <w:p>
      <w:pPr>
        <w:spacing w:after="0" w:line="175" w:lineRule="exact"/>
        <w:rPr>
          <w:rFonts w:ascii="Times New Roman" w:cs="Times New Roman" w:eastAsia="Times New Roman" w:hAnsi="Times New Roman"/>
          <w:sz w:val="18"/>
          <w:szCs w:val="18"/>
          <w:color w:val="auto"/>
        </w:rPr>
      </w:pPr>
    </w:p>
    <w:p>
      <w:pPr>
        <w:ind w:left="780" w:hanging="224"/>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deposits of Property to secure such Obligor’s statutory obligations in the ordinary course of our business;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20" w:firstLine="436"/>
        <w:spacing w:after="0" w:line="282" w:lineRule="auto"/>
        <w:tabs>
          <w:tab w:leader="none" w:pos="86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deposits of Property to secure (or in lieu of) surety, appeal or customs bonds in proceedings to which such Obligor is a party in the ordinary course of its business, but not in excess of $25,000,000;</w:t>
      </w:r>
    </w:p>
    <w:p>
      <w:pPr>
        <w:spacing w:after="0" w:line="53"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“margin stock” (as defined in Regulation U of the Board of Governors of the Federal Reserve System);</w:t>
      </w:r>
    </w:p>
    <w:p>
      <w:pPr>
        <w:spacing w:after="0" w:line="117" w:lineRule="exact"/>
        <w:rPr>
          <w:rFonts w:ascii="Times New Roman" w:cs="Times New Roman" w:eastAsia="Times New Roman" w:hAnsi="Times New Roman"/>
          <w:sz w:val="18"/>
          <w:szCs w:val="18"/>
          <w:color w:val="auto"/>
        </w:rPr>
      </w:pPr>
    </w:p>
    <w:p>
      <w:pPr>
        <w:ind w:left="120" w:right="260" w:firstLine="436"/>
        <w:spacing w:after="0" w:line="282" w:lineRule="auto"/>
        <w:tabs>
          <w:tab w:leader="none" w:pos="8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permitted under sale and lease-back transactions, and any renewals or extensions thereof, so long as the Indebtedness secured thereby does not exceed $300,000,000 in the aggregate;</w:t>
      </w:r>
    </w:p>
    <w:p>
      <w:pPr>
        <w:spacing w:after="0" w:line="53" w:lineRule="exact"/>
        <w:rPr>
          <w:rFonts w:ascii="Times New Roman" w:cs="Times New Roman" w:eastAsia="Times New Roman" w:hAnsi="Times New Roman"/>
          <w:sz w:val="18"/>
          <w:szCs w:val="18"/>
          <w:color w:val="auto"/>
        </w:rPr>
      </w:pPr>
    </w:p>
    <w:p>
      <w:pPr>
        <w:ind w:left="120" w:right="200" w:firstLine="436"/>
        <w:spacing w:after="0" w:line="282" w:lineRule="auto"/>
        <w:tabs>
          <w:tab w:leader="none" w:pos="8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in connection with asset securitization transactions, so long as the aggregate outstanding principal amount of the obligations of all Obligors secured thereby does not exceed $300,000,000 at any one time;</w:t>
      </w:r>
    </w:p>
    <w:p>
      <w:pPr>
        <w:spacing w:after="0" w:line="53" w:lineRule="exact"/>
        <w:rPr>
          <w:rFonts w:ascii="Times New Roman" w:cs="Times New Roman" w:eastAsia="Times New Roman" w:hAnsi="Times New Roman"/>
          <w:sz w:val="18"/>
          <w:szCs w:val="18"/>
          <w:color w:val="auto"/>
        </w:rPr>
      </w:pPr>
    </w:p>
    <w:p>
      <w:pPr>
        <w:ind w:left="120" w:right="300" w:firstLine="436"/>
        <w:spacing w:after="0" w:line="266" w:lineRule="auto"/>
        <w:tabs>
          <w:tab w:leader="none" w:pos="8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67" w:lineRule="exact"/>
        <w:rPr>
          <w:rFonts w:ascii="Times New Roman" w:cs="Times New Roman" w:eastAsia="Times New Roman" w:hAnsi="Times New Roman"/>
          <w:sz w:val="18"/>
          <w:szCs w:val="18"/>
          <w:color w:val="auto"/>
        </w:rPr>
      </w:pPr>
    </w:p>
    <w:p>
      <w:pPr>
        <w:ind w:left="120" w:right="140" w:firstLine="436"/>
        <w:spacing w:after="0" w:line="266" w:lineRule="auto"/>
        <w:tabs>
          <w:tab w:leader="none" w:pos="7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 (iii) attaching to other prepayments, deposits or earnest money in the ordinary course of business; and</w:t>
      </w:r>
    </w:p>
    <w:p>
      <w:pPr>
        <w:spacing w:after="0" w:line="67"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Take-or-pay obligations arising in the ordinary course of business.</w:t>
      </w:r>
    </w:p>
    <w:p>
      <w:pPr>
        <w:spacing w:after="0" w:line="225"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“Person”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“Property” means with respect to any Person any property or asset, whether real, personal or mixed, or tangible or intangible, including shares of capital stock.</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“Subsidiary”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Terms of the Senior Debt Securities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obligations under the senior debt securities, including the payment of principal, premium, if any, and interest, will be fully and unconditionally guaranteed by each of the Guarantors. The Guarantees will rank equally with all other general unsecured and unsubordinated obligations of the Guarantors.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Guarantees will not contain any restrictions on the ability of any Guarantor to:</w:t>
      </w:r>
    </w:p>
    <w:p>
      <w:pPr>
        <w:spacing w:after="0" w:line="131" w:lineRule="exact"/>
        <w:rPr>
          <w:sz w:val="20"/>
          <w:szCs w:val="20"/>
          <w:color w:val="auto"/>
        </w:rPr>
      </w:pPr>
    </w:p>
    <w:p>
      <w:pPr>
        <w:ind w:left="1080" w:right="3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distributions on, or redeem, purchase, acquire, or make a liquidation payment with respect to, any of that Guarantor’s capital stock,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 of principal, interest or premium, if any, on or repay, repurchase or redeem any debt securities of that Guarantor.</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Certain Covenants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We and the Guarantors have agreed to some restrictions on our activities for the benefit of holders of all series of senior debt securities issued under the senior indenture. The restrictive covenants summarized below</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will apply, unless the covenants are waived or amended, so long as any of the senior debt securities are outstanding.</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Liens Securing Indebtedness.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With respect to the senior debt securities of each series, each Obligor will covenant under the senior indenture not to create or incur any Lien on any of its Properties, whether owned at the time the senior indenture is executed or acquired afterward, in order to secure any of its Indebtedness, without effectively providing that the senior debt securities of such series shall be equally and ratably secured until such time as such Indebtedness is no longer secured by such Lien, except:</w:t>
      </w:r>
    </w:p>
    <w:p>
      <w:pPr>
        <w:spacing w:after="0" w:line="85"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as of the date of initial issuance of the senior debt securities of such series;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after the date of initial issuance of the senior debt securities of such series, created in favor of the registered holders of the senior debt securities of such series;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58"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such Obligor’s Indebtedness which are incurred to extend, renew or refinance Indebtedness which is secured by Liens permitted to be incurred under the lien restriction covenant of the senior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Limitation on Sale and Lease-Back Transactions.</w:t>
      </w:r>
    </w:p>
    <w:p>
      <w:pPr>
        <w:spacing w:after="0" w:line="121" w:lineRule="exact"/>
        <w:rPr>
          <w:sz w:val="20"/>
          <w:szCs w:val="20"/>
          <w:color w:val="auto"/>
        </w:rPr>
      </w:pPr>
    </w:p>
    <w:p>
      <w:pPr>
        <w:jc w:val="both"/>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With respect to the senior debt securities of each series, each Obligor will covenant under the senior indenture not to enter into any sale and lease-back transaction for the sale and leasing back of any Property, whether owned at the time the senior indenture is executed or acquired afterward, unless:</w:t>
      </w:r>
    </w:p>
    <w:p>
      <w:pPr>
        <w:spacing w:after="0" w:line="45"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was entered into prior to the date of the initial issuance of the senior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was for the sale and leasing back to such Obligor of any Property by one of its Subsidiaries;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involves a lease for less than three years;</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Obligor would be entitled to incur Indebtedness secured by a mortgage on the Property to be leased in an amount equal to the Attributable Liens with respect to such sale and lease-back transaction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455" w:right="4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360"/>
        <w:spacing w:after="0" w:line="282" w:lineRule="auto"/>
        <w:rPr>
          <w:sz w:val="20"/>
          <w:szCs w:val="20"/>
          <w:color w:val="auto"/>
        </w:rPr>
      </w:pPr>
      <w:r>
        <w:rPr>
          <w:rFonts w:ascii="Times New Roman" w:cs="Times New Roman" w:eastAsia="Times New Roman" w:hAnsi="Times New Roman"/>
          <w:sz w:val="18"/>
          <w:szCs w:val="18"/>
          <w:color w:val="auto"/>
        </w:rPr>
        <w:t>without equally and ratably securing the senior debt securities of such series pursuant to the first paragraph of “—Limitation on Liens Securing Indebtedness” above; or</w:t>
      </w:r>
    </w:p>
    <w:p>
      <w:pPr>
        <w:spacing w:after="0" w:line="67" w:lineRule="exact"/>
        <w:rPr>
          <w:sz w:val="20"/>
          <w:szCs w:val="20"/>
          <w:color w:val="auto"/>
        </w:rPr>
      </w:pPr>
    </w:p>
    <w:p>
      <w:pPr>
        <w:ind w:left="1080" w:hanging="424"/>
        <w:spacing w:after="0" w:line="261"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senior debt securities of such series.</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Consolidation, Merger and Sale of Assets.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will not consolidate or combine with or merge with or into or, directly or indirectly, sell, assign, convey, lease, transfer or otherwise dispose of all or substantially all of our assets to any Person or Persons (other than a transfer or other disposition of assets to any of our wholly owned Subsidiaries), in a single transaction or through a series of transactions, unless:</w:t>
      </w:r>
    </w:p>
    <w:p>
      <w:pPr>
        <w:spacing w:after="0" w:line="81" w:lineRule="exact"/>
        <w:rPr>
          <w:sz w:val="20"/>
          <w:szCs w:val="20"/>
          <w:color w:val="auto"/>
        </w:rPr>
      </w:pPr>
    </w:p>
    <w:p>
      <w:pPr>
        <w:ind w:left="1080" w:right="14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81"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entity will expressly assume all of our obligations under the senior debt securities and the indenture and will execute a supplemental indenture, in a form satisfactory to the trustee, which will be delivered to the trustee;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or series of transactions on a pro forma basis, no default has occurred and is continuing;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restrictions in the third bullet above shall not be applicable to:</w:t>
      </w:r>
    </w:p>
    <w:p>
      <w:pPr>
        <w:spacing w:after="0" w:line="131" w:lineRule="exact"/>
        <w:rPr>
          <w:sz w:val="20"/>
          <w:szCs w:val="20"/>
          <w:color w:val="auto"/>
        </w:rPr>
      </w:pPr>
    </w:p>
    <w:p>
      <w:pPr>
        <w:ind w:left="1080" w:right="10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or consolidation of us with an affiliate if our board of directors determines in good faith that the purpose of such transaction is principally to change our state of incorporation or convert our form of organization to another form; or</w:t>
      </w:r>
    </w:p>
    <w:p>
      <w:pPr>
        <w:spacing w:after="0" w:line="67"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any consolidation or merger or any sale, assignment, conveyance, lease, transfer or other disposition of all or substantially all of our assets occurs in accordance with the indenture, the successor person will succeed to, and be substituted for us, and may exercise every right and power of ours under the indenture with the same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80"/>
          </w:cols>
          <w:pgMar w:left="320" w:top="455" w:right="4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effect as if such successor person had been named in our place in the indenture. We will (except in the case of a lease) be discharged from all obligations and covenants under the indenture and any debt securities issued thereunder (including the senior debt securities).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Existence.</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Except as permitted under “—Consolidation, Merger and Sale of Assets,” the indenture requires us to do or cause to be done all things necessary to preserve and keep in full force and effect our existence, rights and franchises; provided, however, that we shall not be required to preserve any right or franchise if we determine that its preservation is no longer desirable in the conduct of business.</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Information.</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will furnish to the trustee any document or report we are required to file with the SEC pursuant to Section 13 or Section 15(d) of the 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of the following will constitute an event of default in the senior indenture with respect to the senior debt securities of any series: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default in paying interest on the senior debt securities of such series when it becomes due and the default continues for a period of 30 days or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more;</w:t>
      </w:r>
    </w:p>
    <w:p>
      <w:pPr>
        <w:spacing w:after="0" w:line="207" w:lineRule="exact"/>
        <w:rPr>
          <w:sz w:val="20"/>
          <w:szCs w:val="20"/>
          <w:color w:val="auto"/>
        </w:rPr>
      </w:pPr>
    </w:p>
    <w:p>
      <w:pPr>
        <w:ind w:left="820" w:hanging="264"/>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paying principal on the senior debt securities of such series when due;</w:t>
      </w:r>
    </w:p>
    <w:p>
      <w:pPr>
        <w:spacing w:after="0" w:line="225" w:lineRule="exact"/>
        <w:rPr>
          <w:rFonts w:ascii="Times New Roman" w:cs="Times New Roman" w:eastAsia="Times New Roman" w:hAnsi="Times New Roman"/>
          <w:sz w:val="18"/>
          <w:szCs w:val="18"/>
          <w:color w:val="auto"/>
        </w:rPr>
      </w:pPr>
    </w:p>
    <w:p>
      <w:pPr>
        <w:jc w:val="both"/>
        <w:ind w:left="120" w:right="40" w:firstLine="436"/>
        <w:spacing w:after="0" w:line="261" w:lineRule="auto"/>
        <w:tabs>
          <w:tab w:leader="none" w:pos="80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any Obligor in the performance, or breach, of any covenant in the senior indenture (other than defaults specified in clause (a) or (b)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senior indenture (voting together as a single class);</w:t>
      </w:r>
    </w:p>
    <w:p>
      <w:pPr>
        <w:spacing w:after="0" w:line="179"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events of bankruptcy, insolvency, reorganization, administration or similar proceedings with respect to us or any Obligor have occurred;</w:t>
      </w:r>
    </w:p>
    <w:p>
      <w:pPr>
        <w:spacing w:after="0" w:line="38" w:lineRule="exact"/>
        <w:rPr>
          <w:rFonts w:ascii="Times New Roman" w:cs="Times New Roman" w:eastAsia="Times New Roman" w:hAnsi="Times New Roman"/>
          <w:sz w:val="17"/>
          <w:szCs w:val="17"/>
          <w:color w:val="auto"/>
        </w:rPr>
      </w:pPr>
    </w:p>
    <w:p>
      <w:pPr>
        <w:ind w:left="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or</w:t>
      </w:r>
    </w:p>
    <w:p>
      <w:pPr>
        <w:spacing w:after="0" w:line="206" w:lineRule="exact"/>
        <w:rPr>
          <w:rFonts w:ascii="Times New Roman" w:cs="Times New Roman" w:eastAsia="Times New Roman" w:hAnsi="Times New Roman"/>
          <w:sz w:val="17"/>
          <w:szCs w:val="17"/>
          <w:color w:val="auto"/>
        </w:rPr>
      </w:pPr>
    </w:p>
    <w:p>
      <w:pPr>
        <w:ind w:left="800" w:hanging="244"/>
        <w:spacing w:after="0"/>
        <w:tabs>
          <w:tab w:leader="none" w:pos="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 shall not be (or shall be claimed by the relevant Guarantor not to be) in full force and effect.</w:t>
      </w:r>
    </w:p>
    <w:p>
      <w:pPr>
        <w:spacing w:after="0" w:line="225" w:lineRule="exact"/>
        <w:rPr>
          <w:sz w:val="20"/>
          <w:szCs w:val="20"/>
          <w:color w:val="auto"/>
        </w:rPr>
      </w:pPr>
    </w:p>
    <w:p>
      <w:pPr>
        <w:jc w:val="both"/>
        <w:ind w:left="120" w:right="200" w:firstLine="440"/>
        <w:spacing w:after="0" w:line="281" w:lineRule="auto"/>
        <w:rPr>
          <w:sz w:val="20"/>
          <w:szCs w:val="20"/>
          <w:color w:val="auto"/>
        </w:rPr>
      </w:pPr>
      <w:r>
        <w:rPr>
          <w:rFonts w:ascii="Times New Roman" w:cs="Times New Roman" w:eastAsia="Times New Roman" w:hAnsi="Times New Roman"/>
          <w:sz w:val="17"/>
          <w:szCs w:val="17"/>
          <w:color w:val="auto"/>
        </w:rPr>
        <w:t>If an event of default (other than an event of default specified in clause (d) above) under the senior indenture occurs and is continuing, then the trustee may and, at the direction of the holders of at least 25% in aggregate principal amount of the senior debt securities of all affected series and the debt securities of all other affected series outstanding under the senior indenture (voting together as a single class), will by written notice, require us to repay immediately the entire principal amount of the outstanding debt securities of each affected series, together with all accrued and unpaid interest.</w:t>
      </w:r>
    </w:p>
    <w:p>
      <w:pPr>
        <w:spacing w:after="0" w:line="164"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under the senior indenture specified in clause (d) occurs and is continuing, then the entire principal amount of the outstanding senior debt securities will automatically become due immediately and payable without any declaration or other act on the part of the trustee or any holder.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55"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After a declaration of acceleration or any automatic acceleration under clause (d) described above, the holders of a majority in principal amount of the outstanding senior debt securities of any series (each such series voting as a separate class) may rescind this accelerated payment requirement with respect to the senior debt securities of such series if all existing events of default with respect to the senior debt securities of such series, except for nonpayment of the principal and interest on the senior debt securities of such series that have become due solely as a result of the accelerated payment requirement, have been cured or waived and if the rescission of acceleration would not conflict with any judgment or decree and if all sums paid or advanced by the trustee under the senior indenture and the reasonable compensation, expenses, disbursements and advances of the trustee and its agents and counsel have been paid.</w:t>
      </w:r>
    </w:p>
    <w:p>
      <w:pPr>
        <w:spacing w:after="0" w:line="18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holders of a majority in principal amount of the senior debt securities of all affected series and the debt securities of all other affected series outstanding under the senior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w:t>
      </w:r>
    </w:p>
    <w:p>
      <w:pPr>
        <w:spacing w:after="0" w:line="180"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The holders of at least 25% in aggregate principal amount of the senior debt securities of all affected series and the debt securities of all other affected series outstanding under the senior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During the existence of an event of default of which a responsible officer of the trustee has actual knowledge or has received written notice from us or any holder of the senior debt securities, the trustee is required to exercise the rights and powers vested in it under the senior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senior indenture (voting together as a single class) have the right to direct the time, method and place of conducting any proceeding for any remedy available to the trustee, or exercising any trust, or power conferred on the trustee.</w:t>
      </w:r>
    </w:p>
    <w:p>
      <w:pPr>
        <w:spacing w:after="0" w:line="192"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The trustee will, within 90 days after any default occurs with respect to the senior debt securities of any series, give notice of the default to the holders of the senior debt securities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are required to furnish to the trustee an annual statement as to compliance with all conditions and covenants under the senior indenture within 120 days of the end of each fiscal year.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Discharge and Defeasance</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may terminate our obligations and the obligations of the Guarantors under the indenture with respect to the senior debt securities of any series and the Guarantees of such series of senior debt securities, when:</w:t>
      </w:r>
    </w:p>
    <w:p>
      <w:pPr>
        <w:spacing w:after="0" w:line="67"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senior debt securities of such series that have been authenticated and delivered have been canceled or delivered to the trustee for cancellation; or</w:t>
      </w:r>
    </w:p>
    <w:p>
      <w:pPr>
        <w:spacing w:after="0" w:line="67" w:lineRule="exact"/>
        <w:rPr>
          <w:rFonts w:ascii="Times New Roman" w:cs="Times New Roman" w:eastAsia="Times New Roman" w:hAnsi="Times New Roman"/>
          <w:sz w:val="18"/>
          <w:szCs w:val="18"/>
          <w:color w:val="auto"/>
        </w:rPr>
      </w:pPr>
    </w:p>
    <w:p>
      <w:pPr>
        <w:jc w:val="both"/>
        <w:ind w:left="1080" w:right="120" w:hanging="424"/>
        <w:spacing w:after="0" w:line="258"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senior debt securities of such series issued that have not been canceled or delivered to the trustee for cancellation have become due and payable, are by their terms to become due and 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w:t>
      </w:r>
    </w:p>
    <w:p>
      <w:pPr>
        <w:spacing w:after="0" w:line="88"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then due and payable under the indenture with respect to the senior debt securities of such series; and</w:t>
      </w:r>
    </w:p>
    <w:p>
      <w:pPr>
        <w:spacing w:after="0" w:line="67" w:lineRule="exact"/>
        <w:rPr>
          <w:rFonts w:ascii="Times New Roman" w:cs="Times New Roman" w:eastAsia="Times New Roman" w:hAnsi="Times New Roman"/>
          <w:sz w:val="18"/>
          <w:szCs w:val="18"/>
          <w:color w:val="auto"/>
        </w:rPr>
      </w:pPr>
    </w:p>
    <w:p>
      <w:pPr>
        <w:jc w:val="both"/>
        <w:ind w:left="1080" w:right="48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w:t>
      </w:r>
    </w:p>
    <w:p>
      <w:pPr>
        <w:spacing w:after="0" w:line="81"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the senior debt securities of such series to receive principal or interest when due;</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and the provisions relating to the resignation and removal of the trustee and the appointment of a successor trustee;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provisions of the indenture.</w:t>
      </w:r>
    </w:p>
    <w:p>
      <w:pPr>
        <w:spacing w:after="0" w:line="225"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addition, we may elect to have our and the Guarantors’ obligations released with respect to certain covenants in the indenture (“covenant defeasance”). In the event covenant defeasance occurs, certain events, not including nonpayment, bankruptcy and insolvency events, described under “—Events of Default” will no longer constitute an event of default for that series.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order to exercise either legal defeasance or covenant defeasance with respect to outstanding senior debt securities and Guarantees of any series:</w:t>
      </w:r>
    </w:p>
    <w:p>
      <w:pPr>
        <w:spacing w:after="0" w:line="131" w:lineRule="exact"/>
        <w:rPr>
          <w:sz w:val="20"/>
          <w:szCs w:val="20"/>
          <w:color w:val="auto"/>
        </w:rPr>
      </w:pPr>
    </w:p>
    <w:p>
      <w:pPr>
        <w:ind w:left="1080" w:hanging="424"/>
        <w:spacing w:after="0" w:line="312" w:lineRule="auto"/>
        <w:tabs>
          <w:tab w:leader="none" w:pos="10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must irrevocably have deposited or caused to be deposited with the trustee as trust funds for the purpose of making the following payments, specifically pledged as security for, and dedicated solely to the benefits of the holders of the senior debt securities of such series:</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Obligations (measured with respect to the scheduled payments of principal and interest thereon);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cash and U.S. Government Obligations;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w:t>
      </w:r>
    </w:p>
    <w:p>
      <w:pPr>
        <w:spacing w:after="0" w:line="85" w:lineRule="exact"/>
        <w:rPr>
          <w:sz w:val="20"/>
          <w:szCs w:val="20"/>
          <w:color w:val="auto"/>
        </w:rPr>
      </w:pPr>
    </w:p>
    <w:p>
      <w:pPr>
        <w:ind w:left="1080" w:right="80" w:hanging="424"/>
        <w:spacing w:after="0" w:line="261"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we have delivered to the trustee an opinion of counsel stating that, as a result of an Internal Revenue Service (“IRS”) ruling or a change in applicable federal income tax law, the beneficial owners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85" w:lineRule="exact"/>
        <w:rPr>
          <w:rFonts w:ascii="Times New Roman" w:cs="Times New Roman" w:eastAsia="Times New Roman" w:hAnsi="Times New Roman"/>
          <w:sz w:val="18"/>
          <w:szCs w:val="18"/>
          <w:color w:val="auto"/>
        </w:rPr>
      </w:pPr>
    </w:p>
    <w:p>
      <w:pPr>
        <w:ind w:left="1080" w:right="220" w:hanging="424"/>
        <w:spacing w:after="0" w:line="261"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we have delivered to the trustee an opinion of counsel to the effect that the beneficial owners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85"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88"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or covenant defeasance will not cause the trustee to have a conflicting interest within the meaning of the Trust Indenture Act, assuming all senior debt securities of such series were in default within the meaning of such act;</w:t>
      </w:r>
    </w:p>
    <w:p>
      <w:pPr>
        <w:spacing w:after="0" w:line="67"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guarantees or any other material agreement or instrument to which we are a party;</w:t>
      </w:r>
    </w:p>
    <w:p>
      <w:pPr>
        <w:spacing w:after="0" w:line="81"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in each case stating that all conditions precedent with respect to the legal defeasance or covenant defeasance have been complied with.</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Modification and Waiver</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the Guarantors and the trustee may amend or modify the senior indenture or the senior debt securities of any series without notice to or the consent of any holder in order to:</w:t>
      </w:r>
    </w:p>
    <w:p>
      <w:pPr>
        <w:spacing w:after="0" w:line="67" w:lineRule="exact"/>
        <w:rPr>
          <w:sz w:val="20"/>
          <w:szCs w:val="20"/>
          <w:color w:val="auto"/>
        </w:rPr>
      </w:pPr>
    </w:p>
    <w:p>
      <w:pPr>
        <w:ind w:left="1080" w:right="8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ambiguities, omissions, defects or inconsistencies in the senior indenture in a manner that does not adversely affect the interests of the holders in any material respect;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would provide any additional rights or benefits to the holders of the senior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or add guarantors with respect to the senior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the senior debt securities of any series;</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320" w:top="455" w:right="5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the form or terms of senior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uncertificated senior debt securities in addition to or in place of certificated senior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and provide for the acceptance of appointment by a successor trustee;</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assumption by our successor, if any, to our or their obligations to holders of any outstanding senior debt securities in compliance with the applicable provisions of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the indenture under the Trust Indenture 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any provision in the indenture to this “Description of Debt Securities and Guarantees”;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does not adversely affect the rights of any holder in any material respect.</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Other amendments and modifications of the senior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 by the amendment or modification (voting together as a single class), and our compliance with any provision of the indenture with respect to the debt securities of any series issued under the indenture (including the senior debt securities)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94" w:lineRule="exact"/>
        <w:rPr>
          <w:sz w:val="20"/>
          <w:szCs w:val="20"/>
          <w:color w:val="auto"/>
        </w:rPr>
      </w:pPr>
    </w:p>
    <w:p>
      <w:pPr>
        <w:ind w:left="1080" w:right="48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or extend the fixed maturity, of the senior debt securities of such series or alter or waive the redemption provisions of the senior debt securities of such series;</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of any holder of the senior debt securities of such series to receive payment of principal or interest on the senior debt securities of such series on and after the due dates for such principal or interest;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currency in which principal, any premium or interest is paid;</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outstanding of senior debt securities of such series which must consent to an amendment, supplement or waiver or consent to take any 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the senior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payment default with respect to the senior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interest rate or extend the time for payment of interest on the senior debt securities of such series;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ranking of the senior debt securities of such series.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 Personal Liability of Incorporators, Stockholders, Officers, Directors, or Employees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senior indenture provides that no recourse shall be had under or upon any obligation, covenant or agreement contained in the senior indenture, the Guarantees or in any senior debt security, or because of any indebtedness evidenced thereby, shall be had against any incorporator, as such, or against any past, present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future stockholder, employee, officer or director, as such, of us, any Guarantor, or of any of their respective 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Concerning the Trustee</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Except during the continuance of an event of default, the trustee need perform only those duties that are specifically set forth in the senior indenture and no others, and no implied covenants or obligations will be read into the senior indenture against the trustee. In case an event of default of which a certain officers of the trustee shall have actual knowledge or shall have received written notice from us or any holder of our senior debt securities of any series has occurred and is continuing, the trustee shall exercise those rights and powers vested in it by the senior indenture, and use the same degree of care and skill in their exercise, as a prudent person would exercise or use under the circumstances in the conduct of such person’s own affairs.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senior indenture, including any Guarantee, and each senior debt security is governed by and construed in accordance with the laws of the State of New York.</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Trustee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have normal banking relationships with the trustee under the senior indenture in the ordinary course of business.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Convertible Debt Securities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terms, if any, on which debt securities being offered may be exchanged for or converted into other debt securities or shares of preferred stock, Class A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80"/>
          </w:cols>
          <w:pgMar w:left="320" w:top="455" w:right="4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8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88"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87"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60"/>
          </w:cols>
          <w:pgMar w:left="320" w:top="455" w:right="5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this section, references to the “Company,” “we,” “us” and “our” refer only to Comcast Corporation and not any of its subsidiaries. 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two classes of common stock outstanding: Class A common stock, $0.01 par value per share, and Class B common stock, $0.01 par value per share. There are currently authorized 7.5 billion shares of Class A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Subject to the preferential rights of any preferred stock then outstanding, holders of our Class A common stock and Class B common stock are entitled to receive, from time to time, when, as and if declared, in the discretion of our Board of Directors, such cash dividends as our Board of Directors may from time to time determine, out of such funds as are legally available therefor, in proportion to the number of shares held by them, respectively, without regard to class.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Holders of our Class A common stock and Class B common stock will also be entitled to receive, from time to time, when, as and if declared by our Board of Directors, such dividends of our stock or other property as our Board of Directors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common stock.</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intend to pay quarterly dividends at an annualized rate currently of $1.08 per share, although each dividend is subject to approval by our Board of Directors. See “Dividend Policy”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As a general matter, on all matters submitted for a vote to holders of all classes of our voting stock, holders of our Class A common stock in the aggregate hold 66 2/3% of the aggregate voting power of our capital stock, and holders of our Class B common stock in the aggregate hold a non-dilutable 33 1/3% of the combined voting power of our capital stock. This nondilutable voting power is subject to proportional decrease to the extent the number of shares of Class B common stock is reduced below 9,444,375, subject to adjustment in specified situations. Stock dividends payable on the Class B common stock in the form of Class B common stock do not decrease the nondilutable voting power of the Class B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Approval Rights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Except as required by law, holders of Class A common stock have no specific approval rights over any corporate 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articles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of incorporation or by-law amendments (such as an amendment to the articles of incorporation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Shareholder</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Brian L. Roberts, our Chairman, Chief Executive Officer and President, beneficially owns all outstanding shares of our Class B common stock, which has a nondilutable 33 1/3% of the combined voting power of our stock and which also has separate approval rights over certain material transactions, as described above under “—Approval Rights.” Accordingly, Mr. Roberts has considerable influence over our operations and has the ability to transfer potential effective control by selling the Class B common stock. The Class B common stock is convertible on a share-for-share basis into Class A common stock. As of June 30, 2022, if Mr. Roberts were to convert the Class B common stock he beneficially owns into Class A common stock, Mr. Roberts would beneficially own approximately 1% of the Class A common stock that would be outstanding after the conversion.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of Class B Common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Class B common stock is convertible share for share into Class A common stock, subject to certain restrictions.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Preference on Liquidation</w:t>
      </w:r>
    </w:p>
    <w:p>
      <w:pPr>
        <w:spacing w:after="0" w:line="121"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either voluntary or involuntary, the holders of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Mergers, Consolidations, Etc.</w:t>
      </w:r>
    </w:p>
    <w:p>
      <w:pPr>
        <w:spacing w:after="0" w:line="121" w:lineRule="exact"/>
        <w:rPr>
          <w:sz w:val="20"/>
          <w:szCs w:val="20"/>
          <w:color w:val="auto"/>
        </w:rPr>
      </w:pPr>
    </w:p>
    <w:p>
      <w:pPr>
        <w:jc w:val="both"/>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Our articles of incorporation provide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holders of Class A common stock and Class B common stock do not have any preemptive rights. All shares of Class A common stock and Class B common stock presently outstanding are, and all shares of the Class A common stock offered hereby, or issuable upon conversion, exchange or exercise of securities offered hereby, will, when issued, be, fully paid and nonassessable. We have been advised that the Class A common stock is exempt from existing Pennsylvania personal property tax.</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Class A common stock is Equiniti Trust Company D/B/A EQ Shareowner Services, P.O. Box 64854, St.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Paul, Minnesota 55164-0854. Its telephone number is (888) 883-8903.</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or selling security holders may sell the securities being offered hereby in four ways:</w:t>
      </w:r>
    </w:p>
    <w:p>
      <w:pPr>
        <w:spacing w:after="0" w:line="131"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customers or suppliers;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225"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as amended,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76"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176"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76"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7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As to matters governed by Pennsylvania law, Elizabeth Wideman, Esquire, Senior Vice President, Senior Deputy General Counsel and Assistant Secretary of Comcast, and as to matters governed by New York and Delaware law, Davis Polk &amp; Wardwell LLP, will pass upon the validity of the securities on our behalf and on behalf of the Guarantors, although we may use other counsel, including our employees, to do so. Unless otherwise indicated in the accompanying prospectus supplement, Cahill Gordon &amp; Reindel LLP will represent the underwriters.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financial statements of Comcast Corporation as of December 31, 2021 and 2020, and for each of the three years in the period ended December 31, 2021, incorporated by reference in this Prospectus by reference to Comcast Corporation’s annual report on Form 10-K for the year ended December 31, 2021, and the effectiveness of Comcast Corporation’s internal control over financial reporting have been audited by Deloitte &amp; Touche LLP, an independent registered public accounting firm, as stated in their report. Such financial statements are incorporated by reference in reliance upon the report of such firm given upon their authority as experts in accounting and auditing.</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Comcast files annual and quarterly reports and separate special reports and other information with the SEC. Comcast Cable and NBCUniversal do not currently file information with the SEC. Although Comcast Cable and NBCUniversal would normally be required to file information with the SEC on an ongoing basis, we expect that they will continue to be exempt from this filing obligation for as long as we continue to file our information with the SEC. Our SEC filings, including the complete registration statement and all of the exhibits to it, are available through the SEC’s website at http://www.sec.gov.</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not authorized anyone to provide any information other than that contained or incorporated by reference in this prospectus, any prospectus supplement or any free writing prospectus prepared by or on behalf of us or to which we have referred you.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or any such free writing prospectus is accurate as of any date other than their respective dates.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incorporates by reference the documents set forth below that we have previously filed with the SEC:</w:t>
      </w:r>
    </w:p>
    <w:p>
      <w:pPr>
        <w:spacing w:after="0" w:line="131"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Comcast’s Annual Report on </w:t>
      </w:r>
      <w:hyperlink r:id="rId8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 filed on February 2, 2022.</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Comcast’s Quarterly Reports on Form 10-Q for the quarters ended </w:t>
      </w:r>
      <w:hyperlink r:id="rId88">
        <w:r>
          <w:rPr>
            <w:rFonts w:ascii="Times New Roman" w:cs="Times New Roman" w:eastAsia="Times New Roman" w:hAnsi="Times New Roman"/>
            <w:sz w:val="18"/>
            <w:szCs w:val="18"/>
            <w:u w:val="single" w:color="auto"/>
            <w:color w:val="0000EE"/>
          </w:rPr>
          <w:t>March 31,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89">
        <w:r>
          <w:rPr>
            <w:rFonts w:ascii="Times New Roman" w:cs="Times New Roman" w:eastAsia="Times New Roman" w:hAnsi="Times New Roman"/>
            <w:sz w:val="18"/>
            <w:szCs w:val="18"/>
            <w:u w:val="single" w:color="auto"/>
            <w:color w:val="0000EE"/>
          </w:rPr>
          <w:t>June 30, 2022</w:t>
        </w:r>
      </w:hyperlink>
      <w:r>
        <w:rPr>
          <w:rFonts w:ascii="Times New Roman" w:cs="Times New Roman" w:eastAsia="Times New Roman" w:hAnsi="Times New Roman"/>
          <w:sz w:val="18"/>
          <w:szCs w:val="18"/>
          <w:color w:val="auto"/>
        </w:rPr>
        <w:t>, filed on April 28, 2022 and July 28, 2022, respectively.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Comcast’s Current Report on Form 8-K filed on </w:t>
      </w:r>
      <w:hyperlink r:id="rId90">
        <w:r>
          <w:rPr>
            <w:rFonts w:ascii="Times New Roman" w:cs="Times New Roman" w:eastAsia="Times New Roman" w:hAnsi="Times New Roman"/>
            <w:sz w:val="18"/>
            <w:szCs w:val="18"/>
            <w:u w:val="single" w:color="auto"/>
            <w:color w:val="0000EE"/>
          </w:rPr>
          <w:t>June 3, 2022</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sections of Comcast’s Definitive Proxy Statement on </w:t>
      </w:r>
      <w:hyperlink r:id="rId91">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2022 annual meeting of shareholders incorporated by reference in Comcast’s Annual Report on </w:t>
      </w:r>
      <w:hyperlink r:id="rId8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included in Item 3.02 under the caption “Amended and Restated Description of our Class A Common Stock” in Comcast’s Current Report on </w:t>
      </w:r>
      <w:hyperlink r:id="rId92">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December 15, 2015, as the same may be further amended from time to time.</w:t>
      </w:r>
    </w:p>
    <w:p>
      <w:pPr>
        <w:spacing w:after="0" w:line="162" w:lineRule="exact"/>
        <w:rPr>
          <w:rFonts w:ascii="Times New Roman" w:cs="Times New Roman" w:eastAsia="Times New Roman" w:hAnsi="Times New Roman"/>
          <w:sz w:val="18"/>
          <w:szCs w:val="18"/>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also incorporate by reference into this prospectus additional documents that we may file with the SEC under Sections 13(a), 13(c), 14 or 15(d) of the Exchange Act until we sell all of the securities we are offering. Any statement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16"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80"/>
          </w:cols>
          <w:pgMar w:left="320" w:top="455" w:right="4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652780</wp:posOffset>
            </wp:positionV>
            <wp:extent cx="1388745" cy="4889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1388745" cy="48895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5"/>
          <w:szCs w:val="25"/>
          <w:b w:val="1"/>
          <w:bCs w:val="1"/>
          <w:color w:val="auto"/>
        </w:rPr>
        <w:t>€900,000,000 3.250% Notes due 2032</w:t>
      </w:r>
    </w:p>
    <w:p>
      <w:pPr>
        <w:spacing w:after="0" w:line="4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5"/>
          <w:szCs w:val="25"/>
          <w:b w:val="1"/>
          <w:bCs w:val="1"/>
          <w:color w:val="auto"/>
        </w:rPr>
        <w:t>€900,000,000 3.550% Notes due 2036</w:t>
      </w:r>
    </w:p>
    <w:p>
      <w:pPr>
        <w:spacing w:after="0" w:line="1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5"/>
          <w:szCs w:val="25"/>
          <w:b w:val="1"/>
          <w:bCs w:val="1"/>
          <w:color w:val="auto"/>
        </w:rPr>
        <w:t>£750,000,000 5.250% Notes due 2040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1657350</wp:posOffset>
            </wp:positionV>
            <wp:extent cx="1474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i w:val="1"/>
          <w:iCs w:val="1"/>
          <w:color w:val="auto"/>
        </w:rPr>
        <w:t>Joint Book-Running Managers</w:t>
      </w:r>
    </w:p>
    <w:p>
      <w:pPr>
        <w:spacing w:after="0" w:line="20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Barclays</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BNP PARIBAS</w:t>
      </w:r>
    </w:p>
    <w:p>
      <w:pPr>
        <w:spacing w:after="0" w:line="1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Goldman Sachs &amp; Co. LLC</w:t>
      </w:r>
    </w:p>
    <w:p>
      <w:pPr>
        <w:spacing w:after="0" w:line="11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Morgan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735965</wp:posOffset>
            </wp:positionV>
            <wp:extent cx="1474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September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type w:val="continuous"/>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ind w:left="5084"/>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0"/>
          <w:szCs w:val="20"/>
          <w:color w:val="auto"/>
        </w:rPr>
      </w:pPr>
    </w:p>
    <w:p>
      <w:pPr>
        <w:ind w:left="5044"/>
        <w:spacing w:after="0"/>
        <w:rPr>
          <w:sz w:val="20"/>
          <w:szCs w:val="20"/>
          <w:color w:val="auto"/>
        </w:rPr>
      </w:pPr>
      <w:r>
        <w:rPr>
          <w:rFonts w:ascii="Times New Roman" w:cs="Times New Roman" w:eastAsia="Times New Roman" w:hAnsi="Times New Roman"/>
          <w:sz w:val="18"/>
          <w:szCs w:val="18"/>
          <w:color w:val="auto"/>
        </w:rPr>
        <w:t>(Form Type)</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Issuer:</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Guarantors:</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Comcast Cable Communications, LLC</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NBCUniversal Media, LLC</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50" w:lineRule="exact"/>
        <w:rPr>
          <w:sz w:val="20"/>
          <w:szCs w:val="20"/>
          <w:color w:val="auto"/>
        </w:rPr>
      </w:pPr>
    </w:p>
    <w:tbl>
      <w:tblPr>
        <w:tblLayout w:type="fixed"/>
        <w:tblInd w:w="74" w:type="dxa"/>
        <w:tblCellMar>
          <w:top w:w="0" w:type="dxa"/>
          <w:left w:w="0" w:type="dxa"/>
          <w:bottom w:w="0" w:type="dxa"/>
          <w:right w:w="0" w:type="dxa"/>
        </w:tblCellMar>
      </w:tblPr>
      <w:tr>
        <w:trPr>
          <w:trHeight w:val="130"/>
        </w:trPr>
        <w:tc>
          <w:tcPr>
            <w:tcW w:w="1000" w:type="dxa"/>
            <w:vAlign w:val="bottom"/>
            <w:tcBorders>
              <w:top w:val="single" w:sz="8" w:color="auto"/>
              <w:left w:val="single" w:sz="8" w:color="auto"/>
              <w:right w:val="single" w:sz="8" w:color="auto"/>
            </w:tcBorders>
          </w:tcPr>
          <w:p>
            <w:pPr>
              <w:spacing w:after="0"/>
              <w:rPr>
                <w:sz w:val="11"/>
                <w:szCs w:val="11"/>
                <w:color w:val="auto"/>
              </w:rPr>
            </w:pPr>
          </w:p>
        </w:tc>
        <w:tc>
          <w:tcPr>
            <w:tcW w:w="580" w:type="dxa"/>
            <w:vAlign w:val="bottom"/>
            <w:tcBorders>
              <w:top w:val="single" w:sz="8" w:color="auto"/>
              <w:right w:val="single" w:sz="8" w:color="auto"/>
            </w:tcBorders>
          </w:tcPr>
          <w:p>
            <w:pPr>
              <w:spacing w:after="0"/>
              <w:rPr>
                <w:sz w:val="11"/>
                <w:szCs w:val="11"/>
                <w:color w:val="auto"/>
              </w:rPr>
            </w:pPr>
          </w:p>
        </w:tc>
        <w:tc>
          <w:tcPr>
            <w:tcW w:w="1460" w:type="dxa"/>
            <w:vAlign w:val="bottom"/>
            <w:tcBorders>
              <w:top w:val="single" w:sz="8" w:color="auto"/>
              <w:right w:val="single" w:sz="8" w:color="auto"/>
            </w:tcBorders>
          </w:tcPr>
          <w:p>
            <w:pPr>
              <w:spacing w:after="0"/>
              <w:rPr>
                <w:sz w:val="11"/>
                <w:szCs w:val="11"/>
                <w:color w:val="auto"/>
              </w:rPr>
            </w:pPr>
          </w:p>
        </w:tc>
        <w:tc>
          <w:tcPr>
            <w:tcW w:w="840" w:type="dxa"/>
            <w:vAlign w:val="bottom"/>
            <w:tcBorders>
              <w:top w:val="single" w:sz="8" w:color="auto"/>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color w:val="auto"/>
                <w:w w:val="95"/>
              </w:rPr>
              <w:t>Fee</w:t>
            </w:r>
          </w:p>
        </w:tc>
        <w:tc>
          <w:tcPr>
            <w:tcW w:w="120" w:type="dxa"/>
            <w:vAlign w:val="bottom"/>
            <w:tcBorders>
              <w:top w:val="single" w:sz="8" w:color="auto"/>
            </w:tcBorders>
          </w:tcPr>
          <w:p>
            <w:pPr>
              <w:spacing w:after="0"/>
              <w:rPr>
                <w:sz w:val="11"/>
                <w:szCs w:val="11"/>
                <w:color w:val="auto"/>
              </w:rPr>
            </w:pPr>
          </w:p>
        </w:tc>
        <w:tc>
          <w:tcPr>
            <w:tcW w:w="1280" w:type="dxa"/>
            <w:vAlign w:val="bottom"/>
            <w:tcBorders>
              <w:top w:val="single" w:sz="8" w:color="auto"/>
              <w:right w:val="single" w:sz="8" w:color="auto"/>
            </w:tcBorders>
          </w:tcPr>
          <w:p>
            <w:pPr>
              <w:spacing w:after="0"/>
              <w:rPr>
                <w:sz w:val="11"/>
                <w:szCs w:val="11"/>
                <w:color w:val="auto"/>
              </w:rPr>
            </w:pPr>
          </w:p>
        </w:tc>
        <w:tc>
          <w:tcPr>
            <w:tcW w:w="860" w:type="dxa"/>
            <w:vAlign w:val="bottom"/>
            <w:tcBorders>
              <w:top w:val="single" w:sz="8" w:color="auto"/>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color w:val="auto"/>
                <w:w w:val="94"/>
              </w:rPr>
              <w:t>Proposed</w:t>
            </w:r>
          </w:p>
        </w:tc>
        <w:tc>
          <w:tcPr>
            <w:tcW w:w="1620" w:type="dxa"/>
            <w:vAlign w:val="bottom"/>
            <w:tcBorders>
              <w:top w:val="single" w:sz="8" w:color="auto"/>
              <w:right w:val="single" w:sz="8" w:color="auto"/>
            </w:tcBorders>
          </w:tcPr>
          <w:p>
            <w:pPr>
              <w:spacing w:after="0"/>
              <w:rPr>
                <w:sz w:val="11"/>
                <w:szCs w:val="11"/>
                <w:color w:val="auto"/>
              </w:rPr>
            </w:pPr>
          </w:p>
        </w:tc>
        <w:tc>
          <w:tcPr>
            <w:tcW w:w="2060" w:type="dxa"/>
            <w:vAlign w:val="bottom"/>
            <w:tcBorders>
              <w:top w:val="single" w:sz="8" w:color="auto"/>
              <w:right w:val="single" w:sz="8" w:color="auto"/>
            </w:tcBorders>
          </w:tcPr>
          <w:p>
            <w:pPr>
              <w:spacing w:after="0"/>
              <w:rPr>
                <w:sz w:val="11"/>
                <w:szCs w:val="11"/>
                <w:color w:val="auto"/>
              </w:rPr>
            </w:pPr>
          </w:p>
        </w:tc>
        <w:tc>
          <w:tcPr>
            <w:tcW w:w="110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6"/>
              </w:rPr>
              <w:t>Security</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6"/>
              </w:rPr>
              <w:t>Security</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120" w:type="dxa"/>
            <w:vAlign w:val="bottom"/>
          </w:tcPr>
          <w:p>
            <w:pPr>
              <w:spacing w:after="0"/>
              <w:rPr>
                <w:sz w:val="11"/>
                <w:szCs w:val="11"/>
                <w:color w:val="auto"/>
              </w:rPr>
            </w:pPr>
          </w:p>
        </w:tc>
        <w:tc>
          <w:tcPr>
            <w:tcW w:w="12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3"/>
                <w:szCs w:val="13"/>
                <w:color w:val="auto"/>
              </w:rPr>
              <w:t>Amount Registered</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6"/>
              </w:rPr>
              <w:t>Maximum Aggregate</w:t>
            </w:r>
          </w:p>
        </w:tc>
        <w:tc>
          <w:tcPr>
            <w:tcW w:w="206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Amount of</w:t>
            </w:r>
          </w:p>
        </w:tc>
        <w:tc>
          <w:tcPr>
            <w:tcW w:w="0" w:type="dxa"/>
            <w:vAlign w:val="bottom"/>
          </w:tcPr>
          <w:p>
            <w:pPr>
              <w:spacing w:after="0"/>
              <w:rPr>
                <w:sz w:val="1"/>
                <w:szCs w:val="1"/>
                <w:color w:val="auto"/>
              </w:rPr>
            </w:pPr>
          </w:p>
        </w:tc>
      </w:tr>
      <w:tr>
        <w:trPr>
          <w:trHeight w:val="68"/>
        </w:trPr>
        <w:tc>
          <w:tcPr>
            <w:tcW w:w="1000" w:type="dxa"/>
            <w:vAlign w:val="bottom"/>
            <w:tcBorders>
              <w:left w:val="single" w:sz="8" w:color="auto"/>
              <w:right w:val="single" w:sz="8" w:color="auto"/>
            </w:tcBorders>
          </w:tcPr>
          <w:p>
            <w:pPr>
              <w:spacing w:after="0"/>
              <w:rPr>
                <w:sz w:val="5"/>
                <w:szCs w:val="5"/>
                <w:color w:val="auto"/>
              </w:rPr>
            </w:pPr>
          </w:p>
        </w:tc>
        <w:tc>
          <w:tcPr>
            <w:tcW w:w="580" w:type="dxa"/>
            <w:vAlign w:val="bottom"/>
            <w:tcBorders>
              <w:right w:val="single" w:sz="8" w:color="auto"/>
            </w:tcBorders>
            <w:vMerge w:val="continue"/>
          </w:tcPr>
          <w:p>
            <w:pPr>
              <w:spacing w:after="0"/>
              <w:rPr>
                <w:sz w:val="5"/>
                <w:szCs w:val="5"/>
                <w:color w:val="auto"/>
              </w:rPr>
            </w:pPr>
          </w:p>
        </w:tc>
        <w:tc>
          <w:tcPr>
            <w:tcW w:w="1460" w:type="dxa"/>
            <w:vAlign w:val="bottom"/>
            <w:tcBorders>
              <w:right w:val="single" w:sz="8" w:color="auto"/>
            </w:tcBorders>
            <w:vMerge w:val="continue"/>
          </w:tcPr>
          <w:p>
            <w:pPr>
              <w:spacing w:after="0"/>
              <w:rPr>
                <w:sz w:val="5"/>
                <w:szCs w:val="5"/>
                <w:color w:val="auto"/>
              </w:rPr>
            </w:pP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or Carry</w:t>
            </w:r>
          </w:p>
        </w:tc>
        <w:tc>
          <w:tcPr>
            <w:tcW w:w="120" w:type="dxa"/>
            <w:vAlign w:val="bottom"/>
          </w:tcPr>
          <w:p>
            <w:pPr>
              <w:spacing w:after="0"/>
              <w:rPr>
                <w:sz w:val="5"/>
                <w:szCs w:val="5"/>
                <w:color w:val="auto"/>
              </w:rPr>
            </w:pPr>
          </w:p>
        </w:tc>
        <w:tc>
          <w:tcPr>
            <w:tcW w:w="1280" w:type="dxa"/>
            <w:vAlign w:val="bottom"/>
            <w:tcBorders>
              <w:right w:val="single" w:sz="8" w:color="auto"/>
            </w:tcBorders>
            <w:vMerge w:val="continue"/>
          </w:tcPr>
          <w:p>
            <w:pPr>
              <w:spacing w:after="0"/>
              <w:rPr>
                <w:sz w:val="5"/>
                <w:szCs w:val="5"/>
                <w:color w:val="auto"/>
              </w:rPr>
            </w:pPr>
          </w:p>
        </w:tc>
        <w:tc>
          <w:tcPr>
            <w:tcW w:w="860" w:type="dxa"/>
            <w:vAlign w:val="bottom"/>
            <w:tcBorders>
              <w:right w:val="single" w:sz="8" w:color="auto"/>
            </w:tcBorders>
            <w:vMerge w:val="restart"/>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1620" w:type="dxa"/>
            <w:vAlign w:val="bottom"/>
            <w:tcBorders>
              <w:right w:val="single" w:sz="8" w:color="auto"/>
            </w:tcBorders>
            <w:vMerge w:val="continue"/>
          </w:tcPr>
          <w:p>
            <w:pPr>
              <w:spacing w:after="0"/>
              <w:rPr>
                <w:sz w:val="5"/>
                <w:szCs w:val="5"/>
                <w:color w:val="auto"/>
              </w:rPr>
            </w:pPr>
          </w:p>
        </w:tc>
        <w:tc>
          <w:tcPr>
            <w:tcW w:w="2060" w:type="dxa"/>
            <w:vAlign w:val="bottom"/>
            <w:tcBorders>
              <w:right w:val="single" w:sz="8" w:color="auto"/>
            </w:tcBorders>
            <w:vMerge w:val="restart"/>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 Rate</w:t>
            </w:r>
          </w:p>
        </w:tc>
        <w:tc>
          <w:tcPr>
            <w:tcW w:w="11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000" w:type="dxa"/>
            <w:vAlign w:val="bottom"/>
            <w:tcBorders>
              <w:left w:val="single" w:sz="8" w:color="auto"/>
              <w:right w:val="single" w:sz="8" w:color="auto"/>
            </w:tcBorders>
          </w:tcPr>
          <w:p>
            <w:pPr>
              <w:spacing w:after="0"/>
              <w:rPr>
                <w:sz w:val="5"/>
                <w:szCs w:val="5"/>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7"/>
              </w:rPr>
              <w:t>Type</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6"/>
              </w:rPr>
              <w:t>Class Title</w:t>
            </w:r>
          </w:p>
        </w:tc>
        <w:tc>
          <w:tcPr>
            <w:tcW w:w="840" w:type="dxa"/>
            <w:vAlign w:val="bottom"/>
            <w:tcBorders>
              <w:right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Borders>
              <w:right w:val="single" w:sz="8" w:color="auto"/>
            </w:tcBorders>
            <w:vMerge w:val="restart"/>
          </w:tcPr>
          <w:p>
            <w:pPr>
              <w:jc w:val="center"/>
              <w:ind w:right="36"/>
              <w:spacing w:after="0"/>
              <w:rPr>
                <w:sz w:val="20"/>
                <w:szCs w:val="20"/>
                <w:color w:val="auto"/>
              </w:rPr>
            </w:pPr>
            <w:r>
              <w:rPr>
                <w:rFonts w:ascii="Times New Roman" w:cs="Times New Roman" w:eastAsia="Times New Roman" w:hAnsi="Times New Roman"/>
                <w:sz w:val="13"/>
                <w:szCs w:val="13"/>
                <w:color w:val="auto"/>
              </w:rPr>
              <w:t>(3)</w:t>
            </w:r>
          </w:p>
        </w:tc>
        <w:tc>
          <w:tcPr>
            <w:tcW w:w="860" w:type="dxa"/>
            <w:vAlign w:val="bottom"/>
            <w:tcBorders>
              <w:right w:val="single" w:sz="8" w:color="auto"/>
            </w:tcBorders>
            <w:vMerge w:val="continue"/>
          </w:tcPr>
          <w:p>
            <w:pPr>
              <w:spacing w:after="0"/>
              <w:rPr>
                <w:sz w:val="5"/>
                <w:szCs w:val="5"/>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Offering Price</w:t>
            </w:r>
          </w:p>
        </w:tc>
        <w:tc>
          <w:tcPr>
            <w:tcW w:w="2060" w:type="dxa"/>
            <w:vAlign w:val="bottom"/>
            <w:tcBorders>
              <w:right w:val="single" w:sz="8" w:color="auto"/>
            </w:tcBorders>
            <w:vMerge w:val="continue"/>
          </w:tcPr>
          <w:p>
            <w:pPr>
              <w:spacing w:after="0"/>
              <w:rPr>
                <w:sz w:val="5"/>
                <w:szCs w:val="5"/>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Registration Fee</w:t>
            </w:r>
          </w:p>
        </w:tc>
        <w:tc>
          <w:tcPr>
            <w:tcW w:w="0" w:type="dxa"/>
            <w:vAlign w:val="bottom"/>
          </w:tcPr>
          <w:p>
            <w:pPr>
              <w:spacing w:after="0"/>
              <w:rPr>
                <w:sz w:val="1"/>
                <w:szCs w:val="1"/>
                <w:color w:val="auto"/>
              </w:rPr>
            </w:pPr>
          </w:p>
        </w:tc>
      </w:tr>
      <w:tr>
        <w:trPr>
          <w:trHeight w:val="97"/>
        </w:trPr>
        <w:tc>
          <w:tcPr>
            <w:tcW w:w="1000" w:type="dxa"/>
            <w:vAlign w:val="bottom"/>
            <w:tcBorders>
              <w:left w:val="single" w:sz="8" w:color="auto"/>
              <w:right w:val="single" w:sz="8" w:color="auto"/>
            </w:tcBorders>
          </w:tcPr>
          <w:p>
            <w:pPr>
              <w:spacing w:after="0"/>
              <w:rPr>
                <w:sz w:val="8"/>
                <w:szCs w:val="8"/>
                <w:color w:val="auto"/>
              </w:rPr>
            </w:pPr>
          </w:p>
        </w:tc>
        <w:tc>
          <w:tcPr>
            <w:tcW w:w="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120" w:type="dxa"/>
            <w:vAlign w:val="bottom"/>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vMerge w:val="restart"/>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620" w:type="dxa"/>
            <w:vAlign w:val="bottom"/>
            <w:tcBorders>
              <w:right w:val="single" w:sz="8" w:color="auto"/>
            </w:tcBorders>
            <w:vMerge w:val="continue"/>
          </w:tcPr>
          <w:p>
            <w:pPr>
              <w:spacing w:after="0"/>
              <w:rPr>
                <w:sz w:val="8"/>
                <w:szCs w:val="8"/>
                <w:color w:val="auto"/>
              </w:rPr>
            </w:pPr>
          </w:p>
        </w:tc>
        <w:tc>
          <w:tcPr>
            <w:tcW w:w="2060" w:type="dxa"/>
            <w:vAlign w:val="bottom"/>
            <w:tcBorders>
              <w:right w:val="single" w:sz="8" w:color="auto"/>
            </w:tcBorders>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1000" w:type="dxa"/>
            <w:vAlign w:val="bottom"/>
            <w:tcBorders>
              <w:left w:val="single" w:sz="8" w:color="auto"/>
              <w:right w:val="single" w:sz="8" w:color="auto"/>
            </w:tcBorders>
          </w:tcPr>
          <w:p>
            <w:pPr>
              <w:spacing w:after="0"/>
              <w:rPr>
                <w:sz w:val="3"/>
                <w:szCs w:val="3"/>
                <w:color w:val="auto"/>
              </w:rPr>
            </w:pPr>
          </w:p>
        </w:tc>
        <w:tc>
          <w:tcPr>
            <w:tcW w:w="580" w:type="dxa"/>
            <w:vAlign w:val="bottom"/>
            <w:tcBorders>
              <w:right w:val="single" w:sz="8" w:color="auto"/>
            </w:tcBorders>
          </w:tcPr>
          <w:p>
            <w:pPr>
              <w:spacing w:after="0"/>
              <w:rPr>
                <w:sz w:val="3"/>
                <w:szCs w:val="3"/>
                <w:color w:val="auto"/>
              </w:rPr>
            </w:pPr>
          </w:p>
        </w:tc>
        <w:tc>
          <w:tcPr>
            <w:tcW w:w="1460" w:type="dxa"/>
            <w:vAlign w:val="bottom"/>
            <w:tcBorders>
              <w:right w:val="single" w:sz="8" w:color="auto"/>
            </w:tcBorders>
          </w:tcPr>
          <w:p>
            <w:pPr>
              <w:spacing w:after="0"/>
              <w:rPr>
                <w:sz w:val="3"/>
                <w:szCs w:val="3"/>
                <w:color w:val="auto"/>
              </w:rPr>
            </w:pPr>
          </w:p>
        </w:tc>
        <w:tc>
          <w:tcPr>
            <w:tcW w:w="840" w:type="dxa"/>
            <w:vAlign w:val="bottom"/>
            <w:tcBorders>
              <w:right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Borders>
              <w:right w:val="single" w:sz="8" w:color="auto"/>
            </w:tcBorders>
          </w:tcPr>
          <w:p>
            <w:pPr>
              <w:spacing w:after="0"/>
              <w:rPr>
                <w:sz w:val="3"/>
                <w:szCs w:val="3"/>
                <w:color w:val="auto"/>
              </w:rPr>
            </w:pPr>
          </w:p>
        </w:tc>
        <w:tc>
          <w:tcPr>
            <w:tcW w:w="860" w:type="dxa"/>
            <w:vAlign w:val="bottom"/>
            <w:tcBorders>
              <w:right w:val="single" w:sz="8" w:color="auto"/>
            </w:tcBorders>
            <w:vMerge w:val="continue"/>
          </w:tcPr>
          <w:p>
            <w:pPr>
              <w:spacing w:after="0"/>
              <w:rPr>
                <w:sz w:val="3"/>
                <w:szCs w:val="3"/>
                <w:color w:val="auto"/>
              </w:rPr>
            </w:pPr>
          </w:p>
        </w:tc>
        <w:tc>
          <w:tcPr>
            <w:tcW w:w="1620" w:type="dxa"/>
            <w:vAlign w:val="bottom"/>
            <w:tcBorders>
              <w:right w:val="single" w:sz="8" w:color="auto"/>
            </w:tcBorders>
          </w:tcPr>
          <w:p>
            <w:pPr>
              <w:spacing w:after="0"/>
              <w:rPr>
                <w:sz w:val="3"/>
                <w:szCs w:val="3"/>
                <w:color w:val="auto"/>
              </w:rPr>
            </w:pPr>
          </w:p>
        </w:tc>
        <w:tc>
          <w:tcPr>
            <w:tcW w:w="2060" w:type="dxa"/>
            <w:vAlign w:val="bottom"/>
            <w:tcBorders>
              <w:right w:val="single" w:sz="8" w:color="auto"/>
            </w:tcBorders>
          </w:tcPr>
          <w:p>
            <w:pPr>
              <w:spacing w:after="0"/>
              <w:rPr>
                <w:sz w:val="3"/>
                <w:szCs w:val="3"/>
                <w:color w:val="auto"/>
              </w:rPr>
            </w:pPr>
          </w:p>
        </w:tc>
        <w:tc>
          <w:tcPr>
            <w:tcW w:w="110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1000" w:type="dxa"/>
            <w:vAlign w:val="bottom"/>
            <w:tcBorders>
              <w:left w:val="single" w:sz="8" w:color="auto"/>
              <w:bottom w:val="single" w:sz="8" w:color="auto"/>
              <w:right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Unit</w:t>
            </w:r>
          </w:p>
        </w:tc>
        <w:tc>
          <w:tcPr>
            <w:tcW w:w="1620" w:type="dxa"/>
            <w:vAlign w:val="bottom"/>
            <w:tcBorders>
              <w:bottom w:val="single" w:sz="8" w:color="auto"/>
              <w:right w:val="single" w:sz="8" w:color="auto"/>
            </w:tcBorders>
          </w:tcPr>
          <w:p>
            <w:pPr>
              <w:spacing w:after="0"/>
              <w:rPr>
                <w:sz w:val="13"/>
                <w:szCs w:val="13"/>
                <w:color w:val="auto"/>
              </w:rPr>
            </w:pPr>
          </w:p>
        </w:tc>
        <w:tc>
          <w:tcPr>
            <w:tcW w:w="206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0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8"/>
                <w:szCs w:val="18"/>
                <w:color w:val="auto"/>
              </w:rPr>
              <w:t>Newly Registered Securities</w:t>
            </w:r>
          </w:p>
        </w:tc>
        <w:tc>
          <w:tcPr>
            <w:tcW w:w="206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000" w:type="dxa"/>
            <w:vAlign w:val="bottom"/>
            <w:tcBorders>
              <w:left w:val="single" w:sz="8" w:color="auto"/>
              <w:right w:val="single" w:sz="8" w:color="auto"/>
            </w:tcBorders>
          </w:tcPr>
          <w:p>
            <w:pPr>
              <w:spacing w:after="0"/>
              <w:rPr>
                <w:sz w:val="16"/>
                <w:szCs w:val="16"/>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Debt</w:t>
            </w:r>
          </w:p>
        </w:tc>
        <w:tc>
          <w:tcPr>
            <w:tcW w:w="14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3.250% Notes</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457(r)</w:t>
            </w:r>
          </w:p>
        </w:tc>
        <w:tc>
          <w:tcPr>
            <w:tcW w:w="120" w:type="dxa"/>
            <w:vAlign w:val="bottom"/>
          </w:tcPr>
          <w:p>
            <w:pPr>
              <w:spacing w:after="0"/>
              <w:rPr>
                <w:sz w:val="16"/>
                <w:szCs w:val="16"/>
                <w:color w:val="auto"/>
              </w:rPr>
            </w:pPr>
          </w:p>
        </w:tc>
        <w:tc>
          <w:tcPr>
            <w:tcW w:w="1280" w:type="dxa"/>
            <w:vAlign w:val="bottom"/>
            <w:tcBorders>
              <w:right w:val="single" w:sz="8" w:color="auto"/>
            </w:tcBorders>
            <w:vMerge w:val="restart"/>
          </w:tcPr>
          <w:p>
            <w:pPr>
              <w:jc w:val="center"/>
              <w:ind w:right="36"/>
              <w:spacing w:after="0"/>
              <w:rPr>
                <w:sz w:val="20"/>
                <w:szCs w:val="20"/>
                <w:color w:val="auto"/>
              </w:rPr>
            </w:pPr>
            <w:r>
              <w:rPr>
                <w:rFonts w:ascii="Times New Roman" w:cs="Times New Roman" w:eastAsia="Times New Roman" w:hAnsi="Times New Roman"/>
                <w:sz w:val="18"/>
                <w:szCs w:val="18"/>
                <w:color w:val="auto"/>
              </w:rPr>
              <w:t>$999,990,000</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99.702%</w:t>
            </w: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$997,010,029.80</w:t>
            </w:r>
          </w:p>
        </w:tc>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$147.60 per $1,000,000</w:t>
            </w: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$147,158.68</w:t>
            </w:r>
          </w:p>
        </w:tc>
        <w:tc>
          <w:tcPr>
            <w:tcW w:w="0" w:type="dxa"/>
            <w:vAlign w:val="bottom"/>
          </w:tcPr>
          <w:p>
            <w:pPr>
              <w:spacing w:after="0"/>
              <w:rPr>
                <w:sz w:val="1"/>
                <w:szCs w:val="1"/>
                <w:color w:val="auto"/>
              </w:rPr>
            </w:pPr>
          </w:p>
        </w:tc>
      </w:tr>
      <w:tr>
        <w:trPr>
          <w:trHeight w:val="126"/>
        </w:trPr>
        <w:tc>
          <w:tcPr>
            <w:tcW w:w="1000" w:type="dxa"/>
            <w:vAlign w:val="bottom"/>
            <w:tcBorders>
              <w:left w:val="single" w:sz="8" w:color="auto"/>
              <w:right w:val="single" w:sz="8" w:color="auto"/>
            </w:tcBorders>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due 2032</w:t>
            </w:r>
          </w:p>
        </w:tc>
        <w:tc>
          <w:tcPr>
            <w:tcW w:w="84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860" w:type="dxa"/>
            <w:vAlign w:val="bottom"/>
            <w:tcBorders>
              <w:right w:val="single" w:sz="8" w:color="auto"/>
            </w:tcBorders>
            <w:vMerge w:val="continue"/>
          </w:tcPr>
          <w:p>
            <w:pPr>
              <w:spacing w:after="0"/>
              <w:rPr>
                <w:sz w:val="10"/>
                <w:szCs w:val="10"/>
                <w:color w:val="auto"/>
              </w:rPr>
            </w:pPr>
          </w:p>
        </w:tc>
        <w:tc>
          <w:tcPr>
            <w:tcW w:w="1620" w:type="dxa"/>
            <w:vAlign w:val="bottom"/>
            <w:tcBorders>
              <w:right w:val="single" w:sz="8" w:color="auto"/>
            </w:tcBorders>
            <w:vMerge w:val="continue"/>
          </w:tcPr>
          <w:p>
            <w:pPr>
              <w:spacing w:after="0"/>
              <w:rPr>
                <w:sz w:val="10"/>
                <w:szCs w:val="10"/>
                <w:color w:val="auto"/>
              </w:rPr>
            </w:pPr>
          </w:p>
        </w:tc>
        <w:tc>
          <w:tcPr>
            <w:tcW w:w="206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00" w:type="dxa"/>
            <w:vAlign w:val="bottom"/>
            <w:tcBorders>
              <w:left w:val="single" w:sz="8" w:color="auto"/>
              <w:right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vMerge w:val="continue"/>
          </w:tcPr>
          <w:p>
            <w:pPr>
              <w:spacing w:after="0"/>
              <w:rPr>
                <w:sz w:val="9"/>
                <w:szCs w:val="9"/>
                <w:color w:val="auto"/>
              </w:rPr>
            </w:pPr>
          </w:p>
        </w:tc>
        <w:tc>
          <w:tcPr>
            <w:tcW w:w="84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1620" w:type="dxa"/>
            <w:vAlign w:val="bottom"/>
            <w:tcBorders>
              <w:bottom w:val="single" w:sz="8" w:color="auto"/>
              <w:right w:val="single" w:sz="8" w:color="auto"/>
            </w:tcBorders>
          </w:tcPr>
          <w:p>
            <w:pPr>
              <w:spacing w:after="0"/>
              <w:rPr>
                <w:sz w:val="9"/>
                <w:szCs w:val="9"/>
                <w:color w:val="auto"/>
              </w:rPr>
            </w:pPr>
          </w:p>
        </w:tc>
        <w:tc>
          <w:tcPr>
            <w:tcW w:w="2060" w:type="dxa"/>
            <w:vAlign w:val="bottom"/>
            <w:tcBorders>
              <w:bottom w:val="single" w:sz="8" w:color="auto"/>
              <w:right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000" w:type="dxa"/>
            <w:vAlign w:val="bottom"/>
            <w:tcBorders>
              <w:left w:val="single" w:sz="8" w:color="auto"/>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Guarantees of</w:t>
            </w:r>
          </w:p>
        </w:tc>
        <w:tc>
          <w:tcPr>
            <w:tcW w:w="8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0" w:type="dxa"/>
            <w:vAlign w:val="bottom"/>
            <w:tcBorders>
              <w:left w:val="single" w:sz="8" w:color="auto"/>
              <w:right w:val="single" w:sz="8" w:color="auto"/>
            </w:tcBorders>
          </w:tcPr>
          <w:p>
            <w:pPr>
              <w:spacing w:after="0"/>
              <w:rPr>
                <w:sz w:val="18"/>
                <w:szCs w:val="18"/>
                <w:color w:val="auto"/>
              </w:rPr>
            </w:pP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Debt</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3.250% Notes</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Other (2)</w:t>
            </w:r>
          </w:p>
        </w:tc>
        <w:tc>
          <w:tcPr>
            <w:tcW w:w="120" w:type="dxa"/>
            <w:vAlign w:val="bottom"/>
          </w:tcPr>
          <w:p>
            <w:pPr>
              <w:spacing w:after="0"/>
              <w:rPr>
                <w:sz w:val="18"/>
                <w:szCs w:val="18"/>
                <w:color w:val="auto"/>
              </w:rPr>
            </w:pPr>
          </w:p>
        </w:tc>
        <w:tc>
          <w:tcPr>
            <w:tcW w:w="1280" w:type="dxa"/>
            <w:vAlign w:val="bottom"/>
            <w:tcBorders>
              <w:right w:val="single" w:sz="8" w:color="auto"/>
            </w:tcBorders>
          </w:tcPr>
          <w:p>
            <w:pPr>
              <w:jc w:val="center"/>
              <w:ind w:right="3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4"/>
        </w:trPr>
        <w:tc>
          <w:tcPr>
            <w:tcW w:w="1000" w:type="dxa"/>
            <w:vAlign w:val="bottom"/>
            <w:tcBorders>
              <w:left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due 2032 (1)</w:t>
            </w:r>
          </w:p>
        </w:tc>
        <w:tc>
          <w:tcPr>
            <w:tcW w:w="84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000" w:type="dxa"/>
            <w:vAlign w:val="bottom"/>
            <w:tcBorders>
              <w:left w:val="single" w:sz="8" w:color="auto"/>
              <w:right w:val="single" w:sz="8" w:color="auto"/>
            </w:tcBorders>
          </w:tcPr>
          <w:p>
            <w:pPr>
              <w:spacing w:after="0"/>
              <w:rPr>
                <w:sz w:val="16"/>
                <w:szCs w:val="16"/>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Debt</w:t>
            </w:r>
          </w:p>
        </w:tc>
        <w:tc>
          <w:tcPr>
            <w:tcW w:w="14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3.550% Notes</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457(r)</w:t>
            </w:r>
          </w:p>
        </w:tc>
        <w:tc>
          <w:tcPr>
            <w:tcW w:w="120" w:type="dxa"/>
            <w:vAlign w:val="bottom"/>
          </w:tcPr>
          <w:p>
            <w:pPr>
              <w:spacing w:after="0"/>
              <w:rPr>
                <w:sz w:val="16"/>
                <w:szCs w:val="16"/>
                <w:color w:val="auto"/>
              </w:rPr>
            </w:pPr>
          </w:p>
        </w:tc>
        <w:tc>
          <w:tcPr>
            <w:tcW w:w="1280" w:type="dxa"/>
            <w:vAlign w:val="bottom"/>
            <w:tcBorders>
              <w:right w:val="single" w:sz="8" w:color="auto"/>
            </w:tcBorders>
            <w:vMerge w:val="restart"/>
          </w:tcPr>
          <w:p>
            <w:pPr>
              <w:jc w:val="center"/>
              <w:ind w:right="36"/>
              <w:spacing w:after="0"/>
              <w:rPr>
                <w:sz w:val="20"/>
                <w:szCs w:val="20"/>
                <w:color w:val="auto"/>
              </w:rPr>
            </w:pPr>
            <w:r>
              <w:rPr>
                <w:rFonts w:ascii="Times New Roman" w:cs="Times New Roman" w:eastAsia="Times New Roman" w:hAnsi="Times New Roman"/>
                <w:sz w:val="18"/>
                <w:szCs w:val="18"/>
                <w:color w:val="auto"/>
              </w:rPr>
              <w:t>$999,990,000</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99.568%</w:t>
            </w: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$995,670,043.20</w:t>
            </w:r>
          </w:p>
        </w:tc>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$147.60 per $1,000,000</w:t>
            </w: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$146,960.90</w:t>
            </w:r>
          </w:p>
        </w:tc>
        <w:tc>
          <w:tcPr>
            <w:tcW w:w="0" w:type="dxa"/>
            <w:vAlign w:val="bottom"/>
          </w:tcPr>
          <w:p>
            <w:pPr>
              <w:spacing w:after="0"/>
              <w:rPr>
                <w:sz w:val="1"/>
                <w:szCs w:val="1"/>
                <w:color w:val="auto"/>
              </w:rPr>
            </w:pPr>
          </w:p>
        </w:tc>
      </w:tr>
      <w:tr>
        <w:trPr>
          <w:trHeight w:val="126"/>
        </w:trPr>
        <w:tc>
          <w:tcPr>
            <w:tcW w:w="10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Fees to Be</w:t>
            </w:r>
          </w:p>
        </w:tc>
        <w:tc>
          <w:tcPr>
            <w:tcW w:w="58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due 2036</w:t>
            </w:r>
          </w:p>
        </w:tc>
        <w:tc>
          <w:tcPr>
            <w:tcW w:w="84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860" w:type="dxa"/>
            <w:vAlign w:val="bottom"/>
            <w:tcBorders>
              <w:right w:val="single" w:sz="8" w:color="auto"/>
            </w:tcBorders>
            <w:vMerge w:val="continue"/>
          </w:tcPr>
          <w:p>
            <w:pPr>
              <w:spacing w:after="0"/>
              <w:rPr>
                <w:sz w:val="10"/>
                <w:szCs w:val="10"/>
                <w:color w:val="auto"/>
              </w:rPr>
            </w:pPr>
          </w:p>
        </w:tc>
        <w:tc>
          <w:tcPr>
            <w:tcW w:w="1620" w:type="dxa"/>
            <w:vAlign w:val="bottom"/>
            <w:tcBorders>
              <w:right w:val="single" w:sz="8" w:color="auto"/>
            </w:tcBorders>
            <w:vMerge w:val="continue"/>
          </w:tcPr>
          <w:p>
            <w:pPr>
              <w:spacing w:after="0"/>
              <w:rPr>
                <w:sz w:val="10"/>
                <w:szCs w:val="10"/>
                <w:color w:val="auto"/>
              </w:rPr>
            </w:pPr>
          </w:p>
        </w:tc>
        <w:tc>
          <w:tcPr>
            <w:tcW w:w="206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00" w:type="dxa"/>
            <w:vAlign w:val="bottom"/>
            <w:tcBorders>
              <w:left w:val="single" w:sz="8" w:color="auto"/>
              <w:right w:val="single" w:sz="8" w:color="auto"/>
            </w:tcBorders>
            <w:vMerge w:val="continue"/>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vMerge w:val="continue"/>
          </w:tcPr>
          <w:p>
            <w:pPr>
              <w:spacing w:after="0"/>
              <w:rPr>
                <w:sz w:val="9"/>
                <w:szCs w:val="9"/>
                <w:color w:val="auto"/>
              </w:rPr>
            </w:pPr>
          </w:p>
        </w:tc>
        <w:tc>
          <w:tcPr>
            <w:tcW w:w="84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1620" w:type="dxa"/>
            <w:vAlign w:val="bottom"/>
            <w:tcBorders>
              <w:bottom w:val="single" w:sz="8" w:color="auto"/>
              <w:right w:val="single" w:sz="8" w:color="auto"/>
            </w:tcBorders>
          </w:tcPr>
          <w:p>
            <w:pPr>
              <w:spacing w:after="0"/>
              <w:rPr>
                <w:sz w:val="9"/>
                <w:szCs w:val="9"/>
                <w:color w:val="auto"/>
              </w:rPr>
            </w:pPr>
          </w:p>
        </w:tc>
        <w:tc>
          <w:tcPr>
            <w:tcW w:w="2060" w:type="dxa"/>
            <w:vAlign w:val="bottom"/>
            <w:tcBorders>
              <w:bottom w:val="single" w:sz="8" w:color="auto"/>
              <w:right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1000" w:type="dxa"/>
            <w:vAlign w:val="bottom"/>
            <w:tcBorders>
              <w:left w:val="single" w:sz="8" w:color="auto"/>
              <w:right w:val="single" w:sz="8" w:color="auto"/>
            </w:tcBorders>
            <w:vMerge w:val="continue"/>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1460" w:type="dxa"/>
            <w:vAlign w:val="bottom"/>
            <w:tcBorders>
              <w:right w:val="single" w:sz="8" w:color="auto"/>
            </w:tcBorders>
            <w:vMerge w:val="restart"/>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Guarantees of</w:t>
            </w:r>
          </w:p>
        </w:tc>
        <w:tc>
          <w:tcPr>
            <w:tcW w:w="84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80" w:type="dxa"/>
            <w:vAlign w:val="bottom"/>
            <w:tcBorders>
              <w:right w:val="single" w:sz="8" w:color="auto"/>
            </w:tcBorders>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1620" w:type="dxa"/>
            <w:vAlign w:val="bottom"/>
            <w:tcBorders>
              <w:right w:val="single" w:sz="8" w:color="auto"/>
            </w:tcBorders>
          </w:tcPr>
          <w:p>
            <w:pPr>
              <w:spacing w:after="0"/>
              <w:rPr>
                <w:sz w:val="6"/>
                <w:szCs w:val="6"/>
                <w:color w:val="auto"/>
              </w:rPr>
            </w:pPr>
          </w:p>
        </w:tc>
        <w:tc>
          <w:tcPr>
            <w:tcW w:w="2060" w:type="dxa"/>
            <w:vAlign w:val="bottom"/>
            <w:tcBorders>
              <w:right w:val="single" w:sz="8" w:color="auto"/>
            </w:tcBorders>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0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Paid</w:t>
            </w:r>
          </w:p>
        </w:tc>
        <w:tc>
          <w:tcPr>
            <w:tcW w:w="58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000" w:type="dxa"/>
            <w:vAlign w:val="bottom"/>
            <w:tcBorders>
              <w:left w:val="single" w:sz="8" w:color="auto"/>
              <w:right w:val="single" w:sz="8" w:color="auto"/>
            </w:tcBorders>
            <w:vMerge w:val="continue"/>
          </w:tcPr>
          <w:p>
            <w:pPr>
              <w:spacing w:after="0"/>
              <w:rPr>
                <w:sz w:val="9"/>
                <w:szCs w:val="9"/>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Debt</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3.550% Notes</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Other (2)</w:t>
            </w:r>
          </w:p>
        </w:tc>
        <w:tc>
          <w:tcPr>
            <w:tcW w:w="120" w:type="dxa"/>
            <w:vAlign w:val="bottom"/>
          </w:tcPr>
          <w:p>
            <w:pPr>
              <w:spacing w:after="0"/>
              <w:rPr>
                <w:sz w:val="9"/>
                <w:szCs w:val="9"/>
                <w:color w:val="auto"/>
              </w:rPr>
            </w:pPr>
          </w:p>
        </w:tc>
        <w:tc>
          <w:tcPr>
            <w:tcW w:w="1280" w:type="dxa"/>
            <w:vAlign w:val="bottom"/>
            <w:tcBorders>
              <w:right w:val="single" w:sz="8" w:color="auto"/>
            </w:tcBorders>
            <w:vMerge w:val="restart"/>
          </w:tcPr>
          <w:p>
            <w:pPr>
              <w:jc w:val="center"/>
              <w:ind w:right="3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03"/>
        </w:trPr>
        <w:tc>
          <w:tcPr>
            <w:tcW w:w="1000" w:type="dxa"/>
            <w:vAlign w:val="bottom"/>
            <w:tcBorders>
              <w:left w:val="single" w:sz="8" w:color="auto"/>
              <w:right w:val="single" w:sz="8" w:color="auto"/>
            </w:tcBorders>
          </w:tcPr>
          <w:p>
            <w:pPr>
              <w:spacing w:after="0"/>
              <w:rPr>
                <w:sz w:val="8"/>
                <w:szCs w:val="8"/>
                <w:color w:val="auto"/>
              </w:rPr>
            </w:pPr>
          </w:p>
        </w:tc>
        <w:tc>
          <w:tcPr>
            <w:tcW w:w="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840" w:type="dxa"/>
            <w:vAlign w:val="bottom"/>
            <w:tcBorders>
              <w:right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vMerge w:val="continue"/>
          </w:tcPr>
          <w:p>
            <w:pPr>
              <w:spacing w:after="0"/>
              <w:rPr>
                <w:sz w:val="8"/>
                <w:szCs w:val="8"/>
                <w:color w:val="auto"/>
              </w:rPr>
            </w:pPr>
          </w:p>
        </w:tc>
        <w:tc>
          <w:tcPr>
            <w:tcW w:w="206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1000" w:type="dxa"/>
            <w:vAlign w:val="bottom"/>
            <w:tcBorders>
              <w:left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due 2036 (1)</w:t>
            </w:r>
          </w:p>
        </w:tc>
        <w:tc>
          <w:tcPr>
            <w:tcW w:w="84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000" w:type="dxa"/>
            <w:vAlign w:val="bottom"/>
            <w:tcBorders>
              <w:left w:val="single" w:sz="8" w:color="auto"/>
              <w:right w:val="single" w:sz="8" w:color="auto"/>
            </w:tcBorders>
          </w:tcPr>
          <w:p>
            <w:pPr>
              <w:spacing w:after="0"/>
              <w:rPr>
                <w:sz w:val="16"/>
                <w:szCs w:val="16"/>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Debt</w:t>
            </w:r>
          </w:p>
        </w:tc>
        <w:tc>
          <w:tcPr>
            <w:tcW w:w="14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5.250% Notes</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457(r)</w:t>
            </w:r>
          </w:p>
        </w:tc>
        <w:tc>
          <w:tcPr>
            <w:tcW w:w="120" w:type="dxa"/>
            <w:vAlign w:val="bottom"/>
          </w:tcPr>
          <w:p>
            <w:pPr>
              <w:spacing w:after="0"/>
              <w:rPr>
                <w:sz w:val="16"/>
                <w:szCs w:val="16"/>
                <w:color w:val="auto"/>
              </w:rPr>
            </w:pPr>
          </w:p>
        </w:tc>
        <w:tc>
          <w:tcPr>
            <w:tcW w:w="1280" w:type="dxa"/>
            <w:vAlign w:val="bottom"/>
            <w:tcBorders>
              <w:right w:val="single" w:sz="8" w:color="auto"/>
            </w:tcBorders>
            <w:vMerge w:val="restart"/>
          </w:tcPr>
          <w:p>
            <w:pPr>
              <w:jc w:val="center"/>
              <w:ind w:right="36"/>
              <w:spacing w:after="0"/>
              <w:rPr>
                <w:sz w:val="20"/>
                <w:szCs w:val="20"/>
                <w:color w:val="auto"/>
              </w:rPr>
            </w:pPr>
            <w:r>
              <w:rPr>
                <w:rFonts w:ascii="Times New Roman" w:cs="Times New Roman" w:eastAsia="Times New Roman" w:hAnsi="Times New Roman"/>
                <w:sz w:val="18"/>
                <w:szCs w:val="18"/>
                <w:color w:val="auto"/>
                <w:w w:val="99"/>
              </w:rPr>
              <w:t>$1,001,025,000</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99.411%</w:t>
            </w: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$995,128,962.75</w:t>
            </w:r>
          </w:p>
        </w:tc>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$147.60 per $1,000,000</w:t>
            </w: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$146,881.03</w:t>
            </w:r>
          </w:p>
        </w:tc>
        <w:tc>
          <w:tcPr>
            <w:tcW w:w="0" w:type="dxa"/>
            <w:vAlign w:val="bottom"/>
          </w:tcPr>
          <w:p>
            <w:pPr>
              <w:spacing w:after="0"/>
              <w:rPr>
                <w:sz w:val="1"/>
                <w:szCs w:val="1"/>
                <w:color w:val="auto"/>
              </w:rPr>
            </w:pPr>
          </w:p>
        </w:tc>
      </w:tr>
      <w:tr>
        <w:trPr>
          <w:trHeight w:val="126"/>
        </w:trPr>
        <w:tc>
          <w:tcPr>
            <w:tcW w:w="1000" w:type="dxa"/>
            <w:vAlign w:val="bottom"/>
            <w:tcBorders>
              <w:left w:val="single" w:sz="8" w:color="auto"/>
              <w:right w:val="single" w:sz="8" w:color="auto"/>
            </w:tcBorders>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due 2040</w:t>
            </w:r>
          </w:p>
        </w:tc>
        <w:tc>
          <w:tcPr>
            <w:tcW w:w="84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860" w:type="dxa"/>
            <w:vAlign w:val="bottom"/>
            <w:tcBorders>
              <w:right w:val="single" w:sz="8" w:color="auto"/>
            </w:tcBorders>
            <w:vMerge w:val="continue"/>
          </w:tcPr>
          <w:p>
            <w:pPr>
              <w:spacing w:after="0"/>
              <w:rPr>
                <w:sz w:val="10"/>
                <w:szCs w:val="10"/>
                <w:color w:val="auto"/>
              </w:rPr>
            </w:pPr>
          </w:p>
        </w:tc>
        <w:tc>
          <w:tcPr>
            <w:tcW w:w="1620" w:type="dxa"/>
            <w:vAlign w:val="bottom"/>
            <w:tcBorders>
              <w:right w:val="single" w:sz="8" w:color="auto"/>
            </w:tcBorders>
            <w:vMerge w:val="continue"/>
          </w:tcPr>
          <w:p>
            <w:pPr>
              <w:spacing w:after="0"/>
              <w:rPr>
                <w:sz w:val="10"/>
                <w:szCs w:val="10"/>
                <w:color w:val="auto"/>
              </w:rPr>
            </w:pPr>
          </w:p>
        </w:tc>
        <w:tc>
          <w:tcPr>
            <w:tcW w:w="206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00" w:type="dxa"/>
            <w:vAlign w:val="bottom"/>
            <w:tcBorders>
              <w:left w:val="single" w:sz="8" w:color="auto"/>
              <w:right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vMerge w:val="continue"/>
          </w:tcPr>
          <w:p>
            <w:pPr>
              <w:spacing w:after="0"/>
              <w:rPr>
                <w:sz w:val="9"/>
                <w:szCs w:val="9"/>
                <w:color w:val="auto"/>
              </w:rPr>
            </w:pPr>
          </w:p>
        </w:tc>
        <w:tc>
          <w:tcPr>
            <w:tcW w:w="84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1620" w:type="dxa"/>
            <w:vAlign w:val="bottom"/>
            <w:tcBorders>
              <w:bottom w:val="single" w:sz="8" w:color="auto"/>
              <w:right w:val="single" w:sz="8" w:color="auto"/>
            </w:tcBorders>
          </w:tcPr>
          <w:p>
            <w:pPr>
              <w:spacing w:after="0"/>
              <w:rPr>
                <w:sz w:val="9"/>
                <w:szCs w:val="9"/>
                <w:color w:val="auto"/>
              </w:rPr>
            </w:pPr>
          </w:p>
        </w:tc>
        <w:tc>
          <w:tcPr>
            <w:tcW w:w="2060" w:type="dxa"/>
            <w:vAlign w:val="bottom"/>
            <w:tcBorders>
              <w:bottom w:val="single" w:sz="8" w:color="auto"/>
              <w:right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000" w:type="dxa"/>
            <w:vAlign w:val="bottom"/>
            <w:tcBorders>
              <w:left w:val="single" w:sz="8" w:color="auto"/>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Guarantees of</w:t>
            </w:r>
          </w:p>
        </w:tc>
        <w:tc>
          <w:tcPr>
            <w:tcW w:w="8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0" w:type="dxa"/>
            <w:vAlign w:val="bottom"/>
            <w:tcBorders>
              <w:left w:val="single" w:sz="8" w:color="auto"/>
              <w:right w:val="single" w:sz="8" w:color="auto"/>
            </w:tcBorders>
          </w:tcPr>
          <w:p>
            <w:pPr>
              <w:spacing w:after="0"/>
              <w:rPr>
                <w:sz w:val="18"/>
                <w:szCs w:val="18"/>
                <w:color w:val="auto"/>
              </w:rPr>
            </w:pP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Debt</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5.250% Notes</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Other (2)</w:t>
            </w:r>
          </w:p>
        </w:tc>
        <w:tc>
          <w:tcPr>
            <w:tcW w:w="120" w:type="dxa"/>
            <w:vAlign w:val="bottom"/>
          </w:tcPr>
          <w:p>
            <w:pPr>
              <w:spacing w:after="0"/>
              <w:rPr>
                <w:sz w:val="18"/>
                <w:szCs w:val="18"/>
                <w:color w:val="auto"/>
              </w:rPr>
            </w:pPr>
          </w:p>
        </w:tc>
        <w:tc>
          <w:tcPr>
            <w:tcW w:w="1280" w:type="dxa"/>
            <w:vAlign w:val="bottom"/>
            <w:tcBorders>
              <w:right w:val="single" w:sz="8" w:color="auto"/>
            </w:tcBorders>
          </w:tcPr>
          <w:p>
            <w:pPr>
              <w:jc w:val="center"/>
              <w:ind w:right="3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4"/>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due 2040 (1)</w:t>
            </w:r>
          </w:p>
        </w:tc>
        <w:tc>
          <w:tcPr>
            <w:tcW w:w="84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0" w:type="dxa"/>
            <w:vAlign w:val="bottom"/>
            <w:tcBorders>
              <w:left w:val="single" w:sz="8" w:color="auto"/>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color w:val="auto"/>
                <w:w w:val="90"/>
              </w:rPr>
              <w:t>Total Offering Amounts</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$2,987,809,035.75</w:t>
            </w:r>
          </w:p>
        </w:tc>
        <w:tc>
          <w:tcPr>
            <w:tcW w:w="206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$441,000.61</w:t>
            </w:r>
          </w:p>
        </w:tc>
        <w:tc>
          <w:tcPr>
            <w:tcW w:w="0" w:type="dxa"/>
            <w:vAlign w:val="bottom"/>
          </w:tcPr>
          <w:p>
            <w:pPr>
              <w:spacing w:after="0"/>
              <w:rPr>
                <w:sz w:val="1"/>
                <w:szCs w:val="1"/>
                <w:color w:val="auto"/>
              </w:rPr>
            </w:pPr>
          </w:p>
        </w:tc>
      </w:tr>
      <w:tr>
        <w:trPr>
          <w:trHeight w:val="209"/>
        </w:trPr>
        <w:tc>
          <w:tcPr>
            <w:tcW w:w="1000" w:type="dxa"/>
            <w:vAlign w:val="bottom"/>
            <w:tcBorders>
              <w:left w:val="single" w:sz="8" w:color="auto"/>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8"/>
                <w:szCs w:val="18"/>
                <w:color w:val="auto"/>
              </w:rPr>
              <w:t>Net Fee Due</w:t>
            </w:r>
          </w:p>
        </w:tc>
        <w:tc>
          <w:tcPr>
            <w:tcW w:w="12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$441,000.61</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24" w:right="380" w:hanging="424"/>
        <w:spacing w:after="0" w:line="282" w:lineRule="auto"/>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Cable Communications, LLC and NBCUniversal Media, LLC have each provided a guarantee with respect to the 3.250% Notes due 2032, 3.550% Notes due 2036 and 5.250% Notes due 2040 issued by Comcast Corporation.</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457(n) under the Securities Act of 1933, as amended, no additional registration fee is due with respect to the guarantees.</w:t>
      </w:r>
    </w:p>
    <w:p>
      <w:pPr>
        <w:spacing w:after="0" w:line="130" w:lineRule="exact"/>
        <w:rPr>
          <w:rFonts w:ascii="Times New Roman" w:cs="Times New Roman" w:eastAsia="Times New Roman" w:hAnsi="Times New Roman"/>
          <w:sz w:val="18"/>
          <w:szCs w:val="18"/>
          <w:color w:val="auto"/>
        </w:rPr>
      </w:pPr>
    </w:p>
    <w:p>
      <w:pPr>
        <w:ind w:left="424" w:right="380" w:hanging="424"/>
        <w:spacing w:after="0" w:line="258" w:lineRule="auto"/>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€900,000,000 aggregate principal amount of euro-denominated 3.250% notes due 2032, €900,000,000 aggregate principal amount of euro-denominated 3.550% notes due 2036 and £750,000,000 aggregate principal amount of sterling-denominated 5.250% notes will due 2040 be issued. The U.S. dollar equivalents of the amounts registered presented herein have been calculated using a €/U.S.$ exchange rate of €1.00/U.S.$1.1111 and a £/U.S.$ exchange rate of £1.00/U.S.$1.3347, as applicable, each as reported by Bloomberg, L.P. as of September 23, 2024.</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decimal"/>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lvl w:ilvl="1">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lvl w:ilvl="1">
      <w:lvlJc w:val="left"/>
      <w:lvlText w:val="•"/>
      <w:numFmt w:val="bullet"/>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1)"/>
      <w:numFmt w:val="lowerRoman"/>
      <w:start w:val="2"/>
    </w:lvl>
  </w:abstractNum>
  <w:abstractNum w:abstractNumId="7">
    <w:nsid w:val="54E49EB4"/>
    <w:multiLevelType w:val="hybridMultilevel"/>
    <w:lvl w:ilvl="0">
      <w:lvlJc w:val="left"/>
      <w:lvlText w:val="(%1)"/>
      <w:numFmt w:val="decimal"/>
      <w:start w:val="1"/>
    </w:lvl>
    <w:lvl w:ilvl="1">
      <w:lvlJc w:val="left"/>
      <w:lvlText w:val="(%2)"/>
      <w:numFmt w:val="lowerLetter"/>
      <w:start w:val="1"/>
    </w:lvl>
  </w:abstractNum>
  <w:abstractNum w:abstractNumId="8">
    <w:nsid w:val="71F32454"/>
    <w:multiLevelType w:val="hybridMultilevel"/>
    <w:lvl w:ilvl="0">
      <w:lvlJc w:val="left"/>
      <w:lvlText w:val="(%1)"/>
      <w:numFmt w:val="decimal"/>
      <w:start w:val="8"/>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1)"/>
      <w:numFmt w:val="lowerRoman"/>
      <w:start w:val="2"/>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1)"/>
      <w:numFmt w:val="lowerRoman"/>
      <w:start w:val="3"/>
    </w:lvl>
  </w:abstractNum>
  <w:abstractNum w:abstractNumId="16">
    <w:nsid w:val="737B8DDC"/>
    <w:multiLevelType w:val="hybridMultilevel"/>
    <w:lvl w:ilvl="0">
      <w:lvlJc w:val="left"/>
      <w:lvlText w:val="(%1)"/>
      <w:numFmt w:val="lowerRoman"/>
      <w:start w:val="3"/>
    </w:lvl>
  </w:abstractNum>
  <w:abstractNum w:abstractNumId="17">
    <w:nsid w:val="6CEAF087"/>
    <w:multiLevelType w:val="hybridMultilevel"/>
    <w:lvl w:ilvl="0">
      <w:lvlJc w:val="left"/>
      <w:lvlText w:val="(%1)"/>
      <w:numFmt w:val="lowerLetter"/>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1)"/>
      <w:numFmt w:val="lowerLetter"/>
      <w:start w:val="1"/>
    </w:lvl>
  </w:abstractNum>
  <w:abstractNum w:abstractNumId="25">
    <w:nsid w:val="5072367"/>
    <w:multiLevelType w:val="hybridMultilevel"/>
    <w:lvl w:ilvl="0">
      <w:lvlJc w:val="left"/>
      <w:lvlText w:val="(%1)"/>
      <w:numFmt w:val="lowerLetter"/>
      <w:start w:val="2"/>
    </w:lvl>
  </w:abstractNum>
  <w:abstractNum w:abstractNumId="26">
    <w:nsid w:val="3804823E"/>
    <w:multiLevelType w:val="hybridMultilevel"/>
    <w:lvl w:ilvl="0">
      <w:lvlJc w:val="left"/>
      <w:lvlText w:val="(%1)"/>
      <w:numFmt w:val="lowerLetter"/>
      <w:start w:val="1"/>
    </w:lvl>
  </w:abstractNum>
  <w:abstractNum w:abstractNumId="27">
    <w:nsid w:val="77465F01"/>
    <w:multiLevelType w:val="hybridMultilevel"/>
    <w:lvl w:ilvl="0">
      <w:lvlJc w:val="left"/>
      <w:lvlText w:val="(%1)"/>
      <w:numFmt w:val="lowerLetter"/>
      <w:start w:val="1"/>
    </w:lvl>
  </w:abstractNum>
  <w:abstractNum w:abstractNumId="28">
    <w:nsid w:val="7724C67E"/>
    <w:multiLevelType w:val="hybridMultilevel"/>
    <w:lvl w:ilvl="0">
      <w:lvlJc w:val="left"/>
      <w:lvlText w:val="(%1)"/>
      <w:numFmt w:val="lowerLetter"/>
      <w:start w:val="13"/>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1)"/>
      <w:numFmt w:val="lowerLetter"/>
      <w:start w:val="2"/>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jpe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jpe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15" Type="http://schemas.openxmlformats.org/officeDocument/2006/relationships/hyperlink" Target="http://www.sec.gov/ix?doc=/Archives/edgar/data/1166691/000116669124000011/cmcsa-20231231.htm" TargetMode="External"/><Relationship Id="rId16" Type="http://schemas.openxmlformats.org/officeDocument/2006/relationships/hyperlink" Target="http://www.sec.gov/ix?doc=/Archives/edgar/data/1166691/000116669124000031/cmcsa-20240331.htm" TargetMode="External"/><Relationship Id="rId17" Type="http://schemas.openxmlformats.org/officeDocument/2006/relationships/hyperlink" Target="http://www.sec.gov/ix?doc=/Archives/edgar/data/1166691/000116669124000048/cmcsa-20240630.htm" TargetMode="External"/><Relationship Id="rId18" Type="http://schemas.openxmlformats.org/officeDocument/2006/relationships/hyperlink" Target="http://www.sec.gov/ix?doc=/Archives/edgar/data/1166691/000116669124000019/cmcsa-20240415.htm" TargetMode="External"/><Relationship Id="rId19" Type="http://schemas.openxmlformats.org/officeDocument/2006/relationships/hyperlink" Target="http://www.sec.gov/ix?doc=/Archives/edgar/data/1166691/000095010324006839/dp211362_8k.htm" TargetMode="External"/><Relationship Id="rId20" Type="http://schemas.openxmlformats.org/officeDocument/2006/relationships/hyperlink" Target="http://www.sec.gov/ix?doc=/Archives/edgar/data/1166691/000119312524144958/d829636d8k.htm" TargetMode="External"/><Relationship Id="rId21" Type="http://schemas.openxmlformats.org/officeDocument/2006/relationships/hyperlink" Target="http://www.sec.gov/ix?doc=/Archives/edgar/data/1166691/000116669124000039/cmcsa-20240610.htm" TargetMode="External"/><Relationship Id="rId22" Type="http://schemas.openxmlformats.org/officeDocument/2006/relationships/hyperlink" Target="http://www.sec.gov/ix?doc=/Archives/edgar/data/1166691/000130817924000600/cmcsa4226581-def14a.htm" TargetMode="External"/><Relationship Id="rId87" Type="http://schemas.openxmlformats.org/officeDocument/2006/relationships/hyperlink" Target="http://www.sec.gov/ix?doc=/Archives/edgar/data/1166691/000116669122000009/cmcsa-20211231.htm" TargetMode="External"/><Relationship Id="rId88" Type="http://schemas.openxmlformats.org/officeDocument/2006/relationships/hyperlink" Target="http://www.sec.gov/ix?doc=/Archives/edgar/data/1166691/000116669122000018/cmcsa-20220331.htm" TargetMode="External"/><Relationship Id="rId89" Type="http://schemas.openxmlformats.org/officeDocument/2006/relationships/hyperlink" Target="http://www.sec.gov/ix?doc=/Archives/edgar/data/1166691/000116669122000030/cmcsa-20220630.htm" TargetMode="External"/><Relationship Id="rId90" Type="http://schemas.openxmlformats.org/officeDocument/2006/relationships/hyperlink" Target="http://www.sec.gov/ix?doc=/Archives/edgar/data/1166691/000095010322010112/dp174738_8k.htm" TargetMode="External"/><Relationship Id="rId91" Type="http://schemas.openxmlformats.org/officeDocument/2006/relationships/hyperlink" Target="http://www.sec.gov/Archives/edgar/data/1166691/000120677422001186/cmcsa4011221-def14a.htm" TargetMode="External"/><Relationship Id="rId92" Type="http://schemas.openxmlformats.org/officeDocument/2006/relationships/hyperlink" Target="http://www.sec.gov/Archives/edgar/data/1166691/000095010315009516/dp61838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2024-09-25T06:40:43Z</dcterms:created>
  <dcterms:modified xsi:type="dcterms:W3CDTF">2024-09-25T06:40:43Z</dcterms:modified>
</cp:coreProperties>
</file>