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01"/>
        <w:gridCol w:w="773"/>
        <w:gridCol w:w="598"/>
        <w:gridCol w:w="338"/>
        <w:gridCol w:w="903"/>
        <w:gridCol w:w="426"/>
        <w:gridCol w:w="739"/>
        <w:gridCol w:w="1566"/>
        <w:gridCol w:w="962"/>
        <w:gridCol w:w="90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21,879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6,973,755.526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21,637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6,995,392.526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17,691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7,013,083.526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5,929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43.67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7,007,154.526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7,448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43.67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6,999,706.526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8,956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43.67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6,990,750.526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286,044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16,799,517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17,691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773,744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21,637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752,107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21,879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730,228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is $0.00.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were automatically converted to shares of Class A common stock on the transaction date pursuant to a previously deferred stock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63948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728</Words>
  <Characters>3882</Characters>
  <CharactersWithSpaces>4476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