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3902710</wp:posOffset>
            </wp:positionH>
            <wp:positionV relativeFrom="paragraph">
              <wp:posOffset>-601345</wp:posOffset>
            </wp:positionV>
            <wp:extent cx="56515" cy="61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638175</wp:posOffset>
            </wp:positionV>
            <wp:extent cx="6998970" cy="4690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69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40" w:firstLine="1"/>
        <w:spacing w:after="0" w:line="268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Legal Officer, 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11,700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73,753.38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3,943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37.42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69,810.38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1,701.338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1,701.338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right="3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0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37.42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2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1,710.876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3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8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11,700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6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64,060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-1873250</wp:posOffset>
            </wp:positionV>
            <wp:extent cx="28575" cy="1878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7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hanging="4"/>
        <w:spacing w:after="0" w:line="275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one share of Class A Common Stock.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were automatically converted to shares of Class A common stock on the transaction date pursuant to a previously deferred stock award.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Elizabeth Wideman,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-25400</wp:posOffset>
            </wp:positionV>
            <wp:extent cx="13652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-17145</wp:posOffset>
            </wp:positionV>
            <wp:extent cx="15303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-80010</wp:posOffset>
            </wp:positionV>
            <wp:extent cx="464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2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2025-01-06T15:28:01Z</dcterms:created>
  <dcterms:modified xsi:type="dcterms:W3CDTF">2025-01-06T15:28:01Z</dcterms:modified>
</cp:coreProperties>
</file>