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8,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CMCSA</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CMCS27</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CMCS29A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CMCS32</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CMCS32A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CMCS36A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CMCS40</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CMCS40A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CCGBP29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CCZ</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3" w:right="339" w:bottom="36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October 8, 2025,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Comcast Corporation Press Release dated October 8, 2025.</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4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8"/>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26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8, 2025</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980" w:type="dxa"/>
            <w:vAlign w:val="bottom"/>
          </w:tcPr>
          <w:p>
            <w:pPr>
              <w:spacing w:after="0"/>
              <w:rPr>
                <w:sz w:val="16"/>
                <w:szCs w:val="16"/>
                <w:color w:val="auto"/>
              </w:rPr>
            </w:pPr>
          </w:p>
        </w:tc>
        <w:tc>
          <w:tcPr>
            <w:tcW w:w="278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980" w:type="dxa"/>
            <w:vAlign w:val="bottom"/>
          </w:tcPr>
          <w:p>
            <w:pPr>
              <w:spacing w:after="0"/>
              <w:rPr>
                <w:sz w:val="18"/>
                <w:szCs w:val="18"/>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311"/>
        </w:trPr>
        <w:tc>
          <w:tcPr>
            <w:tcW w:w="39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173990</wp:posOffset>
            </wp:positionV>
            <wp:extent cx="1859915" cy="104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COMCAST ANNOUNCES FINAL RESULTS FOR AMENDED POOL 2 EXCHANGE OFFERS AND AMENDED POOL 2 CASH OFFERS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Philadelphia, Pennsylvania, October 8, 2025 </w:t>
      </w:r>
      <w:r>
        <w:rPr>
          <w:rFonts w:ascii="Times New Roman" w:cs="Times New Roman" w:eastAsia="Times New Roman" w:hAnsi="Times New Roman"/>
          <w:sz w:val="18"/>
          <w:szCs w:val="18"/>
          <w:color w:val="auto"/>
        </w:rPr>
        <w:t>- Comcast Corporation (Nasdaq: CMCSA)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Comcast Corporation (Nasdaq: CMCSA) (“Comcast”) today announced the final results of its two separate private offers to exchange (collectively, the “Amended Pool 2 Exchange Offers”) any and all of the outstanding series of notes listed in the table below (collectively, the “Pool 2 Notes”) for newly issued 5.168% Notes due 2037 (the “New 2037 Notes”), on the terms and subject to the conditions set forth in the Offering Memorandum dated September 22, 2025 as supplemented by the Supplement to the Offering Memorandum dated September 29, 2025 (as supplemented, the “Amended Offering Memorandum”), the eligibility certification and the accompanying exchange offer notice of guaranteed delivery (which, together with the Amended Offering Memorandum and the eligibility certification, constitute the “Amended Exchange Offer Documents”). Unless otherwise defined herein, capitalized terms related to the Amended Pool 2 Exchange Offers used under the heading “Exchange Offers” have the respective meanings assigned thereto in the Amended Exchange Offer Documents.</w:t>
      </w:r>
    </w:p>
    <w:p>
      <w:pPr>
        <w:spacing w:after="0" w:line="192" w:lineRule="exact"/>
        <w:rPr>
          <w:sz w:val="20"/>
          <w:szCs w:val="20"/>
          <w:color w:val="auto"/>
        </w:rPr>
      </w:pPr>
    </w:p>
    <w:p>
      <w:pPr>
        <w:jc w:val="both"/>
        <w:ind w:right="160" w:firstLine="648"/>
        <w:spacing w:after="0" w:line="312" w:lineRule="auto"/>
        <w:rPr>
          <w:sz w:val="20"/>
          <w:szCs w:val="20"/>
          <w:color w:val="auto"/>
        </w:rPr>
      </w:pPr>
      <w:r>
        <w:rPr>
          <w:rFonts w:ascii="Times New Roman" w:cs="Times New Roman" w:eastAsia="Times New Roman" w:hAnsi="Times New Roman"/>
          <w:sz w:val="17"/>
          <w:szCs w:val="17"/>
          <w:color w:val="auto"/>
        </w:rPr>
        <w:t>The Amended Pool 2 Exchange Offers expired at 5:00 p.m. (Eastern time) on October 3, 2025 (the “Amended Pool 2 Exchange Offer Expiration Date”). The “Amended Pool 2 Exchange Offer Settlement Date” with respect to the Amended Pool 2 Exchange Offers is expected to be October 9, 2025.</w:t>
      </w:r>
    </w:p>
    <w:p>
      <w:pPr>
        <w:spacing w:after="0" w:line="14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table below indicates, among other things, the aggregate principal amount of each series of Pool 2 Notes that Comcast is accepting in connection with Comcast’s offer to exchange any and all of its outstanding notes listed below for the New 2037 Notes: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Pool 2 Notes</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w:t>
            </w:r>
          </w:p>
        </w:tc>
        <w:tc>
          <w:tcPr>
            <w:tcW w:w="100" w:type="dxa"/>
            <w:vAlign w:val="bottom"/>
          </w:tcPr>
          <w:p>
            <w:pPr>
              <w:spacing w:after="0"/>
              <w:rPr>
                <w:sz w:val="24"/>
                <w:szCs w:val="24"/>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 Priority</w:t>
            </w:r>
          </w:p>
        </w:tc>
        <w:tc>
          <w:tcPr>
            <w:tcW w:w="1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Pool 2 Notes to be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 Exchange and</w:t>
            </w:r>
          </w:p>
        </w:tc>
        <w:tc>
          <w:tcPr>
            <w:tcW w:w="10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Accepted</w:t>
            </w:r>
          </w:p>
        </w:tc>
        <w:tc>
          <w:tcPr>
            <w:tcW w:w="100" w:type="dxa"/>
            <w:vAlign w:val="bottom"/>
          </w:tcPr>
          <w:p>
            <w:pPr>
              <w:spacing w:after="0"/>
              <w:rPr>
                <w:sz w:val="20"/>
                <w:szCs w:val="20"/>
                <w:color w:val="auto"/>
              </w:rPr>
            </w:pPr>
          </w:p>
        </w:tc>
      </w:tr>
      <w:tr>
        <w:trPr>
          <w:trHeight w:val="191"/>
        </w:trPr>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4.150% Notes due 2028</w:t>
            </w:r>
          </w:p>
        </w:tc>
        <w:tc>
          <w:tcPr>
            <w:tcW w:w="120" w:type="dxa"/>
            <w:vAlign w:val="bottom"/>
          </w:tcPr>
          <w:p>
            <w:pPr>
              <w:spacing w:after="0"/>
              <w:rPr>
                <w:sz w:val="16"/>
                <w:szCs w:val="16"/>
                <w:color w:val="auto"/>
              </w:rPr>
            </w:pPr>
          </w:p>
        </w:tc>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20030N CT6</w:t>
            </w:r>
          </w:p>
        </w:tc>
        <w:tc>
          <w:tcPr>
            <w:tcW w:w="100" w:type="dxa"/>
            <w:vAlign w:val="bottom"/>
          </w:tcPr>
          <w:p>
            <w:pPr>
              <w:spacing w:after="0"/>
              <w:rPr>
                <w:sz w:val="16"/>
                <w:szCs w:val="16"/>
                <w:color w:val="auto"/>
              </w:rPr>
            </w:pPr>
          </w:p>
        </w:tc>
        <w:tc>
          <w:tcPr>
            <w:tcW w:w="19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w w:val="97"/>
              </w:rPr>
              <w:t>$3,975,000,000</w:t>
            </w:r>
          </w:p>
        </w:tc>
        <w:tc>
          <w:tcPr>
            <w:tcW w:w="120" w:type="dxa"/>
            <w:vAlign w:val="bottom"/>
          </w:tcPr>
          <w:p>
            <w:pPr>
              <w:spacing w:after="0"/>
              <w:rPr>
                <w:sz w:val="16"/>
                <w:szCs w:val="16"/>
                <w:color w:val="auto"/>
              </w:rPr>
            </w:pPr>
          </w:p>
        </w:tc>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$375,527,000</w:t>
            </w:r>
          </w:p>
        </w:tc>
        <w:tc>
          <w:tcPr>
            <w:tcW w:w="10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20030N ED9</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$1,000,000,000</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$99,744,000</w:t>
            </w:r>
          </w:p>
        </w:tc>
        <w:tc>
          <w:tcPr>
            <w:tcW w:w="100" w:type="dxa"/>
            <w:vAlign w:val="bottom"/>
          </w:tcPr>
          <w:p>
            <w:pPr>
              <w:spacing w:after="0"/>
              <w:rPr>
                <w:sz w:val="20"/>
                <w:szCs w:val="20"/>
                <w:color w:val="auto"/>
              </w:rPr>
            </w:pPr>
          </w:p>
        </w:tc>
      </w:tr>
      <w:tr>
        <w:trPr>
          <w:trHeight w:val="310"/>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4" w:name="page5"/>
    <w:bookmarkEnd w:id="4"/>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Amended Offering Memorandum, Comcast expects to issue approximately $480 million aggregate principal amount of New 2037 Notes; as such, Comcast considers the Amended Pool 2 New Notes Capacity Condition (as defined in the Amended Offering Memorandum) satisfied for the purpose of the Amended Pool 2 Exchange Offers. When combined with the notes issued on October 2, 2025, Comcast expects the total amount outstanding of New 2037 Notes to be approximately $1.17 billion.</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Comcast today also announced that certain customary conditions to the Amended Pool 2 Exchange Offers, including the absence of certain adverse legal and market developments, have been satisfied with respect to each series of Pool 2 Notes, and the Amended Pool 2 Cash Offer Completion Condition (as defined in the Amended Offering Memorandum) has been satisfied for each series of Pool 2 Notes.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2037 Notes will not be registered under the Securities Act of 1933, as amended (the “Securities Act”), or any state securities laws. Therefore, the New 2037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2037 Notes.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Exchange Agent for the Amended Pool 2 Exchange Offers. Questions or requests for assistance related to the Amended Pool 2 Exchange Offers or for additional copies of the Amended Exchange Offer Documents may be directed to Global Bondholder Services Corporation at (212) 430-3774. You may also contact your broker, dealer, commercial bank, trust company or other nominee for assistance concerning the Amended Pool 2 Exchange Offers. The Amended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Offers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Comcast today announced the final results of its two separate private offers to purchase for cash (the “Amended Pool 2 Cash Offers” and, together with the Amended Pool 2 Exchange Offers, the “Amended Pool 2 Offers”) any and all of each series of Pool 2 Notes, on the terms and subject to the conditions set forth in the Offer to Purchase dated September 22, 2025 as supplemented by the Supplement to the Offer to Purchase dated September 29, 2025 (as supplemented, the “Amended Offer to Purchase”), the certification instructions letter (the “Certification Instructions Letter”) and the accompanying cash offer notice of guaranteed delivery (which, together with the Amended Offer to Purchase and the Certification Instructions Letter, constitute the “Amended Cash Offer Documents”). Only holders who were not Exchange Offer Eligible Holders (as defined below) were eligible to participate in the Amended Pool 2 Cash Offers (“Cash Offer Eligible 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Pool 2 Cash Offers expired at 5:00 p.m. (Eastern time) on October 3, 2025 (the “Amended Pool 2 Cash Offer Expiration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Pool 2 Cash Offer Settlement Date” with respect to the Amended Pool 2 Cash Offers is expected to be October 9,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 w:name="page6"/>
    <w:bookmarkEnd w:id="5"/>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under the heading “Cash Offers” related to the Amended Pool 2 Cash Offers have the respective meanings assigned thereto in the Amended Cash Offer Documents.</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table below indicates, among other things, the aggregate principal amount of each series of Pool 2 Notes that Comcast is accepting in connection with Comcast’s offer to purchase any and all of the Pool 2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w:t>
            </w:r>
          </w:p>
        </w:tc>
      </w:tr>
      <w:tr>
        <w:trPr>
          <w:trHeight w:val="216"/>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Acceptance Priority</w:t>
            </w: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for Purchase and</w:t>
            </w:r>
          </w:p>
        </w:tc>
      </w:tr>
      <w:tr>
        <w:trPr>
          <w:trHeight w:val="238"/>
        </w:trPr>
        <w:tc>
          <w:tcPr>
            <w:tcW w:w="17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20" w:type="dxa"/>
            <w:vAlign w:val="bottom"/>
          </w:tcPr>
          <w:p>
            <w:pPr>
              <w:spacing w:after="0"/>
              <w:rPr>
                <w:sz w:val="20"/>
                <w:szCs w:val="20"/>
                <w:color w:val="auto"/>
              </w:rPr>
            </w:pPr>
          </w:p>
        </w:tc>
        <w:tc>
          <w:tcPr>
            <w:tcW w:w="32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Title of Series of Pool 2 Notes</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Accepted</w:t>
            </w:r>
          </w:p>
        </w:tc>
      </w:tr>
      <w:tr>
        <w:trPr>
          <w:trHeight w:val="191"/>
        </w:trPr>
        <w:tc>
          <w:tcPr>
            <w:tcW w:w="1700" w:type="dxa"/>
            <w:vAlign w:val="bottom"/>
          </w:tcPr>
          <w:p>
            <w:pPr>
              <w:jc w:val="right"/>
              <w:ind w:right="1510"/>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4.150% Notes due 2028</w:t>
            </w:r>
          </w:p>
        </w:tc>
        <w:tc>
          <w:tcPr>
            <w:tcW w:w="120" w:type="dxa"/>
            <w:vAlign w:val="bottom"/>
          </w:tcPr>
          <w:p>
            <w:pPr>
              <w:spacing w:after="0"/>
              <w:rPr>
                <w:sz w:val="16"/>
                <w:szCs w:val="16"/>
                <w:color w:val="auto"/>
              </w:rPr>
            </w:pPr>
          </w:p>
        </w:tc>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20030N CT6</w:t>
            </w:r>
          </w:p>
        </w:tc>
        <w:tc>
          <w:tcPr>
            <w:tcW w:w="100" w:type="dxa"/>
            <w:vAlign w:val="bottom"/>
          </w:tcPr>
          <w:p>
            <w:pPr>
              <w:spacing w:after="0"/>
              <w:rPr>
                <w:sz w:val="16"/>
                <w:szCs w:val="16"/>
                <w:color w:val="auto"/>
              </w:rPr>
            </w:pPr>
          </w:p>
        </w:tc>
        <w:tc>
          <w:tcPr>
            <w:tcW w:w="1900" w:type="dxa"/>
            <w:vAlign w:val="bottom"/>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w w:val="97"/>
              </w:rPr>
              <w:t>$3,975,000,000</w:t>
            </w:r>
          </w:p>
        </w:tc>
        <w:tc>
          <w:tcPr>
            <w:tcW w:w="120" w:type="dxa"/>
            <w:vAlign w:val="bottom"/>
          </w:tcPr>
          <w:p>
            <w:pPr>
              <w:spacing w:after="0"/>
              <w:rPr>
                <w:sz w:val="16"/>
                <w:szCs w:val="16"/>
                <w:color w:val="auto"/>
              </w:rPr>
            </w:pPr>
          </w:p>
        </w:tc>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$378,596,000</w:t>
            </w:r>
          </w:p>
        </w:tc>
      </w:tr>
      <w:tr>
        <w:trPr>
          <w:trHeight w:val="234"/>
        </w:trPr>
        <w:tc>
          <w:tcPr>
            <w:tcW w:w="17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20030N ED9</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$1,000,000,000</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$67,614,000</w:t>
            </w: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Comcast today announced that the Amended Pool 2 Exchange Offer Completion Condition (as defined in the Amended Offer to Purchase) has been satisfied for each series of Pool 2 Notes accepted for purchase and all other conditions to the Amended Pool 2 Cash Offers, including the Amended Maximum Pool 2 Total Consideration Condition (as defined in the Amended Offer to Purchase) described in the Amended Offer to Purchase, including the absence of certain adverse legal and market developments, have been satisfied with respect to each series of Pool 2 Notes.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Tender Agent for the Amended Pool 2 Cash Offers. Questions or requests for assistance related to the Amended Pool 2 Cash Offers or for additional copies of the Amended Cash Offer Documents may be directed to Global Bondholder Services Corporation at (212) 430-3774. You may also contact your broker, dealer, commercial bank, trust company or other nominee for assistance concerning the Amended Pool 2 Cash Offers. The Amended Cash Offer Documents can be accessed at the following link: </w:t>
      </w:r>
      <w:r>
        <w:rPr>
          <w:rFonts w:ascii="Times New Roman" w:cs="Times New Roman" w:eastAsia="Times New Roman" w:hAnsi="Times New Roman"/>
          <w:sz w:val="18"/>
          <w:szCs w:val="18"/>
          <w:u w:val="single" w:color="auto"/>
          <w:color w:val="0000FF"/>
        </w:rPr>
        <w:t>https://www.gbsc-usa.com/comcast</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of the securities described herein. The Amended Pool 2 Exchange Offers are being made solely pursuant to the Amended Offering Memorandum and related documents and the Amended Pool 2 Cash Offers are being made solely pursuant to the Amended Offer to Purchase and related documents. The Amended Pool 2 Offers are not being made to holders of Pool 2 Notes in any jurisdiction in which the making or acceptance thereof would not be in compliance with the securities, blue sky or other laws of such jurisdiction. In any jurisdiction in which the securities laws or blue sky laws require the Amended Pool 2 Offers to be made by a licensed broker or dealer, the Amended Pool 2 Offers will be deemed to be made on behalf of Comcast by the dealer managers or one or more registered brokers or dealers that are licensed under the laws of such jurisdiction.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 w:name="page7"/>
    <w:bookmarkEnd w:id="6"/>
    <w:p>
      <w:pPr>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The Amended Pool 2 Offers are only being made, and the New 2037 Notes are only being offered and will only be issued, and copies of the Exchange Offer Documents were only made available, to holders of Pool 2 Notes (1) that are either (a) “qualified institutional buyers,” or “QIBs,” as that term is defined in Rule 144A under the Securities Act, in a private transaction in reliance upon an exemption from the registration requirements of 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2037 Notes or otherwise making them available to retail investors in the European Economic Area has been prepared and therefore offering or selling the New 2037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 consequently no key information document required by Regulation (EU) No 1286/2014 as it forms part of domestic law by virtue of the EUWA (the “UK PRIIPs Regulation”) for offering or selling the New 2037 Notes or otherwise making them available to retail investors in the United Kingdom has been prepared and therefore offering or selling the New 2037 Notes or 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7"/>
          <w:szCs w:val="17"/>
          <w:i w:val="1"/>
          <w:iCs w:val="1"/>
          <w:color w:val="auto"/>
        </w:rPr>
        <w:t>Prospectus Exemptions</w:t>
      </w:r>
      <w:r>
        <w:rPr>
          <w:rFonts w:ascii="Times New Roman" w:cs="Times New Roman" w:eastAsia="Times New Roman" w:hAnsi="Times New Roman"/>
          <w:sz w:val="17"/>
          <w:szCs w:val="17"/>
          <w:color w:val="auto"/>
        </w:rPr>
        <w:t>, and, if resident in Ontario, section 73.3(1) of</w:t>
      </w:r>
    </w:p>
    <w:p>
      <w:pPr>
        <w:spacing w:after="0" w:line="200" w:lineRule="exact"/>
        <w:rPr>
          <w:sz w:val="20"/>
          <w:szCs w:val="20"/>
          <w:color w:val="auto"/>
        </w:rPr>
      </w:pPr>
    </w:p>
    <w:p>
      <w:pPr>
        <w:ind w:left="60" w:right="120" w:hanging="44"/>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in each case, that are not individuals unless that person is also a “permitted client” as defined in National Instrument 31-103 – </w:t>
      </w:r>
      <w:r>
        <w:rPr>
          <w:rFonts w:ascii="Times New Roman" w:cs="Times New Roman" w:eastAsia="Times New Roman" w:hAnsi="Times New Roman"/>
          <w:sz w:val="18"/>
          <w:szCs w:val="18"/>
          <w:i w:val="1"/>
          <w:iCs w:val="1"/>
          <w:color w:val="auto"/>
        </w:rPr>
        <w:t xml:space="preserve">Registration Requirements, Exemptions and Ongoing Registrant Obligations </w:t>
      </w:r>
      <w:r>
        <w:rPr>
          <w:rFonts w:ascii="Times New Roman" w:cs="Times New Roman" w:eastAsia="Times New Roman" w:hAnsi="Times New Roman"/>
          <w:sz w:val="18"/>
          <w:szCs w:val="18"/>
          <w:color w:val="auto"/>
        </w:rPr>
        <w:t>(the “Exchange Offer Eligible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Only Exchange Offer Eligible</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Holders who completed and returned the eligibility certification are authorized to receive or review the Amended Offering Memorandum or to participate in the Amended Pool 2 Exchange Offers. For Canadian Eligible Holders tendering Pool 2 Notes, such participation is also conditioned upon the receipt of beneficial ownership information, including a completed certification form which is required if tendering Pool 2 Notes. There is no separate letter of transmittal in connection with the Amended Offering Memorandum.</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Amended Offering Memorandum and the Amended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53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2025-10-08T07:18:00Z</dcterms:created>
  <dcterms:modified xsi:type="dcterms:W3CDTF">2025-10-08T07:18:00Z</dcterms:modified>
</cp:coreProperties>
</file>