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165735</wp:posOffset>
            </wp:positionV>
            <wp:extent cx="2006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Exchange Act of 1934</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11, 2018</w:t>
      </w:r>
    </w:p>
    <w:p>
      <w:pPr>
        <w:spacing w:after="0" w:line="370" w:lineRule="exact"/>
        <w:rPr>
          <w:sz w:val="24"/>
          <w:szCs w:val="24"/>
          <w:color w:val="auto"/>
        </w:rPr>
      </w:pPr>
    </w:p>
    <w:tbl>
      <w:tblPr>
        <w:tblLayout w:type="fixed"/>
        <w:tblInd w:w="780" w:type="dxa"/>
        <w:tblCellMar>
          <w:top w:w="0" w:type="dxa"/>
          <w:left w:w="0" w:type="dxa"/>
          <w:bottom w:w="0" w:type="dxa"/>
          <w:right w:w="0" w:type="dxa"/>
        </w:tblCellMar>
      </w:tblPr>
      <w:tr>
        <w:trPr>
          <w:trHeight w:val="375"/>
        </w:trPr>
        <w:tc>
          <w:tcPr>
            <w:tcW w:w="3000" w:type="dxa"/>
            <w:vAlign w:val="bottom"/>
          </w:tcPr>
          <w:p>
            <w:pPr>
              <w:spacing w:after="0"/>
              <w:rPr>
                <w:sz w:val="24"/>
                <w:szCs w:val="24"/>
                <w:color w:val="auto"/>
              </w:rPr>
            </w:pPr>
          </w:p>
        </w:tc>
        <w:tc>
          <w:tcPr>
            <w:tcW w:w="6760" w:type="dxa"/>
            <w:vAlign w:val="bottom"/>
          </w:tcPr>
          <w:p>
            <w:pPr>
              <w:jc w:val="center"/>
              <w:ind w:right="2674"/>
              <w:spacing w:after="0"/>
              <w:rPr>
                <w:sz w:val="20"/>
                <w:szCs w:val="20"/>
                <w:color w:val="auto"/>
              </w:rPr>
            </w:pPr>
            <w:r>
              <w:rPr>
                <w:rFonts w:ascii="Arial" w:cs="Arial" w:eastAsia="Arial" w:hAnsi="Arial"/>
                <w:sz w:val="29"/>
                <w:szCs w:val="29"/>
                <w:b w:val="1"/>
                <w:bCs w:val="1"/>
                <w:color w:val="auto"/>
                <w:w w:val="90"/>
              </w:rPr>
              <w:t>Comcast Corporation</w:t>
            </w:r>
          </w:p>
        </w:tc>
      </w:tr>
      <w:tr>
        <w:trPr>
          <w:trHeight w:val="179"/>
        </w:trPr>
        <w:tc>
          <w:tcPr>
            <w:tcW w:w="3000" w:type="dxa"/>
            <w:vAlign w:val="bottom"/>
          </w:tcPr>
          <w:p>
            <w:pPr>
              <w:spacing w:after="0"/>
              <w:rPr>
                <w:sz w:val="15"/>
                <w:szCs w:val="15"/>
                <w:color w:val="auto"/>
              </w:rPr>
            </w:pPr>
          </w:p>
        </w:tc>
        <w:tc>
          <w:tcPr>
            <w:tcW w:w="6760" w:type="dxa"/>
            <w:vAlign w:val="bottom"/>
          </w:tcPr>
          <w:p>
            <w:pPr>
              <w:jc w:val="center"/>
              <w:ind w:right="2654"/>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3000" w:type="dxa"/>
            <w:vAlign w:val="bottom"/>
          </w:tcPr>
          <w:p>
            <w:pPr>
              <w:spacing w:after="0"/>
              <w:rPr>
                <w:sz w:val="15"/>
                <w:szCs w:val="15"/>
                <w:color w:val="auto"/>
              </w:rPr>
            </w:pPr>
          </w:p>
        </w:tc>
        <w:tc>
          <w:tcPr>
            <w:tcW w:w="6760" w:type="dxa"/>
            <w:vAlign w:val="bottom"/>
          </w:tcPr>
          <w:p>
            <w:pPr>
              <w:jc w:val="center"/>
              <w:ind w:right="2674"/>
              <w:spacing w:after="0"/>
              <w:rPr>
                <w:sz w:val="20"/>
                <w:szCs w:val="20"/>
                <w:color w:val="auto"/>
              </w:rPr>
            </w:pPr>
            <w:r>
              <w:rPr>
                <w:rFonts w:ascii="Arial" w:cs="Arial" w:eastAsia="Arial" w:hAnsi="Arial"/>
                <w:sz w:val="14"/>
                <w:szCs w:val="14"/>
                <w:color w:val="auto"/>
                <w:w w:val="92"/>
              </w:rPr>
              <w:t>as Specified in its Charter)</w:t>
            </w:r>
          </w:p>
        </w:tc>
      </w:tr>
      <w:tr>
        <w:trPr>
          <w:trHeight w:val="525"/>
        </w:trPr>
        <w:tc>
          <w:tcPr>
            <w:tcW w:w="3000" w:type="dxa"/>
            <w:vAlign w:val="bottom"/>
          </w:tcPr>
          <w:p>
            <w:pPr>
              <w:spacing w:after="0"/>
              <w:rPr>
                <w:sz w:val="24"/>
                <w:szCs w:val="24"/>
                <w:color w:val="auto"/>
              </w:rPr>
            </w:pPr>
          </w:p>
        </w:tc>
        <w:tc>
          <w:tcPr>
            <w:tcW w:w="6760" w:type="dxa"/>
            <w:vAlign w:val="bottom"/>
          </w:tcPr>
          <w:p>
            <w:pPr>
              <w:jc w:val="center"/>
              <w:ind w:right="2654"/>
              <w:spacing w:after="0"/>
              <w:rPr>
                <w:sz w:val="20"/>
                <w:szCs w:val="20"/>
                <w:color w:val="auto"/>
              </w:rPr>
            </w:pPr>
            <w:r>
              <w:rPr>
                <w:rFonts w:ascii="Arial" w:cs="Arial" w:eastAsia="Arial" w:hAnsi="Arial"/>
                <w:sz w:val="18"/>
                <w:szCs w:val="18"/>
                <w:b w:val="1"/>
                <w:bCs w:val="1"/>
                <w:color w:val="auto"/>
                <w:w w:val="88"/>
              </w:rPr>
              <w:t>Pennsylvania</w:t>
            </w:r>
          </w:p>
        </w:tc>
      </w:tr>
      <w:tr>
        <w:trPr>
          <w:trHeight w:val="285"/>
        </w:trPr>
        <w:tc>
          <w:tcPr>
            <w:tcW w:w="3000" w:type="dxa"/>
            <w:vAlign w:val="bottom"/>
          </w:tcPr>
          <w:p>
            <w:pPr>
              <w:spacing w:after="0"/>
              <w:rPr>
                <w:sz w:val="24"/>
                <w:szCs w:val="24"/>
                <w:color w:val="auto"/>
              </w:rPr>
            </w:pPr>
          </w:p>
        </w:tc>
        <w:tc>
          <w:tcPr>
            <w:tcW w:w="6760" w:type="dxa"/>
            <w:vAlign w:val="bottom"/>
          </w:tcPr>
          <w:p>
            <w:pPr>
              <w:jc w:val="center"/>
              <w:ind w:right="2674"/>
              <w:spacing w:after="0"/>
              <w:rPr>
                <w:sz w:val="20"/>
                <w:szCs w:val="20"/>
                <w:color w:val="auto"/>
              </w:rPr>
            </w:pPr>
            <w:r>
              <w:rPr>
                <w:rFonts w:ascii="Arial" w:cs="Arial" w:eastAsia="Arial" w:hAnsi="Arial"/>
                <w:sz w:val="14"/>
                <w:szCs w:val="14"/>
                <w:color w:val="auto"/>
                <w:w w:val="95"/>
              </w:rPr>
              <w:t>(State or Other Jurisdiction of Incorporation)</w:t>
            </w:r>
          </w:p>
        </w:tc>
      </w:tr>
      <w:tr>
        <w:trPr>
          <w:trHeight w:val="579"/>
        </w:trPr>
        <w:tc>
          <w:tcPr>
            <w:tcW w:w="3000" w:type="dxa"/>
            <w:vAlign w:val="bottom"/>
          </w:tcPr>
          <w:p>
            <w:pPr>
              <w:jc w:val="center"/>
              <w:ind w:right="577"/>
              <w:spacing w:after="0"/>
              <w:rPr>
                <w:sz w:val="20"/>
                <w:szCs w:val="20"/>
                <w:color w:val="auto"/>
              </w:rPr>
            </w:pPr>
            <w:r>
              <w:rPr>
                <w:rFonts w:ascii="Arial" w:cs="Arial" w:eastAsia="Arial" w:hAnsi="Arial"/>
                <w:sz w:val="18"/>
                <w:szCs w:val="18"/>
                <w:b w:val="1"/>
                <w:bCs w:val="1"/>
                <w:color w:val="auto"/>
                <w:w w:val="90"/>
              </w:rPr>
              <w:t>001-32871</w:t>
            </w:r>
          </w:p>
        </w:tc>
        <w:tc>
          <w:tcPr>
            <w:tcW w:w="6760" w:type="dxa"/>
            <w:vAlign w:val="bottom"/>
          </w:tcPr>
          <w:p>
            <w:pPr>
              <w:jc w:val="center"/>
              <w:ind w:left="4674"/>
              <w:spacing w:after="0"/>
              <w:rPr>
                <w:sz w:val="20"/>
                <w:szCs w:val="20"/>
                <w:color w:val="auto"/>
              </w:rPr>
            </w:pPr>
            <w:r>
              <w:rPr>
                <w:rFonts w:ascii="Arial" w:cs="Arial" w:eastAsia="Arial" w:hAnsi="Arial"/>
                <w:sz w:val="18"/>
                <w:szCs w:val="18"/>
                <w:b w:val="1"/>
                <w:bCs w:val="1"/>
                <w:color w:val="auto"/>
                <w:w w:val="91"/>
              </w:rPr>
              <w:t>27-0000798</w:t>
            </w:r>
          </w:p>
        </w:tc>
      </w:tr>
      <w:tr>
        <w:trPr>
          <w:trHeight w:val="285"/>
        </w:trPr>
        <w:tc>
          <w:tcPr>
            <w:tcW w:w="3000" w:type="dxa"/>
            <w:vAlign w:val="bottom"/>
          </w:tcPr>
          <w:p>
            <w:pPr>
              <w:jc w:val="center"/>
              <w:ind w:right="577"/>
              <w:spacing w:after="0"/>
              <w:rPr>
                <w:sz w:val="20"/>
                <w:szCs w:val="20"/>
                <w:color w:val="auto"/>
              </w:rPr>
            </w:pPr>
            <w:r>
              <w:rPr>
                <w:rFonts w:ascii="Arial" w:cs="Arial" w:eastAsia="Arial" w:hAnsi="Arial"/>
                <w:sz w:val="14"/>
                <w:szCs w:val="14"/>
                <w:color w:val="auto"/>
                <w:w w:val="94"/>
              </w:rPr>
              <w:t>(Commission File Number)</w:t>
            </w:r>
          </w:p>
        </w:tc>
        <w:tc>
          <w:tcPr>
            <w:tcW w:w="6760" w:type="dxa"/>
            <w:vAlign w:val="bottom"/>
          </w:tcPr>
          <w:p>
            <w:pPr>
              <w:jc w:val="center"/>
              <w:ind w:left="4694"/>
              <w:spacing w:after="0"/>
              <w:rPr>
                <w:sz w:val="20"/>
                <w:szCs w:val="20"/>
                <w:color w:val="auto"/>
              </w:rPr>
            </w:pPr>
            <w:r>
              <w:rPr>
                <w:rFonts w:ascii="Arial" w:cs="Arial" w:eastAsia="Arial" w:hAnsi="Arial"/>
                <w:sz w:val="14"/>
                <w:szCs w:val="14"/>
                <w:color w:val="auto"/>
                <w:w w:val="97"/>
              </w:rPr>
              <w:t>(IRS Employer Identification No.)</w:t>
            </w:r>
          </w:p>
        </w:tc>
      </w:tr>
      <w:tr>
        <w:trPr>
          <w:trHeight w:val="561"/>
        </w:trPr>
        <w:tc>
          <w:tcPr>
            <w:tcW w:w="3000" w:type="dxa"/>
            <w:vAlign w:val="bottom"/>
          </w:tcPr>
          <w:p>
            <w:pPr>
              <w:jc w:val="center"/>
              <w:ind w:right="577"/>
              <w:spacing w:after="0"/>
              <w:rPr>
                <w:sz w:val="20"/>
                <w:szCs w:val="20"/>
                <w:color w:val="auto"/>
              </w:rPr>
            </w:pPr>
            <w:r>
              <w:rPr>
                <w:rFonts w:ascii="Arial" w:cs="Arial" w:eastAsia="Arial" w:hAnsi="Arial"/>
                <w:sz w:val="18"/>
                <w:szCs w:val="18"/>
                <w:b w:val="1"/>
                <w:bCs w:val="1"/>
                <w:color w:val="auto"/>
                <w:w w:val="90"/>
              </w:rPr>
              <w:t>One Comcast Center</w:t>
            </w:r>
          </w:p>
        </w:tc>
        <w:tc>
          <w:tcPr>
            <w:tcW w:w="6760" w:type="dxa"/>
            <w:vAlign w:val="bottom"/>
          </w:tcPr>
          <w:p>
            <w:pPr>
              <w:spacing w:after="0"/>
              <w:rPr>
                <w:sz w:val="24"/>
                <w:szCs w:val="24"/>
                <w:color w:val="auto"/>
              </w:rPr>
            </w:pPr>
          </w:p>
        </w:tc>
      </w:tr>
      <w:tr>
        <w:trPr>
          <w:trHeight w:val="234"/>
        </w:trPr>
        <w:tc>
          <w:tcPr>
            <w:tcW w:w="3000" w:type="dxa"/>
            <w:vAlign w:val="bottom"/>
          </w:tcPr>
          <w:p>
            <w:pPr>
              <w:jc w:val="center"/>
              <w:ind w:right="577"/>
              <w:spacing w:after="0"/>
              <w:rPr>
                <w:sz w:val="20"/>
                <w:szCs w:val="20"/>
                <w:color w:val="auto"/>
              </w:rPr>
            </w:pPr>
            <w:r>
              <w:rPr>
                <w:rFonts w:ascii="Arial" w:cs="Arial" w:eastAsia="Arial" w:hAnsi="Arial"/>
                <w:sz w:val="18"/>
                <w:szCs w:val="18"/>
                <w:b w:val="1"/>
                <w:bCs w:val="1"/>
                <w:color w:val="auto"/>
                <w:w w:val="92"/>
              </w:rPr>
              <w:t>Philadelphia, PA</w:t>
            </w:r>
          </w:p>
        </w:tc>
        <w:tc>
          <w:tcPr>
            <w:tcW w:w="6760" w:type="dxa"/>
            <w:vAlign w:val="bottom"/>
          </w:tcPr>
          <w:p>
            <w:pPr>
              <w:jc w:val="center"/>
              <w:ind w:left="4674"/>
              <w:spacing w:after="0"/>
              <w:rPr>
                <w:sz w:val="20"/>
                <w:szCs w:val="20"/>
                <w:color w:val="auto"/>
              </w:rPr>
            </w:pPr>
            <w:r>
              <w:rPr>
                <w:rFonts w:ascii="Arial" w:cs="Arial" w:eastAsia="Arial" w:hAnsi="Arial"/>
                <w:sz w:val="18"/>
                <w:szCs w:val="18"/>
                <w:b w:val="1"/>
                <w:bCs w:val="1"/>
                <w:color w:val="auto"/>
                <w:w w:val="91"/>
              </w:rPr>
              <w:t>19103-2838</w:t>
            </w:r>
          </w:p>
        </w:tc>
      </w:tr>
      <w:tr>
        <w:trPr>
          <w:trHeight w:val="285"/>
        </w:trPr>
        <w:tc>
          <w:tcPr>
            <w:tcW w:w="3000" w:type="dxa"/>
            <w:vAlign w:val="bottom"/>
          </w:tcPr>
          <w:p>
            <w:pPr>
              <w:jc w:val="center"/>
              <w:ind w:right="577"/>
              <w:spacing w:after="0"/>
              <w:rPr>
                <w:sz w:val="20"/>
                <w:szCs w:val="20"/>
                <w:color w:val="auto"/>
              </w:rPr>
            </w:pPr>
            <w:r>
              <w:rPr>
                <w:rFonts w:ascii="Arial" w:cs="Arial" w:eastAsia="Arial" w:hAnsi="Arial"/>
                <w:sz w:val="14"/>
                <w:szCs w:val="14"/>
                <w:color w:val="auto"/>
                <w:w w:val="95"/>
              </w:rPr>
              <w:t>(Address of Principal Executive Offices)</w:t>
            </w:r>
          </w:p>
        </w:tc>
        <w:tc>
          <w:tcPr>
            <w:tcW w:w="6760" w:type="dxa"/>
            <w:vAlign w:val="bottom"/>
          </w:tcPr>
          <w:p>
            <w:pPr>
              <w:jc w:val="center"/>
              <w:ind w:left="4674"/>
              <w:spacing w:after="0"/>
              <w:rPr>
                <w:sz w:val="20"/>
                <w:szCs w:val="20"/>
                <w:color w:val="auto"/>
              </w:rPr>
            </w:pPr>
            <w:r>
              <w:rPr>
                <w:rFonts w:ascii="Arial" w:cs="Arial" w:eastAsia="Arial" w:hAnsi="Arial"/>
                <w:sz w:val="14"/>
                <w:szCs w:val="14"/>
                <w:color w:val="auto"/>
                <w:w w:val="96"/>
              </w:rPr>
              <w:t>(Zip Code)</w:t>
            </w:r>
          </w:p>
        </w:tc>
      </w:tr>
    </w:tbl>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5" w:lineRule="exact"/>
        <w:rPr>
          <w:sz w:val="24"/>
          <w:szCs w:val="24"/>
          <w:color w:val="auto"/>
        </w:rPr>
      </w:pPr>
    </w:p>
    <w:p>
      <w:pPr>
        <w:ind w:left="340"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8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86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the annual meeting, our shareholders approved, or did not approve, the following proposals.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Comcast Corporation’s definitive proxy statement dated April 30, 2018,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2420" w:type="dxa"/>
            <w:vAlign w:val="bottom"/>
          </w:tcPr>
          <w:p>
            <w:pPr>
              <w:ind w:left="940"/>
              <w:spacing w:after="0"/>
              <w:rPr>
                <w:sz w:val="20"/>
                <w:szCs w:val="20"/>
                <w:color w:val="auto"/>
              </w:rPr>
            </w:pPr>
            <w:r>
              <w:rPr>
                <w:rFonts w:ascii="Arial" w:cs="Arial" w:eastAsia="Arial" w:hAnsi="Arial"/>
                <w:sz w:val="18"/>
                <w:szCs w:val="18"/>
                <w:color w:val="auto"/>
              </w:rPr>
              <w:t>Withheld</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Broker Non-Votes</w:t>
            </w:r>
          </w:p>
        </w:tc>
      </w:tr>
      <w:tr>
        <w:trPr>
          <w:trHeight w:val="27"/>
        </w:trPr>
        <w:tc>
          <w:tcPr>
            <w:tcW w:w="25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Kenneth J. Bacon</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356,666,207</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90"/>
              </w:rPr>
              <w:t>10,804,937</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Madeline S. Bell</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345,231,698</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90"/>
              </w:rPr>
              <w:t>22,239,446</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Sheldon M. Bonovitz</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363,187,486</w:t>
            </w: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89"/>
              </w:rPr>
              <w:t>4,283,658</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Edward D. Breen</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346,349,399</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90"/>
              </w:rPr>
              <w:t>21,121,745</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Gerald L. Hassell</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349,650,370</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90"/>
              </w:rPr>
              <w:t>17,820,774</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Jeffrey A. Honickman</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362,212,341</w:t>
            </w: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89"/>
              </w:rPr>
              <w:t>5,258,803</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Maritza G. Montiel</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364,272,643</w:t>
            </w: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89"/>
              </w:rPr>
              <w:t>3,198,501</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Asuka Nakahara</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366,537,462</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89"/>
              </w:rPr>
              <w:t>933,682</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David C. Novak</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350,366,580</w:t>
            </w:r>
          </w:p>
        </w:tc>
        <w:tc>
          <w:tcPr>
            <w:tcW w:w="2420" w:type="dxa"/>
            <w:vAlign w:val="bottom"/>
          </w:tcPr>
          <w:p>
            <w:pPr>
              <w:jc w:val="center"/>
              <w:ind w:left="30"/>
              <w:spacing w:after="0"/>
              <w:rPr>
                <w:sz w:val="20"/>
                <w:szCs w:val="20"/>
                <w:color w:val="auto"/>
              </w:rPr>
            </w:pPr>
            <w:r>
              <w:rPr>
                <w:rFonts w:ascii="Arial" w:cs="Arial" w:eastAsia="Arial" w:hAnsi="Arial"/>
                <w:sz w:val="18"/>
                <w:szCs w:val="18"/>
                <w:color w:val="auto"/>
                <w:w w:val="90"/>
              </w:rPr>
              <w:t>17,104,564</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Brian L. Roberts</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356,316,629</w:t>
            </w: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88"/>
              </w:rPr>
              <w:t>11,154,515</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0"/>
              </w:rPr>
              <w:t>23,616,988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2018 fiscal year, as described in the proxy statement, was ratified.</w:t>
      </w: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0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2340" w:type="dxa"/>
            <w:vAlign w:val="bottom"/>
          </w:tcPr>
          <w:p>
            <w:pPr>
              <w:ind w:left="960"/>
              <w:spacing w:after="0"/>
              <w:rPr>
                <w:sz w:val="20"/>
                <w:szCs w:val="20"/>
                <w:color w:val="auto"/>
              </w:rPr>
            </w:pPr>
            <w:r>
              <w:rPr>
                <w:rFonts w:ascii="Arial" w:cs="Arial" w:eastAsia="Arial" w:hAnsi="Arial"/>
                <w:sz w:val="18"/>
                <w:szCs w:val="18"/>
                <w:color w:val="auto"/>
              </w:rPr>
              <w:t>Abstain</w:t>
            </w:r>
          </w:p>
        </w:tc>
        <w:tc>
          <w:tcPr>
            <w:tcW w:w="2760" w:type="dxa"/>
            <w:vAlign w:val="bottom"/>
          </w:tcPr>
          <w:p>
            <w:pPr>
              <w:jc w:val="center"/>
              <w:ind w:left="90"/>
              <w:spacing w:after="0"/>
              <w:rPr>
                <w:sz w:val="20"/>
                <w:szCs w:val="20"/>
                <w:color w:val="auto"/>
              </w:rPr>
            </w:pPr>
            <w:r>
              <w:rPr>
                <w:rFonts w:ascii="Arial" w:cs="Arial" w:eastAsia="Arial" w:hAnsi="Arial"/>
                <w:sz w:val="18"/>
                <w:szCs w:val="18"/>
                <w:color w:val="auto"/>
                <w:w w:val="90"/>
              </w:rPr>
              <w:t>Broker Non-Votes</w:t>
            </w:r>
          </w:p>
        </w:tc>
      </w:tr>
      <w:tr>
        <w:trPr>
          <w:trHeight w:val="27"/>
        </w:trPr>
        <w:tc>
          <w:tcPr>
            <w:tcW w:w="26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jc w:val="right"/>
              <w:ind w:right="790"/>
              <w:spacing w:after="0"/>
              <w:rPr>
                <w:sz w:val="20"/>
                <w:szCs w:val="20"/>
                <w:color w:val="auto"/>
              </w:rPr>
            </w:pPr>
            <w:r>
              <w:rPr>
                <w:rFonts w:ascii="Arial" w:cs="Arial" w:eastAsia="Arial" w:hAnsi="Arial"/>
                <w:sz w:val="18"/>
                <w:szCs w:val="18"/>
                <w:color w:val="auto"/>
              </w:rPr>
              <w:t>384,321,045</w:t>
            </w:r>
          </w:p>
        </w:tc>
        <w:tc>
          <w:tcPr>
            <w:tcW w:w="2560" w:type="dxa"/>
            <w:vAlign w:val="bottom"/>
          </w:tcPr>
          <w:p>
            <w:pPr>
              <w:jc w:val="right"/>
              <w:ind w:right="870"/>
              <w:spacing w:after="0"/>
              <w:rPr>
                <w:sz w:val="20"/>
                <w:szCs w:val="20"/>
                <w:color w:val="auto"/>
              </w:rPr>
            </w:pPr>
            <w:r>
              <w:rPr>
                <w:rFonts w:ascii="Arial" w:cs="Arial" w:eastAsia="Arial" w:hAnsi="Arial"/>
                <w:sz w:val="18"/>
                <w:szCs w:val="18"/>
                <w:color w:val="auto"/>
              </w:rPr>
              <w:t>6,551,327</w:t>
            </w:r>
          </w:p>
        </w:tc>
        <w:tc>
          <w:tcPr>
            <w:tcW w:w="2340" w:type="dxa"/>
            <w:vAlign w:val="bottom"/>
          </w:tcPr>
          <w:p>
            <w:pPr>
              <w:ind w:left="960"/>
              <w:spacing w:after="0"/>
              <w:rPr>
                <w:sz w:val="20"/>
                <w:szCs w:val="20"/>
                <w:color w:val="auto"/>
              </w:rPr>
            </w:pPr>
            <w:r>
              <w:rPr>
                <w:rFonts w:ascii="Arial" w:cs="Arial" w:eastAsia="Arial" w:hAnsi="Arial"/>
                <w:sz w:val="18"/>
                <w:szCs w:val="18"/>
                <w:color w:val="auto"/>
              </w:rPr>
              <w:t>215,760</w:t>
            </w:r>
          </w:p>
        </w:tc>
        <w:tc>
          <w:tcPr>
            <w:tcW w:w="2760" w:type="dxa"/>
            <w:vAlign w:val="bottom"/>
          </w:tcPr>
          <w:p>
            <w:pPr>
              <w:jc w:val="center"/>
              <w:ind w:left="90"/>
              <w:spacing w:after="0"/>
              <w:rPr>
                <w:sz w:val="20"/>
                <w:szCs w:val="20"/>
                <w:color w:val="auto"/>
              </w:rPr>
            </w:pPr>
            <w:r>
              <w:rPr>
                <w:rFonts w:ascii="Arial" w:cs="Arial" w:eastAsia="Arial" w:hAnsi="Arial"/>
                <w:sz w:val="18"/>
                <w:szCs w:val="18"/>
                <w:color w:val="auto"/>
                <w:w w:val="99"/>
              </w:rPr>
              <w:t>N/A</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The advisory vote on our executive compensation, as described in the proxy statement, was approved.</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88"/>
              </w:rPr>
              <w:t>For</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2400" w:type="dxa"/>
            <w:vAlign w:val="bottom"/>
          </w:tcPr>
          <w:p>
            <w:pPr>
              <w:jc w:val="center"/>
              <w:ind w:left="30"/>
              <w:spacing w:after="0"/>
              <w:rPr>
                <w:sz w:val="20"/>
                <w:szCs w:val="20"/>
                <w:color w:val="auto"/>
              </w:rPr>
            </w:pPr>
            <w:r>
              <w:rPr>
                <w:rFonts w:ascii="Arial" w:cs="Arial" w:eastAsia="Arial" w:hAnsi="Arial"/>
                <w:sz w:val="18"/>
                <w:szCs w:val="18"/>
                <w:color w:val="auto"/>
                <w:w w:val="93"/>
              </w:rPr>
              <w:t>Abstain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90"/>
              </w:rPr>
              <w:t>Broker Non-Votes</w:t>
            </w: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jc w:val="right"/>
              <w:ind w:right="770"/>
              <w:spacing w:after="0"/>
              <w:rPr>
                <w:sz w:val="20"/>
                <w:szCs w:val="20"/>
                <w:color w:val="auto"/>
              </w:rPr>
            </w:pPr>
            <w:r>
              <w:rPr>
                <w:rFonts w:ascii="Arial" w:cs="Arial" w:eastAsia="Arial" w:hAnsi="Arial"/>
                <w:sz w:val="18"/>
                <w:szCs w:val="18"/>
                <w:color w:val="auto"/>
              </w:rPr>
              <w:t>312,195,535</w:t>
            </w:r>
          </w:p>
        </w:tc>
        <w:tc>
          <w:tcPr>
            <w:tcW w:w="2560" w:type="dxa"/>
            <w:vAlign w:val="bottom"/>
          </w:tcPr>
          <w:p>
            <w:pPr>
              <w:jc w:val="right"/>
              <w:ind w:right="810"/>
              <w:spacing w:after="0"/>
              <w:rPr>
                <w:sz w:val="20"/>
                <w:szCs w:val="20"/>
                <w:color w:val="auto"/>
              </w:rPr>
            </w:pPr>
            <w:r>
              <w:rPr>
                <w:rFonts w:ascii="Arial" w:cs="Arial" w:eastAsia="Arial" w:hAnsi="Arial"/>
                <w:sz w:val="18"/>
                <w:szCs w:val="18"/>
                <w:color w:val="auto"/>
              </w:rPr>
              <w:t>48,185,650</w:t>
            </w:r>
          </w:p>
        </w:tc>
        <w:tc>
          <w:tcPr>
            <w:tcW w:w="2400" w:type="dxa"/>
            <w:vAlign w:val="bottom"/>
          </w:tcPr>
          <w:p>
            <w:pPr>
              <w:jc w:val="right"/>
              <w:ind w:right="690"/>
              <w:spacing w:after="0"/>
              <w:rPr>
                <w:sz w:val="20"/>
                <w:szCs w:val="20"/>
                <w:color w:val="auto"/>
              </w:rPr>
            </w:pPr>
            <w:r>
              <w:rPr>
                <w:rFonts w:ascii="Arial" w:cs="Arial" w:eastAsia="Arial" w:hAnsi="Arial"/>
                <w:sz w:val="18"/>
                <w:szCs w:val="18"/>
                <w:color w:val="auto"/>
              </w:rPr>
              <w:t>7,089,959</w:t>
            </w:r>
          </w:p>
        </w:tc>
        <w:tc>
          <w:tcPr>
            <w:tcW w:w="2720" w:type="dxa"/>
            <w:vAlign w:val="bottom"/>
          </w:tcPr>
          <w:p>
            <w:pPr>
              <w:jc w:val="right"/>
              <w:ind w:right="790"/>
              <w:spacing w:after="0"/>
              <w:rPr>
                <w:sz w:val="20"/>
                <w:szCs w:val="20"/>
                <w:color w:val="auto"/>
              </w:rPr>
            </w:pPr>
            <w:r>
              <w:rPr>
                <w:rFonts w:ascii="Arial" w:cs="Arial" w:eastAsia="Arial" w:hAnsi="Arial"/>
                <w:sz w:val="18"/>
                <w:szCs w:val="18"/>
                <w:color w:val="auto"/>
              </w:rPr>
              <w:t>23,616,988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A shareholder proposal to prepare an annual report on lobbying activities, as described in the proxy statement, was not approved.</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40" w:type="dxa"/>
            <w:vAlign w:val="bottom"/>
          </w:tcPr>
          <w:p>
            <w:pPr>
              <w:jc w:val="right"/>
              <w:ind w:right="1030"/>
              <w:spacing w:after="0"/>
              <w:rPr>
                <w:sz w:val="20"/>
                <w:szCs w:val="20"/>
                <w:color w:val="auto"/>
              </w:rPr>
            </w:pPr>
            <w:r>
              <w:rPr>
                <w:rFonts w:ascii="Arial" w:cs="Arial" w:eastAsia="Arial" w:hAnsi="Arial"/>
                <w:sz w:val="18"/>
                <w:szCs w:val="18"/>
                <w:color w:val="auto"/>
              </w:rPr>
              <w:t>For</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2380" w:type="dxa"/>
            <w:vAlign w:val="bottom"/>
          </w:tcPr>
          <w:p>
            <w:pPr>
              <w:jc w:val="center"/>
              <w:ind w:left="10"/>
              <w:spacing w:after="0"/>
              <w:rPr>
                <w:sz w:val="20"/>
                <w:szCs w:val="20"/>
                <w:color w:val="auto"/>
              </w:rPr>
            </w:pPr>
            <w:r>
              <w:rPr>
                <w:rFonts w:ascii="Arial" w:cs="Arial" w:eastAsia="Arial" w:hAnsi="Arial"/>
                <w:sz w:val="18"/>
                <w:szCs w:val="18"/>
                <w:color w:val="auto"/>
                <w:w w:val="93"/>
              </w:rPr>
              <w:t>Abstain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90"/>
              </w:rPr>
              <w:t>Broker Non-Votes</w:t>
            </w:r>
          </w:p>
        </w:tc>
      </w:tr>
      <w:tr>
        <w:trPr>
          <w:trHeight w:val="27"/>
        </w:trPr>
        <w:tc>
          <w:tcPr>
            <w:tcW w:w="25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jc w:val="right"/>
              <w:ind w:right="770"/>
              <w:spacing w:after="0"/>
              <w:rPr>
                <w:sz w:val="20"/>
                <w:szCs w:val="20"/>
                <w:color w:val="auto"/>
              </w:rPr>
            </w:pPr>
            <w:r>
              <w:rPr>
                <w:rFonts w:ascii="Arial" w:cs="Arial" w:eastAsia="Arial" w:hAnsi="Arial"/>
                <w:sz w:val="18"/>
                <w:szCs w:val="18"/>
                <w:color w:val="auto"/>
              </w:rPr>
              <w:t>68,483,646</w:t>
            </w:r>
          </w:p>
        </w:tc>
        <w:tc>
          <w:tcPr>
            <w:tcW w:w="2620" w:type="dxa"/>
            <w:vAlign w:val="bottom"/>
          </w:tcPr>
          <w:p>
            <w:pPr>
              <w:jc w:val="right"/>
              <w:ind w:right="770"/>
              <w:spacing w:after="0"/>
              <w:rPr>
                <w:sz w:val="20"/>
                <w:szCs w:val="20"/>
                <w:color w:val="auto"/>
              </w:rPr>
            </w:pPr>
            <w:r>
              <w:rPr>
                <w:rFonts w:ascii="Arial" w:cs="Arial" w:eastAsia="Arial" w:hAnsi="Arial"/>
                <w:sz w:val="18"/>
                <w:szCs w:val="18"/>
                <w:color w:val="auto"/>
              </w:rPr>
              <w:t>290,102,679</w:t>
            </w:r>
          </w:p>
        </w:tc>
        <w:tc>
          <w:tcPr>
            <w:tcW w:w="2380" w:type="dxa"/>
            <w:vAlign w:val="bottom"/>
          </w:tcPr>
          <w:p>
            <w:pPr>
              <w:jc w:val="right"/>
              <w:ind w:right="690"/>
              <w:spacing w:after="0"/>
              <w:rPr>
                <w:sz w:val="20"/>
                <w:szCs w:val="20"/>
                <w:color w:val="auto"/>
              </w:rPr>
            </w:pPr>
            <w:r>
              <w:rPr>
                <w:rFonts w:ascii="Arial" w:cs="Arial" w:eastAsia="Arial" w:hAnsi="Arial"/>
                <w:sz w:val="18"/>
                <w:szCs w:val="18"/>
                <w:color w:val="auto"/>
              </w:rPr>
              <w:t>8,884,819</w:t>
            </w:r>
          </w:p>
        </w:tc>
        <w:tc>
          <w:tcPr>
            <w:tcW w:w="2720" w:type="dxa"/>
            <w:vAlign w:val="bottom"/>
          </w:tcPr>
          <w:p>
            <w:pPr>
              <w:jc w:val="right"/>
              <w:ind w:right="790"/>
              <w:spacing w:after="0"/>
              <w:rPr>
                <w:sz w:val="20"/>
                <w:szCs w:val="20"/>
                <w:color w:val="auto"/>
              </w:rPr>
            </w:pPr>
            <w:r>
              <w:rPr>
                <w:rFonts w:ascii="Arial" w:cs="Arial" w:eastAsia="Arial" w:hAnsi="Arial"/>
                <w:sz w:val="18"/>
                <w:szCs w:val="18"/>
                <w:color w:val="auto"/>
              </w:rPr>
              <w:t>23,616,988</w:t>
            </w:r>
          </w:p>
        </w:tc>
      </w:tr>
    </w:tbl>
    <w:p>
      <w:pPr>
        <w:sectPr>
          <w:pgSz w:w="11900" w:h="16838" w:orient="portrait"/>
          <w:cols w:equalWidth="0" w:num="1">
            <w:col w:w="11420"/>
          </w:cols>
          <w:pgMar w:left="240" w:top="1121" w:right="2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8"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18"/>
          <w:szCs w:val="18"/>
          <w:color w:val="auto"/>
        </w:rPr>
        <w:t>Date: June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31750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7" w:lineRule="exact"/>
        <w:rPr>
          <w:sz w:val="20"/>
          <w:szCs w:val="20"/>
          <w:color w:val="auto"/>
        </w:rPr>
      </w:pPr>
    </w:p>
    <w:p>
      <w:pPr>
        <w:ind w:left="6580"/>
        <w:spacing w:after="0"/>
        <w:tabs>
          <w:tab w:leader="none" w:pos="7240" w:val="left"/>
        </w:tabs>
        <w:rPr>
          <w:sz w:val="20"/>
          <w:szCs w:val="20"/>
          <w:color w:val="auto"/>
        </w:rPr>
      </w:pPr>
      <w:r>
        <w:rPr>
          <w:rFonts w:ascii="Arial" w:cs="Arial" w:eastAsia="Arial" w:hAnsi="Arial"/>
          <w:sz w:val="18"/>
          <w:szCs w:val="18"/>
          <w:color w:val="auto"/>
        </w:rPr>
        <w:t>Name:</w:t>
        <w:tab/>
        <w:t>Arthur R. Block</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General Counsel and</w:t>
      </w:r>
    </w:p>
    <w:p>
      <w:pPr>
        <w:spacing w:after="0" w:line="23" w:lineRule="exact"/>
        <w:rPr>
          <w:sz w:val="20"/>
          <w:szCs w:val="20"/>
          <w:color w:val="auto"/>
        </w:rPr>
      </w:pPr>
    </w:p>
    <w:p>
      <w:pPr>
        <w:ind w:left="6580"/>
        <w:spacing w:after="0"/>
        <w:tabs>
          <w:tab w:leader="none" w:pos="7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sectPr>
      <w:pgSz w:w="11900" w:h="16838" w:orient="portrait"/>
      <w:cols w:equalWidth="0" w:num="1">
        <w:col w:w="10660"/>
      </w:cols>
      <w:pgMar w:left="280" w:top="756"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2019-12-06T19:20:59Z</dcterms:created>
  <dcterms:modified xsi:type="dcterms:W3CDTF">2019-12-06T19:20:59Z</dcterms:modified>
</cp:coreProperties>
</file>