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8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Transition Report pursuant to Section 13 or 15(d) of the Securities Exchange Act of 1934 for the Transition Period from</w:t>
            </w:r>
          </w:p>
        </w:tc>
        <w:tc>
          <w:tcPr>
            <w:tcW w:w="640" w:type="dxa"/>
            <w:vAlign w:val="bottom"/>
          </w:tcPr>
          <w:p>
            <w:pPr>
              <w:ind w:left="480"/>
              <w:spacing w:after="0"/>
              <w:rPr>
                <w:sz w:val="20"/>
                <w:szCs w:val="20"/>
                <w:color w:val="auto"/>
              </w:rPr>
            </w:pPr>
            <w:r>
              <w:rPr>
                <w:rFonts w:ascii="Arial" w:cs="Arial" w:eastAsia="Arial" w:hAnsi="Arial"/>
                <w:sz w:val="18"/>
                <w:szCs w:val="18"/>
                <w:b w:val="1"/>
                <w:bCs w:val="1"/>
                <w:color w:val="auto"/>
                <w:w w:val="82"/>
              </w:rPr>
              <w:t>to</w:t>
            </w:r>
          </w:p>
        </w:tc>
      </w:tr>
      <w:tr>
        <w:trPr>
          <w:trHeight w:val="228"/>
        </w:trPr>
        <w:tc>
          <w:tcPr>
            <w:tcW w:w="300" w:type="dxa"/>
            <w:vAlign w:val="bottom"/>
          </w:tcPr>
          <w:p>
            <w:pPr>
              <w:spacing w:after="0"/>
              <w:rPr>
                <w:sz w:val="19"/>
                <w:szCs w:val="19"/>
                <w:color w:val="auto"/>
              </w:rPr>
            </w:pPr>
          </w:p>
        </w:tc>
        <w:tc>
          <w:tcPr>
            <w:tcW w:w="4200" w:type="dxa"/>
            <w:vAlign w:val="bottom"/>
          </w:tcPr>
          <w:p>
            <w:pPr>
              <w:jc w:val="right"/>
              <w:ind w:right="3032"/>
              <w:spacing w:after="0"/>
              <w:rPr>
                <w:sz w:val="20"/>
                <w:szCs w:val="20"/>
                <w:color w:val="auto"/>
              </w:rPr>
            </w:pPr>
            <w:r>
              <w:rPr>
                <w:rFonts w:ascii="Arial" w:cs="Arial" w:eastAsia="Arial" w:hAnsi="Arial"/>
                <w:sz w:val="18"/>
                <w:szCs w:val="18"/>
                <w:b w:val="1"/>
                <w:bCs w:val="1"/>
                <w:color w:val="auto"/>
              </w:rPr>
              <w:t>.</w:t>
            </w:r>
          </w:p>
        </w:tc>
        <w:tc>
          <w:tcPr>
            <w:tcW w:w="2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958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640" w:type="dxa"/>
            <w:vAlign w:val="bottom"/>
          </w:tcPr>
          <w:p>
            <w:pPr>
              <w:spacing w:after="0"/>
              <w:rPr>
                <w:sz w:val="24"/>
                <w:szCs w:val="24"/>
                <w:color w:val="auto"/>
              </w:rPr>
            </w:pPr>
          </w:p>
        </w:tc>
      </w:tr>
      <w:tr>
        <w:trPr>
          <w:trHeight w:val="178"/>
        </w:trPr>
        <w:tc>
          <w:tcPr>
            <w:tcW w:w="3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68580</wp:posOffset>
            </wp:positionV>
            <wp:extent cx="293306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57"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27-0000798</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Identification No.)</w:t>
      </w:r>
    </w:p>
    <w:p>
      <w:pPr>
        <w:spacing w:after="0" w:line="87" w:lineRule="exact"/>
        <w:rPr>
          <w:sz w:val="24"/>
          <w:szCs w:val="24"/>
          <w:color w:val="auto"/>
        </w:rPr>
      </w:pPr>
    </w:p>
    <w:p>
      <w:pPr>
        <w:sectPr>
          <w:pgSz w:w="11900" w:h="16838" w:orient="portrait"/>
          <w:cols w:equalWidth="0" w:num="2">
            <w:col w:w="7360" w:space="720"/>
            <w:col w:w="33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4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8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143510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 w:lineRule="exact"/>
        <w:rPr>
          <w:sz w:val="24"/>
          <w:szCs w:val="24"/>
          <w:color w:val="auto"/>
        </w:rPr>
      </w:pPr>
    </w:p>
    <w:p>
      <w:pPr>
        <w:ind w:right="4120"/>
        <w:spacing w:after="0" w:line="27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2006, there were 1,368,277,082 shares of our Class A Common Stock, 703,425,138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Borders>
              <w:bottom w:val="single" w:sz="8" w:color="0000EE"/>
            </w:tcBorders>
            <w:gridSpan w:val="6"/>
          </w:tcPr>
          <w:p>
            <w:pPr>
              <w:spacing w:after="0" w:line="170"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620" w:type="dxa"/>
            <w:vAlign w:val="bottom"/>
            <w:gridSpan w:val="11"/>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1.</w:t>
            </w: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38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September 30, 2006 and December 31, 2005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gridSpan w:val="15"/>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 of Operations for the Three and Nine Months Ended September 30, 2006 and 2005</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w:t>
              </w:r>
            </w:hyperlink>
          </w:p>
        </w:tc>
        <w:tc>
          <w:tcPr>
            <w:tcW w:w="7500" w:type="dxa"/>
            <w:vAlign w:val="bottom"/>
            <w:tcBorders>
              <w:top w:val="single" w:sz="8" w:color="0000EE"/>
            </w:tcBorders>
            <w:gridSpan w:val="11"/>
          </w:tcPr>
          <w:p>
            <w:pPr>
              <w:spacing w:after="0"/>
              <w:rPr>
                <w:sz w:val="17"/>
                <w:szCs w:val="17"/>
                <w:color w:val="auto"/>
              </w:rPr>
            </w:pPr>
          </w:p>
        </w:tc>
        <w:tc>
          <w:tcPr>
            <w:tcW w:w="50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60" w:type="dxa"/>
            <w:vAlign w:val="bottom"/>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Cash Flows for the Nine Months Ended September 30, 2006 and 2005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Item 2.</w:t>
            </w:r>
          </w:p>
        </w:tc>
        <w:tc>
          <w:tcPr>
            <w:tcW w:w="4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760" w:type="dxa"/>
            <w:vAlign w:val="bottom"/>
            <w:tcBorders>
              <w:top w:val="single" w:sz="8" w:color="0000EE"/>
            </w:tcBorders>
            <w:gridSpan w:val="4"/>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8860" w:type="dxa"/>
            <w:vAlign w:val="bottom"/>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56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4.</w:t>
            </w:r>
          </w:p>
        </w:tc>
        <w:tc>
          <w:tcPr>
            <w:tcW w:w="886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8"/>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1.</w:t>
            </w:r>
          </w:p>
        </w:tc>
        <w:tc>
          <w:tcPr>
            <w:tcW w:w="886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560" w:type="dxa"/>
            <w:vAlign w:val="bottom"/>
            <w:gridSpan w:val="10"/>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Item 2.</w:t>
            </w: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886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6.</w:t>
            </w:r>
          </w:p>
        </w:tc>
        <w:tc>
          <w:tcPr>
            <w:tcW w:w="4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462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42">
              <w:r>
                <w:rPr>
                  <w:rFonts w:ascii="Arial" w:cs="Arial" w:eastAsia="Arial" w:hAnsi="Arial"/>
                  <w:sz w:val="18"/>
                  <w:szCs w:val="18"/>
                  <w:b w:val="1"/>
                  <w:bCs w:val="1"/>
                  <w:color w:val="0000EE"/>
                  <w:w w:val="94"/>
                </w:rPr>
                <w:t>SIGNATURES</w:t>
              </w:r>
            </w:hyperlink>
          </w:p>
        </w:tc>
        <w:tc>
          <w:tcPr>
            <w:tcW w:w="6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120015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nine months ended September 30, 2006.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580" w:type="dxa"/>
            <w:vAlign w:val="bottom"/>
            <w:gridSpan w:val="2"/>
          </w:tcPr>
          <w:p>
            <w:pPr>
              <w:spacing w:after="0"/>
              <w:rPr>
                <w:sz w:val="20"/>
                <w:szCs w:val="20"/>
                <w:color w:val="auto"/>
              </w:rPr>
            </w:pPr>
            <w:r>
              <w:rPr>
                <w:rFonts w:ascii="Arial" w:cs="Arial" w:eastAsia="Arial" w:hAnsi="Arial"/>
                <w:sz w:val="14"/>
                <w:szCs w:val="14"/>
                <w:color w:val="auto"/>
              </w:rPr>
              <w:t>(Dollars in millions, except share data)</w:t>
            </w:r>
          </w:p>
        </w:tc>
        <w:tc>
          <w:tcPr>
            <w:tcW w:w="700" w:type="dxa"/>
            <w:vAlign w:val="bottom"/>
          </w:tcPr>
          <w:p>
            <w:pPr>
              <w:spacing w:after="0"/>
              <w:rPr>
                <w:sz w:val="14"/>
                <w:szCs w:val="14"/>
                <w:color w:val="auto"/>
              </w:rPr>
            </w:pPr>
          </w:p>
        </w:tc>
        <w:tc>
          <w:tcPr>
            <w:tcW w:w="1000" w:type="dxa"/>
            <w:vAlign w:val="bottom"/>
          </w:tcPr>
          <w:p>
            <w:pPr>
              <w:jc w:val="right"/>
              <w:ind w:right="53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2,774</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656</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$150 and $132</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1,228</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823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5,481</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7,245</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12,675</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$14,579 and $12,079</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20,671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17,704</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56,072</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48,804</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13,515</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13,498</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 of accumulated amortization of $5,458 and $4,635</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4,457</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3,118</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531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Noncurrent assets of discontinued operations, net</w:t>
            </w: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4,118</w:t>
            </w:r>
          </w:p>
        </w:tc>
      </w:tr>
      <w:tr>
        <w:trPr>
          <w:trHeight w:val="217"/>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w w:val="98"/>
              </w:rPr>
              <w:t>107,972</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103,146</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0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2,351</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1,985</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2,867</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6,176</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26,446</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21,682</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27,499</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27,370</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6,453</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6,921</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676</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Preferred stock—authorized 20,000,000 shares; issued, zero</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1,611,917,582 and</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1,607,007,818; outstanding, 1,368,277,082 and 1,363,367,318</w:t>
            </w:r>
          </w:p>
        </w:tc>
        <w:tc>
          <w:tcPr>
            <w:tcW w:w="70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16</w:t>
            </w:r>
          </w:p>
        </w:tc>
        <w:tc>
          <w:tcPr>
            <w:tcW w:w="44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3"/>
              </w:rPr>
              <w:t>Class A Special common stock, $0.01 par value—authorized, 7,500,000,000 shares; issued 750,714,981 and</w:t>
            </w: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813,097,757; outstanding, 703,425,138 and 765,807,914</w:t>
            </w:r>
          </w:p>
        </w:tc>
        <w:tc>
          <w:tcPr>
            <w:tcW w:w="70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Additional capital</w:t>
            </w:r>
          </w:p>
        </w:tc>
        <w:tc>
          <w:tcPr>
            <w:tcW w:w="7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42,221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43,000</w:t>
            </w: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Retained earnings</w:t>
            </w: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6,088</w:t>
            </w:r>
          </w:p>
        </w:tc>
        <w:tc>
          <w:tcPr>
            <w:tcW w:w="4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4,825</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Treasury stock, 243,640,500 Class A common shares and 47,289,843 Class A Special common shares</w:t>
            </w:r>
          </w:p>
        </w:tc>
        <w:tc>
          <w:tcPr>
            <w:tcW w:w="700" w:type="dxa"/>
            <w:vAlign w:val="bottom"/>
          </w:tcPr>
          <w:p>
            <w:pPr>
              <w:spacing w:after="0"/>
              <w:rPr>
                <w:sz w:val="18"/>
                <w:szCs w:val="18"/>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(7,517)</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8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(94)</w:t>
            </w:r>
          </w:p>
        </w:tc>
        <w:tc>
          <w:tcPr>
            <w:tcW w:w="4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(114)</w:t>
            </w:r>
          </w:p>
        </w:tc>
      </w:tr>
      <w:tr>
        <w:trPr>
          <w:trHeight w:val="210"/>
        </w:trPr>
        <w:tc>
          <w:tcPr>
            <w:tcW w:w="20" w:type="dxa"/>
            <w:vAlign w:val="bottom"/>
          </w:tcPr>
          <w:p>
            <w:pPr>
              <w:spacing w:after="0"/>
              <w:rPr>
                <w:sz w:val="18"/>
                <w:szCs w:val="18"/>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40,722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40,219</w:t>
            </w:r>
          </w:p>
        </w:tc>
      </w:tr>
      <w:tr>
        <w:trPr>
          <w:trHeight w:val="217"/>
        </w:trPr>
        <w:tc>
          <w:tcPr>
            <w:tcW w:w="20" w:type="dxa"/>
            <w:vAlign w:val="bottom"/>
          </w:tcPr>
          <w:p>
            <w:pPr>
              <w:spacing w:after="0"/>
              <w:rPr>
                <w:sz w:val="18"/>
                <w:szCs w:val="18"/>
                <w:color w:val="auto"/>
              </w:rPr>
            </w:pPr>
          </w:p>
        </w:tc>
        <w:tc>
          <w:tcPr>
            <w:tcW w:w="856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b w:val="1"/>
                <w:bCs w:val="1"/>
                <w:color w:val="auto"/>
                <w:w w:val="98"/>
              </w:rPr>
              <w:t>107,972</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103,146</w:t>
            </w: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64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 except per share data)</w:t>
            </w: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2"/>
                <w:szCs w:val="12"/>
                <w:color w:val="auto"/>
              </w:rPr>
            </w:pPr>
          </w:p>
        </w:tc>
        <w:tc>
          <w:tcPr>
            <w:tcW w:w="7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2"/>
                <w:szCs w:val="12"/>
                <w:color w:val="auto"/>
              </w:rPr>
            </w:pPr>
          </w:p>
        </w:tc>
        <w:tc>
          <w:tcPr>
            <w:tcW w:w="78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6,432</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5,284</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7"/>
              </w:rPr>
              <w:t>17,935</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2,300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7"/>
              </w:rPr>
              <w:t>1,894</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6,559</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1,695</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7"/>
              </w:rPr>
              <w:t>1,394</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4,528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963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863</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2,748</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292</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699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5,208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4,443</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7"/>
              </w:rPr>
              <w:t>14,534</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1,224</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841</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3,401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w w:val="94"/>
              </w:rPr>
              <w:t>(1,502)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857</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w:t>
            </w:r>
          </w:p>
        </w:tc>
        <w:tc>
          <w:tcPr>
            <w:tcW w:w="54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194</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358</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(525)</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(459)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1,582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2,942</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(610)</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(129)</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4"/>
              </w:rPr>
              <w:t>(1,126)</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972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1,816</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969</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198</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1,806</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Gain on discontinued operations, net of tax</w:t>
            </w: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93"/>
              </w:rPr>
              <w:t>1,217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222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2,143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for common stockholders per common share</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0.46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0.09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0.85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Gain on discontinued operations</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0.58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0.10</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1.01</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r>
        <w:trPr>
          <w:trHeight w:val="322"/>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for common stockholders per common share</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0.46</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0.85</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Gain on discontinued operations</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b w:val="1"/>
                <w:bCs w:val="1"/>
                <w:color w:val="auto"/>
              </w:rPr>
              <w:t>0.58</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93"/>
              <w:spacing w:after="0"/>
              <w:rPr>
                <w:sz w:val="20"/>
                <w:szCs w:val="20"/>
                <w:color w:val="auto"/>
              </w:rPr>
            </w:pPr>
            <w:r>
              <w:rPr>
                <w:rFonts w:ascii="Arial" w:cs="Arial" w:eastAsia="Arial" w:hAnsi="Arial"/>
                <w:sz w:val="18"/>
                <w:szCs w:val="18"/>
                <w:b w:val="1"/>
                <w:bCs w:val="1"/>
                <w:color w:val="auto"/>
              </w:rPr>
              <w:t>0.10</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4"/>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32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10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23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100" w:type="dxa"/>
            <w:vAlign w:val="bottom"/>
            <w:gridSpan w:val="2"/>
            <w:vMerge w:val="continue"/>
          </w:tcPr>
          <w:p>
            <w:pPr>
              <w:spacing w:after="0"/>
              <w:rPr>
                <w:sz w:val="12"/>
                <w:szCs w:val="12"/>
                <w:color w:val="auto"/>
              </w:rPr>
            </w:pPr>
          </w:p>
        </w:tc>
        <w:tc>
          <w:tcPr>
            <w:tcW w:w="142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14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$ 2,143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2,748</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Noncash interest expense (income), net</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69</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14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(959)</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Gain on discontinued operations</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(797)</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 and amortization on discontinued operations</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Noncash contribution expense</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Minority interest</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911</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4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Change in accounts receivable, net</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302</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(238)</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2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b w:val="1"/>
                <w:bCs w:val="1"/>
                <w:color w:val="auto"/>
              </w:rPr>
              <w:t>5,132</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5,970</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Retirements and repayments of debt</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(2,222)</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4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(1,882)</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INVESTING ACTIVITIES</w:t>
            </w:r>
          </w:p>
        </w:tc>
        <w:tc>
          <w:tcPr>
            <w:tcW w:w="14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(3,051)</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14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(3,839)</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and restructuring of investments</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2,519</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(471)</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(purchases) of short-term investments</w:t>
            </w:r>
          </w:p>
        </w:tc>
        <w:tc>
          <w:tcPr>
            <w:tcW w:w="14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15</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4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(5,057)</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(3,016)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420" w:type="dxa"/>
            <w:vAlign w:val="bottom"/>
          </w:tcPr>
          <w:p>
            <w:pPr>
              <w:jc w:val="right"/>
              <w:ind w:right="234"/>
              <w:spacing w:after="0"/>
              <w:rPr>
                <w:sz w:val="20"/>
                <w:szCs w:val="20"/>
                <w:color w:val="auto"/>
              </w:rPr>
            </w:pPr>
            <w:r>
              <w:rPr>
                <w:rFonts w:ascii="Arial" w:cs="Arial" w:eastAsia="Arial" w:hAnsi="Arial"/>
                <w:sz w:val="18"/>
                <w:szCs w:val="18"/>
                <w:color w:val="auto"/>
              </w:rPr>
              <w:t>2,081</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42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693</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$ 2,774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upon Securities and Exchange Commission (“SEC”) rules that permit reduced disclosure for interim periods.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in our segment presentation to be consistent with our management reporting presentation (see Note 11).</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123R</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January 1, 2006, we adopted Statement of Financial Accounting Standards (“SFAS”) No. 123R, “Share-Based Payment” (“SFAS No. 123R”) using the Modified Prospective Approach. See Note 8 for further detail regarding the adoption of this standard.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155</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February 2006, the Financial Accounting Standards Board (“FASB”) issued SFAS No. 155, “Accounting for Certain Hybrid Financial Instruments—an Amendment of FASB Statements No. 133 and 140” (“SFAS No. 155”). SFAS No. 155 allows financial instruments that contain an embedded derivative and that otherwise would require bifurcation to be accounted for as a whole on a fair value basis, at the holders’ election. SFAS No. 155 also clarifies and amends certain other provisions of SFAS No. 133 and SFAS No. 140. This statement is effective for all financial instruments acquired or issued in fiscal years beginning after September 15, 2006. We do not expect that the adoption of SFAS No. 155 will have a material impact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06-3</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2006, the Emerging Issues Task Force (“EITF”) reached a consensus on EITF Issue No. 06-3, “How Taxes Collected from Customers and Remitted to Governmental Authorities Should Be Presented in the Income Statement (That Is, Gross versus Net Presentation)” (“EITF 06-3”). EITF 06-3 provides that the presentation of taxes assessed by a governmental authority that is directly imposed on a revenue-producing transaction between a seller and a customer on either a gross basis (included in revenues and costs) or on a net basis (excluded from revenues) is an accounting policy decision that should be disclosed. The provisions of EITF 06-3 will be effective for us as of January 1, 2007. We are currently evaluating the requirements of EITF 06-3 and the impact it may have on our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Interpretation No. 48</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July 2006, the FASB issued FIN 48, “Accounting for Uncertainty in Income Taxes—an interpretation of FASB Statement No. 109” (“FIN 48”). FIN 48 clarifies the recognition threshold and measurement of a tax position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taken on a tax return. FIN 48 is effective for fiscal years beginning after December 15, 2006. FIN 48 also requires expanded disclosure with respect to the uncertainty in income taxes. We are currently evaluating the requirements of FIN 48 and the impact it may have on our consolidated financial statements.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 No. 108</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2006, the SEC Staff issued Staff Accounting Bulletin No. 108, “Considering the Effects of Prior Year Misstatements when Quantifying Misstatements in the Current Year Financial Statements” (“SAB No. 108”). SAB No. 108 requires the use of two alternative approaches in quantitatively evaluating materiality of misstatements. If the misstatement as quantified under either approach is material to the current year financial statements, the misstatement must be corrected. If the effect of correcting the prior year misstatements, if any, in the current year income statement is material, the prior year financial statements should be corrected. In the year of adoption (fiscal years ending after November 15, 2006 or calendar year 2006 for us), the misstatements may be corrected as an accounting change by adjusting opening retained earnings rather than being included in the current year income statement. We are currently evaluating the requirements of SAB No. 108 and the impact it may have on our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158</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 (“SFAS No. 158”). SFAS No. 158 requires companies to recognize in their statement of financial position an asset for a plan’s overfunded status or a liability for a plan’s underfunded status and to measure a plan’s assets and its obligations that determine its funded status as of the end of the company’s fiscal year. Additionally, SFAS No. 158 requires companies to recognize changes in the funded status of a defined benefit postretirement plan in the year that the changes occur and those changes will be reported in comprehensive income. The provision of SFAS No. 158 that will require us to recognize the funded status of our postretirement plans, and the disclosure requirements, will be effective for us as of December 31, 2006. We do not expect that the adoption of SFAS No. 158 will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Basic earnings for common stockholders per common share (“Basic EPS”) is computed by dividing net income for common stockholders by the weighted-average number of common shares outstanding during the period.</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restricted share units. Diluted earnings for common stockholders per common share (“Diluted EPS”) considers the impact of potentially dilutive securities except in periods in which there is a loss because the inclusion of the potential common shares would have an antidilutive effect.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Diluted EPS for the three and nine months ended September 30, 2006, excludes approximately 82 million and 94 million potential common shares, respectively, and Diluted EPS for the three and nine months ended September 30, 2005, excludes approximately 93 million and 87 million potential common shares, respectively, related to our share-based compensation plans, because the inclusion of the potential common shares would have an antidilutive effect. Diluted EPS for the three and nine months ended September 30, 2005, excludes the impact of potential common shares related to our Comcast exchangeable notes (settled using cash in 2005).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numerator and denominator of the computations of Diluted EPS for common stockholders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7200" w:type="dxa"/>
            <w:vAlign w:val="bottom"/>
            <w:gridSpan w:val="2"/>
          </w:tcPr>
          <w:p>
            <w:pPr>
              <w:spacing w:after="0"/>
              <w:rPr>
                <w:sz w:val="20"/>
                <w:szCs w:val="20"/>
                <w:color w:val="auto"/>
              </w:rPr>
            </w:pPr>
            <w:r>
              <w:rPr>
                <w:rFonts w:ascii="Arial" w:cs="Arial" w:eastAsia="Arial" w:hAnsi="Arial"/>
                <w:sz w:val="14"/>
                <w:szCs w:val="14"/>
                <w:color w:val="auto"/>
              </w:rPr>
              <w:t>(Amounts in millions, except per share data)</w:t>
            </w:r>
          </w:p>
        </w:tc>
        <w:tc>
          <w:tcPr>
            <w:tcW w:w="840" w:type="dxa"/>
            <w:vAlign w:val="bottom"/>
          </w:tcPr>
          <w:p>
            <w:pPr>
              <w:jc w:val="center"/>
              <w:ind w:left="39"/>
              <w:spacing w:after="0"/>
              <w:rPr>
                <w:sz w:val="20"/>
                <w:szCs w:val="20"/>
                <w:color w:val="auto"/>
              </w:rPr>
            </w:pPr>
            <w:r>
              <w:rPr>
                <w:rFonts w:ascii="Arial" w:cs="Arial" w:eastAsia="Arial" w:hAnsi="Arial"/>
                <w:sz w:val="14"/>
                <w:szCs w:val="14"/>
                <w:b w:val="1"/>
                <w:bCs w:val="1"/>
                <w:color w:val="auto"/>
                <w:w w:val="89"/>
              </w:rPr>
              <w:t>Income</w:t>
            </w: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Income</w:t>
            </w: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1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for common stockholders</w:t>
            </w:r>
          </w:p>
        </w:tc>
        <w:tc>
          <w:tcPr>
            <w:tcW w:w="840" w:type="dxa"/>
            <w:vAlign w:val="bottom"/>
            <w:tcBorders>
              <w:top w:val="single" w:sz="8" w:color="auto"/>
            </w:tcBorders>
            <w:shd w:val="clear" w:color="auto" w:fill="E5E5E5"/>
          </w:tcPr>
          <w:p>
            <w:pPr>
              <w:jc w:val="center"/>
              <w:ind w:left="39"/>
              <w:spacing w:after="0"/>
              <w:rPr>
                <w:sz w:val="20"/>
                <w:szCs w:val="20"/>
                <w:color w:val="auto"/>
              </w:rPr>
            </w:pPr>
            <w:r>
              <w:rPr>
                <w:rFonts w:ascii="Arial" w:cs="Arial" w:eastAsia="Arial" w:hAnsi="Arial"/>
                <w:sz w:val="18"/>
                <w:szCs w:val="18"/>
                <w:color w:val="auto"/>
                <w:w w:val="86"/>
              </w:rPr>
              <w:t>$ 1,217</w:t>
            </w:r>
          </w:p>
        </w:tc>
        <w:tc>
          <w:tcPr>
            <w:tcW w:w="62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2,096</w:t>
            </w:r>
          </w:p>
        </w:tc>
        <w:tc>
          <w:tcPr>
            <w:tcW w:w="30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0.58</w:t>
            </w:r>
          </w:p>
        </w:tc>
        <w:tc>
          <w:tcPr>
            <w:tcW w:w="6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$ 222</w:t>
            </w:r>
          </w:p>
        </w:tc>
        <w:tc>
          <w:tcPr>
            <w:tcW w:w="62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2,196</w:t>
            </w:r>
          </w:p>
        </w:tc>
        <w:tc>
          <w:tcPr>
            <w:tcW w:w="28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84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E5E5E5"/>
          </w:tcPr>
          <w:p>
            <w:pPr>
              <w:spacing w:after="0"/>
              <w:rPr>
                <w:sz w:val="21"/>
                <w:szCs w:val="21"/>
                <w:color w:val="auto"/>
              </w:rPr>
            </w:pPr>
          </w:p>
        </w:tc>
        <w:tc>
          <w:tcPr>
            <w:tcW w:w="50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840" w:type="dxa"/>
            <w:vAlign w:val="bottom"/>
            <w:tcBorders>
              <w:bottom w:val="single" w:sz="8" w:color="auto"/>
            </w:tcBorders>
          </w:tcPr>
          <w:p>
            <w:pPr>
              <w:jc w:val="center"/>
              <w:ind w:left="39"/>
              <w:spacing w:after="0"/>
              <w:rPr>
                <w:sz w:val="20"/>
                <w:szCs w:val="20"/>
                <w:color w:val="auto"/>
              </w:rPr>
            </w:pPr>
            <w:r>
              <w:rPr>
                <w:rFonts w:ascii="Arial" w:cs="Arial" w:eastAsia="Arial" w:hAnsi="Arial"/>
                <w:sz w:val="18"/>
                <w:szCs w:val="18"/>
                <w:b w:val="1"/>
                <w:bCs w:val="1"/>
                <w:color w:val="auto"/>
                <w:w w:val="86"/>
              </w:rPr>
              <w:t>$ 1,217</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2,109</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0.58</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$ 222</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2,209</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2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7200" w:type="dxa"/>
            <w:vAlign w:val="bottom"/>
            <w:gridSpan w:val="2"/>
          </w:tcPr>
          <w:p>
            <w:pPr>
              <w:spacing w:after="0"/>
              <w:rPr>
                <w:sz w:val="20"/>
                <w:szCs w:val="20"/>
                <w:color w:val="auto"/>
              </w:rPr>
            </w:pPr>
            <w:r>
              <w:rPr>
                <w:rFonts w:ascii="Arial" w:cs="Arial" w:eastAsia="Arial" w:hAnsi="Arial"/>
                <w:sz w:val="14"/>
                <w:szCs w:val="14"/>
                <w:color w:val="auto"/>
              </w:rPr>
              <w:t>(Amounts in millions, except per share data)</w:t>
            </w:r>
          </w:p>
        </w:tc>
        <w:tc>
          <w:tcPr>
            <w:tcW w:w="840" w:type="dxa"/>
            <w:vAlign w:val="bottom"/>
          </w:tcPr>
          <w:p>
            <w:pPr>
              <w:jc w:val="center"/>
              <w:ind w:left="39"/>
              <w:spacing w:after="0"/>
              <w:rPr>
                <w:sz w:val="20"/>
                <w:szCs w:val="20"/>
                <w:color w:val="auto"/>
              </w:rPr>
            </w:pPr>
            <w:r>
              <w:rPr>
                <w:rFonts w:ascii="Arial" w:cs="Arial" w:eastAsia="Arial" w:hAnsi="Arial"/>
                <w:sz w:val="14"/>
                <w:szCs w:val="14"/>
                <w:b w:val="1"/>
                <w:bCs w:val="1"/>
                <w:color w:val="auto"/>
                <w:w w:val="89"/>
              </w:rPr>
              <w:t>Income</w:t>
            </w: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Income</w:t>
            </w: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1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for common stockholders</w:t>
            </w:r>
          </w:p>
        </w:tc>
        <w:tc>
          <w:tcPr>
            <w:tcW w:w="840" w:type="dxa"/>
            <w:vAlign w:val="bottom"/>
            <w:tcBorders>
              <w:top w:val="single" w:sz="8" w:color="auto"/>
            </w:tcBorders>
            <w:shd w:val="clear" w:color="auto" w:fill="E5E5E5"/>
          </w:tcPr>
          <w:p>
            <w:pPr>
              <w:jc w:val="center"/>
              <w:ind w:left="39"/>
              <w:spacing w:after="0"/>
              <w:rPr>
                <w:sz w:val="20"/>
                <w:szCs w:val="20"/>
                <w:color w:val="auto"/>
              </w:rPr>
            </w:pPr>
            <w:r>
              <w:rPr>
                <w:rFonts w:ascii="Arial" w:cs="Arial" w:eastAsia="Arial" w:hAnsi="Arial"/>
                <w:sz w:val="18"/>
                <w:szCs w:val="18"/>
                <w:color w:val="auto"/>
                <w:w w:val="86"/>
              </w:rPr>
              <w:t>$ 2,143</w:t>
            </w:r>
          </w:p>
        </w:tc>
        <w:tc>
          <w:tcPr>
            <w:tcW w:w="62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2,114</w:t>
            </w:r>
          </w:p>
        </w:tc>
        <w:tc>
          <w:tcPr>
            <w:tcW w:w="30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1.01</w:t>
            </w:r>
          </w:p>
        </w:tc>
        <w:tc>
          <w:tcPr>
            <w:tcW w:w="6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$ 795</w:t>
            </w:r>
          </w:p>
        </w:tc>
        <w:tc>
          <w:tcPr>
            <w:tcW w:w="62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2,206</w:t>
            </w:r>
          </w:p>
        </w:tc>
        <w:tc>
          <w:tcPr>
            <w:tcW w:w="28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84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E5E5E5"/>
          </w:tcPr>
          <w:p>
            <w:pPr>
              <w:spacing w:after="0"/>
              <w:rPr>
                <w:sz w:val="21"/>
                <w:szCs w:val="21"/>
                <w:color w:val="auto"/>
              </w:rPr>
            </w:pPr>
          </w:p>
        </w:tc>
        <w:tc>
          <w:tcPr>
            <w:tcW w:w="50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840" w:type="dxa"/>
            <w:vAlign w:val="bottom"/>
            <w:tcBorders>
              <w:bottom w:val="single" w:sz="8" w:color="auto"/>
            </w:tcBorders>
          </w:tcPr>
          <w:p>
            <w:pPr>
              <w:jc w:val="center"/>
              <w:ind w:left="39"/>
              <w:spacing w:after="0"/>
              <w:rPr>
                <w:sz w:val="20"/>
                <w:szCs w:val="20"/>
                <w:color w:val="auto"/>
              </w:rPr>
            </w:pPr>
            <w:r>
              <w:rPr>
                <w:rFonts w:ascii="Arial" w:cs="Arial" w:eastAsia="Arial" w:hAnsi="Arial"/>
                <w:sz w:val="18"/>
                <w:szCs w:val="18"/>
                <w:b w:val="1"/>
                <w:bCs w:val="1"/>
                <w:color w:val="auto"/>
                <w:w w:val="86"/>
              </w:rPr>
              <w:t>$ 2,143</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2,124</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$ 795</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2,219</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and Time Warner Transactions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2005, we entered into an agreement with Adelphia, in which we agreed to acquire certain assets and assume certain liabilities of Adelphia (the “Adelphia Acquisition”). At the same time, we and Time Warner Cable Inc. and certain of its affiliates (“TWC”) entered into several agreements in which we agreed to</w:t>
      </w:r>
    </w:p>
    <w:p>
      <w:pPr>
        <w:jc w:val="both"/>
        <w:ind w:firstLine="8"/>
        <w:spacing w:after="0" w:line="292"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have our interest in Time Warner Entertainment Company, L.P. (“TWE”) redeemed, (ii) have our interest in TWC redeemed (together with the TWE redemption, the “Redemptions”), and (iii) exchange certain cable systems acquired from Adelphia and certain historic Comcast cable systems with TWC (the “Exchanges”). On July 31, 2006, these transactions were completed. We collectively refer to the Adelphia Acquisition, the Redemptions and the Exchanges as the “Adelphia and Time Warner transactions.” Also in April 2005, Adelphia and TWC entered into an agreement for the acquisition of substantially all of the remaining cable system assets and the assumption of certain of the liabilities of Adelphia.</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Adelphia and Time Warner transactions, which are described in more detail below, resulted in a net increase of 1.7 million video subscribers, a net cash payment by us of approximately $1.5 billion and the disposition of our ownership interests in TWE and TWC and the assets of two cable system partnerships. The valuations of assets acquired and estimated gains on these transactions are based on preliminary third-party valuations. Refinements may occur as these valuations are finalized.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Adelphia and Time Warner transactions added cable systems located in California, Colorado, Connecticut, Florida, Georgia, Louisiana, Maryland, Massachusetts, Minnesota, Mississippi, Oregon, Pennsylvania, Tennessee, Vermont, Virginia and West Virginia. We expect that the larger systems will result in economies of scale.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Adelphia Acquisition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approximately $3.6 billion in cash for the acquisition of Adelphia’s interest in two cable system partnerships and certain Adelphia cable systems and to satisfy certain related liabilities. Approximately $2.4 billion of the amount paid related to the acquisition of Adelphia’s interest in Century—TCI California Communications, L.P. (“Century”) and Parnassos Communications, L.P. (“Parnassos” and together with Century the “Partnerships”). We held a 25% interest in Century and a 33.33% interest in Parnassos. Our prior interests in the Partnerships were accounted for as cost method investments. After acquiring Adelphia’s interests in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Partnerships, we transferred the cable systems held by the Partnerships to TWC in the Exchanges, as discussed further below.</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acquiring Adelphia’s interest in Century and Parnassos, we acquired cable systems from Adelphia, which we continue to own and operate, located in Florida, Georgia, Pennsylvania and Virginia, for approximately $600 million in cash.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Redemptions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4.7% interest in TWE was redeemed in exchange for 100% of the equity interests in a subsidiary of TWE holding both cable systems with an estimated fair value of $600 million and approximately $147 million in cash. Our 17.9% interest in TWC was redeemed in exchange for 100% of the capital stock of a subsidiary of TWC holding both cable systems with an estimated fair value of $2.7 billion and approximately $1.9 billion in cash. Our ownership interests in TWE and TWC were accounted for as cost method investments.</w:t>
      </w:r>
    </w:p>
    <w:p>
      <w:pPr>
        <w:spacing w:after="0" w:line="1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recognized a gain of approximately $560 million, in the aggregate, on the Redemptions, that are included within investment income (loss), net. As indicated previously, the estimated gain is subject to refinement as valuations are finalized.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Exchanges</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estimated fair value of the cable systems we transferred to and received from TWC was approximately $8.6 billion and $8.5 billion, respectively. TWC made net cash payments aggregating approximately $67 million to us for certain preliminary adjustments related to the Exchanges.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cable systems we transferred to TWC included our historic Comcast cable systems located in Los Angeles, Cleveland and Dallas (“historic Comcast Exchange Systems”) and the cable systems held by Century and Parnassos. The operating results of the historic Comcast Exchange Systems are reported as discontinued operations for all periods presented in accordance with SFAS No. 144, “Accounting for the Impairment or Disposal of Long-Lived Assets” (“SFAS No. 144”).</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Exchanges, we recognized a gain on the sale of discontinued operations of $234 million, net of tax of $563 million (see “Discontinued Operations” below), and a gain on the sale of the Century and Parnassos cable systems of approximately $134 million, that are included within investment income (loss), net. The valuations of assets acquired and estimated gain on the Exchanges are based on preliminary third-party valuations. Refinements may occur as these valuations are finalized.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cable systems that TWC transferred to us in the Exchanges included cable systems that TWC acquired from Adelphia in its asset purchase from Adelphia and certain historic TWC cable systems.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cable systems acquired in the Adelphia and Time Warner transactions were accounted for in accordance with SFAS No. 141, “Business Combinations” (“SFAS No. 141”). The results of operations for the acquired cable systems have been included in our consolidated financial statements since the acquisition date (July 31, 2006) and are reported in our Cable segment. As a result of the redemption of our investment in TWC and the exchange of the cable systems held by Century and Parnassos, we reversed approximately $600 million in historical deferred tax liabilities, primarily attributable to the excess of tax basis of the assets acquired over the tax basis of the assets exchanged. A portion of the goodwill recorded associated with the Exchanges is expected to be amortizable for tax purposes. The purchase price allocation is preliminary and subject to refinement as valuations are finalized.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the operating results of the historic Comcast Exchange Systems transferred to TWC are reported as discontinued operations for all periods presented in accordance with SFAS No. 144. The following represents the operating results of the historic Comcast Exchange Systems for the three and nine months ended September 30, 2006 and 2005: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48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w w:val="88"/>
              </w:rPr>
              <w:t>Three Months Ended</w:t>
            </w:r>
          </w:p>
        </w:tc>
        <w:tc>
          <w:tcPr>
            <w:tcW w:w="190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1780" w:type="dxa"/>
            <w:vAlign w:val="bottom"/>
            <w:gridSpan w:val="2"/>
          </w:tcPr>
          <w:p>
            <w:pPr>
              <w:jc w:val="center"/>
              <w:ind w:left="881"/>
              <w:spacing w:after="0"/>
              <w:rPr>
                <w:sz w:val="20"/>
                <w:szCs w:val="20"/>
                <w:color w:val="auto"/>
              </w:rPr>
            </w:pPr>
            <w:r>
              <w:rPr>
                <w:rFonts w:ascii="Arial" w:cs="Arial" w:eastAsia="Arial" w:hAnsi="Arial"/>
                <w:sz w:val="14"/>
                <w:szCs w:val="14"/>
                <w:b w:val="1"/>
                <w:bCs w:val="1"/>
                <w:color w:val="auto"/>
                <w:w w:val="85"/>
              </w:rPr>
              <w:t>September 30,</w:t>
            </w:r>
          </w:p>
        </w:tc>
        <w:tc>
          <w:tcPr>
            <w:tcW w:w="700" w:type="dxa"/>
            <w:vAlign w:val="bottom"/>
          </w:tcPr>
          <w:p>
            <w:pPr>
              <w:spacing w:after="0"/>
              <w:rPr>
                <w:sz w:val="14"/>
                <w:szCs w:val="14"/>
                <w:color w:val="auto"/>
              </w:rPr>
            </w:pPr>
          </w:p>
        </w:tc>
        <w:tc>
          <w:tcPr>
            <w:tcW w:w="190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1360" w:type="dxa"/>
            <w:vAlign w:val="bottom"/>
            <w:tcBorders>
              <w:top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w w:val="83"/>
              </w:rPr>
              <w:t>2005</w:t>
            </w:r>
          </w:p>
        </w:tc>
        <w:tc>
          <w:tcPr>
            <w:tcW w:w="1060" w:type="dxa"/>
            <w:vAlign w:val="bottom"/>
            <w:tcBorders>
              <w:top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rPr>
              <w:t>2006</w:t>
            </w:r>
          </w:p>
        </w:tc>
        <w:tc>
          <w:tcPr>
            <w:tcW w:w="8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136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   109</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293</w:t>
            </w:r>
          </w:p>
        </w:tc>
        <w:tc>
          <w:tcPr>
            <w:tcW w:w="106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  734</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181"/>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700" w:type="dxa"/>
            <w:vAlign w:val="bottom"/>
          </w:tcPr>
          <w:p>
            <w:pPr>
              <w:jc w:val="right"/>
              <w:ind w:right="176"/>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181"/>
              <w:spacing w:after="0"/>
              <w:rPr>
                <w:sz w:val="20"/>
                <w:szCs w:val="20"/>
                <w:color w:val="auto"/>
              </w:rPr>
            </w:pPr>
            <w:r>
              <w:rPr>
                <w:rFonts w:ascii="Arial" w:cs="Arial" w:eastAsia="Arial" w:hAnsi="Arial"/>
                <w:sz w:val="18"/>
                <w:szCs w:val="18"/>
                <w:color w:val="auto"/>
              </w:rPr>
              <w:t>121</w:t>
            </w: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15</w:t>
            </w:r>
          </w:p>
        </w:tc>
        <w:tc>
          <w:tcPr>
            <w:tcW w:w="106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18</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81"/>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700" w:type="dxa"/>
            <w:vAlign w:val="bottom"/>
          </w:tcPr>
          <w:p>
            <w:pPr>
              <w:jc w:val="right"/>
              <w:ind w:right="176"/>
              <w:spacing w:after="0"/>
              <w:rPr>
                <w:sz w:val="20"/>
                <w:szCs w:val="20"/>
                <w:color w:val="auto"/>
              </w:rPr>
            </w:pPr>
            <w:r>
              <w:rPr>
                <w:rFonts w:ascii="Arial" w:cs="Arial" w:eastAsia="Arial" w:hAnsi="Arial"/>
                <w:sz w:val="18"/>
                <w:szCs w:val="18"/>
                <w:color w:val="auto"/>
              </w:rPr>
              <w:t>24</w:t>
            </w:r>
          </w:p>
        </w:tc>
        <w:tc>
          <w:tcPr>
            <w:tcW w:w="1060" w:type="dxa"/>
            <w:vAlign w:val="bottom"/>
          </w:tcPr>
          <w:p>
            <w:pPr>
              <w:jc w:val="right"/>
              <w:ind w:right="181"/>
              <w:spacing w:after="0"/>
              <w:rPr>
                <w:sz w:val="20"/>
                <w:szCs w:val="20"/>
                <w:color w:val="auto"/>
              </w:rPr>
            </w:pPr>
            <w:r>
              <w:rPr>
                <w:rFonts w:ascii="Arial" w:cs="Arial" w:eastAsia="Arial" w:hAnsi="Arial"/>
                <w:sz w:val="18"/>
                <w:szCs w:val="18"/>
                <w:color w:val="auto"/>
              </w:rPr>
              <w:t>103</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operating results of discontinued operations for the three and nine months ended September 30, 2006, include one and seven months, respectively, as the closing date of the Exchanges was July 31, 2006.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Adelphia and Time Warner transactions occurred on January 1, 2005. This information is based on historical results of operations, adjusted for purchase price allocations and is not necessarily indicative of what the results would have been had we operated entities since January 1, 2005.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4"/>
                <w:szCs w:val="14"/>
                <w:color w:val="auto"/>
              </w:rPr>
            </w:pPr>
          </w:p>
        </w:tc>
        <w:tc>
          <w:tcPr>
            <w:tcW w:w="152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2"/>
                <w:szCs w:val="12"/>
                <w:color w:val="auto"/>
              </w:rPr>
            </w:pPr>
          </w:p>
        </w:tc>
        <w:tc>
          <w:tcPr>
            <w:tcW w:w="6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2"/>
                <w:szCs w:val="12"/>
                <w:color w:val="auto"/>
              </w:rPr>
            </w:pPr>
          </w:p>
        </w:tc>
        <w:tc>
          <w:tcPr>
            <w:tcW w:w="7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w w:val="96"/>
              </w:rPr>
              <w:t>2006</w:t>
            </w:r>
          </w:p>
        </w:tc>
        <w:tc>
          <w:tcPr>
            <w:tcW w:w="26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w w:val="93"/>
              </w:rPr>
              <w:t>6,669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8"/>
              </w:rPr>
              <w:t>5,931</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w w:val="83"/>
              </w:rPr>
              <w:t>19,585</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420" w:type="dxa"/>
            <w:vAlign w:val="bottom"/>
          </w:tcPr>
          <w:p>
            <w:pPr>
              <w:spacing w:after="0"/>
              <w:rPr>
                <w:sz w:val="18"/>
                <w:szCs w:val="18"/>
                <w:color w:val="auto"/>
              </w:rPr>
            </w:pPr>
          </w:p>
        </w:tc>
        <w:tc>
          <w:tcPr>
            <w:tcW w:w="660" w:type="dxa"/>
            <w:vAlign w:val="bottom"/>
          </w:tcPr>
          <w:p>
            <w:pPr>
              <w:jc w:val="right"/>
              <w:ind w:right="138"/>
              <w:spacing w:after="0"/>
              <w:rPr>
                <w:sz w:val="20"/>
                <w:szCs w:val="20"/>
                <w:color w:val="auto"/>
              </w:rPr>
            </w:pPr>
            <w:r>
              <w:rPr>
                <w:rFonts w:ascii="Arial" w:cs="Arial" w:eastAsia="Arial" w:hAnsi="Arial"/>
                <w:sz w:val="18"/>
                <w:szCs w:val="18"/>
                <w:color w:val="auto"/>
                <w:w w:val="93"/>
              </w:rPr>
              <w:t>1,604</w:t>
            </w:r>
          </w:p>
        </w:tc>
        <w:tc>
          <w:tcPr>
            <w:tcW w:w="28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700" w:type="dxa"/>
            <w:vAlign w:val="bottom"/>
          </w:tcPr>
          <w:p>
            <w:pPr>
              <w:jc w:val="right"/>
              <w:ind w:right="138"/>
              <w:spacing w:after="0"/>
              <w:rPr>
                <w:sz w:val="20"/>
                <w:szCs w:val="20"/>
                <w:color w:val="auto"/>
              </w:rPr>
            </w:pPr>
            <w:r>
              <w:rPr>
                <w:rFonts w:ascii="Arial" w:cs="Arial" w:eastAsia="Arial" w:hAnsi="Arial"/>
                <w:sz w:val="18"/>
                <w:szCs w:val="18"/>
                <w:color w:val="auto"/>
              </w:rPr>
              <w:t>3,113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w w:val="91"/>
              </w:rPr>
              <w:t>(1,194)</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420" w:type="dxa"/>
            <w:vAlign w:val="bottom"/>
          </w:tcPr>
          <w:p>
            <w:pPr>
              <w:spacing w:after="0"/>
              <w:rPr>
                <w:sz w:val="18"/>
                <w:szCs w:val="18"/>
                <w:color w:val="auto"/>
              </w:rPr>
            </w:pPr>
          </w:p>
        </w:tc>
        <w:tc>
          <w:tcPr>
            <w:tcW w:w="660" w:type="dxa"/>
            <w:vAlign w:val="bottom"/>
          </w:tcPr>
          <w:p>
            <w:pPr>
              <w:jc w:val="right"/>
              <w:ind w:right="138"/>
              <w:spacing w:after="0"/>
              <w:rPr>
                <w:sz w:val="20"/>
                <w:szCs w:val="20"/>
                <w:color w:val="auto"/>
              </w:rPr>
            </w:pPr>
            <w:r>
              <w:rPr>
                <w:rFonts w:ascii="Arial" w:cs="Arial" w:eastAsia="Arial" w:hAnsi="Arial"/>
                <w:sz w:val="18"/>
                <w:szCs w:val="18"/>
                <w:color w:val="auto"/>
              </w:rPr>
              <w:t>985</w:t>
            </w:r>
          </w:p>
        </w:tc>
        <w:tc>
          <w:tcPr>
            <w:tcW w:w="28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700" w:type="dxa"/>
            <w:vAlign w:val="bottom"/>
          </w:tcPr>
          <w:p>
            <w:pPr>
              <w:jc w:val="right"/>
              <w:ind w:right="138"/>
              <w:spacing w:after="0"/>
              <w:rPr>
                <w:sz w:val="20"/>
                <w:szCs w:val="20"/>
                <w:color w:val="auto"/>
              </w:rPr>
            </w:pPr>
            <w:r>
              <w:rPr>
                <w:rFonts w:ascii="Arial" w:cs="Arial" w:eastAsia="Arial" w:hAnsi="Arial"/>
                <w:sz w:val="18"/>
                <w:szCs w:val="18"/>
                <w:color w:val="auto"/>
              </w:rPr>
              <w:t>1,919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982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1,909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0.47</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0.90</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8"/>
              <w:spacing w:after="0"/>
              <w:rPr>
                <w:sz w:val="20"/>
                <w:szCs w:val="20"/>
                <w:color w:val="auto"/>
              </w:rPr>
            </w:pPr>
            <w:r>
              <w:rPr>
                <w:rFonts w:ascii="Arial" w:cs="Arial" w:eastAsia="Arial" w:hAnsi="Arial"/>
                <w:sz w:val="18"/>
                <w:szCs w:val="18"/>
                <w:color w:val="auto"/>
              </w:rPr>
              <w:t>0.47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0.09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8"/>
              <w:spacing w:after="0"/>
              <w:rPr>
                <w:sz w:val="20"/>
                <w:szCs w:val="20"/>
                <w:color w:val="auto"/>
              </w:rPr>
            </w:pPr>
            <w:r>
              <w:rPr>
                <w:rFonts w:ascii="Arial" w:cs="Arial" w:eastAsia="Arial" w:hAnsi="Arial"/>
                <w:sz w:val="18"/>
                <w:szCs w:val="18"/>
                <w:color w:val="auto"/>
              </w:rPr>
              <w:t>0.90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of Texas and Kansas City Cable Partnership</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2006, we initiated the dissolution of our 50/50 cable system partnership with TWC, known as Texas and Kansas City Cable Partners, L.P. Once the dissolution was triggered, the non-triggering party had the right to choose and take full ownership of one of two pools of the partnership’s cable systems together with any debt allocated to such asset pool by the triggering partner. One pool consisted of the cable systems serving Houston, Texas (“Houston Asset Pool”) and the other pool consisted of cable systems serving Kansas City, south and west Texas and New Mexico (“Kansas City Asset Pool”).</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2006, we notified TWC of our election to dissolve the partnership and the allocation of all of its debt, which totaled approximately $2 billion as of July 1, 2006, to the Houston Asset Pool. In August 2006, TWC notified us that it selected the Kansas City Asset Pool and as a result, we will receive the Houston Asset Pool. The $2 billion of debt allocated to the Houston Asset Pool was required to be refinanced within 60 days of the August 1, 2006 selection date. This debt included $600 million owed to each partner (for an aggregate of $1.2 billion). We refinanced this debt in October 2006 (see Note 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SpectrumCo, LLC</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SpectrumCo, LLC, a joint venture including us, TWC, Cox Communications, Advance/Newhouse and Sprint Nextel Communications, was the winning bidder for 137 wireless spectrum licenses for approximately $2.4 billion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Federal Communications Commission’s advanced wireless spectrum auction that concluded in September 2006. Our portion of the total cost to purchase the licenses is $1.3 billion. We paid $331 million prior to September 30, 2006, with the remainder paid in October 2006. Based on its currently planned activities, we have determined that SpectrumCo, LLC is not a variable interest entity. We will account for this joint venture as an equity method investment based on its current governance structure notwithstanding our majority interest.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Susquehanna</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30, 2006, we acquired the cable systems of Susquehanna Cable Co. and its subsidiaries (“Susquehanna”) for a total purchase price of approximately $775 million. The Susquehanna systems acquired are located primarily in Pennsylvania, New York, Maine, and Mississippi.</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acquisition, we held an approximate 30% equity ownership interest in Susquehanna that we accounted for as an equity method investment. On May 1, 2006, Susquehanna Cable Co. redeemed the approximate 70% equity ownership interest in Susquehanna held by Susquehanna Media Co., which resulted in Susquehanna becoming 100% owned by us.</w:t>
      </w:r>
    </w:p>
    <w:p>
      <w:pPr>
        <w:spacing w:after="0" w:line="10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results of operations of the Susquehanna systems have been included in our consolidated financial statements since the acquisition date and are reported in our Cable segment. We allocated the purchase price to working capital, property and equipment, customer relationship intangibles, nonamortizing franchise rights and goodwill. The purchase price allocation is preliminary and subject to refinement as valuations are finalized. The acquisition of the Susquehanna cable systems was not significant to our consolidated financial statements for the three or nine months ended September 30, 2006.</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960" w:type="dxa"/>
            <w:vAlign w:val="bottom"/>
            <w:gridSpan w:val="2"/>
          </w:tcPr>
          <w:p>
            <w:pPr>
              <w:ind w:left="7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71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940" w:type="dxa"/>
            <w:vAlign w:val="bottom"/>
          </w:tcPr>
          <w:p>
            <w:pPr>
              <w:spacing w:after="0"/>
              <w:rPr>
                <w:sz w:val="14"/>
                <w:szCs w:val="14"/>
                <w:color w:val="auto"/>
              </w:rPr>
            </w:pPr>
          </w:p>
        </w:tc>
        <w:tc>
          <w:tcPr>
            <w:tcW w:w="1020" w:type="dxa"/>
            <w:vAlign w:val="bottom"/>
          </w:tcPr>
          <w:p>
            <w:pPr>
              <w:jc w:val="right"/>
              <w:ind w:right="573"/>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94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Cablevision</w:t>
            </w:r>
          </w:p>
        </w:tc>
        <w:tc>
          <w:tcPr>
            <w:tcW w:w="940" w:type="dxa"/>
            <w:vAlign w:val="bottom"/>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116</w:t>
            </w:r>
          </w:p>
        </w:tc>
        <w:tc>
          <w:tcPr>
            <w:tcW w:w="560" w:type="dxa"/>
            <w:vAlign w:val="bottom"/>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Discovery Holding Company</w:t>
            </w: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145</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Embarq Corporation</w:t>
            </w:r>
          </w:p>
        </w:tc>
        <w:tc>
          <w:tcPr>
            <w:tcW w:w="94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Liberty Capital</w:t>
            </w: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418</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Liberty Global</w:t>
            </w:r>
          </w:p>
        </w:tc>
        <w:tc>
          <w:tcPr>
            <w:tcW w:w="94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390</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Liberty Interactive</w:t>
            </w: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510</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Liberty Media</w:t>
            </w:r>
          </w:p>
        </w:tc>
        <w:tc>
          <w:tcPr>
            <w:tcW w:w="94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Sprint Nextel</w:t>
            </w: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448</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Time Warner</w:t>
            </w:r>
          </w:p>
        </w:tc>
        <w:tc>
          <w:tcPr>
            <w:tcW w:w="94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1,037</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Vodafone</w:t>
            </w: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50</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47</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3,224</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Equity method, principally cable-related</w:t>
            </w:r>
          </w:p>
        </w:tc>
        <w:tc>
          <w:tcPr>
            <w:tcW w:w="94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2,992</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w w:val="89"/>
              </w:rPr>
              <w:t>Cost method, principally AirTouch at September 30, 2006, and Time Warner Cable and AirTouch at</w:t>
            </w:r>
          </w:p>
        </w:tc>
        <w:tc>
          <w:tcPr>
            <w:tcW w:w="940" w:type="dxa"/>
            <w:vAlign w:val="bottom"/>
            <w:shd w:val="clear" w:color="auto" w:fill="E5E5E5"/>
          </w:tcPr>
          <w:p>
            <w:pPr>
              <w:spacing w:after="0"/>
              <w:rPr>
                <w:sz w:val="18"/>
                <w:szCs w:val="18"/>
                <w:color w:val="auto"/>
              </w:rPr>
            </w:pPr>
          </w:p>
        </w:tc>
        <w:tc>
          <w:tcPr>
            <w:tcW w:w="1020" w:type="dxa"/>
            <w:vAlign w:val="bottom"/>
            <w:vMerge w:val="restart"/>
            <w:shd w:val="clear" w:color="auto" w:fill="E5E5E5"/>
          </w:tcPr>
          <w:p>
            <w:pPr>
              <w:jc w:val="right"/>
              <w:ind w:right="293"/>
              <w:spacing w:after="0"/>
              <w:rPr>
                <w:sz w:val="20"/>
                <w:szCs w:val="20"/>
                <w:color w:val="auto"/>
              </w:rPr>
            </w:pPr>
            <w:r>
              <w:rPr>
                <w:rFonts w:ascii="Arial" w:cs="Arial" w:eastAsia="Arial" w:hAnsi="Arial"/>
                <w:sz w:val="18"/>
                <w:szCs w:val="18"/>
                <w:color w:val="auto"/>
              </w:rPr>
              <w:t>1,685</w:t>
            </w:r>
          </w:p>
        </w:tc>
        <w:tc>
          <w:tcPr>
            <w:tcW w:w="560" w:type="dxa"/>
            <w:vAlign w:val="bottom"/>
            <w:shd w:val="clear" w:color="auto" w:fill="E5E5E5"/>
          </w:tcPr>
          <w:p>
            <w:pPr>
              <w:spacing w:after="0"/>
              <w:rPr>
                <w:sz w:val="18"/>
                <w:szCs w:val="18"/>
                <w:color w:val="auto"/>
              </w:rPr>
            </w:pP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December 31, 2005</w:t>
            </w:r>
          </w:p>
        </w:tc>
        <w:tc>
          <w:tcPr>
            <w:tcW w:w="94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vMerge w:val="continue"/>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Total investments</w:t>
            </w:r>
          </w:p>
        </w:tc>
        <w:tc>
          <w:tcPr>
            <w:tcW w:w="940" w:type="dxa"/>
            <w:vAlign w:val="bottom"/>
          </w:tcPr>
          <w:p>
            <w:pPr>
              <w:spacing w:after="0"/>
              <w:rPr>
                <w:sz w:val="18"/>
                <w:szCs w:val="18"/>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7,901</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94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656</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Noncurrent investments</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7,245</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12,675</w:t>
            </w:r>
          </w:p>
        </w:tc>
        <w:tc>
          <w:tcPr>
            <w:tcW w:w="0" w:type="dxa"/>
            <w:vAlign w:val="bottom"/>
          </w:tcPr>
          <w:p>
            <w:pPr>
              <w:spacing w:after="0"/>
              <w:rPr>
                <w:sz w:val="1"/>
                <w:szCs w:val="1"/>
                <w:color w:val="auto"/>
              </w:rPr>
            </w:pPr>
          </w:p>
        </w:tc>
      </w:tr>
      <w:tr>
        <w:trPr>
          <w:trHeight w:val="363"/>
        </w:trPr>
        <w:tc>
          <w:tcPr>
            <w:tcW w:w="7120" w:type="dxa"/>
            <w:vAlign w:val="bottom"/>
            <w:gridSpan w:val="2"/>
          </w:tcPr>
          <w:p>
            <w:pPr>
              <w:jc w:val="right"/>
              <w:ind w:right="1792"/>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cost, fair value and unrealized gains and losses related to our available for sale securities, which consist principally of our investment in Time Warner Inc., are as follows:</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100" w:type="dxa"/>
            <w:vAlign w:val="bottom"/>
            <w:gridSpan w:val="2"/>
          </w:tcPr>
          <w:p>
            <w:pPr>
              <w:ind w:left="84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8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020" w:type="dxa"/>
            <w:vAlign w:val="bottom"/>
          </w:tcPr>
          <w:p>
            <w:pPr>
              <w:spacing w:after="0"/>
              <w:rPr>
                <w:sz w:val="14"/>
                <w:szCs w:val="14"/>
                <w:color w:val="auto"/>
              </w:rPr>
            </w:pPr>
          </w:p>
        </w:tc>
        <w:tc>
          <w:tcPr>
            <w:tcW w:w="1080" w:type="dxa"/>
            <w:vAlign w:val="bottom"/>
          </w:tcPr>
          <w:p>
            <w:pPr>
              <w:jc w:val="right"/>
              <w:ind w:right="616"/>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70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Cost</w:t>
            </w:r>
          </w:p>
        </w:tc>
        <w:tc>
          <w:tcPr>
            <w:tcW w:w="1020" w:type="dxa"/>
            <w:vAlign w:val="bottom"/>
            <w:tcBorders>
              <w:top w:val="single" w:sz="8" w:color="auto"/>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1,087</w:t>
            </w:r>
          </w:p>
        </w:tc>
        <w:tc>
          <w:tcPr>
            <w:tcW w:w="60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1,104</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Unrealized gains</w:t>
            </w:r>
          </w:p>
        </w:tc>
        <w:tc>
          <w:tcPr>
            <w:tcW w:w="1020" w:type="dxa"/>
            <w:vAlign w:val="bottom"/>
          </w:tcPr>
          <w:p>
            <w:pPr>
              <w:spacing w:after="0"/>
              <w:rPr>
                <w:sz w:val="18"/>
                <w:szCs w:val="18"/>
                <w:color w:val="auto"/>
              </w:rPr>
            </w:pPr>
          </w:p>
        </w:tc>
        <w:tc>
          <w:tcPr>
            <w:tcW w:w="1080" w:type="dxa"/>
            <w:vAlign w:val="bottom"/>
          </w:tcPr>
          <w:p>
            <w:pPr>
              <w:jc w:val="right"/>
              <w:ind w:right="336"/>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68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Unrealized losses</w:t>
            </w:r>
          </w:p>
        </w:tc>
        <w:tc>
          <w:tcPr>
            <w:tcW w:w="102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1,162</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Sprint Nextel Convertible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2006, we received proceeds of $62 million in connection with Sprint Nextel’s redemption of all of its outstanding Seventh Series B Convertible Preferred Stock (“Sprint Preferred Stock”), including all 61,726 shares of Sprint Preferred Stock held by us. In connection with the redemption transaction, we recognized investment income of $8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Media Restructuring Transaction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2006, we received 25 million shares of Liberty Media Interactive (“Liberty Interactive”) Series A common stock and 5 million shares of Liberty Media Capital (“Liberty Capital”) Series A common stock in connection with Liberty Media Corporation’s (“Liberty Media”) restructuring. In the restructuring, each share of Liberty Media Series A common stock received 0.25 shares of the new Liberty Interactive Series A common stock and 0.05 shares of Liberty Capital Series A common stock for each share of Liberty Media Series A common stock. We have classified all of the shares of Liberty Interactive and Liberty Capital common stock we received as trading securities at fair value. All of these shares collateralize our Liberty Media prepaid forward sales obligation.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Sprint Nextel Spin-off Transaction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2006, we received approximately 1.3 million shares of Embarq Corporation (“Embarq”) common stock in connection with the spin-off by Sprint Nextel of Embarq, its local communications business. In the spin-off, each share of Sprint Nextel common stock received 0.05 shares of the new Embarq common stock. We have classified all of the shares of Embarq common stock we received as trading securities at fair value. All of these shares collateralize our ZONES debt and our Sprint Nextel prepaid forward sales obligation.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of Texas and Kansas City Cable Partnership</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historically accounted for our interest in Texas and Kansas City Cable Partners, L.P. as an equity method investment and will continue to do so until the Houston Asset Pool is distributed to us, which is subject to customary government and other approvals and is expected to take place during the first quarter of 2007 (see Note 4). However, effective July 1, 2006 (the beginning of the month when dissolution was initiated), the economic return to us on our interest in the partnership tracks the performance of the Houston Asset Pool, and we will no longer be entitled to any benefits of ownership or responsible for the obligations of the Kansas City Asset Pool. As a result, we will report our share of the earnings and losses of the partnership based solely on the operating results of the Houston Asset Pool. Because we are on a one quarter lag for recording the results of our equity method investments, this change will be reflected beginning in our fourth quarter. Effective for the third quarter of 2006, for segment reporting purposes we have included the operating results of the Houston Asset Pool in our Cable segment (see Note 11(a)).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SEPTEMBER 30,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(loss), net includes the following:</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gridSpan w:val="3"/>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80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jc w:val="right"/>
              <w:ind w:right="458"/>
              <w:spacing w:after="0" w:line="142" w:lineRule="exact"/>
              <w:rPr>
                <w:sz w:val="20"/>
                <w:szCs w:val="20"/>
                <w:color w:val="auto"/>
              </w:rPr>
            </w:pPr>
            <w:r>
              <w:rPr>
                <w:rFonts w:ascii="Arial" w:cs="Arial" w:eastAsia="Arial" w:hAnsi="Arial"/>
                <w:sz w:val="14"/>
                <w:szCs w:val="14"/>
                <w:b w:val="1"/>
                <w:bCs w:val="1"/>
                <w:color w:val="auto"/>
                <w:w w:val="89"/>
              </w:rPr>
              <w:t>2006</w:t>
            </w:r>
          </w:p>
        </w:tc>
        <w:tc>
          <w:tcPr>
            <w:tcW w:w="460" w:type="dxa"/>
            <w:vAlign w:val="bottom"/>
          </w:tcPr>
          <w:p>
            <w:pPr>
              <w:spacing w:after="0"/>
              <w:rPr>
                <w:sz w:val="12"/>
                <w:szCs w:val="12"/>
                <w:color w:val="auto"/>
              </w:rPr>
            </w:pPr>
          </w:p>
        </w:tc>
        <w:tc>
          <w:tcPr>
            <w:tcW w:w="860" w:type="dxa"/>
            <w:vAlign w:val="bottom"/>
          </w:tcPr>
          <w:p>
            <w:pPr>
              <w:jc w:val="right"/>
              <w:ind w:right="475"/>
              <w:spacing w:after="0" w:line="142" w:lineRule="exact"/>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2"/>
                <w:szCs w:val="12"/>
                <w:color w:val="auto"/>
              </w:rPr>
            </w:pPr>
          </w:p>
        </w:tc>
        <w:tc>
          <w:tcPr>
            <w:tcW w:w="840" w:type="dxa"/>
            <w:vAlign w:val="bottom"/>
          </w:tcPr>
          <w:p>
            <w:pPr>
              <w:jc w:val="right"/>
              <w:ind w:right="458"/>
              <w:spacing w:after="0" w:line="142" w:lineRule="exact"/>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color w:val="auto"/>
              </w:rPr>
              <w:t>55</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30</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color w:val="auto"/>
              </w:rPr>
              <w:t>136</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Gains (losses) on sales and exchanges of investments, net</w:t>
            </w:r>
          </w:p>
        </w:tc>
        <w:tc>
          <w:tcPr>
            <w:tcW w:w="86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Arial" w:cs="Arial" w:eastAsia="Arial" w:hAnsi="Arial"/>
                <w:sz w:val="18"/>
                <w:szCs w:val="18"/>
                <w:color w:val="auto"/>
              </w:rPr>
              <w:t>753</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Investment impairment losses</w:t>
            </w: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6"/>
              </w:rPr>
              <w:t>Unrealized gains (losses) on trading securities and hedged items</w:t>
            </w:r>
          </w:p>
        </w:tc>
        <w:tc>
          <w:tcPr>
            <w:tcW w:w="86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860" w:type="dxa"/>
            <w:vAlign w:val="bottom"/>
          </w:tcPr>
          <w:p>
            <w:pPr>
              <w:jc w:val="right"/>
              <w:ind w:right="255"/>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w w:val="89"/>
              </w:rPr>
              <w:t>Mark to market adjustments on derivatives related to trading securities</w:t>
            </w: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hedged items</w:t>
            </w:r>
          </w:p>
        </w:tc>
        <w:tc>
          <w:tcPr>
            <w:tcW w:w="8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(22)</w:t>
            </w:r>
          </w:p>
        </w:tc>
        <w:tc>
          <w:tcPr>
            <w:tcW w:w="46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(46)</w:t>
            </w:r>
          </w:p>
        </w:tc>
        <w:tc>
          <w:tcPr>
            <w:tcW w:w="44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b w:val="1"/>
                <w:bCs w:val="1"/>
                <w:color w:val="auto"/>
              </w:rPr>
              <w:t>857</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(104)</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b w:val="1"/>
                <w:bCs w:val="1"/>
                <w:color w:val="auto"/>
              </w:rPr>
              <w:t>935</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Adelphia and Time Warner transactions, we recognized gains of approximately $694 million, in the aggregate, on the redemption of our interest in TWE and TWC and the exchange of cable systems held by Century and Parnassos (see Note 4). These amounts are included within the “Gains (losses) on sales and exchanges of investments, net” caption in the table above.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December 31, 2005 Cable segment balance excludes $720 million related to discontinued operations. The changes in the carrying amount of goodwill by business segment for the nine months ended September 30, 2006, are as follows:</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w w:val="89"/>
              </w:rPr>
              <w:t>Corporate</w:t>
            </w:r>
          </w:p>
        </w:tc>
        <w:tc>
          <w:tcPr>
            <w:tcW w:w="1000" w:type="dxa"/>
            <w:vAlign w:val="bottom"/>
          </w:tcPr>
          <w:p>
            <w:pPr>
              <w:spacing w:after="0"/>
              <w:rPr>
                <w:sz w:val="14"/>
                <w:szCs w:val="14"/>
                <w:color w:val="auto"/>
              </w:rPr>
            </w:pPr>
          </w:p>
        </w:tc>
      </w:tr>
      <w:tr>
        <w:trPr>
          <w:trHeight w:val="161"/>
        </w:trPr>
        <w:tc>
          <w:tcPr>
            <w:tcW w:w="46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640" w:type="dxa"/>
            <w:vAlign w:val="bottom"/>
          </w:tcPr>
          <w:p>
            <w:pPr>
              <w:jc w:val="right"/>
              <w:ind w:right="416"/>
              <w:spacing w:after="0"/>
              <w:rPr>
                <w:sz w:val="20"/>
                <w:szCs w:val="20"/>
                <w:color w:val="auto"/>
              </w:rPr>
            </w:pPr>
            <w:r>
              <w:rPr>
                <w:rFonts w:ascii="Arial" w:cs="Arial" w:eastAsia="Arial" w:hAnsi="Arial"/>
                <w:sz w:val="14"/>
                <w:szCs w:val="14"/>
                <w:b w:val="1"/>
                <w:bCs w:val="1"/>
                <w:color w:val="auto"/>
              </w:rPr>
              <w:t>Cable</w:t>
            </w:r>
          </w:p>
        </w:tc>
        <w:tc>
          <w:tcPr>
            <w:tcW w:w="420" w:type="dxa"/>
            <w:vAlign w:val="bottom"/>
          </w:tcPr>
          <w:p>
            <w:pPr>
              <w:spacing w:after="0"/>
              <w:rPr>
                <w:sz w:val="14"/>
                <w:szCs w:val="14"/>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w w:val="90"/>
              </w:rPr>
              <w:t>Content</w:t>
            </w:r>
          </w:p>
        </w:tc>
        <w:tc>
          <w:tcPr>
            <w:tcW w:w="460" w:type="dxa"/>
            <w:vAlign w:val="bottom"/>
          </w:tcPr>
          <w:p>
            <w:pPr>
              <w:spacing w:after="0"/>
              <w:rPr>
                <w:sz w:val="14"/>
                <w:szCs w:val="14"/>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w w:val="90"/>
              </w:rPr>
              <w:t>and Other</w:t>
            </w:r>
          </w:p>
        </w:tc>
        <w:tc>
          <w:tcPr>
            <w:tcW w:w="100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2005</w:t>
            </w:r>
          </w:p>
        </w:tc>
        <w:tc>
          <w:tcPr>
            <w:tcW w:w="1640" w:type="dxa"/>
            <w:vAlign w:val="bottom"/>
            <w:tcBorders>
              <w:top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$ 12,273</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966</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color w:val="auto"/>
              </w:rPr>
              <w:t>259</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$13,498</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Settlements or adjustments</w:t>
            </w:r>
          </w:p>
        </w:tc>
        <w:tc>
          <w:tcPr>
            <w:tcW w:w="1640" w:type="dxa"/>
            <w:vAlign w:val="bottom"/>
          </w:tcPr>
          <w:p>
            <w:pPr>
              <w:jc w:val="right"/>
              <w:ind w:right="216"/>
              <w:spacing w:after="0"/>
              <w:rPr>
                <w:sz w:val="20"/>
                <w:szCs w:val="20"/>
                <w:color w:val="auto"/>
              </w:rPr>
            </w:pPr>
            <w:r>
              <w:rPr>
                <w:rFonts w:ascii="Arial" w:cs="Arial" w:eastAsia="Arial" w:hAnsi="Arial"/>
                <w:sz w:val="18"/>
                <w:szCs w:val="18"/>
                <w:color w:val="auto"/>
              </w:rPr>
              <w:t>(605)</w:t>
            </w:r>
          </w:p>
        </w:tc>
        <w:tc>
          <w:tcPr>
            <w:tcW w:w="420" w:type="dxa"/>
            <w:vAlign w:val="bottom"/>
          </w:tcPr>
          <w:p>
            <w:pPr>
              <w:spacing w:after="0"/>
              <w:rPr>
                <w:sz w:val="18"/>
                <w:szCs w:val="18"/>
                <w:color w:val="auto"/>
              </w:rPr>
            </w:pPr>
          </w:p>
        </w:tc>
        <w:tc>
          <w:tcPr>
            <w:tcW w:w="9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Acquisitions</w:t>
            </w:r>
          </w:p>
        </w:tc>
        <w:tc>
          <w:tcPr>
            <w:tcW w:w="164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602</w:t>
            </w:r>
          </w:p>
        </w:tc>
        <w:tc>
          <w:tcPr>
            <w:tcW w:w="4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622</w:t>
            </w:r>
          </w:p>
        </w:tc>
      </w:tr>
      <w:tr>
        <w:trPr>
          <w:trHeight w:val="217"/>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Balance, September 30, 2006</w:t>
            </w: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$ 12,270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966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279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$13,515</w:t>
            </w:r>
          </w:p>
        </w:tc>
      </w:tr>
    </w:tbl>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Settlements are primarily due to adjustments to certain pre-acquisition tax liabilities associated with the acquisition of AT&amp;T Corp.’s broadband cable business (“Broadband”). Acquisitions are due to the Adelphia and Time Warner transactions and Susquehanna.</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Assumed</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1, 2006, in connection with the Susquehanna transaction (see Note 4) we assumed a $185 million principal amount variable-rate term loan due 2008. The interest rate on the term loan is the London Interbank Offered Rate (“LIBOR”) plus 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2006, we issued senior notes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420" w:type="dxa"/>
            <w:vAlign w:val="bottom"/>
          </w:tcPr>
          <w:p>
            <w:pPr>
              <w:ind w:left="208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Par Value</w:t>
            </w: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Senior Notes, with an interest rate of 5.90%, maturing 2016</w:t>
            </w:r>
          </w:p>
        </w:tc>
        <w:tc>
          <w:tcPr>
            <w:tcW w:w="3420" w:type="dxa"/>
            <w:vAlign w:val="bottom"/>
            <w:tcBorders>
              <w:top w:val="single" w:sz="8" w:color="auto"/>
            </w:tcBorders>
            <w:shd w:val="clear" w:color="auto" w:fill="E5E5E5"/>
          </w:tcPr>
          <w:p>
            <w:pPr>
              <w:ind w:left="1780"/>
              <w:spacing w:after="0"/>
              <w:rPr>
                <w:sz w:val="20"/>
                <w:szCs w:val="20"/>
                <w:color w:val="auto"/>
              </w:rPr>
            </w:pPr>
            <w:r>
              <w:rPr>
                <w:rFonts w:ascii="Arial" w:cs="Arial" w:eastAsia="Arial" w:hAnsi="Arial"/>
                <w:sz w:val="18"/>
                <w:szCs w:val="18"/>
                <w:color w:val="auto"/>
              </w:rPr>
              <w:t>March 2006</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Senior Notes, with an interest rate of 6.45%, maturing 2037</w:t>
            </w:r>
          </w:p>
        </w:tc>
        <w:tc>
          <w:tcPr>
            <w:tcW w:w="3420" w:type="dxa"/>
            <w:vAlign w:val="bottom"/>
          </w:tcPr>
          <w:p>
            <w:pPr>
              <w:ind w:left="1780"/>
              <w:spacing w:after="0"/>
              <w:rPr>
                <w:sz w:val="20"/>
                <w:szCs w:val="20"/>
                <w:color w:val="auto"/>
              </w:rPr>
            </w:pPr>
            <w:r>
              <w:rPr>
                <w:rFonts w:ascii="Arial" w:cs="Arial" w:eastAsia="Arial" w:hAnsi="Arial"/>
                <w:sz w:val="18"/>
                <w:szCs w:val="18"/>
                <w:color w:val="auto"/>
              </w:rPr>
              <w:t>March 2006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an interest rate of 7.00%, maturing 2055</w:t>
            </w:r>
          </w:p>
        </w:tc>
        <w:tc>
          <w:tcPr>
            <w:tcW w:w="3420" w:type="dxa"/>
            <w:vAlign w:val="bottom"/>
            <w:shd w:val="clear" w:color="auto" w:fill="E5E5E5"/>
          </w:tcPr>
          <w:p>
            <w:pPr>
              <w:ind w:left="1780"/>
              <w:spacing w:after="0"/>
              <w:rPr>
                <w:sz w:val="20"/>
                <w:szCs w:val="20"/>
                <w:color w:val="auto"/>
              </w:rPr>
            </w:pPr>
            <w:r>
              <w:rPr>
                <w:rFonts w:ascii="Arial" w:cs="Arial" w:eastAsia="Arial" w:hAnsi="Arial"/>
                <w:sz w:val="18"/>
                <w:szCs w:val="18"/>
                <w:color w:val="auto"/>
              </w:rPr>
              <w:t>May 2006</w:t>
            </w:r>
          </w:p>
        </w:tc>
        <w:tc>
          <w:tcPr>
            <w:tcW w:w="1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Senior Notes, with an interest rate of 6.50%, maturing 2017</w:t>
            </w:r>
          </w:p>
        </w:tc>
        <w:tc>
          <w:tcPr>
            <w:tcW w:w="3420" w:type="dxa"/>
            <w:vAlign w:val="bottom"/>
          </w:tcPr>
          <w:p>
            <w:pPr>
              <w:ind w:left="1780"/>
              <w:spacing w:after="0"/>
              <w:rPr>
                <w:sz w:val="20"/>
                <w:szCs w:val="20"/>
                <w:color w:val="auto"/>
              </w:rPr>
            </w:pPr>
            <w:r>
              <w:rPr>
                <w:rFonts w:ascii="Arial" w:cs="Arial" w:eastAsia="Arial" w:hAnsi="Arial"/>
                <w:sz w:val="18"/>
                <w:szCs w:val="18"/>
                <w:color w:val="auto"/>
              </w:rPr>
              <w:t>July 2006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an interest rate of 7.00%, maturing 2055</w:t>
            </w:r>
          </w:p>
        </w:tc>
        <w:tc>
          <w:tcPr>
            <w:tcW w:w="3420" w:type="dxa"/>
            <w:vAlign w:val="bottom"/>
            <w:shd w:val="clear" w:color="auto" w:fill="E5E5E5"/>
          </w:tcPr>
          <w:p>
            <w:pPr>
              <w:ind w:left="1840"/>
              <w:spacing w:after="0"/>
              <w:rPr>
                <w:sz w:val="20"/>
                <w:szCs w:val="20"/>
                <w:color w:val="auto"/>
              </w:rPr>
            </w:pPr>
            <w:r>
              <w:rPr>
                <w:rFonts w:ascii="Arial" w:cs="Arial" w:eastAsia="Arial" w:hAnsi="Arial"/>
                <w:sz w:val="18"/>
                <w:szCs w:val="18"/>
                <w:color w:val="auto"/>
              </w:rPr>
              <w:t>September 2006</w:t>
            </w:r>
          </w:p>
        </w:tc>
        <w:tc>
          <w:tcPr>
            <w:tcW w:w="1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4,720</w:t>
            </w:r>
          </w:p>
        </w:tc>
      </w:tr>
      <w:tr>
        <w:trPr>
          <w:trHeight w:val="218"/>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Floating-Rate Notes, with an interest rate of LIBOR + 0.3%, maturing 2009</w:t>
            </w:r>
          </w:p>
        </w:tc>
        <w:tc>
          <w:tcPr>
            <w:tcW w:w="3420" w:type="dxa"/>
            <w:vAlign w:val="bottom"/>
            <w:shd w:val="clear" w:color="auto" w:fill="E5E5E5"/>
          </w:tcPr>
          <w:p>
            <w:pPr>
              <w:ind w:left="1780"/>
              <w:spacing w:after="0"/>
              <w:rPr>
                <w:sz w:val="20"/>
                <w:szCs w:val="20"/>
                <w:color w:val="auto"/>
              </w:rPr>
            </w:pPr>
            <w:r>
              <w:rPr>
                <w:rFonts w:ascii="Arial" w:cs="Arial" w:eastAsia="Arial" w:hAnsi="Arial"/>
                <w:sz w:val="18"/>
                <w:szCs w:val="18"/>
                <w:color w:val="auto"/>
              </w:rPr>
              <w:t>July 2006</w:t>
            </w:r>
          </w:p>
        </w:tc>
        <w:tc>
          <w:tcPr>
            <w:tcW w:w="1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5,970</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used the net proceeds of these offerings for working capital and general corporate purposes, including the repayment of commercial paper obligations (see below), the Adelphia and Time Warner transactions and the refinancing of debt allocated to the Houston Asset Pool in October 2006 (see Note 4).</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2006, we repaid senior notes and senior subordinated notes at their scheduled maturity dates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280" w:type="dxa"/>
            <w:vAlign w:val="bottom"/>
          </w:tcPr>
          <w:p>
            <w:pPr>
              <w:ind w:left="2220"/>
              <w:spacing w:after="0"/>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Principal</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Senior Notes, with an interest rate of 6.375%</w:t>
            </w:r>
          </w:p>
        </w:tc>
        <w:tc>
          <w:tcPr>
            <w:tcW w:w="3280" w:type="dxa"/>
            <w:vAlign w:val="bottom"/>
            <w:tcBorders>
              <w:top w:val="single" w:sz="8" w:color="auto"/>
            </w:tcBorders>
            <w:shd w:val="clear" w:color="auto" w:fill="E5E5E5"/>
          </w:tcPr>
          <w:p>
            <w:pPr>
              <w:ind w:left="2020"/>
              <w:spacing w:after="0"/>
              <w:rPr>
                <w:sz w:val="20"/>
                <w:szCs w:val="20"/>
                <w:color w:val="auto"/>
              </w:rPr>
            </w:pPr>
            <w:r>
              <w:rPr>
                <w:rFonts w:ascii="Arial" w:cs="Arial" w:eastAsia="Arial" w:hAnsi="Arial"/>
                <w:sz w:val="18"/>
                <w:szCs w:val="18"/>
                <w:color w:val="auto"/>
              </w:rPr>
              <w:t>January 2006</w:t>
            </w:r>
          </w:p>
        </w:tc>
        <w:tc>
          <w:tcPr>
            <w:tcW w:w="420" w:type="dxa"/>
            <w:vAlign w:val="bottom"/>
            <w:tcBorders>
              <w:top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Notes, with an interest rate of 6.875%</w:t>
            </w:r>
          </w:p>
        </w:tc>
        <w:tc>
          <w:tcPr>
            <w:tcW w:w="3280" w:type="dxa"/>
            <w:vAlign w:val="bottom"/>
          </w:tcPr>
          <w:p>
            <w:pPr>
              <w:ind w:left="2020"/>
              <w:spacing w:after="0"/>
              <w:rPr>
                <w:sz w:val="20"/>
                <w:szCs w:val="20"/>
                <w:color w:val="auto"/>
              </w:rPr>
            </w:pPr>
            <w:r>
              <w:rPr>
                <w:rFonts w:ascii="Arial" w:cs="Arial" w:eastAsia="Arial" w:hAnsi="Arial"/>
                <w:sz w:val="18"/>
                <w:szCs w:val="18"/>
                <w:color w:val="auto"/>
              </w:rPr>
              <w:t>February 2006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an interest rate of 8.3%</w:t>
            </w:r>
          </w:p>
        </w:tc>
        <w:tc>
          <w:tcPr>
            <w:tcW w:w="3280" w:type="dxa"/>
            <w:vAlign w:val="bottom"/>
            <w:shd w:val="clear" w:color="auto" w:fill="E5E5E5"/>
          </w:tcPr>
          <w:p>
            <w:pPr>
              <w:ind w:left="2020"/>
              <w:spacing w:after="0"/>
              <w:rPr>
                <w:sz w:val="20"/>
                <w:szCs w:val="20"/>
                <w:color w:val="auto"/>
              </w:rPr>
            </w:pPr>
            <w:r>
              <w:rPr>
                <w:rFonts w:ascii="Arial" w:cs="Arial" w:eastAsia="Arial" w:hAnsi="Arial"/>
                <w:sz w:val="18"/>
                <w:szCs w:val="18"/>
                <w:color w:val="auto"/>
              </w:rPr>
              <w:t>May 2006</w:t>
            </w:r>
          </w:p>
        </w:tc>
        <w:tc>
          <w:tcPr>
            <w:tcW w:w="2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Subordinated Notes, with an interest rate of 10.5%</w:t>
            </w:r>
          </w:p>
        </w:tc>
        <w:tc>
          <w:tcPr>
            <w:tcW w:w="3280" w:type="dxa"/>
            <w:vAlign w:val="bottom"/>
          </w:tcPr>
          <w:p>
            <w:pPr>
              <w:ind w:left="2020"/>
              <w:spacing w:after="0"/>
              <w:rPr>
                <w:sz w:val="20"/>
                <w:szCs w:val="20"/>
                <w:color w:val="auto"/>
              </w:rPr>
            </w:pPr>
            <w:r>
              <w:rPr>
                <w:rFonts w:ascii="Arial" w:cs="Arial" w:eastAsia="Arial" w:hAnsi="Arial"/>
                <w:sz w:val="18"/>
                <w:szCs w:val="18"/>
                <w:color w:val="auto"/>
              </w:rPr>
              <w:t>June 2006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6060" w:type="dxa"/>
            <w:vAlign w:val="bottom"/>
            <w:shd w:val="clear" w:color="auto" w:fill="E5E5E5"/>
          </w:tcPr>
          <w:p>
            <w:pPr>
              <w:spacing w:after="0"/>
              <w:rPr>
                <w:sz w:val="18"/>
                <w:szCs w:val="18"/>
                <w:color w:val="auto"/>
              </w:rPr>
            </w:pPr>
          </w:p>
        </w:tc>
        <w:tc>
          <w:tcPr>
            <w:tcW w:w="3280" w:type="dxa"/>
            <w:vAlign w:val="bottom"/>
            <w:shd w:val="clear" w:color="auto" w:fill="E5E5E5"/>
          </w:tcPr>
          <w:p>
            <w:pPr>
              <w:spacing w:after="0"/>
              <w:rPr>
                <w:sz w:val="18"/>
                <w:szCs w:val="18"/>
                <w:color w:val="auto"/>
              </w:rPr>
            </w:pPr>
          </w:p>
        </w:tc>
        <w:tc>
          <w:tcPr>
            <w:tcW w:w="42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1,607</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repayments were funded with available cash. During the nine months ended September 30, 2006, we also repaid all $549 million of amounts outstanding under our commercial paper program and $66 million in other 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and Letters of Credit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2006, we and certain of our subsidiaries had unused lines of credit totaling $4.657 billion under various credit facilities and unused irrevocable standby letters of credit totaling $382 million to cover potential fundings under various agreements.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maintain stock option plans for certain employees under which fixed price stock options may be granted and the option price is generally not less than the fair value of a share of the underlying stock at the date of grant. Under our stock option plans, approximately 168 million shares of our Class A and Class A Special common stock are reserved for issuance upon the exercise of options, including those outstanding as of September 30, 2006. Option terms are generally 10 years, with options generally becoming exercisable between two and nine and one half years from the date of grant.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each stock option is estimated on the date of grant using the Black-Scholes option pricing model that uses the assumptions noted in the following table. Expected volatility is based on a blend of implied and historical volatility of our Class A common stock. We use historical data on exercises of stock options and other factors to estimate the expected term of the options granted. The risk-free rate is based on the U.S. Treasury yield curve in effect at the date of grant.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weighted-average fair values at date of grant of a Class A common stock option granted under our stock option plans and the related weighted-average valuation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2"/>
          </w:tcPr>
          <w:p>
            <w:pPr>
              <w:jc w:val="center"/>
              <w:ind w:right="262"/>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left="516"/>
              <w:spacing w:after="0" w:line="149" w:lineRule="exact"/>
              <w:rPr>
                <w:sz w:val="20"/>
                <w:szCs w:val="20"/>
                <w:color w:val="auto"/>
              </w:rPr>
            </w:pPr>
            <w:r>
              <w:rPr>
                <w:rFonts w:ascii="Arial" w:cs="Arial" w:eastAsia="Arial" w:hAnsi="Arial"/>
                <w:sz w:val="14"/>
                <w:szCs w:val="14"/>
                <w:b w:val="1"/>
                <w:bCs w:val="1"/>
                <w:color w:val="auto"/>
                <w:w w:val="84"/>
              </w:rPr>
              <w:t>Ended</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40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5"/>
                <w:szCs w:val="15"/>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2006</w:t>
            </w:r>
          </w:p>
        </w:tc>
        <w:tc>
          <w:tcPr>
            <w:tcW w:w="9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3"/>
              </w:rPr>
              <w:t>2006</w:t>
            </w:r>
          </w:p>
        </w:tc>
        <w:tc>
          <w:tcPr>
            <w:tcW w:w="7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color w:val="auto"/>
              </w:rPr>
              <w:t>Fair value</w:t>
            </w:r>
          </w:p>
        </w:tc>
        <w:tc>
          <w:tcPr>
            <w:tcW w:w="21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rPr>
              <w:t>$13.73</w:t>
            </w:r>
          </w:p>
        </w:tc>
        <w:tc>
          <w:tcPr>
            <w:tcW w:w="960" w:type="dxa"/>
            <w:vAlign w:val="bottom"/>
            <w:shd w:val="clear" w:color="auto" w:fill="E5E5E5"/>
          </w:tcPr>
          <w:p>
            <w:pPr>
              <w:jc w:val="right"/>
              <w:ind w:right="362"/>
              <w:spacing w:after="0"/>
              <w:rPr>
                <w:sz w:val="20"/>
                <w:szCs w:val="20"/>
                <w:color w:val="auto"/>
              </w:rPr>
            </w:pPr>
            <w:r>
              <w:rPr>
                <w:rFonts w:ascii="Arial" w:cs="Arial" w:eastAsia="Arial" w:hAnsi="Arial"/>
                <w:sz w:val="18"/>
                <w:szCs w:val="18"/>
                <w:color w:val="auto"/>
                <w:w w:val="90"/>
              </w:rPr>
              <w:t>$11.76</w:t>
            </w:r>
          </w:p>
        </w:tc>
        <w:tc>
          <w:tcPr>
            <w:tcW w:w="108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$10.83</w:t>
            </w:r>
          </w:p>
        </w:tc>
        <w:tc>
          <w:tcPr>
            <w:tcW w:w="7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Dividend yield</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0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60" w:type="dxa"/>
            <w:vAlign w:val="bottom"/>
          </w:tcPr>
          <w:p>
            <w:pPr>
              <w:jc w:val="right"/>
              <w:ind w:right="24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27.0%</w:t>
            </w:r>
          </w:p>
        </w:tc>
        <w:tc>
          <w:tcPr>
            <w:tcW w:w="96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40"/>
              <w:spacing w:after="0"/>
              <w:rPr>
                <w:sz w:val="20"/>
                <w:szCs w:val="20"/>
                <w:color w:val="auto"/>
              </w:rPr>
            </w:pPr>
            <w:r>
              <w:rPr>
                <w:rFonts w:ascii="Arial" w:cs="Arial" w:eastAsia="Arial" w:hAnsi="Arial"/>
                <w:sz w:val="18"/>
                <w:szCs w:val="18"/>
                <w:color w:val="auto"/>
              </w:rPr>
              <w:t>27.0%</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4.8%</w:t>
            </w:r>
          </w:p>
        </w:tc>
        <w:tc>
          <w:tcPr>
            <w:tcW w:w="960" w:type="dxa"/>
            <w:vAlign w:val="bottom"/>
          </w:tcPr>
          <w:p>
            <w:pPr>
              <w:jc w:val="right"/>
              <w:ind w:right="20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860" w:type="dxa"/>
            <w:vAlign w:val="bottom"/>
          </w:tcPr>
          <w:p>
            <w:pPr>
              <w:jc w:val="right"/>
              <w:ind w:right="240"/>
              <w:spacing w:after="0"/>
              <w:rPr>
                <w:sz w:val="20"/>
                <w:szCs w:val="20"/>
                <w:color w:val="auto"/>
              </w:rPr>
            </w:pPr>
            <w:r>
              <w:rPr>
                <w:rFonts w:ascii="Arial" w:cs="Arial" w:eastAsia="Arial" w:hAnsi="Arial"/>
                <w:sz w:val="18"/>
                <w:szCs w:val="18"/>
                <w:color w:val="auto"/>
              </w:rPr>
              <w:t>4.8%</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color w:val="auto"/>
              </w:rPr>
              <w:t>Expected option life (in years)</w:t>
            </w:r>
          </w:p>
        </w:tc>
        <w:tc>
          <w:tcPr>
            <w:tcW w:w="21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rPr>
              <w:t>7.0</w:t>
            </w:r>
          </w:p>
        </w:tc>
        <w:tc>
          <w:tcPr>
            <w:tcW w:w="960" w:type="dxa"/>
            <w:vAlign w:val="bottom"/>
            <w:shd w:val="clear" w:color="auto" w:fill="E5E5E5"/>
          </w:tcPr>
          <w:p>
            <w:pPr>
              <w:jc w:val="right"/>
              <w:ind w:right="362"/>
              <w:spacing w:after="0"/>
              <w:rPr>
                <w:sz w:val="20"/>
                <w:szCs w:val="20"/>
                <w:color w:val="auto"/>
              </w:rPr>
            </w:pPr>
            <w:r>
              <w:rPr>
                <w:rFonts w:ascii="Arial" w:cs="Arial" w:eastAsia="Arial" w:hAnsi="Arial"/>
                <w:sz w:val="18"/>
                <w:szCs w:val="18"/>
                <w:color w:val="auto"/>
              </w:rPr>
              <w:t>7.0</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80"/>
              <w:spacing w:after="0"/>
              <w:rPr>
                <w:sz w:val="20"/>
                <w:szCs w:val="20"/>
                <w:color w:val="auto"/>
              </w:rPr>
            </w:pPr>
            <w:r>
              <w:rPr>
                <w:rFonts w:ascii="Arial" w:cs="Arial" w:eastAsia="Arial" w:hAnsi="Arial"/>
                <w:sz w:val="18"/>
                <w:szCs w:val="18"/>
                <w:color w:val="auto"/>
              </w:rPr>
              <w:t>7.0</w:t>
            </w:r>
          </w:p>
        </w:tc>
        <w:tc>
          <w:tcPr>
            <w:tcW w:w="7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Forfeiture rate</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3.0%</w:t>
            </w:r>
          </w:p>
        </w:tc>
        <w:tc>
          <w:tcPr>
            <w:tcW w:w="960" w:type="dxa"/>
            <w:vAlign w:val="bottom"/>
          </w:tcPr>
          <w:p>
            <w:pPr>
              <w:jc w:val="right"/>
              <w:ind w:right="202"/>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860" w:type="dxa"/>
            <w:vAlign w:val="bottom"/>
          </w:tcPr>
          <w:p>
            <w:pPr>
              <w:jc w:val="right"/>
              <w:ind w:right="240"/>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8640" w:type="dxa"/>
            <w:vAlign w:val="bottom"/>
            <w:gridSpan w:val="5"/>
          </w:tcPr>
          <w:p>
            <w:pPr>
              <w:spacing w:after="0"/>
              <w:rPr>
                <w:sz w:val="20"/>
                <w:szCs w:val="20"/>
                <w:color w:val="auto"/>
              </w:rPr>
            </w:pPr>
            <w:r>
              <w:rPr>
                <w:rFonts w:ascii="Arial" w:cs="Arial" w:eastAsia="Arial" w:hAnsi="Arial"/>
                <w:sz w:val="18"/>
                <w:szCs w:val="18"/>
                <w:color w:val="auto"/>
                <w:w w:val="92"/>
              </w:rPr>
              <w:t>The following table summarizes the activity of our stock option plans for the nine months ended September 30, 2006:</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60" w:type="dxa"/>
            <w:vAlign w:val="bottom"/>
          </w:tcPr>
          <w:p>
            <w:pPr>
              <w:jc w:val="center"/>
              <w:ind w:left="262"/>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Weighted-</w:t>
            </w:r>
          </w:p>
        </w:tc>
        <w:tc>
          <w:tcPr>
            <w:tcW w:w="96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0" w:type="dxa"/>
            <w:vAlign w:val="bottom"/>
            <w:gridSpan w:val="2"/>
          </w:tcPr>
          <w:p>
            <w:pPr>
              <w:jc w:val="center"/>
              <w:ind w:right="336"/>
              <w:spacing w:after="0" w:line="135" w:lineRule="exact"/>
              <w:rPr>
                <w:sz w:val="20"/>
                <w:szCs w:val="20"/>
                <w:color w:val="auto"/>
              </w:rPr>
            </w:pPr>
            <w:r>
              <w:rPr>
                <w:rFonts w:ascii="Arial" w:cs="Arial" w:eastAsia="Arial" w:hAnsi="Arial"/>
                <w:sz w:val="14"/>
                <w:szCs w:val="14"/>
                <w:b w:val="1"/>
                <w:bCs w:val="1"/>
                <w:color w:val="auto"/>
                <w:w w:val="83"/>
              </w:rPr>
              <w:t>Average</w:t>
            </w:r>
          </w:p>
        </w:tc>
        <w:tc>
          <w:tcPr>
            <w:tcW w:w="1180" w:type="dxa"/>
            <w:vAlign w:val="bottom"/>
            <w:gridSpan w:val="2"/>
          </w:tcPr>
          <w:p>
            <w:pPr>
              <w:jc w:val="center"/>
              <w:ind w:left="42"/>
              <w:spacing w:after="0" w:line="135" w:lineRule="exact"/>
              <w:rPr>
                <w:sz w:val="20"/>
                <w:szCs w:val="20"/>
                <w:color w:val="auto"/>
              </w:rPr>
            </w:pPr>
            <w:r>
              <w:rPr>
                <w:rFonts w:ascii="Arial" w:cs="Arial" w:eastAsia="Arial" w:hAnsi="Arial"/>
                <w:sz w:val="14"/>
                <w:szCs w:val="14"/>
                <w:b w:val="1"/>
                <w:bCs w:val="1"/>
                <w:color w:val="auto"/>
                <w:w w:val="86"/>
              </w:rPr>
              <w:t>Remaining</w:t>
            </w:r>
          </w:p>
        </w:tc>
        <w:tc>
          <w:tcPr>
            <w:tcW w:w="8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60" w:type="dxa"/>
            <w:vAlign w:val="bottom"/>
          </w:tcPr>
          <w:p>
            <w:pPr>
              <w:jc w:val="right"/>
              <w:ind w:right="715"/>
              <w:spacing w:after="0" w:line="149" w:lineRule="exact"/>
              <w:rPr>
                <w:sz w:val="20"/>
                <w:szCs w:val="20"/>
                <w:color w:val="auto"/>
              </w:rPr>
            </w:pPr>
            <w:r>
              <w:rPr>
                <w:rFonts w:ascii="Arial" w:cs="Arial" w:eastAsia="Arial" w:hAnsi="Arial"/>
                <w:sz w:val="14"/>
                <w:szCs w:val="14"/>
                <w:b w:val="1"/>
                <w:bCs w:val="1"/>
                <w:color w:val="auto"/>
              </w:rPr>
              <w:t>Options</w:t>
            </w:r>
          </w:p>
        </w:tc>
        <w:tc>
          <w:tcPr>
            <w:tcW w:w="1400" w:type="dxa"/>
            <w:vAlign w:val="bottom"/>
            <w:gridSpan w:val="2"/>
          </w:tcPr>
          <w:p>
            <w:pPr>
              <w:jc w:val="center"/>
              <w:ind w:right="316"/>
              <w:spacing w:after="0" w:line="14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 Term</w:t>
            </w:r>
          </w:p>
        </w:tc>
        <w:tc>
          <w:tcPr>
            <w:tcW w:w="1620" w:type="dxa"/>
            <w:vAlign w:val="bottom"/>
            <w:gridSpan w:val="3"/>
          </w:tcPr>
          <w:p>
            <w:pPr>
              <w:ind w:left="74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160" w:type="dxa"/>
            <w:vAlign w:val="bottom"/>
          </w:tcPr>
          <w:p>
            <w:pPr>
              <w:jc w:val="right"/>
              <w:ind w:right="535"/>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80" w:type="dxa"/>
            <w:vAlign w:val="bottom"/>
          </w:tcPr>
          <w:p>
            <w:pPr>
              <w:jc w:val="center"/>
              <w:ind w:right="656"/>
              <w:spacing w:after="0"/>
              <w:rPr>
                <w:sz w:val="20"/>
                <w:szCs w:val="20"/>
                <w:color w:val="auto"/>
              </w:rPr>
            </w:pPr>
            <w:r>
              <w:rPr>
                <w:rFonts w:ascii="Arial" w:cs="Arial" w:eastAsia="Arial" w:hAnsi="Arial"/>
                <w:sz w:val="14"/>
                <w:szCs w:val="14"/>
                <w:b w:val="1"/>
                <w:bCs w:val="1"/>
                <w:color w:val="auto"/>
                <w:w w:val="87"/>
              </w:rPr>
              <w:t>Price</w:t>
            </w:r>
          </w:p>
        </w:tc>
        <w:tc>
          <w:tcPr>
            <w:tcW w:w="960" w:type="dxa"/>
            <w:vAlign w:val="bottom"/>
          </w:tcPr>
          <w:p>
            <w:pPr>
              <w:jc w:val="center"/>
              <w:ind w:left="262"/>
              <w:spacing w:after="0"/>
              <w:rPr>
                <w:sz w:val="20"/>
                <w:szCs w:val="20"/>
                <w:color w:val="auto"/>
              </w:rPr>
            </w:pPr>
            <w:r>
              <w:rPr>
                <w:rFonts w:ascii="Arial" w:cs="Arial" w:eastAsia="Arial" w:hAnsi="Arial"/>
                <w:sz w:val="14"/>
                <w:szCs w:val="14"/>
                <w:b w:val="1"/>
                <w:bCs w:val="1"/>
                <w:color w:val="auto"/>
                <w:w w:val="86"/>
              </w:rPr>
              <w:t>(in years)</w:t>
            </w:r>
          </w:p>
        </w:tc>
        <w:tc>
          <w:tcPr>
            <w:tcW w:w="220" w:type="dxa"/>
            <w:vAlign w:val="bottom"/>
          </w:tcPr>
          <w:p>
            <w:pPr>
              <w:spacing w:after="0"/>
              <w:rPr>
                <w:sz w:val="15"/>
                <w:szCs w:val="15"/>
                <w:color w:val="auto"/>
              </w:rPr>
            </w:pPr>
          </w:p>
        </w:tc>
        <w:tc>
          <w:tcPr>
            <w:tcW w:w="1620" w:type="dxa"/>
            <w:vAlign w:val="bottom"/>
            <w:gridSpan w:val="3"/>
          </w:tcPr>
          <w:p>
            <w:pPr>
              <w:jc w:val="center"/>
              <w:ind w:left="64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Class A Common Stock</w:t>
            </w:r>
          </w:p>
        </w:tc>
        <w:tc>
          <w:tcPr>
            <w:tcW w:w="21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Outstanding as of January 1, 2006</w:t>
            </w:r>
          </w:p>
        </w:tc>
        <w:tc>
          <w:tcPr>
            <w:tcW w:w="2160" w:type="dxa"/>
            <w:vAlign w:val="bottom"/>
          </w:tcPr>
          <w:p>
            <w:pPr>
              <w:jc w:val="right"/>
              <w:ind w:right="535"/>
              <w:spacing w:after="0"/>
              <w:rPr>
                <w:sz w:val="20"/>
                <w:szCs w:val="20"/>
                <w:color w:val="auto"/>
              </w:rPr>
            </w:pPr>
            <w:r>
              <w:rPr>
                <w:rFonts w:ascii="Arial" w:cs="Arial" w:eastAsia="Arial" w:hAnsi="Arial"/>
                <w:sz w:val="18"/>
                <w:szCs w:val="18"/>
                <w:color w:val="auto"/>
              </w:rPr>
              <w:t>80,827</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6"/>
              <w:spacing w:after="0"/>
              <w:rPr>
                <w:sz w:val="20"/>
                <w:szCs w:val="20"/>
                <w:color w:val="auto"/>
              </w:rPr>
            </w:pPr>
            <w:r>
              <w:rPr>
                <w:rFonts w:ascii="Arial" w:cs="Arial" w:eastAsia="Arial" w:hAnsi="Arial"/>
                <w:sz w:val="18"/>
                <w:szCs w:val="18"/>
                <w:color w:val="auto"/>
              </w:rPr>
              <w:t>37.09</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color w:val="auto"/>
              </w:rPr>
              <w:t>Granted</w:t>
            </w:r>
          </w:p>
        </w:tc>
        <w:tc>
          <w:tcPr>
            <w:tcW w:w="21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12,051</w:t>
            </w: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26.81</w:t>
            </w:r>
          </w:p>
        </w:tc>
        <w:tc>
          <w:tcPr>
            <w:tcW w:w="9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Exercised</w:t>
            </w:r>
          </w:p>
        </w:tc>
        <w:tc>
          <w:tcPr>
            <w:tcW w:w="2160" w:type="dxa"/>
            <w:vAlign w:val="bottom"/>
          </w:tcPr>
          <w:p>
            <w:pPr>
              <w:jc w:val="right"/>
              <w:ind w:right="475"/>
              <w:spacing w:after="0"/>
              <w:rPr>
                <w:sz w:val="20"/>
                <w:szCs w:val="20"/>
                <w:color w:val="auto"/>
              </w:rPr>
            </w:pPr>
            <w:r>
              <w:rPr>
                <w:rFonts w:ascii="Arial" w:cs="Arial" w:eastAsia="Arial" w:hAnsi="Arial"/>
                <w:sz w:val="18"/>
                <w:szCs w:val="18"/>
                <w:color w:val="auto"/>
              </w:rPr>
              <w:t>(3,205)</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6"/>
              <w:spacing w:after="0"/>
              <w:rPr>
                <w:sz w:val="20"/>
                <w:szCs w:val="20"/>
                <w:color w:val="auto"/>
              </w:rPr>
            </w:pPr>
            <w:r>
              <w:rPr>
                <w:rFonts w:ascii="Arial" w:cs="Arial" w:eastAsia="Arial" w:hAnsi="Arial"/>
                <w:sz w:val="18"/>
                <w:szCs w:val="18"/>
                <w:color w:val="auto"/>
              </w:rPr>
              <w:t>25.23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E5E5E5"/>
          </w:tcPr>
          <w:p>
            <w:pPr>
              <w:jc w:val="right"/>
              <w:ind w:right="475"/>
              <w:spacing w:after="0"/>
              <w:rPr>
                <w:sz w:val="20"/>
                <w:szCs w:val="20"/>
                <w:color w:val="auto"/>
              </w:rPr>
            </w:pPr>
            <w:r>
              <w:rPr>
                <w:rFonts w:ascii="Arial" w:cs="Arial" w:eastAsia="Arial" w:hAnsi="Arial"/>
                <w:sz w:val="18"/>
                <w:szCs w:val="18"/>
                <w:color w:val="auto"/>
              </w:rPr>
              <w:t>(2,265)</w:t>
            </w: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29.66</w:t>
            </w:r>
          </w:p>
        </w:tc>
        <w:tc>
          <w:tcPr>
            <w:tcW w:w="9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Expired</w:t>
            </w:r>
          </w:p>
        </w:tc>
        <w:tc>
          <w:tcPr>
            <w:tcW w:w="21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(1,078)</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39.59</w:t>
            </w: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Outstanding as of September 30, 2006</w:t>
            </w:r>
          </w:p>
        </w:tc>
        <w:tc>
          <w:tcPr>
            <w:tcW w:w="2160" w:type="dxa"/>
            <w:vAlign w:val="bottom"/>
            <w:tcBorders>
              <w:bottom w:val="single" w:sz="8" w:color="auto"/>
            </w:tcBorders>
            <w:shd w:val="clear" w:color="auto" w:fill="E5E5E5"/>
          </w:tcPr>
          <w:p>
            <w:pPr>
              <w:jc w:val="right"/>
              <w:ind w:right="535"/>
              <w:spacing w:after="0"/>
              <w:rPr>
                <w:sz w:val="20"/>
                <w:szCs w:val="20"/>
                <w:color w:val="auto"/>
              </w:rPr>
            </w:pPr>
            <w:r>
              <w:rPr>
                <w:rFonts w:ascii="Arial" w:cs="Arial" w:eastAsia="Arial" w:hAnsi="Arial"/>
                <w:sz w:val="18"/>
                <w:szCs w:val="18"/>
                <w:b w:val="1"/>
                <w:bCs w:val="1"/>
                <w:color w:val="auto"/>
              </w:rPr>
              <w:t>86,330</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b w:val="1"/>
                <w:bCs w:val="1"/>
                <w:color w:val="auto"/>
              </w:rPr>
              <w:t>36.26</w:t>
            </w:r>
          </w:p>
        </w:tc>
        <w:tc>
          <w:tcPr>
            <w:tcW w:w="96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5.7</w:t>
            </w:r>
          </w:p>
        </w:tc>
        <w:tc>
          <w:tcPr>
            <w:tcW w:w="860" w:type="dxa"/>
            <w:vAlign w:val="bottom"/>
            <w:tcBorders>
              <w:bottom w:val="single" w:sz="8" w:color="auto"/>
            </w:tcBorders>
            <w:shd w:val="clear" w:color="auto" w:fill="E5E5E5"/>
          </w:tcPr>
          <w:p>
            <w:pPr>
              <w:ind w:left="7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Exercisable as of September 30, 2006</w:t>
            </w:r>
          </w:p>
        </w:tc>
        <w:tc>
          <w:tcPr>
            <w:tcW w:w="216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rPr>
              <w:t>49,539</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41.42</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3.8</w:t>
            </w:r>
          </w:p>
        </w:tc>
        <w:tc>
          <w:tcPr>
            <w:tcW w:w="8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Class A Special Common Stock</w:t>
            </w:r>
          </w:p>
        </w:tc>
        <w:tc>
          <w:tcPr>
            <w:tcW w:w="21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Outstanding as of January 1, 2006</w:t>
            </w:r>
          </w:p>
        </w:tc>
        <w:tc>
          <w:tcPr>
            <w:tcW w:w="2160" w:type="dxa"/>
            <w:vAlign w:val="bottom"/>
          </w:tcPr>
          <w:p>
            <w:pPr>
              <w:jc w:val="right"/>
              <w:ind w:right="535"/>
              <w:spacing w:after="0"/>
              <w:rPr>
                <w:sz w:val="20"/>
                <w:szCs w:val="20"/>
                <w:color w:val="auto"/>
              </w:rPr>
            </w:pPr>
            <w:r>
              <w:rPr>
                <w:rFonts w:ascii="Arial" w:cs="Arial" w:eastAsia="Arial" w:hAnsi="Arial"/>
                <w:sz w:val="18"/>
                <w:szCs w:val="18"/>
                <w:color w:val="auto"/>
              </w:rPr>
              <w:t>51,299</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6"/>
              <w:spacing w:after="0"/>
              <w:rPr>
                <w:sz w:val="20"/>
                <w:szCs w:val="20"/>
                <w:color w:val="auto"/>
              </w:rPr>
            </w:pPr>
            <w:r>
              <w:rPr>
                <w:rFonts w:ascii="Arial" w:cs="Arial" w:eastAsia="Arial" w:hAnsi="Arial"/>
                <w:sz w:val="18"/>
                <w:szCs w:val="18"/>
                <w:color w:val="auto"/>
              </w:rPr>
              <w:t>31.35</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E5E5E5"/>
          </w:tcPr>
          <w:p>
            <w:pPr>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E5E5E5"/>
          </w:tcPr>
          <w:p>
            <w:pPr>
              <w:jc w:val="right"/>
              <w:ind w:right="475"/>
              <w:spacing w:after="0"/>
              <w:rPr>
                <w:sz w:val="20"/>
                <w:szCs w:val="20"/>
                <w:color w:val="auto"/>
              </w:rPr>
            </w:pPr>
            <w:r>
              <w:rPr>
                <w:rFonts w:ascii="Arial" w:cs="Arial" w:eastAsia="Arial" w:hAnsi="Arial"/>
                <w:sz w:val="18"/>
                <w:szCs w:val="18"/>
                <w:color w:val="auto"/>
              </w:rPr>
              <w:t>(1,710)</w:t>
            </w: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15.83</w:t>
            </w:r>
          </w:p>
        </w:tc>
        <w:tc>
          <w:tcPr>
            <w:tcW w:w="9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Forfeited</w:t>
            </w:r>
          </w:p>
        </w:tc>
        <w:tc>
          <w:tcPr>
            <w:tcW w:w="2160" w:type="dxa"/>
            <w:vAlign w:val="bottom"/>
          </w:tcPr>
          <w:p>
            <w:pPr>
              <w:jc w:val="right"/>
              <w:ind w:right="475"/>
              <w:spacing w:after="0"/>
              <w:rPr>
                <w:sz w:val="20"/>
                <w:szCs w:val="20"/>
                <w:color w:val="auto"/>
              </w:rPr>
            </w:pPr>
            <w:r>
              <w:rPr>
                <w:rFonts w:ascii="Arial" w:cs="Arial" w:eastAsia="Arial" w:hAnsi="Arial"/>
                <w:sz w:val="18"/>
                <w:szCs w:val="18"/>
                <w:color w:val="auto"/>
              </w:rPr>
              <w:t>(55)</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6"/>
              <w:spacing w:after="0"/>
              <w:rPr>
                <w:sz w:val="20"/>
                <w:szCs w:val="20"/>
                <w:color w:val="auto"/>
              </w:rPr>
            </w:pPr>
            <w:r>
              <w:rPr>
                <w:rFonts w:ascii="Arial" w:cs="Arial" w:eastAsia="Arial" w:hAnsi="Arial"/>
                <w:sz w:val="18"/>
                <w:szCs w:val="18"/>
                <w:color w:val="auto"/>
              </w:rPr>
              <w:t>32.34</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Expired</w:t>
            </w:r>
          </w:p>
        </w:tc>
        <w:tc>
          <w:tcPr>
            <w:tcW w:w="2160" w:type="dxa"/>
            <w:vAlign w:val="bottom"/>
            <w:tcBorders>
              <w:bottom w:val="single" w:sz="8" w:color="auto"/>
            </w:tcBorders>
            <w:shd w:val="clear" w:color="auto" w:fill="E5E5E5"/>
          </w:tcPr>
          <w:p>
            <w:pPr>
              <w:jc w:val="right"/>
              <w:ind w:right="475"/>
              <w:spacing w:after="0"/>
              <w:rPr>
                <w:sz w:val="20"/>
                <w:szCs w:val="20"/>
                <w:color w:val="auto"/>
              </w:rPr>
            </w:pPr>
            <w:r>
              <w:rPr>
                <w:rFonts w:ascii="Arial" w:cs="Arial" w:eastAsia="Arial" w:hAnsi="Arial"/>
                <w:sz w:val="18"/>
                <w:szCs w:val="18"/>
                <w:color w:val="auto"/>
              </w:rPr>
              <w:t>(1,088)</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35.85</w:t>
            </w:r>
          </w:p>
        </w:tc>
        <w:tc>
          <w:tcPr>
            <w:tcW w:w="960" w:type="dxa"/>
            <w:vAlign w:val="bottom"/>
            <w:tcBorders>
              <w:bottom w:val="single" w:sz="8" w:color="auto"/>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spacing w:after="0"/>
              <w:rPr>
                <w:sz w:val="21"/>
                <w:szCs w:val="21"/>
                <w:color w:val="auto"/>
              </w:rPr>
            </w:pPr>
          </w:p>
        </w:tc>
        <w:tc>
          <w:tcPr>
            <w:tcW w:w="740" w:type="dxa"/>
            <w:vAlign w:val="bottom"/>
            <w:tcBorders>
              <w:bottom w:val="single" w:sz="8" w:color="auto"/>
            </w:tcBorders>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Outstanding as of September 30, 2006</w:t>
            </w:r>
          </w:p>
        </w:tc>
        <w:tc>
          <w:tcPr>
            <w:tcW w:w="216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rPr>
              <w:t>48,446</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31.83</w:t>
            </w: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3.6</w:t>
            </w:r>
          </w:p>
        </w:tc>
        <w:tc>
          <w:tcPr>
            <w:tcW w:w="8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Exercisable as of September 30, 2006</w:t>
            </w:r>
          </w:p>
        </w:tc>
        <w:tc>
          <w:tcPr>
            <w:tcW w:w="2160" w:type="dxa"/>
            <w:vAlign w:val="bottom"/>
            <w:tcBorders>
              <w:bottom w:val="single" w:sz="8" w:color="auto"/>
            </w:tcBorders>
            <w:shd w:val="clear" w:color="auto" w:fill="E5E5E5"/>
          </w:tcPr>
          <w:p>
            <w:pPr>
              <w:jc w:val="right"/>
              <w:ind w:right="535"/>
              <w:spacing w:after="0"/>
              <w:rPr>
                <w:sz w:val="20"/>
                <w:szCs w:val="20"/>
                <w:color w:val="auto"/>
              </w:rPr>
            </w:pPr>
            <w:r>
              <w:rPr>
                <w:rFonts w:ascii="Arial" w:cs="Arial" w:eastAsia="Arial" w:hAnsi="Arial"/>
                <w:sz w:val="18"/>
                <w:szCs w:val="18"/>
                <w:b w:val="1"/>
                <w:bCs w:val="1"/>
                <w:color w:val="auto"/>
              </w:rPr>
              <w:t>43,191</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b w:val="1"/>
                <w:bCs w:val="1"/>
                <w:color w:val="auto"/>
              </w:rPr>
              <w:t>32.04</w:t>
            </w:r>
          </w:p>
        </w:tc>
        <w:tc>
          <w:tcPr>
            <w:tcW w:w="960" w:type="dxa"/>
            <w:vAlign w:val="bottom"/>
            <w:tcBorders>
              <w:bottom w:val="single" w:sz="8" w:color="auto"/>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3.6</w:t>
            </w:r>
          </w:p>
        </w:tc>
        <w:tc>
          <w:tcPr>
            <w:tcW w:w="860" w:type="dxa"/>
            <w:vAlign w:val="bottom"/>
            <w:tcBorders>
              <w:bottom w:val="single" w:sz="8" w:color="auto"/>
            </w:tcBorders>
            <w:shd w:val="clear" w:color="auto" w:fill="E5E5E5"/>
          </w:tcPr>
          <w:p>
            <w:pPr>
              <w:ind w:left="7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maintain a deferred stock option plan for certain employees and directors that provided the optionees with the opportunity to defer the receipt of shares of our Class A or Class A Special common stock that would otherwise be deliverable upon exercise by the optionees of their stock options. As of September 30, 2006, approximately 1.4 million shares of Class A Special common stock were issuable under exercised options, the receipt of which was irrevocably deferred by the optionees pursuant to our deferred stock option plan.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maintain a restricted stock plan under which certain employees and directors (“Participants”) may be granted restricted share unit awards in our Class A or Class A Special common stock (the “Restricted Stock Plan”). Under our Restricted Stock Plan, approximately 27 million shares of our Class A and Class A Special common stock are reserved for issuance pursuant to awards under the plan, including those outstanding as of September 30, 2006. Awards of restricted share units are valued by reference to shares of common stock that entitle Participants to receive, upon the settlement of the unit, one share of common stock for each unit. The awards vest annually, generally over a period not to exceed five years from the date of the award, and do not have voting rights.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weighted-average fair value at date of grant and the compensation expense recognized related to restricted share unit awards: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3"/>
          </w:tcPr>
          <w:p>
            <w:pPr>
              <w:jc w:val="right"/>
              <w:ind w:right="239"/>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2"/>
                <w:szCs w:val="12"/>
                <w:color w:val="auto"/>
              </w:rPr>
            </w:pPr>
          </w:p>
        </w:tc>
        <w:tc>
          <w:tcPr>
            <w:tcW w:w="840" w:type="dxa"/>
            <w:vAlign w:val="bottom"/>
            <w:gridSpan w:val="2"/>
          </w:tcPr>
          <w:p>
            <w:pPr>
              <w:jc w:val="center"/>
              <w:ind w:left="226"/>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237"/>
        </w:trPr>
        <w:tc>
          <w:tcPr>
            <w:tcW w:w="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89"/>
              </w:rPr>
              <w:t>2006</w:t>
            </w:r>
          </w:p>
        </w:tc>
        <w:tc>
          <w:tcPr>
            <w:tcW w:w="3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E5E5E5"/>
          </w:tcPr>
          <w:p>
            <w:pPr>
              <w:spacing w:after="0"/>
              <w:rPr>
                <w:sz w:val="20"/>
                <w:szCs w:val="20"/>
                <w:color w:val="auto"/>
              </w:rPr>
            </w:pPr>
            <w:r>
              <w:rPr>
                <w:rFonts w:ascii="Arial" w:cs="Arial" w:eastAsia="Arial" w:hAnsi="Arial"/>
                <w:sz w:val="18"/>
                <w:szCs w:val="18"/>
                <w:color w:val="auto"/>
              </w:rPr>
              <w:t>Weighted-average fair value</w:t>
            </w:r>
          </w:p>
        </w:tc>
        <w:tc>
          <w:tcPr>
            <w:tcW w:w="38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84"/>
              <w:spacing w:after="0"/>
              <w:rPr>
                <w:sz w:val="20"/>
                <w:szCs w:val="20"/>
                <w:color w:val="auto"/>
              </w:rPr>
            </w:pPr>
            <w:r>
              <w:rPr>
                <w:rFonts w:ascii="Arial" w:cs="Arial" w:eastAsia="Arial" w:hAnsi="Arial"/>
                <w:sz w:val="18"/>
                <w:szCs w:val="18"/>
                <w:color w:val="auto"/>
                <w:w w:val="97"/>
              </w:rPr>
              <w:t>34.04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w w:val="97"/>
              </w:rPr>
              <w:t>30.30</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06"/>
              <w:spacing w:after="0"/>
              <w:rPr>
                <w:sz w:val="20"/>
                <w:szCs w:val="20"/>
                <w:color w:val="auto"/>
              </w:rPr>
            </w:pPr>
            <w:r>
              <w:rPr>
                <w:rFonts w:ascii="Arial" w:cs="Arial" w:eastAsia="Arial" w:hAnsi="Arial"/>
                <w:sz w:val="18"/>
                <w:szCs w:val="18"/>
                <w:color w:val="auto"/>
                <w:w w:val="84"/>
              </w:rPr>
              <w:t>29.62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33.50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Compensation expense recognized (in millions)</w:t>
            </w:r>
          </w:p>
        </w:tc>
        <w:tc>
          <w:tcPr>
            <w:tcW w:w="3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4"/>
              <w:spacing w:after="0"/>
              <w:rPr>
                <w:sz w:val="20"/>
                <w:szCs w:val="20"/>
                <w:color w:val="auto"/>
              </w:rPr>
            </w:pPr>
            <w:r>
              <w:rPr>
                <w:rFonts w:ascii="Arial" w:cs="Arial" w:eastAsia="Arial" w:hAnsi="Arial"/>
                <w:sz w:val="18"/>
                <w:szCs w:val="18"/>
                <w:color w:val="auto"/>
              </w:rPr>
              <w:t>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6"/>
              <w:spacing w:after="0"/>
              <w:rPr>
                <w:sz w:val="20"/>
                <w:szCs w:val="20"/>
                <w:color w:val="auto"/>
              </w:rPr>
            </w:pPr>
            <w:r>
              <w:rPr>
                <w:rFonts w:ascii="Arial" w:cs="Arial" w:eastAsia="Arial" w:hAnsi="Arial"/>
                <w:sz w:val="18"/>
                <w:szCs w:val="18"/>
                <w:color w:val="auto"/>
              </w:rPr>
              <w:t>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20" w:type="dxa"/>
            <w:vAlign w:val="bottom"/>
          </w:tcPr>
          <w:p>
            <w:pPr>
              <w:jc w:val="right"/>
              <w:ind w:right="1992"/>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Restricted Stock Plan for the nine months ended September 30,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840" w:type="dxa"/>
            <w:vAlign w:val="bottom"/>
          </w:tcPr>
          <w:p>
            <w:pPr>
              <w:jc w:val="center"/>
              <w:ind w:left="358"/>
              <w:spacing w:after="0"/>
              <w:rPr>
                <w:sz w:val="20"/>
                <w:szCs w:val="20"/>
                <w:color w:val="auto"/>
              </w:rPr>
            </w:pPr>
            <w:r>
              <w:rPr>
                <w:rFonts w:ascii="Arial" w:cs="Arial" w:eastAsia="Arial" w:hAnsi="Arial"/>
                <w:sz w:val="14"/>
                <w:szCs w:val="14"/>
                <w:b w:val="1"/>
                <w:bCs w:val="1"/>
                <w:color w:val="auto"/>
                <w:w w:val="85"/>
              </w:rPr>
              <w:t>Number of Nonvested</w:t>
            </w:r>
          </w:p>
        </w:tc>
        <w:tc>
          <w:tcPr>
            <w:tcW w:w="6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840" w:type="dxa"/>
            <w:vAlign w:val="bottom"/>
          </w:tcPr>
          <w:p>
            <w:pPr>
              <w:jc w:val="center"/>
              <w:ind w:left="358"/>
              <w:spacing w:after="0" w:line="149" w:lineRule="exact"/>
              <w:rPr>
                <w:sz w:val="20"/>
                <w:szCs w:val="20"/>
                <w:color w:val="auto"/>
              </w:rPr>
            </w:pPr>
            <w:r>
              <w:rPr>
                <w:rFonts w:ascii="Arial" w:cs="Arial" w:eastAsia="Arial" w:hAnsi="Arial"/>
                <w:sz w:val="14"/>
                <w:szCs w:val="14"/>
                <w:b w:val="1"/>
                <w:bCs w:val="1"/>
                <w:color w:val="auto"/>
                <w:w w:val="86"/>
              </w:rPr>
              <w:t>Share Unit Awards</w:t>
            </w:r>
          </w:p>
        </w:tc>
        <w:tc>
          <w:tcPr>
            <w:tcW w:w="1440" w:type="dxa"/>
            <w:vAlign w:val="bottom"/>
            <w:gridSpan w:val="3"/>
          </w:tcPr>
          <w:p>
            <w:pPr>
              <w:jc w:val="center"/>
              <w:ind w:left="396"/>
              <w:spacing w:after="0" w:line="149" w:lineRule="exact"/>
              <w:rPr>
                <w:sz w:val="20"/>
                <w:szCs w:val="20"/>
                <w:color w:val="auto"/>
              </w:rPr>
            </w:pPr>
            <w:r>
              <w:rPr>
                <w:rFonts w:ascii="Arial" w:cs="Arial" w:eastAsia="Arial" w:hAnsi="Arial"/>
                <w:sz w:val="14"/>
                <w:szCs w:val="14"/>
                <w:b w:val="1"/>
                <w:bCs w:val="1"/>
                <w:color w:val="auto"/>
                <w:w w:val="87"/>
              </w:rPr>
              <w:t>Average Grant</w:t>
            </w:r>
          </w:p>
        </w:tc>
      </w:tr>
      <w:tr>
        <w:trPr>
          <w:trHeight w:val="175"/>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840" w:type="dxa"/>
            <w:vAlign w:val="bottom"/>
          </w:tcPr>
          <w:p>
            <w:pPr>
              <w:jc w:val="center"/>
              <w:ind w:left="358"/>
              <w:spacing w:after="0"/>
              <w:rPr>
                <w:sz w:val="20"/>
                <w:szCs w:val="20"/>
                <w:color w:val="auto"/>
              </w:rPr>
            </w:pPr>
            <w:r>
              <w:rPr>
                <w:rFonts w:ascii="Arial" w:cs="Arial" w:eastAsia="Arial" w:hAnsi="Arial"/>
                <w:sz w:val="14"/>
                <w:szCs w:val="14"/>
                <w:b w:val="1"/>
                <w:bCs w:val="1"/>
                <w:color w:val="auto"/>
                <w:w w:val="87"/>
              </w:rPr>
              <w:t>(in thousands)</w:t>
            </w: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0"/>
              </w:rPr>
              <w:t>Date Fair Value</w:t>
            </w: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Class A Common Stock</w:t>
            </w:r>
          </w:p>
        </w:tc>
        <w:tc>
          <w:tcPr>
            <w:tcW w:w="28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Unvested awards as of January 1, 2006</w:t>
            </w:r>
          </w:p>
        </w:tc>
        <w:tc>
          <w:tcPr>
            <w:tcW w:w="2840" w:type="dxa"/>
            <w:vAlign w:val="bottom"/>
          </w:tcPr>
          <w:p>
            <w:pPr>
              <w:jc w:val="right"/>
              <w:ind w:right="478"/>
              <w:spacing w:after="0"/>
              <w:rPr>
                <w:sz w:val="20"/>
                <w:szCs w:val="20"/>
                <w:color w:val="auto"/>
              </w:rPr>
            </w:pPr>
            <w:r>
              <w:rPr>
                <w:rFonts w:ascii="Arial" w:cs="Arial" w:eastAsia="Arial" w:hAnsi="Arial"/>
                <w:sz w:val="18"/>
                <w:szCs w:val="18"/>
                <w:color w:val="auto"/>
              </w:rPr>
              <w:t>5,649</w:t>
            </w:r>
          </w:p>
        </w:tc>
        <w:tc>
          <w:tcPr>
            <w:tcW w:w="62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Awards granted</w:t>
            </w:r>
          </w:p>
        </w:tc>
        <w:tc>
          <w:tcPr>
            <w:tcW w:w="2840" w:type="dxa"/>
            <w:vAlign w:val="bottom"/>
            <w:shd w:val="clear" w:color="auto" w:fill="E5E5E5"/>
          </w:tcPr>
          <w:p>
            <w:pPr>
              <w:jc w:val="right"/>
              <w:ind w:right="478"/>
              <w:spacing w:after="0"/>
              <w:rPr>
                <w:sz w:val="20"/>
                <w:szCs w:val="20"/>
                <w:color w:val="auto"/>
              </w:rPr>
            </w:pPr>
            <w:r>
              <w:rPr>
                <w:rFonts w:ascii="Arial" w:cs="Arial" w:eastAsia="Arial" w:hAnsi="Arial"/>
                <w:sz w:val="18"/>
                <w:szCs w:val="18"/>
                <w:color w:val="auto"/>
              </w:rPr>
              <w:t>4,862</w:t>
            </w:r>
          </w:p>
        </w:tc>
        <w:tc>
          <w:tcPr>
            <w:tcW w:w="620" w:type="dxa"/>
            <w:vAlign w:val="bottom"/>
            <w:shd w:val="clear" w:color="auto" w:fill="E5E5E5"/>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Awards vested</w:t>
            </w:r>
          </w:p>
        </w:tc>
        <w:tc>
          <w:tcPr>
            <w:tcW w:w="2840" w:type="dxa"/>
            <w:vAlign w:val="bottom"/>
          </w:tcPr>
          <w:p>
            <w:pPr>
              <w:jc w:val="right"/>
              <w:ind w:right="418"/>
              <w:spacing w:after="0"/>
              <w:rPr>
                <w:sz w:val="20"/>
                <w:szCs w:val="20"/>
                <w:color w:val="auto"/>
              </w:rPr>
            </w:pPr>
            <w:r>
              <w:rPr>
                <w:rFonts w:ascii="Arial" w:cs="Arial" w:eastAsia="Arial" w:hAnsi="Arial"/>
                <w:sz w:val="18"/>
                <w:szCs w:val="18"/>
                <w:color w:val="auto"/>
              </w:rPr>
              <w:t>(1,050)</w:t>
            </w:r>
          </w:p>
        </w:tc>
        <w:tc>
          <w:tcPr>
            <w:tcW w:w="62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Awards forfeited</w:t>
            </w:r>
          </w:p>
        </w:tc>
        <w:tc>
          <w:tcPr>
            <w:tcW w:w="2840" w:type="dxa"/>
            <w:vAlign w:val="bottom"/>
            <w:tcBorders>
              <w:bottom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color w:val="auto"/>
              </w:rPr>
              <w:t>(476)</w:t>
            </w:r>
          </w:p>
        </w:tc>
        <w:tc>
          <w:tcPr>
            <w:tcW w:w="62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31.16</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Unvested awards as of September 30, 2006</w:t>
            </w:r>
          </w:p>
        </w:tc>
        <w:tc>
          <w:tcPr>
            <w:tcW w:w="2840" w:type="dxa"/>
            <w:vAlign w:val="bottom"/>
            <w:tcBorders>
              <w:bottom w:val="single" w:sz="8" w:color="auto"/>
            </w:tcBorders>
          </w:tcPr>
          <w:p>
            <w:pPr>
              <w:jc w:val="right"/>
              <w:ind w:right="478"/>
              <w:spacing w:after="0"/>
              <w:rPr>
                <w:sz w:val="20"/>
                <w:szCs w:val="20"/>
                <w:color w:val="auto"/>
              </w:rPr>
            </w:pPr>
            <w:r>
              <w:rPr>
                <w:rFonts w:ascii="Arial" w:cs="Arial" w:eastAsia="Arial" w:hAnsi="Arial"/>
                <w:sz w:val="18"/>
                <w:szCs w:val="18"/>
                <w:b w:val="1"/>
                <w:bCs w:val="1"/>
                <w:color w:val="auto"/>
              </w:rPr>
              <w:t>8,985</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Class A Special Common Stock</w:t>
            </w:r>
          </w:p>
        </w:tc>
        <w:tc>
          <w:tcPr>
            <w:tcW w:w="28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Unvested awards as of January 1, 2006</w:t>
            </w:r>
          </w:p>
        </w:tc>
        <w:tc>
          <w:tcPr>
            <w:tcW w:w="2840" w:type="dxa"/>
            <w:vAlign w:val="bottom"/>
          </w:tcPr>
          <w:p>
            <w:pPr>
              <w:jc w:val="right"/>
              <w:ind w:right="478"/>
              <w:spacing w:after="0"/>
              <w:rPr>
                <w:sz w:val="20"/>
                <w:szCs w:val="20"/>
                <w:color w:val="auto"/>
              </w:rPr>
            </w:pPr>
            <w:r>
              <w:rPr>
                <w:rFonts w:ascii="Arial" w:cs="Arial" w:eastAsia="Arial" w:hAnsi="Arial"/>
                <w:sz w:val="18"/>
                <w:szCs w:val="18"/>
                <w:color w:val="auto"/>
              </w:rPr>
              <w:t>69</w:t>
            </w:r>
          </w:p>
        </w:tc>
        <w:tc>
          <w:tcPr>
            <w:tcW w:w="62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Awards vested</w:t>
            </w:r>
          </w:p>
        </w:tc>
        <w:tc>
          <w:tcPr>
            <w:tcW w:w="2840" w:type="dxa"/>
            <w:vAlign w:val="bottom"/>
            <w:tcBorders>
              <w:bottom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color w:val="auto"/>
              </w:rPr>
              <w:t>(68)</w:t>
            </w:r>
          </w:p>
        </w:tc>
        <w:tc>
          <w:tcPr>
            <w:tcW w:w="62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37.13</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Unvested awards as of September 30, 2006</w:t>
            </w:r>
          </w:p>
        </w:tc>
        <w:tc>
          <w:tcPr>
            <w:tcW w:w="2840" w:type="dxa"/>
            <w:vAlign w:val="bottom"/>
            <w:tcBorders>
              <w:bottom w:val="single" w:sz="8" w:color="auto"/>
            </w:tcBorders>
          </w:tcPr>
          <w:p>
            <w:pPr>
              <w:jc w:val="right"/>
              <w:ind w:right="478"/>
              <w:spacing w:after="0"/>
              <w:rPr>
                <w:sz w:val="20"/>
                <w:szCs w:val="20"/>
                <w:color w:val="auto"/>
              </w:rPr>
            </w:pPr>
            <w:r>
              <w:rPr>
                <w:rFonts w:ascii="Arial" w:cs="Arial" w:eastAsia="Arial" w:hAnsi="Arial"/>
                <w:sz w:val="18"/>
                <w:szCs w:val="18"/>
                <w:b w:val="1"/>
                <w:bCs w:val="1"/>
                <w:color w:val="auto"/>
              </w:rPr>
              <w:t>1</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27.47</w:t>
            </w:r>
          </w:p>
        </w:tc>
        <w:tc>
          <w:tcPr>
            <w:tcW w:w="20" w:type="dxa"/>
            <w:vAlign w:val="bottom"/>
            <w:tcBorders>
              <w:bottom w:val="single" w:sz="8" w:color="auto"/>
            </w:tcBorders>
          </w:tcPr>
          <w:p>
            <w:pPr>
              <w:spacing w:after="0"/>
              <w:rPr>
                <w:sz w:val="18"/>
                <w:szCs w:val="18"/>
                <w:color w:val="auto"/>
              </w:rPr>
            </w:pPr>
          </w:p>
        </w:tc>
      </w:tr>
    </w:tbl>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2006, 381,000 and 96,000 shares of Class A common and Class A Special common stock, respectively, were issuable under vested restricted share unit awards, the receipt of which was irrevocably deferred by Participants pursuant to the Restricted Stock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Prior to January 1, 2006, we accounted for our share-based compensation plans in accordance with the provisions of Accounting Principles Board (“APB”) Opinion No. 25, “Accounting for Stock Issued to Employees” (“APB No. 25”), as permitted by SFAS No. 123, “Accounting for Stock-Based Compensation” (“SFAS No. 123”), and accordingly did not recognize compensation expense for stock options with an exercise price equal to or greater than the market price of the underlying stock at the date of grant. Had the fair-value based method as prescribed by SFAS No. 123 been applied, additional pre-tax compensation expense of $40 million and $118 million would have been recognized for the three and nine months ended September 30, 2005, respectively. The pre-tax compensation expense includes the expense related to discontinued operations, which for the three and nine months ended September 30, 2005, was $1 million and $3 million, respectively. Had the fair-value based method as prescribed by SFAS No. 123 been applied, the effect on net income and earnings per share would have been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gridSpan w:val="2"/>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2"/>
          </w:tcPr>
          <w:p>
            <w:pPr>
              <w:ind w:left="64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4"/>
                <w:szCs w:val="14"/>
                <w:color w:val="auto"/>
              </w:rPr>
              <w:t>(Dollars in millions, except per share data)</w:t>
            </w:r>
          </w:p>
        </w:tc>
        <w:tc>
          <w:tcPr>
            <w:tcW w:w="256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September 30, 2005</w:t>
            </w:r>
          </w:p>
        </w:tc>
        <w:tc>
          <w:tcPr>
            <w:tcW w:w="1860" w:type="dxa"/>
            <w:vAlign w:val="bottom"/>
            <w:gridSpan w:val="2"/>
          </w:tcPr>
          <w:p>
            <w:pPr>
              <w:ind w:left="640"/>
              <w:spacing w:after="0"/>
              <w:rPr>
                <w:sz w:val="20"/>
                <w:szCs w:val="20"/>
                <w:color w:val="auto"/>
              </w:rPr>
            </w:pPr>
            <w:r>
              <w:rPr>
                <w:rFonts w:ascii="Arial" w:cs="Arial" w:eastAsia="Arial" w:hAnsi="Arial"/>
                <w:sz w:val="14"/>
                <w:szCs w:val="14"/>
                <w:b w:val="1"/>
                <w:bCs w:val="1"/>
                <w:color w:val="auto"/>
                <w:w w:val="91"/>
              </w:rPr>
              <w:t>September 30,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as reported</w:t>
            </w:r>
          </w:p>
        </w:tc>
        <w:tc>
          <w:tcPr>
            <w:tcW w:w="1160" w:type="dxa"/>
            <w:vAlign w:val="bottom"/>
            <w:tcBorders>
              <w:top w:val="single" w:sz="8" w:color="auto"/>
            </w:tcBorders>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E5E5E5"/>
          </w:tcPr>
          <w:p>
            <w:pPr>
              <w:jc w:val="right"/>
              <w:ind w:right="612"/>
              <w:spacing w:after="0"/>
              <w:rPr>
                <w:sz w:val="20"/>
                <w:szCs w:val="20"/>
                <w:color w:val="auto"/>
              </w:rPr>
            </w:pPr>
            <w:r>
              <w:rPr>
                <w:rFonts w:ascii="Arial" w:cs="Arial" w:eastAsia="Arial" w:hAnsi="Arial"/>
                <w:sz w:val="18"/>
                <w:szCs w:val="18"/>
                <w:color w:val="auto"/>
              </w:rPr>
              <w:t>222</w:t>
            </w:r>
          </w:p>
        </w:tc>
        <w:tc>
          <w:tcPr>
            <w:tcW w:w="11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w w:val="95"/>
              </w:rPr>
              <w:t>Add: Share-based compensation expense included in net income, as reported above, net of</w:t>
            </w: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related tax effects</w:t>
            </w:r>
          </w:p>
        </w:tc>
        <w:tc>
          <w:tcPr>
            <w:tcW w:w="1160" w:type="dxa"/>
            <w:vAlign w:val="bottom"/>
          </w:tcPr>
          <w:p>
            <w:pPr>
              <w:spacing w:after="0"/>
              <w:rPr>
                <w:sz w:val="19"/>
                <w:szCs w:val="19"/>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w w:val="97"/>
              </w:rPr>
              <w:t>Less: Share-based compensation expense determined under fair value-based method for</w:t>
            </w:r>
          </w:p>
        </w:tc>
        <w:tc>
          <w:tcPr>
            <w:tcW w:w="1160" w:type="dxa"/>
            <w:vAlign w:val="bottom"/>
            <w:shd w:val="clear" w:color="auto" w:fill="E5E5E5"/>
          </w:tcPr>
          <w:p>
            <w:pPr>
              <w:spacing w:after="0"/>
              <w:rPr>
                <w:sz w:val="18"/>
                <w:szCs w:val="18"/>
                <w:color w:val="auto"/>
              </w:rPr>
            </w:pPr>
          </w:p>
        </w:tc>
        <w:tc>
          <w:tcPr>
            <w:tcW w:w="1400" w:type="dxa"/>
            <w:vAlign w:val="bottom"/>
            <w:vMerge w:val="restart"/>
            <w:shd w:val="clear" w:color="auto" w:fill="E5E5E5"/>
          </w:tcPr>
          <w:p>
            <w:pPr>
              <w:jc w:val="right"/>
              <w:ind w:right="552"/>
              <w:spacing w:after="0"/>
              <w:rPr>
                <w:sz w:val="20"/>
                <w:szCs w:val="20"/>
                <w:color w:val="auto"/>
              </w:rPr>
            </w:pPr>
            <w:r>
              <w:rPr>
                <w:rFonts w:ascii="Arial" w:cs="Arial" w:eastAsia="Arial" w:hAnsi="Arial"/>
                <w:sz w:val="18"/>
                <w:szCs w:val="18"/>
                <w:color w:val="auto"/>
              </w:rPr>
              <w:t>(37)</w:t>
            </w:r>
          </w:p>
        </w:tc>
        <w:tc>
          <w:tcPr>
            <w:tcW w:w="1100" w:type="dxa"/>
            <w:vAlign w:val="bottom"/>
            <w:shd w:val="clear" w:color="auto" w:fill="E5E5E5"/>
          </w:tcPr>
          <w:p>
            <w:pPr>
              <w:spacing w:after="0"/>
              <w:rPr>
                <w:sz w:val="18"/>
                <w:szCs w:val="18"/>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all awards, net of related tax effects</w:t>
            </w:r>
          </w:p>
        </w:tc>
        <w:tc>
          <w:tcPr>
            <w:tcW w:w="64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spacing w:after="0"/>
              <w:rPr>
                <w:sz w:val="18"/>
                <w:szCs w:val="18"/>
                <w:color w:val="auto"/>
              </w:rPr>
            </w:pPr>
          </w:p>
        </w:tc>
        <w:tc>
          <w:tcPr>
            <w:tcW w:w="1400" w:type="dxa"/>
            <w:vAlign w:val="bottom"/>
            <w:tcBorders>
              <w:bottom w:val="single" w:sz="8" w:color="auto"/>
            </w:tcBorders>
            <w:vMerge w:val="continue"/>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Pro forma, net income</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196</w:t>
            </w:r>
          </w:p>
        </w:tc>
        <w:tc>
          <w:tcPr>
            <w:tcW w:w="11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Basic earnings for common stockholders per common share:</w:t>
            </w:r>
          </w:p>
        </w:tc>
        <w:tc>
          <w:tcPr>
            <w:tcW w:w="1160" w:type="dxa"/>
            <w:vAlign w:val="bottom"/>
            <w:shd w:val="clear" w:color="auto" w:fill="E5E5E5"/>
          </w:tcPr>
          <w:p>
            <w:pPr>
              <w:spacing w:after="0"/>
              <w:rPr>
                <w:sz w:val="18"/>
                <w:szCs w:val="18"/>
                <w:color w:val="auto"/>
              </w:rPr>
            </w:pPr>
          </w:p>
        </w:tc>
        <w:tc>
          <w:tcPr>
            <w:tcW w:w="140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1160" w:type="dxa"/>
            <w:vAlign w:val="bottom"/>
          </w:tcPr>
          <w:p>
            <w:pPr>
              <w:ind w:left="6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.10</w:t>
            </w:r>
          </w:p>
        </w:tc>
        <w:tc>
          <w:tcPr>
            <w:tcW w:w="1100" w:type="dxa"/>
            <w:vAlign w:val="bottom"/>
          </w:tcPr>
          <w:p>
            <w:pPr>
              <w:ind w:left="6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 forma</w:t>
            </w:r>
          </w:p>
        </w:tc>
        <w:tc>
          <w:tcPr>
            <w:tcW w:w="116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5E5E5"/>
          </w:tcPr>
          <w:p>
            <w:pPr>
              <w:jc w:val="right"/>
              <w:ind w:right="612"/>
              <w:spacing w:after="0"/>
              <w:rPr>
                <w:sz w:val="20"/>
                <w:szCs w:val="20"/>
                <w:color w:val="auto"/>
              </w:rPr>
            </w:pPr>
            <w:r>
              <w:rPr>
                <w:rFonts w:ascii="Arial" w:cs="Arial" w:eastAsia="Arial" w:hAnsi="Arial"/>
                <w:sz w:val="18"/>
                <w:szCs w:val="18"/>
                <w:color w:val="auto"/>
              </w:rPr>
              <w:t>.09</w:t>
            </w:r>
          </w:p>
        </w:tc>
        <w:tc>
          <w:tcPr>
            <w:tcW w:w="110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for common stockholders per common share:</w:t>
            </w: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As reported</w:t>
            </w:r>
          </w:p>
        </w:tc>
        <w:tc>
          <w:tcPr>
            <w:tcW w:w="116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5E5E5"/>
          </w:tcPr>
          <w:p>
            <w:pPr>
              <w:jc w:val="right"/>
              <w:ind w:right="612"/>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Pro forma</w:t>
            </w:r>
          </w:p>
        </w:tc>
        <w:tc>
          <w:tcPr>
            <w:tcW w:w="1160" w:type="dxa"/>
            <w:vAlign w:val="bottom"/>
          </w:tcPr>
          <w:p>
            <w:pPr>
              <w:ind w:left="6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.09</w:t>
            </w:r>
          </w:p>
        </w:tc>
        <w:tc>
          <w:tcPr>
            <w:tcW w:w="1100" w:type="dxa"/>
            <w:vAlign w:val="bottom"/>
          </w:tcPr>
          <w:p>
            <w:pPr>
              <w:ind w:left="6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January 1, 2006, we adopted SFAS No. 123R using the Modified Prospective Approach. SFAS No. 123R revises SFAS No. 123 and supersedes APB No. 25. SFAS No. 123R requires the cost of all share-based payments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Modified Prospective Approach, the amount of compensation cost recognized includes: (i) compensation cost for all share-based payments granted prior to, but not yet vested as of January 1, 2006, based on the grant date fair value estimated in accordance with the provisions of SFAS No. 123 and</w:t>
      </w:r>
    </w:p>
    <w:p>
      <w:pPr>
        <w:jc w:val="both"/>
        <w:ind w:firstLine="8"/>
        <w:spacing w:after="0" w:line="287" w:lineRule="auto"/>
        <w:tabs>
          <w:tab w:leader="none" w:pos="27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compensation cost for all share-based payments granted subsequent to January 1, 2006, based on the grant date fair value estimated in accordance with the provisions of SFAS No. 123R. Prior to the adoption of SFAS No. 123R, we recognized the majority of our share-based compensation costs using the accelerated recognition method. We recognize the cost of previously granted share-based awards under the accelerated recognition method and recognize the cost of new share-based awards on a straight-line basis over the requisite service period. The incremental pre-tax share-based compensation expense recognized due to the adoption of SFAS No. 123R for the three and nine months ended September 30, 2006, was $31 million and $98 million, respectively. Total share-based compensation expense recognized under SFAS No. 123R, including the incremental pre-tax share-based compensation expense above, was $49 million and $145 million, with an associated tax benefit of $17 million and $50 million, respectively, for the three and nine months ended September 30, 2006. The amount of share-based compensation capitalized or related to discontinued operations was not material to our consolidated financial statements.</w:t>
      </w:r>
    </w:p>
    <w:p>
      <w:pPr>
        <w:spacing w:after="0" w:line="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Cash received from option exercises under all share-based payment arrangements for the three and nine months ended September 30, 2006, was $54 million and $96 million, respectively. The total intrinsic value (market value on date of exercise less exercise price) of options exercised for the nine months ended September 30, 2006, was $53 million. The tax benefit realized from stock options exercised for the nine months ended September 30, 2006, was $17 million.</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2006, there was $231 million of total unrecognized, pre-tax compensation cost related to nonvested stock options. This cost is expected to be recognized over a weighted-average period of approximately two and one half years.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fair value of restricted share units that vested during the nine months ended September 30, 2006, was $30 million. As of September 30, 2006, there was $190 million of total unrecognized pre-tax compensation cost related to nonvested restricted share unit awards. This cost is expected to be recognized over a weighted-average period of approximately two and one half years.</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SFAS No. 123R also required us to change the classification, in our condensed consolidated statement of cash flows, of any tax benefits realized upon the exercise of stock options or issuance of restricted share unit awards in excess of that which is associated with the expense recognized for financial reporting purposes. These amounts are presented as a financing cash inflow rather than as a reduction of income taxes paid in our condensed consolidated statement of cash flows. The excess cash tax benefit classified as a financing cash inflow for the nine months ended September 30, 2006, was $7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three and nine months ended September 30, 2006 and 2005,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6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1740" w:type="dxa"/>
            <w:vAlign w:val="bottom"/>
          </w:tcPr>
          <w:p>
            <w:pPr>
              <w:spacing w:after="0"/>
              <w:rPr>
                <w:sz w:val="14"/>
                <w:szCs w:val="1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jc w:val="right"/>
              <w:ind w:right="387"/>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8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w w:val="83"/>
              </w:rPr>
              <w:t>2005</w:t>
            </w:r>
          </w:p>
        </w:tc>
        <w:tc>
          <w:tcPr>
            <w:tcW w:w="1080" w:type="dxa"/>
            <w:vAlign w:val="bottom"/>
          </w:tcPr>
          <w:p>
            <w:pPr>
              <w:jc w:val="right"/>
              <w:ind w:right="321"/>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3120" w:type="dxa"/>
            <w:vAlign w:val="bottom"/>
            <w:tcBorders>
              <w:top w:val="single" w:sz="8" w:color="auto"/>
            </w:tcBorders>
            <w:gridSpan w:val="2"/>
            <w:shd w:val="clear" w:color="auto" w:fill="E5E5E5"/>
          </w:tcPr>
          <w:p>
            <w:pPr>
              <w:jc w:val="right"/>
              <w:ind w:right="247"/>
              <w:spacing w:after="0"/>
              <w:rPr>
                <w:sz w:val="20"/>
                <w:szCs w:val="20"/>
                <w:color w:val="auto"/>
              </w:rPr>
            </w:pPr>
            <w:r>
              <w:rPr>
                <w:rFonts w:ascii="Arial" w:cs="Arial" w:eastAsia="Arial" w:hAnsi="Arial"/>
                <w:sz w:val="18"/>
                <w:szCs w:val="18"/>
                <w:color w:val="auto"/>
              </w:rPr>
              <w:t>$ 1,217</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222</w:t>
            </w:r>
          </w:p>
        </w:tc>
        <w:tc>
          <w:tcPr>
            <w:tcW w:w="10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$ 2,143</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Unrealized (losses) gains on marketable securities</w:t>
            </w:r>
          </w:p>
        </w:tc>
        <w:tc>
          <w:tcPr>
            <w:tcW w:w="3120" w:type="dxa"/>
            <w:vAlign w:val="bottom"/>
            <w:gridSpan w:val="2"/>
          </w:tcPr>
          <w:p>
            <w:pPr>
              <w:jc w:val="right"/>
              <w:ind w:right="187"/>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87</w:t>
            </w:r>
          </w:p>
        </w:tc>
        <w:tc>
          <w:tcPr>
            <w:tcW w:w="1080" w:type="dxa"/>
            <w:vAlign w:val="bottom"/>
          </w:tcPr>
          <w:p>
            <w:pPr>
              <w:jc w:val="right"/>
              <w:ind w:right="181"/>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w w:val="94"/>
              </w:rPr>
              <w:t>Reclassification adjustments for (losses) gains included in net income</w:t>
            </w:r>
          </w:p>
        </w:tc>
        <w:tc>
          <w:tcPr>
            <w:tcW w:w="1740" w:type="dxa"/>
            <w:vAlign w:val="bottom"/>
            <w:tcBorders>
              <w:bottom w:val="single" w:sz="8" w:color="E5E5E5"/>
            </w:tcBorders>
            <w:shd w:val="clear" w:color="auto" w:fill="E5E5E5"/>
          </w:tcPr>
          <w:p>
            <w:pPr>
              <w:spacing w:after="0"/>
              <w:rPr>
                <w:sz w:val="18"/>
                <w:szCs w:val="18"/>
                <w:color w:val="auto"/>
              </w:rPr>
            </w:pPr>
          </w:p>
        </w:tc>
        <w:tc>
          <w:tcPr>
            <w:tcW w:w="1380" w:type="dxa"/>
            <w:vAlign w:val="bottom"/>
            <w:tcBorders>
              <w:bottom w:val="single" w:sz="8" w:color="auto"/>
            </w:tcBorders>
            <w:shd w:val="clear" w:color="auto" w:fill="E5E5E5"/>
          </w:tcPr>
          <w:p>
            <w:pPr>
              <w:jc w:val="right"/>
              <w:ind w:right="247"/>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120" w:type="dxa"/>
            <w:vAlign w:val="bottom"/>
            <w:gridSpan w:val="2"/>
          </w:tcPr>
          <w:p>
            <w:pPr>
              <w:jc w:val="right"/>
              <w:ind w:right="247"/>
              <w:spacing w:after="0"/>
              <w:rPr>
                <w:sz w:val="20"/>
                <w:szCs w:val="20"/>
                <w:color w:val="auto"/>
              </w:rPr>
            </w:pPr>
            <w:r>
              <w:rPr>
                <w:rFonts w:ascii="Arial" w:cs="Arial" w:eastAsia="Arial" w:hAnsi="Arial"/>
                <w:sz w:val="18"/>
                <w:szCs w:val="18"/>
                <w:b w:val="1"/>
                <w:bCs w:val="1"/>
                <w:color w:val="auto"/>
              </w:rPr>
              <w:t>$ 1,217</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6"/>
              <w:spacing w:after="0"/>
              <w:rPr>
                <w:sz w:val="20"/>
                <w:szCs w:val="20"/>
                <w:color w:val="auto"/>
              </w:rPr>
            </w:pPr>
            <w:r>
              <w:rPr>
                <w:rFonts w:ascii="Arial" w:cs="Arial" w:eastAsia="Arial" w:hAnsi="Arial"/>
                <w:sz w:val="18"/>
                <w:szCs w:val="18"/>
                <w:b w:val="1"/>
                <w:bCs w:val="1"/>
                <w:color w:val="auto"/>
              </w:rPr>
              <w:t>311</w:t>
            </w:r>
          </w:p>
        </w:tc>
        <w:tc>
          <w:tcPr>
            <w:tcW w:w="1080" w:type="dxa"/>
            <w:vAlign w:val="bottom"/>
          </w:tcPr>
          <w:p>
            <w:pPr>
              <w:jc w:val="right"/>
              <w:ind w:right="181"/>
              <w:spacing w:after="0"/>
              <w:rPr>
                <w:sz w:val="20"/>
                <w:szCs w:val="20"/>
                <w:color w:val="auto"/>
              </w:rPr>
            </w:pPr>
            <w:r>
              <w:rPr>
                <w:rFonts w:ascii="Arial" w:cs="Arial" w:eastAsia="Arial" w:hAnsi="Arial"/>
                <w:sz w:val="18"/>
                <w:szCs w:val="18"/>
                <w:b w:val="1"/>
                <w:bCs w:val="1"/>
                <w:color w:val="auto"/>
              </w:rPr>
              <w:t>$ 2,163</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849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740" w:type="dxa"/>
            <w:vAlign w:val="bottom"/>
          </w:tcPr>
          <w:p>
            <w:pPr>
              <w:jc w:val="right"/>
              <w:ind w:right="1092"/>
              <w:spacing w:after="0"/>
              <w:rPr>
                <w:sz w:val="20"/>
                <w:szCs w:val="20"/>
                <w:color w:val="auto"/>
              </w:rPr>
            </w:pPr>
            <w:r>
              <w:rPr>
                <w:rFonts w:ascii="Arial" w:cs="Arial" w:eastAsia="Arial" w:hAnsi="Arial"/>
                <w:sz w:val="18"/>
                <w:szCs w:val="18"/>
                <w:color w:val="auto"/>
              </w:rPr>
              <w:t>17</w:t>
            </w:r>
          </w:p>
        </w:tc>
        <w:tc>
          <w:tcPr>
            <w:tcW w:w="1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Statement of Cash Flows—Supplemental Information</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2006, we exchanged investments for cable systems in the Redemptions and cable systems for cable systems in the Exchanges (see Note 4). These transactions are noncash investing activities.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made cash payments for interest and income taxes during the three and nine months ended September 30, 2006 and 2005, as follows: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w w:val="92"/>
              </w:rPr>
              <w:t>Three Months Ended</w:t>
            </w:r>
          </w:p>
        </w:tc>
        <w:tc>
          <w:tcPr>
            <w:tcW w:w="360" w:type="dxa"/>
            <w:vAlign w:val="bottom"/>
          </w:tcPr>
          <w:p>
            <w:pPr>
              <w:spacing w:after="0"/>
              <w:rPr>
                <w:sz w:val="14"/>
                <w:szCs w:val="14"/>
                <w:color w:val="auto"/>
              </w:rPr>
            </w:pPr>
          </w:p>
        </w:tc>
        <w:tc>
          <w:tcPr>
            <w:tcW w:w="14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610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6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right"/>
              <w:ind w:right="304"/>
              <w:spacing w:after="0" w:line="142" w:lineRule="exact"/>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2"/>
                <w:szCs w:val="12"/>
                <w:color w:val="auto"/>
              </w:rPr>
            </w:pPr>
          </w:p>
        </w:tc>
        <w:tc>
          <w:tcPr>
            <w:tcW w:w="70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2"/>
                <w:szCs w:val="12"/>
                <w:color w:val="auto"/>
              </w:rPr>
            </w:pPr>
          </w:p>
        </w:tc>
        <w:tc>
          <w:tcPr>
            <w:tcW w:w="660" w:type="dxa"/>
            <w:vAlign w:val="bottom"/>
          </w:tcPr>
          <w:p>
            <w:pPr>
              <w:jc w:val="right"/>
              <w:ind w:right="304"/>
              <w:spacing w:after="0" w:line="142" w:lineRule="exact"/>
              <w:rPr>
                <w:sz w:val="20"/>
                <w:szCs w:val="20"/>
                <w:color w:val="auto"/>
              </w:rPr>
            </w:pPr>
            <w:r>
              <w:rPr>
                <w:rFonts w:ascii="Arial" w:cs="Arial" w:eastAsia="Arial" w:hAnsi="Arial"/>
                <w:sz w:val="14"/>
                <w:szCs w:val="14"/>
                <w:b w:val="1"/>
                <w:bCs w:val="1"/>
                <w:color w:val="auto"/>
                <w:w w:val="83"/>
              </w:rPr>
              <w:t>2006</w:t>
            </w:r>
          </w:p>
        </w:tc>
        <w:tc>
          <w:tcPr>
            <w:tcW w:w="360" w:type="dxa"/>
            <w:vAlign w:val="bottom"/>
          </w:tcPr>
          <w:p>
            <w:pPr>
              <w:spacing w:after="0"/>
              <w:rPr>
                <w:sz w:val="12"/>
                <w:szCs w:val="12"/>
                <w:color w:val="auto"/>
              </w:rPr>
            </w:pPr>
          </w:p>
        </w:tc>
        <w:tc>
          <w:tcPr>
            <w:tcW w:w="4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64"/>
              <w:spacing w:after="0"/>
              <w:rPr>
                <w:sz w:val="20"/>
                <w:szCs w:val="20"/>
                <w:color w:val="auto"/>
              </w:rPr>
            </w:pPr>
            <w:r>
              <w:rPr>
                <w:rFonts w:ascii="Arial" w:cs="Arial" w:eastAsia="Arial" w:hAnsi="Arial"/>
                <w:sz w:val="18"/>
                <w:szCs w:val="18"/>
                <w:color w:val="auto"/>
              </w:rPr>
              <w:t>542</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559</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64"/>
              <w:spacing w:after="0"/>
              <w:rPr>
                <w:sz w:val="20"/>
                <w:szCs w:val="20"/>
                <w:color w:val="auto"/>
              </w:rPr>
            </w:pPr>
            <w:r>
              <w:rPr>
                <w:rFonts w:ascii="Arial" w:cs="Arial" w:eastAsia="Arial" w:hAnsi="Arial"/>
                <w:sz w:val="18"/>
                <w:szCs w:val="18"/>
                <w:color w:val="auto"/>
                <w:w w:val="88"/>
              </w:rPr>
              <w:t>1,452</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1,438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taxes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4"/>
              <w:spacing w:after="0"/>
              <w:rPr>
                <w:sz w:val="20"/>
                <w:szCs w:val="20"/>
                <w:color w:val="auto"/>
              </w:rPr>
            </w:pPr>
            <w:r>
              <w:rPr>
                <w:rFonts w:ascii="Arial" w:cs="Arial" w:eastAsia="Arial" w:hAnsi="Arial"/>
                <w:sz w:val="18"/>
                <w:szCs w:val="18"/>
                <w:color w:val="auto"/>
              </w:rPr>
              <w:t>200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9"/>
              <w:spacing w:after="0"/>
              <w:rPr>
                <w:sz w:val="20"/>
                <w:szCs w:val="20"/>
                <w:color w:val="auto"/>
              </w:rPr>
            </w:pPr>
            <w:r>
              <w:rPr>
                <w:rFonts w:ascii="Arial" w:cs="Arial" w:eastAsia="Arial" w:hAnsi="Arial"/>
                <w:sz w:val="18"/>
                <w:szCs w:val="18"/>
                <w:color w:val="auto"/>
              </w:rPr>
              <w:t>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4"/>
              <w:spacing w:after="0"/>
              <w:rPr>
                <w:sz w:val="20"/>
                <w:szCs w:val="20"/>
                <w:color w:val="auto"/>
              </w:rPr>
            </w:pPr>
            <w:r>
              <w:rPr>
                <w:rFonts w:ascii="Arial" w:cs="Arial" w:eastAsia="Arial" w:hAnsi="Arial"/>
                <w:sz w:val="18"/>
                <w:szCs w:val="18"/>
                <w:color w:val="auto"/>
              </w:rPr>
              <w:t>611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March 2007 and March 2011. Although there can be no assurance, we believe that we will not be required to meet our obligations under such commitments. The total notional amount of our commitments was $1.161 billion as of September 30, 2006, at which time there were no quoted market prices for similar agreements.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Home Cases</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pursuant to Section 16(b) of the Exchange Act (purported to have arisen in connection with certain transactions relating to At Home stock effected pursuant to the March 2000 agreements).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Southern District of New York actions (item (i) above), the court dismissed all claims. The court also dismissed a complaint filed by an individual shareholder on the same grounds as the class action, and dismissed without prejudice certain state law claims raised in that complaint. The Plaintiffs in the class action and the individual action are appealing these decisions. The Delaware case (item (ii) above) was transferred to the United States District Court for the Southern District of New York. The court dismissed the Section 16(b) claims, and the breach of fiduciary duty claim for lack of federal jurisdiction. The Court of Appeals for the Second Circuit denied plaintiffs’ appeal from the decision dismissing the Section 16(b) claims, and the U.S. Supreme Court denied plaintiffs’ petition for a further appeal. Plaintiffs recommenced the breach of fiduciary duty claim in Delaware Chancery Court. The Court has set a trial date in October 2007.</w:t>
      </w:r>
    </w:p>
    <w:p>
      <w:pPr>
        <w:spacing w:after="0" w:line="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terms of the Broadband acquisition, we are contractually liable for 50% of any liabilities of AT&amp;T in the actions described in items (i) and (ii) above (in which we are also a defendant).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AT&amp;T—Wireless and Common Stock Cases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Broadband acquisition, we were potentially responsible for a portion of the liabilities arising from two purported securities class action lawsuits brought against AT&amp;T and others and consolidated in the United States District Court for the District of New Jersey. One of these lawsuits, referred to in our prior disclosures as the “Common Stock Case,” was settled in 2005.</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2006, the remaining lawsuit, referred to in our prior disclosures as the “Wireless Case,” settled for $150 million, of which our portion is $22.5 million. The additional amount recorded related to the settlement did not have a material impact on our results of operations for the nine months ended September 30, 2006.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AT&amp;T—TCI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(“TCI Shareholder Suits”). A consolidated amended complaint combining the filed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TCI acquisition (completed in early 1999), AT&amp;T agreed under certain circumstances to indemnify TCI’s former directors for certain liabilities, potentially including those incurred in connection with this action. In connection with the Broadband acquisition, (i) we agreed to indemnify AT&amp;T for certain liabilities, potentially including those incurred by AT&amp;T in connection with this action, and (ii) we assumed certain obligations of TCI to indemnify its former directors, potentially including those incurred in connection with this action.</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2006, an agreement in principle was reached to settle the TCI Shareholder Suits, subject to Court approval. We have agreed to contribute approximately $44 million to the settlement. If the settlement is finalized and approved, all claims arising from the TCI Shareholder Suits, including all indemnity claims for which we could have liability, will be dismissed with prejudice. The additional amount recorded related to the settlement did not have a material impact on our results of operations for the three and nine months ended September 30, 2006.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defendants in two purported class actions pending in the United States District Courts for the District of Massachusetts and the Eastern District of Pennsylvania, respectively. The potential class in the Massachusetts case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is our subscriber base in the “Boston Cluster” area, and the potential class in the Pennsylvania case is our subscriber base in the “Philadelphia and Chicago clusters,” as those terms are defined in the complaints. In each case, plaintiffs allege that certain subscriber exchange transactions with other cable providers resulted in unlawful “horizontal market restraints” in those areas and seek damages pursuant to antitrust statutes, including treble damages.</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recent events in both cases relating to the procedural issue of whether plaintiffs’ claims could proceed in court or, alternatively, whether plaintiffs should be compelled to arbitrate their claims pursuant to arbitration clauses in their subscriber agreements, it has become more likely that these cases will proceed in court. Our motion to dismiss the Pennsylvania case on the pleadings was denied, and plaintiffs have moved to certify a class action. We are opposing plaintiffs’ motion and are proceeding with class discovery. We have moved to dismiss the Massachusetts case.</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the claims in these actions are without merit and are defending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reportable segments consist of our Cable and Content businesses. Our Content segment consists of our national cable networks E!, Style Network, The Golf Channel, VERSUS (formerly known as OLN), G4 and AZN Television. In evaluating the profitability of our segments, the components of net income (loss) below operating income (loss) before depreciation and amortization are not separately evaluated by our management.</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gridSpan w:val="2"/>
          </w:tcPr>
          <w:p>
            <w:pPr>
              <w:ind w:left="260"/>
              <w:spacing w:after="0" w:line="156" w:lineRule="exact"/>
              <w:rPr>
                <w:sz w:val="20"/>
                <w:szCs w:val="20"/>
                <w:color w:val="auto"/>
              </w:rPr>
            </w:pPr>
            <w:r>
              <w:rPr>
                <w:rFonts w:ascii="Arial" w:cs="Arial" w:eastAsia="Arial" w:hAnsi="Arial"/>
                <w:sz w:val="14"/>
                <w:szCs w:val="14"/>
                <w:b w:val="1"/>
                <w:bCs w:val="1"/>
                <w:color w:val="auto"/>
              </w:rPr>
              <w:t>Corporate and</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56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w w:val="86"/>
              </w:rPr>
              <w:t>Cable(a)</w:t>
            </w: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Content</w:t>
            </w:r>
          </w:p>
        </w:tc>
        <w:tc>
          <w:tcPr>
            <w:tcW w:w="340" w:type="dxa"/>
            <w:vAlign w:val="bottom"/>
          </w:tcPr>
          <w:p>
            <w:pPr>
              <w:spacing w:after="0"/>
              <w:rPr>
                <w:sz w:val="14"/>
                <w:szCs w:val="14"/>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w w:val="90"/>
              </w:rPr>
              <w:t>Other(b)(g)</w:t>
            </w: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Eliminations(c)</w:t>
            </w:r>
          </w:p>
        </w:tc>
        <w:tc>
          <w:tcPr>
            <w:tcW w:w="36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2006</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6,312</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258</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46</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(184)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 amortization(e)</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2,507</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88</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(54)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1,157</w:t>
            </w:r>
          </w:p>
        </w:tc>
        <w:tc>
          <w:tcPr>
            <w:tcW w:w="36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1,350</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46</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(121)</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(51)</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1,206</w:t>
            </w:r>
          </w:p>
        </w:tc>
        <w:tc>
          <w:tcPr>
            <w:tcW w:w="36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2005</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5,028</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237</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51</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w w:val="97"/>
              </w:rPr>
              <w:t>Operating income (loss) before depreciation and amortization(e)(f)</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1,991</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71</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39</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1,107</w:t>
            </w:r>
          </w:p>
        </w:tc>
        <w:tc>
          <w:tcPr>
            <w:tcW w:w="36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(loss)(f)</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884</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33</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2006</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17,205</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770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222</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(262)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 amortization(e)</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6,955</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(249)</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(56)</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3,269</w:t>
            </w:r>
          </w:p>
        </w:tc>
        <w:tc>
          <w:tcPr>
            <w:tcW w:w="36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3,686</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74</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(315)</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(44)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2,946</w:t>
            </w:r>
          </w:p>
        </w:tc>
        <w:tc>
          <w:tcPr>
            <w:tcW w:w="36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2005</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14,877</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684</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204</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(106)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w w:val="97"/>
              </w:rPr>
              <w:t>Operating income (loss) before depreciation and amortization(e)(f)</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5,910</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(227)</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3,212</w:t>
            </w:r>
          </w:p>
        </w:tc>
        <w:tc>
          <w:tcPr>
            <w:tcW w:w="36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(loss)(f)</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2,698</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(278)</w:t>
            </w: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2,594</w:t>
            </w:r>
          </w:p>
        </w:tc>
        <w:tc>
          <w:tcPr>
            <w:tcW w:w="36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 of September 30, 2006</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Assets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101,308</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2,331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3,785</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548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107,972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 of December 31, 2005</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Assets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100,774</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2,530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3"/>
              <w:spacing w:after="0"/>
              <w:rPr>
                <w:sz w:val="20"/>
                <w:szCs w:val="20"/>
                <w:color w:val="auto"/>
              </w:rPr>
            </w:pPr>
            <w:r>
              <w:rPr>
                <w:rFonts w:ascii="Arial" w:cs="Arial" w:eastAsia="Arial" w:hAnsi="Arial"/>
                <w:sz w:val="18"/>
                <w:szCs w:val="18"/>
                <w:color w:val="auto"/>
              </w:rPr>
              <w:t>2,760</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(2,918)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jc w:val="both"/>
        <w:ind w:left="4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2006, approximately 63% of our Cable segment’s revenues were derived from our video services. For the three and nine months ended September 30, 2005, approximately 64% and 65%, respectively, of our Cable segment’s revenues were derived from our video services. For the three and nine months ended September 30, 2006, approximately 21% of our Cable segment’s revenues were derived from our high-speed Internet services. For the three and nine months ended September 30, 2005, approximately 19% of our Cable segment’s revenues were derived from our high-speed Internet services. The remaining revenues were derived primarily from phone, advertising and other revenues. Our regional sports and news networks (Comcast SportsNet, Comcast SportsNet Mid-Atlantic, Comcast SportsNet Chicago,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color w:val="auto"/>
        </w:rPr>
        <w:t>Comcast SportsNet West, Cable Sports Southeast, The mtn.—the MountainWest Sports Network, and CN8-The Comcast Network) are included in our Cable segment. Effective August 1, 2006 (the date of TWC’s selection), the Cable segment also includes the operating results of the cable systems serving Houston, Texas held in the Texas and Kansas City Cable partnership (see Note 4). However, for our consolidated operating results the partnership will continue to be treated as an equity method investment until the distribution date of the Houston Asset Pool. Accordingly, the operating results of the Houston Asset Pool are reversed in the Eliminations column to reconcile to our consolidated operating results (see Note 11).</w:t>
      </w:r>
    </w:p>
    <w:p>
      <w:pPr>
        <w:spacing w:after="0" w:line="35" w:lineRule="exact"/>
        <w:rPr>
          <w:sz w:val="20"/>
          <w:szCs w:val="20"/>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includes Comcast Spectacor, a portion of operating results of our less than wholly owned technology development ventures (see “(g)” below), corporate activities and all other businesses not presented in our Cable or Content segments. Assets included in this caption consist primarily of our investments (see Note 5).</w:t>
      </w:r>
    </w:p>
    <w:p>
      <w:pPr>
        <w:spacing w:after="0" w:line="4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Content segment generates revenue by selling cable network programming to our Cable segment, which represents a substantial majority of the revenue elimination amount</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99"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 (“GAAP”).</w:t>
      </w:r>
    </w:p>
    <w:p>
      <w:pPr>
        <w:spacing w:after="0" w:line="25" w:lineRule="exact"/>
        <w:rPr>
          <w:rFonts w:ascii="Arial" w:cs="Arial" w:eastAsia="Arial" w:hAnsi="Arial"/>
          <w:sz w:val="16"/>
          <w:szCs w:val="16"/>
          <w:color w:val="auto"/>
        </w:rPr>
      </w:pPr>
    </w:p>
    <w:p>
      <w:pPr>
        <w:jc w:val="both"/>
        <w:ind w:left="46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be consistent with our management reporting presentation, the 2005 segment amounts have been adjusted as if stock options had been expensed as of January 1, 2005 (see Note 8). For the three months ended September 30, 2005, the adjustments reducing operating income before depreciation and amortization by segment were $30 million for Cable, $1 million for Content and $9 million for Corporate and Other. For the nine months ended September 30, 2005, the adjustments reducing operating income before depreciation and amortization by segment were $86 million for Cable, $3 million for Content and $29 million for Corporate and Other. For the three and nine months ended September 30, 2005, the total adjustments of $40 million and $118 million, respectively, are reversed in the Eliminations column to reconcile to our consolidated 2005 amounts.</w:t>
      </w:r>
    </w:p>
    <w:p>
      <w:pPr>
        <w:spacing w:after="0" w:line="25"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consolidate our less than wholly owned technology development ventures that we control or we are deemed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the Corporate and Other segment.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September 2005, Comcast Corporation unconditionally guaranteed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Debentures due 2012, both of which were issued by Comcast Holdings; accordingly we have added Comcast Holdings’ condensed consolidated information for all periods presented. Our condensed consolidating financial information is as follows: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September 30, 2006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92"/>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Combined</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Comcast</w:t>
            </w:r>
          </w:p>
        </w:tc>
        <w:tc>
          <w:tcPr>
            <w:tcW w:w="6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CCCH</w:t>
            </w:r>
          </w:p>
        </w:tc>
        <w:tc>
          <w:tcPr>
            <w:tcW w:w="84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CCHMO</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Guarantor</w:t>
            </w:r>
          </w:p>
        </w:tc>
        <w:tc>
          <w:tcPr>
            <w:tcW w:w="11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w w:val="82"/>
              </w:rPr>
              <w:t>Parent</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w w:val="85"/>
              </w:rPr>
              <w:t>Parents</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6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9"/>
              </w:rPr>
              <w:t>Corporation</w:t>
            </w:r>
          </w:p>
        </w:tc>
      </w:tr>
      <w:tr>
        <w:trPr>
          <w:trHeight w:val="142"/>
        </w:trPr>
        <w:tc>
          <w:tcPr>
            <w:tcW w:w="20" w:type="dxa"/>
            <w:vAlign w:val="bottom"/>
          </w:tcPr>
          <w:p>
            <w:pPr>
              <w:spacing w:after="0"/>
              <w:rPr>
                <w:sz w:val="12"/>
                <w:szCs w:val="12"/>
                <w:color w:val="auto"/>
              </w:rPr>
            </w:pPr>
          </w:p>
        </w:tc>
        <w:tc>
          <w:tcPr>
            <w:tcW w:w="45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50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50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66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2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spacing w:after="0"/>
              <w:rPr>
                <w:sz w:val="12"/>
                <w:szCs w:val="12"/>
                <w:color w:val="auto"/>
              </w:rPr>
            </w:pPr>
          </w:p>
        </w:tc>
        <w:tc>
          <w:tcPr>
            <w:tcW w:w="94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2,748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2,774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Investments</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656</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656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1,228</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804</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823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20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E5E5E5"/>
            </w:tcBorders>
            <w:shd w:val="clear" w:color="auto" w:fill="E5E5E5"/>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24</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21</w:t>
            </w:r>
          </w:p>
        </w:tc>
        <w:tc>
          <w:tcPr>
            <w:tcW w:w="18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color w:val="auto"/>
              </w:rPr>
              <w:t>5,436</w:t>
            </w:r>
          </w:p>
        </w:tc>
        <w:tc>
          <w:tcPr>
            <w:tcW w:w="18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5,481</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line="142" w:lineRule="exact"/>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2"/>
                <w:szCs w:val="12"/>
                <w:color w:val="auto"/>
              </w:rPr>
            </w:pP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7,245</w:t>
            </w:r>
          </w:p>
        </w:tc>
        <w:tc>
          <w:tcPr>
            <w:tcW w:w="180" w:type="dxa"/>
            <w:vAlign w:val="bottom"/>
          </w:tcPr>
          <w:p>
            <w:pPr>
              <w:spacing w:after="0"/>
              <w:rPr>
                <w:sz w:val="12"/>
                <w:szCs w:val="12"/>
                <w:color w:val="auto"/>
              </w:rPr>
            </w:pPr>
          </w:p>
        </w:tc>
        <w:tc>
          <w:tcPr>
            <w:tcW w:w="9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7,245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w w:val="90"/>
              </w:rPr>
              <w:t>Investments in and amounts due from subsidiaries eliminated upon consolidation</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60,425</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88"/>
              </w:rPr>
              <w:t>30,446</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w w:val="83"/>
              </w:rPr>
              <w:t>37,238</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40,584</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3"/>
              </w:rPr>
              <w:t>23,871</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1,297</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(193,861)</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20,653</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20,671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rights</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56,072</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56,072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13,515</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13,515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4,457</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4,457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Other noncurrent assets, net</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127</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334</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Borders>
              <w:bottom w:val="single" w:sz="8" w:color="E5E5E5"/>
            </w:tcBorders>
            <w:shd w:val="clear" w:color="auto" w:fill="E5E5E5"/>
          </w:tcPr>
          <w:p>
            <w:pPr>
              <w:spacing w:after="0" w:line="149" w:lineRule="exact"/>
              <w:rPr>
                <w:sz w:val="20"/>
                <w:szCs w:val="20"/>
                <w:color w:val="auto"/>
              </w:rPr>
            </w:pPr>
            <w:r>
              <w:rPr>
                <w:rFonts w:ascii="Arial" w:cs="Arial" w:eastAsia="Arial" w:hAnsi="Arial"/>
                <w:sz w:val="14"/>
                <w:szCs w:val="14"/>
                <w:color w:val="auto"/>
              </w:rPr>
              <w:t>Noncurrent assets of discontinued operations, net</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60,591</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8"/>
              </w:rPr>
              <w:t>30,463</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37,261</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40,584</w:t>
            </w:r>
          </w:p>
        </w:tc>
        <w:tc>
          <w:tcPr>
            <w:tcW w:w="2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23,925</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109,009</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(193,861)</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107,972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2,351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2,351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538</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50</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77</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1,886</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2,867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185</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133</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773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E5E5E5"/>
            </w:tcBorders>
            <w:shd w:val="clear" w:color="auto" w:fill="E5E5E5"/>
          </w:tcPr>
          <w:p>
            <w:pPr>
              <w:ind w:left="860"/>
              <w:spacing w:after="0" w:line="142" w:lineRule="exact"/>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538</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850</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color w:val="auto"/>
              </w:rPr>
              <w:t>66</w:t>
            </w:r>
          </w:p>
        </w:tc>
        <w:tc>
          <w:tcPr>
            <w:tcW w:w="1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90</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77</w:t>
            </w:r>
          </w:p>
        </w:tc>
        <w:tc>
          <w:tcPr>
            <w:tcW w:w="18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color w:val="auto"/>
              </w:rPr>
              <w:t>4,555</w:t>
            </w:r>
          </w:p>
        </w:tc>
        <w:tc>
          <w:tcPr>
            <w:tcW w:w="18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6,176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line="142" w:lineRule="exact"/>
              <w:rPr>
                <w:sz w:val="20"/>
                <w:szCs w:val="20"/>
                <w:color w:val="auto"/>
              </w:rPr>
            </w:pPr>
            <w:r>
              <w:rPr>
                <w:rFonts w:ascii="Arial" w:cs="Arial" w:eastAsia="Arial" w:hAnsi="Arial"/>
                <w:sz w:val="14"/>
                <w:szCs w:val="14"/>
                <w:color w:val="auto"/>
              </w:rPr>
              <w:t>Long-term debt, less current portion</w:t>
            </w:r>
          </w:p>
        </w:tc>
        <w:tc>
          <w:tcPr>
            <w:tcW w:w="280" w:type="dxa"/>
            <w:vAlign w:val="bottom"/>
          </w:tcPr>
          <w:p>
            <w:pPr>
              <w:spacing w:after="0"/>
              <w:rPr>
                <w:sz w:val="12"/>
                <w:szCs w:val="12"/>
                <w:color w:val="auto"/>
              </w:rPr>
            </w:pP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13,642</w:t>
            </w:r>
          </w:p>
        </w:tc>
        <w:tc>
          <w:tcPr>
            <w:tcW w:w="180" w:type="dxa"/>
            <w:vAlign w:val="bottom"/>
          </w:tcPr>
          <w:p>
            <w:pPr>
              <w:spacing w:after="0"/>
              <w:rPr>
                <w:sz w:val="12"/>
                <w:szCs w:val="12"/>
                <w:color w:val="auto"/>
              </w:rPr>
            </w:pPr>
          </w:p>
        </w:tc>
        <w:tc>
          <w:tcPr>
            <w:tcW w:w="5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4,396</w:t>
            </w:r>
          </w:p>
        </w:tc>
        <w:tc>
          <w:tcPr>
            <w:tcW w:w="18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3,498</w:t>
            </w:r>
          </w:p>
        </w:tc>
        <w:tc>
          <w:tcPr>
            <w:tcW w:w="180" w:type="dxa"/>
            <w:vAlign w:val="bottom"/>
          </w:tcPr>
          <w:p>
            <w:pPr>
              <w:spacing w:after="0"/>
              <w:rPr>
                <w:sz w:val="12"/>
                <w:szCs w:val="12"/>
                <w:color w:val="auto"/>
              </w:rPr>
            </w:pPr>
          </w:p>
        </w:tc>
        <w:tc>
          <w:tcPr>
            <w:tcW w:w="6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3,256</w:t>
            </w:r>
          </w:p>
        </w:tc>
        <w:tc>
          <w:tcPr>
            <w:tcW w:w="240" w:type="dxa"/>
            <w:vAlign w:val="bottom"/>
          </w:tcPr>
          <w:p>
            <w:pPr>
              <w:spacing w:after="0"/>
              <w:rPr>
                <w:sz w:val="12"/>
                <w:szCs w:val="12"/>
                <w:color w:val="auto"/>
              </w:rPr>
            </w:pPr>
          </w:p>
        </w:tc>
        <w:tc>
          <w:tcPr>
            <w:tcW w:w="5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901</w:t>
            </w:r>
          </w:p>
        </w:tc>
        <w:tc>
          <w:tcPr>
            <w:tcW w:w="180" w:type="dxa"/>
            <w:vAlign w:val="bottom"/>
          </w:tcPr>
          <w:p>
            <w:pPr>
              <w:spacing w:after="0"/>
              <w:rPr>
                <w:sz w:val="12"/>
                <w:szCs w:val="12"/>
                <w:color w:val="auto"/>
              </w:rPr>
            </w:pPr>
          </w:p>
        </w:tc>
        <w:tc>
          <w:tcPr>
            <w:tcW w:w="800" w:type="dxa"/>
            <w:vAlign w:val="bottom"/>
          </w:tcPr>
          <w:p>
            <w:pPr>
              <w:jc w:val="right"/>
              <w:ind w:right="52"/>
              <w:spacing w:after="0" w:line="142" w:lineRule="exact"/>
              <w:rPr>
                <w:sz w:val="20"/>
                <w:szCs w:val="20"/>
                <w:color w:val="auto"/>
              </w:rPr>
            </w:pPr>
            <w:r>
              <w:rPr>
                <w:rFonts w:ascii="Arial" w:cs="Arial" w:eastAsia="Arial" w:hAnsi="Arial"/>
                <w:sz w:val="14"/>
                <w:szCs w:val="14"/>
                <w:color w:val="auto"/>
              </w:rPr>
              <w:t>753</w:t>
            </w:r>
          </w:p>
        </w:tc>
        <w:tc>
          <w:tcPr>
            <w:tcW w:w="180" w:type="dxa"/>
            <w:vAlign w:val="bottom"/>
          </w:tcPr>
          <w:p>
            <w:pPr>
              <w:spacing w:after="0"/>
              <w:rPr>
                <w:sz w:val="12"/>
                <w:szCs w:val="12"/>
                <w:color w:val="auto"/>
              </w:rPr>
            </w:pPr>
          </w:p>
        </w:tc>
        <w:tc>
          <w:tcPr>
            <w:tcW w:w="9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26,446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4,629</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907</w:t>
            </w: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21,963</w:t>
            </w: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27,499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1,060</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5,268</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6,453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Noncurrent liabilities of discontinued operations</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676</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28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ind w:left="420"/>
              <w:spacing w:after="0" w:line="149" w:lineRule="exact"/>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Borders>
              <w:bottom w:val="single" w:sz="8" w:color="E5E5E5"/>
            </w:tcBorders>
            <w:shd w:val="clear" w:color="auto" w:fill="E5E5E5"/>
          </w:tcPr>
          <w:p>
            <w:pPr>
              <w:ind w:left="420"/>
              <w:spacing w:after="0" w:line="149" w:lineRule="exact"/>
              <w:rPr>
                <w:sz w:val="20"/>
                <w:szCs w:val="20"/>
                <w:color w:val="auto"/>
              </w:rPr>
            </w:pPr>
            <w:r>
              <w:rPr>
                <w:rFonts w:ascii="Arial" w:cs="Arial" w:eastAsia="Arial" w:hAnsi="Arial"/>
                <w:sz w:val="14"/>
                <w:szCs w:val="14"/>
                <w:color w:val="auto"/>
              </w:rPr>
              <w:t>Other stockholders’ equity</w:t>
            </w:r>
          </w:p>
        </w:tc>
        <w:tc>
          <w:tcPr>
            <w:tcW w:w="28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40,698</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88"/>
              </w:rPr>
              <w:t>25,168</w:t>
            </w:r>
          </w:p>
        </w:tc>
        <w:tc>
          <w:tcPr>
            <w:tcW w:w="1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w w:val="83"/>
              </w:rPr>
              <w:t>33,697</w:t>
            </w:r>
          </w:p>
        </w:tc>
        <w:tc>
          <w:tcPr>
            <w:tcW w:w="1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37,238</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3"/>
              </w:rPr>
              <w:t>21,964</w:t>
            </w:r>
          </w:p>
        </w:tc>
        <w:tc>
          <w:tcPr>
            <w:tcW w:w="18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75,794</w:t>
            </w:r>
          </w:p>
        </w:tc>
        <w:tc>
          <w:tcPr>
            <w:tcW w:w="180" w:type="dxa"/>
            <w:vAlign w:val="bottom"/>
            <w:tcBorders>
              <w:bottom w:val="single" w:sz="8" w:color="auto"/>
            </w:tcBorders>
            <w:shd w:val="clear" w:color="auto" w:fill="E5E5E5"/>
          </w:tcPr>
          <w:p>
            <w:pPr>
              <w:spacing w:after="0"/>
              <w:rPr>
                <w:sz w:val="12"/>
                <w:szCs w:val="12"/>
                <w:color w:val="auto"/>
              </w:rPr>
            </w:pPr>
          </w:p>
        </w:tc>
        <w:tc>
          <w:tcPr>
            <w:tcW w:w="9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(193,861)</w:t>
            </w:r>
          </w:p>
        </w:tc>
        <w:tc>
          <w:tcPr>
            <w:tcW w:w="22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40,698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ind w:left="860"/>
              <w:spacing w:after="0" w:line="142" w:lineRule="exact"/>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40,722</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8"/>
              </w:rPr>
              <w:t>25,168</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3"/>
              </w:rPr>
              <w:t>33,697</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37,238</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3"/>
              </w:rPr>
              <w:t>21,964</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75,794</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(193,861)</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40,722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Borders>
              <w:bottom w:val="single" w:sz="8" w:color="E5E5E5"/>
            </w:tcBorders>
            <w:shd w:val="clear" w:color="auto" w:fill="E5E5E5"/>
          </w:tcPr>
          <w:p>
            <w:pPr>
              <w:ind w:left="86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60,591</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88"/>
              </w:rPr>
              <w:t>30,463</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37,261</w:t>
            </w:r>
          </w:p>
        </w:tc>
        <w:tc>
          <w:tcPr>
            <w:tcW w:w="18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rPr>
              <w:t>40,584</w:t>
            </w:r>
          </w:p>
        </w:tc>
        <w:tc>
          <w:tcPr>
            <w:tcW w:w="24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23,925</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b w:val="1"/>
                <w:bCs w:val="1"/>
                <w:color w:val="auto"/>
              </w:rPr>
              <w:t>109,009</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E5E5E5"/>
          </w:tcPr>
          <w:p>
            <w:pPr>
              <w:jc w:val="right"/>
              <w:ind w:right="52"/>
              <w:spacing w:after="0" w:line="142" w:lineRule="exact"/>
              <w:rPr>
                <w:sz w:val="20"/>
                <w:szCs w:val="20"/>
                <w:color w:val="auto"/>
              </w:rPr>
            </w:pPr>
            <w:r>
              <w:rPr>
                <w:rFonts w:ascii="Arial" w:cs="Arial" w:eastAsia="Arial" w:hAnsi="Arial"/>
                <w:sz w:val="14"/>
                <w:szCs w:val="14"/>
                <w:b w:val="1"/>
                <w:bCs w:val="1"/>
                <w:color w:val="auto"/>
              </w:rPr>
              <w:t>(193,861)</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107,972</w:t>
            </w:r>
          </w:p>
        </w:tc>
        <w:tc>
          <w:tcPr>
            <w:tcW w:w="20" w:type="dxa"/>
            <w:vAlign w:val="bottom"/>
          </w:tcPr>
          <w:p>
            <w:pPr>
              <w:spacing w:after="0"/>
              <w:rPr>
                <w:sz w:val="12"/>
                <w:szCs w:val="12"/>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December 31, 2005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6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7"/>
              </w:rPr>
              <w:t>CCCL</w:t>
            </w:r>
          </w:p>
        </w:tc>
        <w:tc>
          <w:tcPr>
            <w:tcW w:w="200" w:type="dxa"/>
            <w:vAlign w:val="bottom"/>
          </w:tcPr>
          <w:p>
            <w:pPr>
              <w:spacing w:after="0"/>
              <w:rPr>
                <w:sz w:val="12"/>
                <w:szCs w:val="12"/>
                <w:color w:val="auto"/>
              </w:rPr>
            </w:pPr>
          </w:p>
        </w:tc>
        <w:tc>
          <w:tcPr>
            <w:tcW w:w="5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88"/>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4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Parent</w:t>
            </w:r>
          </w:p>
        </w:tc>
        <w:tc>
          <w:tcPr>
            <w:tcW w:w="180" w:type="dxa"/>
            <w:vAlign w:val="bottom"/>
          </w:tcPr>
          <w:p>
            <w:pPr>
              <w:spacing w:after="0"/>
              <w:rPr>
                <w:sz w:val="14"/>
                <w:szCs w:val="14"/>
                <w:color w:val="auto"/>
              </w:rPr>
            </w:pPr>
          </w:p>
        </w:tc>
        <w:tc>
          <w:tcPr>
            <w:tcW w:w="600" w:type="dxa"/>
            <w:vAlign w:val="bottom"/>
          </w:tcPr>
          <w:p>
            <w:pPr>
              <w:jc w:val="center"/>
              <w:ind w:right="94"/>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w w:val="82"/>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693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1,008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2,578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2,594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12,675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12,675</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2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53,103</w:t>
            </w:r>
          </w:p>
        </w:tc>
        <w:tc>
          <w:tcPr>
            <w:tcW w:w="1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29,562</w:t>
            </w:r>
          </w:p>
        </w:tc>
        <w:tc>
          <w:tcPr>
            <w:tcW w:w="2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3"/>
              </w:rPr>
              <w:t>36,042</w:t>
            </w:r>
          </w:p>
        </w:tc>
        <w:tc>
          <w:tcPr>
            <w:tcW w:w="22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40,482</w:t>
            </w:r>
          </w:p>
        </w:tc>
        <w:tc>
          <w:tcPr>
            <w:tcW w:w="20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3"/>
              </w:rPr>
              <w:t>22,742</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955</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(182,886)</w:t>
            </w:r>
          </w:p>
        </w:tc>
        <w:tc>
          <w:tcPr>
            <w:tcW w:w="22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17,688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48,804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48,804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13,498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3,114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Noncurrent assets of discontinued operations, net</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4,118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4,118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53,252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29,583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3"/>
              </w:rPr>
              <w:t>36,067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40,482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22,792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103,856</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(182,886)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103,146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1,985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1,985</w:t>
            </w:r>
          </w:p>
        </w:tc>
      </w:tr>
      <w:tr>
        <w:trPr>
          <w:trHeight w:val="218"/>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844</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1,122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3,654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6,269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Long term-debt, less current portion</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8,243</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4,988</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3,318</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981</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3,470</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23,089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5,944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Noncurrent liabilities of discontinued operations</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stockholders’ equity</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40,194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7"/>
              </w:rPr>
              <w:t>23,697</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3"/>
              </w:rPr>
              <w:t>32,456</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36,042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20,861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69,830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(182,886)</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40,194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40,219</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23,697</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3"/>
              </w:rPr>
              <w:t>32,456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36,042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20,861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69,830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(182,886)</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53,252</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7"/>
              </w:rPr>
              <w:t>29,583</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3"/>
              </w:rPr>
              <w:t>36,067</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7"/>
              </w:rPr>
              <w:t>40,482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83"/>
              </w:rPr>
              <w:t>22,792</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103,856</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(182,886)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103,146</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ind w:right="114"/>
              <w:spacing w:after="0"/>
              <w:rPr>
                <w:sz w:val="20"/>
                <w:szCs w:val="20"/>
                <w:color w:val="auto"/>
              </w:rPr>
            </w:pPr>
            <w:r>
              <w:rPr>
                <w:rFonts w:ascii="Arial" w:cs="Arial" w:eastAsia="Arial" w:hAnsi="Arial"/>
                <w:sz w:val="18"/>
                <w:szCs w:val="18"/>
                <w:color w:val="auto"/>
                <w:w w:val="99"/>
              </w:rPr>
              <w:t>24</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September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820" w:type="dxa"/>
            <w:vAlign w:val="bottom"/>
          </w:tcPr>
          <w:p>
            <w:pPr>
              <w:jc w:val="center"/>
              <w:ind w:right="313"/>
              <w:spacing w:after="0" w:line="149"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Comcast</w:t>
            </w:r>
          </w:p>
        </w:tc>
        <w:tc>
          <w:tcPr>
            <w:tcW w:w="6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CCCL</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CCCH</w:t>
            </w:r>
          </w:p>
        </w:tc>
        <w:tc>
          <w:tcPr>
            <w:tcW w:w="96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Comcast</w:t>
            </w:r>
          </w:p>
        </w:tc>
        <w:tc>
          <w:tcPr>
            <w:tcW w:w="106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8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38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9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Parent</w:t>
            </w:r>
          </w:p>
        </w:tc>
        <w:tc>
          <w:tcPr>
            <w:tcW w:w="9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Parents</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6,432</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6,432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6,432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w:t>
            </w: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2, 300</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64</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1,765</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1,695</w:t>
            </w: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250</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5,277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w:t>
            </w: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1,155</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1,224</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(96)</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(80)</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(62)</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(56)</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4"/>
              </w:rPr>
              <w:t>1,307</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6"/>
              </w:rPr>
              <w:t>376</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736</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777</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(83)</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(3,515)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1,097</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6"/>
              </w:rPr>
              <w:t>280</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656</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715</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360</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765</w:t>
            </w:r>
          </w:p>
        </w:tc>
        <w:tc>
          <w:tcPr>
            <w:tcW w:w="3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(3,515)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358</w:t>
            </w:r>
          </w:p>
        </w:tc>
      </w:tr>
      <w:tr>
        <w:trPr>
          <w:trHeight w:val="201"/>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income taxes and minority interest</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1,169</w:t>
            </w:r>
          </w:p>
        </w:tc>
        <w:tc>
          <w:tcPr>
            <w:tcW w:w="260" w:type="dxa"/>
            <w:vAlign w:val="bottom"/>
          </w:tcPr>
          <w:p>
            <w:pPr>
              <w:spacing w:after="0"/>
              <w:rPr>
                <w:sz w:val="19"/>
                <w:szCs w:val="19"/>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280</w:t>
            </w:r>
          </w:p>
        </w:tc>
        <w:tc>
          <w:tcPr>
            <w:tcW w:w="32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656</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1,920</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(3,515)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17"/>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(740)</w:t>
            </w:r>
          </w:p>
        </w:tc>
        <w:tc>
          <w:tcPr>
            <w:tcW w:w="3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(610)</w:t>
            </w:r>
          </w:p>
        </w:tc>
      </w:tr>
      <w:tr>
        <w:trPr>
          <w:trHeight w:val="201"/>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1,217</w:t>
            </w:r>
          </w:p>
        </w:tc>
        <w:tc>
          <w:tcPr>
            <w:tcW w:w="260" w:type="dxa"/>
            <w:vAlign w:val="bottom"/>
          </w:tcPr>
          <w:p>
            <w:pPr>
              <w:spacing w:after="0"/>
              <w:rPr>
                <w:sz w:val="19"/>
                <w:szCs w:val="19"/>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319</w:t>
            </w:r>
          </w:p>
        </w:tc>
        <w:tc>
          <w:tcPr>
            <w:tcW w:w="32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685</w:t>
            </w:r>
          </w:p>
        </w:tc>
        <w:tc>
          <w:tcPr>
            <w:tcW w:w="3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(3,515)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17"/>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Minority interest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1,217</w:t>
            </w:r>
          </w:p>
        </w:tc>
        <w:tc>
          <w:tcPr>
            <w:tcW w:w="260" w:type="dxa"/>
            <w:vAlign w:val="bottom"/>
          </w:tcPr>
          <w:p>
            <w:pPr>
              <w:spacing w:after="0"/>
              <w:rPr>
                <w:sz w:val="18"/>
                <w:szCs w:val="18"/>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319</w:t>
            </w:r>
          </w:p>
        </w:tc>
        <w:tc>
          <w:tcPr>
            <w:tcW w:w="32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w w:val="93"/>
              </w:rPr>
              <w:t>685</w:t>
            </w:r>
          </w:p>
        </w:tc>
        <w:tc>
          <w:tcPr>
            <w:tcW w:w="36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(3,515)</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14</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r>
      <w:tr>
        <w:trPr>
          <w:trHeight w:val="242"/>
        </w:trPr>
        <w:tc>
          <w:tcPr>
            <w:tcW w:w="2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Gain on discontinued operations, net of tax</w:t>
            </w: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8"/>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84"/>
              </w:rPr>
              <w:t>1,217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6"/>
              </w:rPr>
              <w:t>319</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685</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736</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350</w:t>
            </w:r>
          </w:p>
        </w:tc>
        <w:tc>
          <w:tcPr>
            <w:tcW w:w="3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1,425</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(3,515)</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1,217</w:t>
            </w: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w w:val="99"/>
              </w:rPr>
              <w:t>25</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September 30, 2005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Non-</w:t>
            </w:r>
          </w:p>
        </w:tc>
        <w:tc>
          <w:tcPr>
            <w:tcW w:w="360" w:type="dxa"/>
            <w:vAlign w:val="bottom"/>
          </w:tcPr>
          <w:p>
            <w:pPr>
              <w:spacing w:after="0"/>
              <w:rPr>
                <w:sz w:val="12"/>
                <w:szCs w:val="12"/>
                <w:color w:val="auto"/>
              </w:rPr>
            </w:pPr>
          </w:p>
        </w:tc>
        <w:tc>
          <w:tcPr>
            <w:tcW w:w="840" w:type="dxa"/>
            <w:vAlign w:val="bottom"/>
          </w:tcPr>
          <w:p>
            <w:pPr>
              <w:jc w:val="center"/>
              <w:ind w:right="333"/>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6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Comcast</w:t>
            </w: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CCCL</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CCCH</w:t>
            </w:r>
          </w:p>
        </w:tc>
        <w:tc>
          <w:tcPr>
            <w:tcW w:w="100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CCHMO</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2"/>
          </w:tcPr>
          <w:p>
            <w:pPr>
              <w:jc w:val="right"/>
              <w:ind w:right="193"/>
              <w:spacing w:after="0" w:line="149" w:lineRule="exact"/>
              <w:rPr>
                <w:sz w:val="20"/>
                <w:szCs w:val="20"/>
                <w:color w:val="auto"/>
              </w:rPr>
            </w:pPr>
            <w:r>
              <w:rPr>
                <w:rFonts w:ascii="Arial" w:cs="Arial" w:eastAsia="Arial" w:hAnsi="Arial"/>
                <w:sz w:val="14"/>
                <w:szCs w:val="14"/>
                <w:b w:val="1"/>
                <w:bCs w:val="1"/>
                <w:color w:val="auto"/>
              </w:rPr>
              <w:t>Guarantor</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30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0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Parents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5,284</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5,284</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(302)</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5,284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(302)</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w:t>
            </w:r>
          </w:p>
        </w:tc>
      </w:tr>
      <w:tr>
        <w:trPr>
          <w:trHeight w:val="210"/>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5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1,894</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53</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71</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71</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1,454</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1,394</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289</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292</w:t>
            </w: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4,499</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(302)</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r>
      <w:tr>
        <w:trPr>
          <w:trHeight w:val="210"/>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785</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(98)</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0"/>
              </w:rPr>
              <w:t>(124)</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(82)</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(38)</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(56)</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5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3"/>
              </w:rPr>
              <w:t>240</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264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(1,348)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215</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3"/>
              </w:rPr>
              <w:t>158</w:t>
            </w:r>
          </w:p>
        </w:tc>
        <w:tc>
          <w:tcPr>
            <w:tcW w:w="3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226</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(1,348)</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(525)</w:t>
            </w:r>
          </w:p>
        </w:tc>
      </w:tr>
      <w:tr>
        <w:trPr>
          <w:trHeight w:val="201"/>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89"/>
              </w:rPr>
              <w:t>Income (loss) from continuing operations before</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income taxes and minority interest</w:t>
            </w:r>
          </w:p>
        </w:tc>
        <w:tc>
          <w:tcPr>
            <w:tcW w:w="50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9"/>
                <w:szCs w:val="19"/>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w w:val="93"/>
              </w:rPr>
              <w:t>158</w:t>
            </w:r>
          </w:p>
        </w:tc>
        <w:tc>
          <w:tcPr>
            <w:tcW w:w="38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743</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(1,348)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18"/>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(267)</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(129)</w:t>
            </w:r>
          </w:p>
        </w:tc>
      </w:tr>
      <w:tr>
        <w:trPr>
          <w:trHeight w:val="201"/>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w w:val="89"/>
              </w:rPr>
              <w:t>Income (loss) from continuing operations before</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w w:val="93"/>
              </w:rPr>
              <w:t>186</w:t>
            </w:r>
          </w:p>
        </w:tc>
        <w:tc>
          <w:tcPr>
            <w:tcW w:w="38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(1,348)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8"/>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5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w w:val="93"/>
              </w:rPr>
              <w:t>186</w:t>
            </w:r>
          </w:p>
        </w:tc>
        <w:tc>
          <w:tcPr>
            <w:tcW w:w="38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(1,348)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3440" w:type="dxa"/>
            <w:vAlign w:val="bottom"/>
            <w:shd w:val="clear" w:color="auto" w:fill="E5E5E5"/>
          </w:tcPr>
          <w:p>
            <w:pPr>
              <w:spacing w:after="0"/>
              <w:rPr>
                <w:sz w:val="20"/>
                <w:szCs w:val="20"/>
                <w:color w:val="auto"/>
              </w:rPr>
            </w:pPr>
            <w:r>
              <w:rPr>
                <w:rFonts w:ascii="Arial" w:cs="Arial" w:eastAsia="Arial" w:hAnsi="Arial"/>
                <w:sz w:val="18"/>
                <w:szCs w:val="18"/>
                <w:color w:val="auto"/>
                <w:w w:val="90"/>
              </w:rPr>
              <w:t>Income from discontinued operations, net of tax</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9"/>
              </w:rPr>
              <w:t>Gain on discontinued operations, net of tax</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222</w:t>
            </w:r>
          </w:p>
        </w:tc>
        <w:tc>
          <w:tcPr>
            <w:tcW w:w="2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258</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93"/>
              </w:rPr>
              <w:t>186</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240</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153</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511</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(1,348)</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222</w:t>
            </w:r>
          </w:p>
        </w:tc>
      </w:tr>
      <w:tr>
        <w:trPr>
          <w:trHeight w:val="363"/>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ind w:right="232"/>
              <w:spacing w:after="0"/>
              <w:rPr>
                <w:sz w:val="20"/>
                <w:szCs w:val="20"/>
                <w:color w:val="auto"/>
              </w:rPr>
            </w:pPr>
            <w:r>
              <w:rPr>
                <w:rFonts w:ascii="Arial" w:cs="Arial" w:eastAsia="Arial" w:hAnsi="Arial"/>
                <w:sz w:val="18"/>
                <w:szCs w:val="18"/>
                <w:color w:val="auto"/>
                <w:w w:val="99"/>
              </w:rPr>
              <w:t>26</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Nine Months Ended September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Non-</w:t>
            </w:r>
          </w:p>
        </w:tc>
        <w:tc>
          <w:tcPr>
            <w:tcW w:w="380" w:type="dxa"/>
            <w:vAlign w:val="bottom"/>
          </w:tcPr>
          <w:p>
            <w:pPr>
              <w:spacing w:after="0"/>
              <w:rPr>
                <w:sz w:val="12"/>
                <w:szCs w:val="12"/>
                <w:color w:val="auto"/>
              </w:rPr>
            </w:pPr>
          </w:p>
        </w:tc>
        <w:tc>
          <w:tcPr>
            <w:tcW w:w="860" w:type="dxa"/>
            <w:vAlign w:val="bottom"/>
          </w:tcPr>
          <w:p>
            <w:pPr>
              <w:jc w:val="center"/>
              <w:ind w:right="353"/>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Comcast</w:t>
            </w:r>
          </w:p>
        </w:tc>
        <w:tc>
          <w:tcPr>
            <w:tcW w:w="94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rPr>
              <w:t>CCCL</w:t>
            </w:r>
          </w:p>
        </w:tc>
        <w:tc>
          <w:tcPr>
            <w:tcW w:w="92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CCCH</w:t>
            </w:r>
          </w:p>
        </w:tc>
        <w:tc>
          <w:tcPr>
            <w:tcW w:w="104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CCHMO</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Comcast</w:t>
            </w:r>
          </w:p>
        </w:tc>
        <w:tc>
          <w:tcPr>
            <w:tcW w:w="1160" w:type="dxa"/>
            <w:vAlign w:val="bottom"/>
            <w:gridSpan w:val="2"/>
          </w:tcPr>
          <w:p>
            <w:pPr>
              <w:jc w:val="right"/>
              <w:ind w:right="213"/>
              <w:spacing w:after="0" w:line="149" w:lineRule="exact"/>
              <w:rPr>
                <w:sz w:val="20"/>
                <w:szCs w:val="20"/>
                <w:color w:val="auto"/>
              </w:rPr>
            </w:pPr>
            <w:r>
              <w:rPr>
                <w:rFonts w:ascii="Arial" w:cs="Arial" w:eastAsia="Arial" w:hAnsi="Arial"/>
                <w:sz w:val="14"/>
                <w:szCs w:val="14"/>
                <w:b w:val="1"/>
                <w:bCs w:val="1"/>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30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61"/>
        </w:trPr>
        <w:tc>
          <w:tcPr>
            <w:tcW w:w="30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1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w:t>
            </w:r>
          </w:p>
        </w:tc>
        <w:tc>
          <w:tcPr>
            <w:tcW w:w="10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Parents</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Holdings</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3"/>
              <w:spacing w:after="0"/>
              <w:rPr>
                <w:sz w:val="20"/>
                <w:szCs w:val="20"/>
                <w:color w:val="auto"/>
              </w:rPr>
            </w:pPr>
            <w:r>
              <w:rPr>
                <w:rFonts w:ascii="Arial" w:cs="Arial" w:eastAsia="Arial" w:hAnsi="Arial"/>
                <w:sz w:val="18"/>
                <w:szCs w:val="18"/>
                <w:color w:val="auto"/>
                <w:w w:val="98"/>
              </w:rPr>
              <w:t>17,935</w:t>
            </w:r>
          </w:p>
        </w:tc>
        <w:tc>
          <w:tcPr>
            <w:tcW w:w="38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383</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(979)</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383</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8"/>
              </w:rPr>
              <w:t>17,935</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(979)</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4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6,559</w:t>
            </w:r>
          </w:p>
        </w:tc>
        <w:tc>
          <w:tcPr>
            <w:tcW w:w="38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4,716</w:t>
            </w:r>
          </w:p>
        </w:tc>
        <w:tc>
          <w:tcPr>
            <w:tcW w:w="3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2,740</w:t>
            </w:r>
          </w:p>
        </w:tc>
        <w:tc>
          <w:tcPr>
            <w:tcW w:w="38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695</w:t>
            </w:r>
          </w:p>
        </w:tc>
        <w:tc>
          <w:tcPr>
            <w:tcW w:w="3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8"/>
              </w:rPr>
              <w:t>14,710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(979)</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3,225</w:t>
            </w:r>
          </w:p>
        </w:tc>
        <w:tc>
          <w:tcPr>
            <w:tcW w:w="3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(72)</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861</w:t>
            </w:r>
          </w:p>
        </w:tc>
        <w:tc>
          <w:tcPr>
            <w:tcW w:w="38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affiliates</w:t>
            </w:r>
          </w:p>
        </w:tc>
        <w:tc>
          <w:tcPr>
            <w:tcW w:w="46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8"/>
              </w:rPr>
              <w:t>2,367</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1,159</w:t>
            </w:r>
          </w:p>
        </w:tc>
        <w:tc>
          <w:tcPr>
            <w:tcW w:w="28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1,470</w:t>
            </w:r>
          </w:p>
        </w:tc>
        <w:tc>
          <w:tcPr>
            <w:tcW w:w="3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7"/>
              </w:rPr>
              <w:t>1,599</w:t>
            </w:r>
          </w:p>
        </w:tc>
        <w:tc>
          <w:tcPr>
            <w:tcW w:w="36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967</w:t>
            </w: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(86)</w:t>
            </w:r>
          </w:p>
        </w:tc>
        <w:tc>
          <w:tcPr>
            <w:tcW w:w="3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(7,562)</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194</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8"/>
              </w:rPr>
              <w:t>1,835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856</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4"/>
              </w:rPr>
              <w:t>1,226</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7"/>
              </w:rPr>
              <w:t>1,401</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969</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816</w:t>
            </w:r>
          </w:p>
        </w:tc>
        <w:tc>
          <w:tcPr>
            <w:tcW w:w="3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(7,562)</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w w:val="91"/>
              </w:rPr>
              <w:t>Income (loss) from continuing operations</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before income taxes and minority</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88"/>
              </w:rPr>
              <w:t>2,023</w:t>
            </w:r>
          </w:p>
        </w:tc>
        <w:tc>
          <w:tcPr>
            <w:tcW w:w="28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1,226</w:t>
            </w:r>
          </w:p>
        </w:tc>
        <w:tc>
          <w:tcPr>
            <w:tcW w:w="34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1,401</w:t>
            </w:r>
          </w:p>
        </w:tc>
        <w:tc>
          <w:tcPr>
            <w:tcW w:w="3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957</w:t>
            </w:r>
          </w:p>
        </w:tc>
        <w:tc>
          <w:tcPr>
            <w:tcW w:w="34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4,041</w:t>
            </w:r>
          </w:p>
        </w:tc>
        <w:tc>
          <w:tcPr>
            <w:tcW w:w="38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(7,562)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69</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(1,516)</w:t>
            </w:r>
          </w:p>
        </w:tc>
        <w:tc>
          <w:tcPr>
            <w:tcW w:w="3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w w:val="91"/>
              </w:rPr>
              <w:t>Income (loss) from continuing operations</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before minority interest</w:t>
            </w:r>
          </w:p>
        </w:tc>
        <w:tc>
          <w:tcPr>
            <w:tcW w:w="4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88"/>
              </w:rPr>
              <w:t>2,143</w:t>
            </w:r>
          </w:p>
        </w:tc>
        <w:tc>
          <w:tcPr>
            <w:tcW w:w="28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967</w:t>
            </w:r>
          </w:p>
        </w:tc>
        <w:tc>
          <w:tcPr>
            <w:tcW w:w="28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1,312</w:t>
            </w:r>
          </w:p>
        </w:tc>
        <w:tc>
          <w:tcPr>
            <w:tcW w:w="34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1,470</w:t>
            </w:r>
          </w:p>
        </w:tc>
        <w:tc>
          <w:tcPr>
            <w:tcW w:w="36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2,525</w:t>
            </w:r>
          </w:p>
        </w:tc>
        <w:tc>
          <w:tcPr>
            <w:tcW w:w="38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(7,562)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w w:val="96"/>
              </w:rPr>
              <w:t>Net income from continuing operations</w:t>
            </w:r>
          </w:p>
        </w:tc>
        <w:tc>
          <w:tcPr>
            <w:tcW w:w="4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88"/>
              </w:rPr>
              <w:t>2,143</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967</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1,312</w:t>
            </w:r>
          </w:p>
        </w:tc>
        <w:tc>
          <w:tcPr>
            <w:tcW w:w="3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1,470</w:t>
            </w:r>
          </w:p>
        </w:tc>
        <w:tc>
          <w:tcPr>
            <w:tcW w:w="3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8"/>
                <w:szCs w:val="18"/>
                <w:color w:val="auto"/>
              </w:rPr>
              <w:t>2,515</w:t>
            </w:r>
          </w:p>
        </w:tc>
        <w:tc>
          <w:tcPr>
            <w:tcW w:w="3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(7,562)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w w:val="90"/>
              </w:rPr>
              <w:t>Income from discontinued operations, net</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of tax</w:t>
            </w:r>
          </w:p>
        </w:tc>
        <w:tc>
          <w:tcPr>
            <w:tcW w:w="46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w w:val="95"/>
              </w:rPr>
              <w:t>Gain on discontinued operations, net of</w:t>
            </w:r>
          </w:p>
        </w:tc>
        <w:tc>
          <w:tcPr>
            <w:tcW w:w="460" w:type="dxa"/>
            <w:vAlign w:val="bottom"/>
          </w:tcPr>
          <w:p>
            <w:pPr>
              <w:spacing w:after="0"/>
              <w:rPr>
                <w:sz w:val="18"/>
                <w:szCs w:val="18"/>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8"/>
                <w:szCs w:val="18"/>
                <w:color w:val="auto"/>
              </w:rPr>
              <w:t>234</w:t>
            </w:r>
          </w:p>
        </w:tc>
        <w:tc>
          <w:tcPr>
            <w:tcW w:w="380" w:type="dxa"/>
            <w:vAlign w:val="bottom"/>
          </w:tcPr>
          <w:p>
            <w:pPr>
              <w:spacing w:after="0"/>
              <w:rPr>
                <w:sz w:val="18"/>
                <w:szCs w:val="18"/>
                <w:color w:val="auto"/>
              </w:rPr>
            </w:pPr>
          </w:p>
        </w:tc>
        <w:tc>
          <w:tcPr>
            <w:tcW w:w="860" w:type="dxa"/>
            <w:vAlign w:val="bottom"/>
            <w:vMerge w:val="restart"/>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tax</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8"/>
              </w:rPr>
              <w:t>2,143</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967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4"/>
              </w:rPr>
              <w:t>1,312</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97"/>
              </w:rPr>
              <w:t>1,470</w:t>
            </w:r>
          </w:p>
        </w:tc>
        <w:tc>
          <w:tcPr>
            <w:tcW w:w="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961</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2,852</w:t>
            </w:r>
          </w:p>
        </w:tc>
        <w:tc>
          <w:tcPr>
            <w:tcW w:w="380" w:type="dxa"/>
            <w:vAlign w:val="bottom"/>
            <w:tcBorders>
              <w:bottom w:val="single" w:sz="8" w:color="auto"/>
            </w:tcBorders>
            <w:shd w:val="clear" w:color="auto" w:fill="E5E5E5"/>
          </w:tcPr>
          <w:p>
            <w:pPr>
              <w:jc w:val="right"/>
              <w:ind w:right="4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(7,562)</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2,143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Nine Months Ended September 30, 2005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Non-</w:t>
            </w:r>
          </w:p>
        </w:tc>
        <w:tc>
          <w:tcPr>
            <w:tcW w:w="360" w:type="dxa"/>
            <w:vAlign w:val="bottom"/>
          </w:tcPr>
          <w:p>
            <w:pPr>
              <w:spacing w:after="0"/>
              <w:rPr>
                <w:sz w:val="12"/>
                <w:szCs w:val="12"/>
                <w:color w:val="auto"/>
              </w:rPr>
            </w:pPr>
          </w:p>
        </w:tc>
        <w:tc>
          <w:tcPr>
            <w:tcW w:w="840" w:type="dxa"/>
            <w:vAlign w:val="bottom"/>
          </w:tcPr>
          <w:p>
            <w:pPr>
              <w:jc w:val="center"/>
              <w:ind w:right="333"/>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Comcast</w:t>
            </w:r>
          </w:p>
        </w:tc>
        <w:tc>
          <w:tcPr>
            <w:tcW w:w="90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CCCL</w:t>
            </w:r>
          </w:p>
        </w:tc>
        <w:tc>
          <w:tcPr>
            <w:tcW w:w="8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CCCH</w:t>
            </w:r>
          </w:p>
        </w:tc>
        <w:tc>
          <w:tcPr>
            <w:tcW w:w="102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CCHMO</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Comcast</w:t>
            </w:r>
          </w:p>
        </w:tc>
        <w:tc>
          <w:tcPr>
            <w:tcW w:w="1120" w:type="dxa"/>
            <w:vAlign w:val="bottom"/>
            <w:gridSpan w:val="2"/>
          </w:tcPr>
          <w:p>
            <w:pPr>
              <w:jc w:val="right"/>
              <w:ind w:right="193"/>
              <w:spacing w:after="0" w:line="149" w:lineRule="exact"/>
              <w:rPr>
                <w:sz w:val="20"/>
                <w:szCs w:val="20"/>
                <w:color w:val="auto"/>
              </w:rPr>
            </w:pPr>
            <w:r>
              <w:rPr>
                <w:rFonts w:ascii="Arial" w:cs="Arial" w:eastAsia="Arial" w:hAnsi="Arial"/>
                <w:sz w:val="14"/>
                <w:szCs w:val="14"/>
                <w:b w:val="1"/>
                <w:bCs w:val="1"/>
                <w:color w:val="auto"/>
              </w:rPr>
              <w:t>Guarantor</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30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Parent</w:t>
            </w:r>
          </w:p>
        </w:tc>
        <w:tc>
          <w:tcPr>
            <w:tcW w:w="9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Parent</w:t>
            </w:r>
          </w:p>
        </w:tc>
        <w:tc>
          <w:tcPr>
            <w:tcW w:w="10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Parents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Holdings</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w w:val="98"/>
              </w:rPr>
              <w:t>15,659</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15,659</w:t>
            </w:r>
          </w:p>
        </w:tc>
      </w:tr>
      <w:tr>
        <w:trPr>
          <w:trHeight w:val="216"/>
        </w:trPr>
        <w:tc>
          <w:tcPr>
            <w:tcW w:w="20" w:type="dxa"/>
            <w:vAlign w:val="bottom"/>
          </w:tcPr>
          <w:p>
            <w:pPr>
              <w:spacing w:after="0"/>
              <w:rPr>
                <w:sz w:val="18"/>
                <w:szCs w:val="18"/>
                <w:color w:val="auto"/>
              </w:rPr>
            </w:pPr>
          </w:p>
        </w:tc>
        <w:tc>
          <w:tcPr>
            <w:tcW w:w="3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339</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207</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207</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(888)</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339</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207</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207</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8"/>
              </w:rPr>
              <w:t>15,659</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(888)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w:t>
            </w:r>
          </w:p>
        </w:tc>
      </w:tr>
      <w:tr>
        <w:trPr>
          <w:trHeight w:val="210"/>
        </w:trPr>
        <w:tc>
          <w:tcPr>
            <w:tcW w:w="20" w:type="dxa"/>
            <w:vAlign w:val="bottom"/>
          </w:tcPr>
          <w:p>
            <w:pPr>
              <w:spacing w:after="0"/>
              <w:rPr>
                <w:sz w:val="18"/>
                <w:szCs w:val="18"/>
                <w:color w:val="auto"/>
              </w:rPr>
            </w:pPr>
          </w:p>
        </w:tc>
        <w:tc>
          <w:tcPr>
            <w:tcW w:w="3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Operating (excluding depreciation)</w:t>
            </w:r>
          </w:p>
        </w:tc>
        <w:tc>
          <w:tcPr>
            <w:tcW w:w="4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5,570</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16"/>
        </w:trPr>
        <w:tc>
          <w:tcPr>
            <w:tcW w:w="20" w:type="dxa"/>
            <w:vAlign w:val="bottom"/>
          </w:tcPr>
          <w:p>
            <w:pPr>
              <w:spacing w:after="0"/>
              <w:rPr>
                <w:sz w:val="18"/>
                <w:szCs w:val="18"/>
                <w:color w:val="auto"/>
              </w:rPr>
            </w:pPr>
          </w:p>
        </w:tc>
        <w:tc>
          <w:tcPr>
            <w:tcW w:w="3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207</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4, 248</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(888)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4,057</w:t>
            </w: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2,521</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2,525</w:t>
            </w:r>
          </w:p>
        </w:tc>
      </w:tr>
      <w:tr>
        <w:trPr>
          <w:trHeight w:val="216"/>
        </w:trPr>
        <w:tc>
          <w:tcPr>
            <w:tcW w:w="20" w:type="dxa"/>
            <w:vAlign w:val="bottom"/>
          </w:tcPr>
          <w:p>
            <w:pPr>
              <w:spacing w:after="0"/>
              <w:rPr>
                <w:sz w:val="18"/>
                <w:szCs w:val="18"/>
                <w:color w:val="auto"/>
              </w:rPr>
            </w:pPr>
          </w:p>
        </w:tc>
        <w:tc>
          <w:tcPr>
            <w:tcW w:w="33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827</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835</w:t>
            </w: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130</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207</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207</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8"/>
              </w:rPr>
              <w:t>13,166</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(888)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12,987</w:t>
            </w:r>
          </w:p>
        </w:tc>
      </w:tr>
      <w:tr>
        <w:trPr>
          <w:trHeight w:val="210"/>
        </w:trPr>
        <w:tc>
          <w:tcPr>
            <w:tcW w:w="20" w:type="dxa"/>
            <w:vAlign w:val="bottom"/>
          </w:tcPr>
          <w:p>
            <w:pPr>
              <w:spacing w:after="0"/>
              <w:rPr>
                <w:sz w:val="18"/>
                <w:szCs w:val="18"/>
                <w:color w:val="auto"/>
              </w:rPr>
            </w:pPr>
          </w:p>
        </w:tc>
        <w:tc>
          <w:tcPr>
            <w:tcW w:w="33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2,493</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2,672</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5"/>
              </w:rPr>
              <w:t>(249)</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5"/>
              </w:rPr>
              <w:t>(247)</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(1,333)</w:t>
            </w: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3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5"/>
              </w:rPr>
              <w:t>Equity in net income (losses) of affiliates</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8"/>
              </w:rPr>
              <w:t>1,020</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519</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670</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771</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(3,823)</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20" w:type="dxa"/>
            <w:vAlign w:val="bottom"/>
          </w:tcPr>
          <w:p>
            <w:pPr>
              <w:spacing w:after="0"/>
              <w:rPr>
                <w:sz w:val="18"/>
                <w:szCs w:val="18"/>
                <w:color w:val="auto"/>
              </w:rPr>
            </w:pPr>
          </w:p>
        </w:tc>
        <w:tc>
          <w:tcPr>
            <w:tcW w:w="330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582</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656</w:t>
            </w: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272</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437</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659</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(3,823)</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(1,374)</w:t>
            </w:r>
          </w:p>
        </w:tc>
      </w:tr>
      <w:tr>
        <w:trPr>
          <w:trHeight w:val="201"/>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w w:val="93"/>
              </w:rPr>
              <w:t>before income taxes and minority interest</w:t>
            </w:r>
          </w:p>
        </w:tc>
        <w:tc>
          <w:tcPr>
            <w:tcW w:w="4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272</w:t>
            </w:r>
          </w:p>
        </w:tc>
        <w:tc>
          <w:tcPr>
            <w:tcW w:w="3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437</w:t>
            </w:r>
          </w:p>
        </w:tc>
        <w:tc>
          <w:tcPr>
            <w:tcW w:w="3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2,336</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(3,823)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18"/>
        </w:trPr>
        <w:tc>
          <w:tcPr>
            <w:tcW w:w="20" w:type="dxa"/>
            <w:vAlign w:val="bottom"/>
          </w:tcPr>
          <w:p>
            <w:pPr>
              <w:spacing w:after="0"/>
              <w:rPr>
                <w:sz w:val="18"/>
                <w:szCs w:val="18"/>
                <w:color w:val="auto"/>
              </w:rPr>
            </w:pPr>
          </w:p>
        </w:tc>
        <w:tc>
          <w:tcPr>
            <w:tcW w:w="3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(929)</w:t>
            </w:r>
          </w:p>
        </w:tc>
        <w:tc>
          <w:tcPr>
            <w:tcW w:w="3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(570)</w:t>
            </w:r>
          </w:p>
        </w:tc>
      </w:tr>
      <w:tr>
        <w:trPr>
          <w:trHeight w:val="201"/>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before minority interest</w:t>
            </w:r>
          </w:p>
        </w:tc>
        <w:tc>
          <w:tcPr>
            <w:tcW w:w="480" w:type="dxa"/>
            <w:vAlign w:val="bottom"/>
          </w:tcPr>
          <w:p>
            <w:pPr>
              <w:spacing w:after="0"/>
              <w:rPr>
                <w:sz w:val="19"/>
                <w:szCs w:val="19"/>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358</w:t>
            </w:r>
          </w:p>
        </w:tc>
        <w:tc>
          <w:tcPr>
            <w:tcW w:w="3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519</w:t>
            </w:r>
          </w:p>
        </w:tc>
        <w:tc>
          <w:tcPr>
            <w:tcW w:w="3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689</w:t>
            </w:r>
          </w:p>
        </w:tc>
        <w:tc>
          <w:tcPr>
            <w:tcW w:w="32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1,407</w:t>
            </w:r>
          </w:p>
        </w:tc>
        <w:tc>
          <w:tcPr>
            <w:tcW w:w="36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(3,823)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8"/>
        </w:trPr>
        <w:tc>
          <w:tcPr>
            <w:tcW w:w="20" w:type="dxa"/>
            <w:vAlign w:val="bottom"/>
          </w:tcPr>
          <w:p>
            <w:pPr>
              <w:spacing w:after="0"/>
              <w:rPr>
                <w:sz w:val="18"/>
                <w:szCs w:val="18"/>
                <w:color w:val="auto"/>
              </w:rPr>
            </w:pPr>
          </w:p>
        </w:tc>
        <w:tc>
          <w:tcPr>
            <w:tcW w:w="330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4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358</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519</w:t>
            </w:r>
          </w:p>
        </w:tc>
        <w:tc>
          <w:tcPr>
            <w:tcW w:w="36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689</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1,400</w:t>
            </w:r>
          </w:p>
        </w:tc>
        <w:tc>
          <w:tcPr>
            <w:tcW w:w="36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(3,823)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08"/>
        </w:trPr>
        <w:tc>
          <w:tcPr>
            <w:tcW w:w="20" w:type="dxa"/>
            <w:vAlign w:val="bottom"/>
          </w:tcPr>
          <w:p>
            <w:pPr>
              <w:spacing w:after="0"/>
              <w:rPr>
                <w:sz w:val="18"/>
                <w:szCs w:val="18"/>
                <w:color w:val="auto"/>
              </w:rPr>
            </w:pPr>
          </w:p>
        </w:tc>
        <w:tc>
          <w:tcPr>
            <w:tcW w:w="3300" w:type="dxa"/>
            <w:vAlign w:val="bottom"/>
            <w:shd w:val="clear" w:color="auto" w:fill="E5E5E5"/>
          </w:tcPr>
          <w:p>
            <w:pPr>
              <w:spacing w:after="0"/>
              <w:rPr>
                <w:sz w:val="20"/>
                <w:szCs w:val="20"/>
                <w:color w:val="auto"/>
              </w:rPr>
            </w:pPr>
            <w:r>
              <w:rPr>
                <w:rFonts w:ascii="Arial" w:cs="Arial" w:eastAsia="Arial" w:hAnsi="Arial"/>
                <w:sz w:val="18"/>
                <w:szCs w:val="18"/>
                <w:color w:val="auto"/>
                <w:w w:val="93"/>
              </w:rPr>
              <w:t>Income from discontinued operations, net of</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tax</w:t>
            </w:r>
          </w:p>
        </w:tc>
        <w:tc>
          <w:tcPr>
            <w:tcW w:w="4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74</w:t>
            </w:r>
          </w:p>
        </w:tc>
        <w:tc>
          <w:tcPr>
            <w:tcW w:w="3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5"/>
              </w:rPr>
              <w:t>Gain on discontinued operations, net of tax</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3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795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783</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9"/>
              </w:rPr>
              <w:t>358</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519</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689</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1,474</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(3,823)</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795</w:t>
            </w:r>
          </w:p>
        </w:tc>
      </w:tr>
      <w:tr>
        <w:trPr>
          <w:trHeight w:val="36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ind w:right="212"/>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Nine Months Ended September 30, 2006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76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0"/>
              </w:rPr>
              <w:t>and</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6"/>
              </w:rPr>
              <w:t>Net cash provided by (used in) operating activities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95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12"/>
              <w:spacing w:after="0"/>
              <w:rPr>
                <w:sz w:val="20"/>
                <w:szCs w:val="20"/>
                <w:color w:val="auto"/>
              </w:rPr>
            </w:pPr>
            <w:r>
              <w:rPr>
                <w:rFonts w:ascii="Arial" w:cs="Arial" w:eastAsia="Arial" w:hAnsi="Arial"/>
                <w:sz w:val="18"/>
                <w:szCs w:val="18"/>
                <w:color w:val="auto"/>
                <w:w w:val="85"/>
              </w:rPr>
              <w:t>(168)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(196)</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(234)</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5,588</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5,960</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5,970</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5"/>
              </w:rPr>
              <w:t>(619)</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(988)</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(2,222)</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(1,882)</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financing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7"/>
              </w:rPr>
              <w:t>3,668</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5"/>
              </w:rPr>
              <w:t>(619)</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(988)</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(3,800)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787</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196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7"/>
              </w:rPr>
              <w:t>1,222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1,604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(3,046)</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(3,839)</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0"/>
              </w:rPr>
              <w:t>Proceeds from sales and restructuring of investments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2,462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2,519</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08"/>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 net</w:t>
            </w:r>
          </w:p>
        </w:tc>
        <w:tc>
          <w:tcPr>
            <w:tcW w:w="3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15</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investing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(3,758)</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787</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196</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7"/>
              </w:rPr>
              <w:t>1,222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(3,505)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(5,057)</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2,055</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2,748</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2,774</w:t>
            </w: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Nine Months Ended September 30, 2005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40" w:type="dxa"/>
            <w:vAlign w:val="bottom"/>
          </w:tcPr>
          <w:p>
            <w:pPr>
              <w:spacing w:after="0"/>
              <w:rPr>
                <w:sz w:val="12"/>
                <w:szCs w:val="12"/>
                <w:color w:val="auto"/>
              </w:rPr>
            </w:pPr>
          </w:p>
        </w:tc>
        <w:tc>
          <w:tcPr>
            <w:tcW w:w="74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Comcast</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CCCL</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Comcast</w:t>
            </w:r>
          </w:p>
        </w:tc>
        <w:tc>
          <w:tcPr>
            <w:tcW w:w="106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0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w w:val="94"/>
              </w:rPr>
              <w:t>Net cash provided by (used in) operating activities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0"/>
              </w:rPr>
              <w:t>(175)</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0"/>
              </w:rPr>
              <w:t>(175)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(374)</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(114)</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4,626</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w:t>
            </w:r>
          </w:p>
        </w:tc>
      </w:tr>
      <w:tr>
        <w:trPr>
          <w:trHeight w:val="210"/>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2,332</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2,333</w:t>
            </w: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1"/>
              </w:rPr>
              <w:t>(1,590)</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(1,942)</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w w:val="87"/>
              </w:rPr>
              <w:t>(1,291)</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76</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5"/>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7"/>
              </w:rPr>
              <w:t>1,116</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1"/>
              </w:rPr>
              <w:t>(1,590)</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(312)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(797)</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(1,268)</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1,964</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(1,171)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(2,753)</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88"/>
              </w:rPr>
              <w:t>Proceeds from sales and restructuring of investments</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08"/>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 net</w:t>
            </w:r>
          </w:p>
        </w:tc>
        <w:tc>
          <w:tcPr>
            <w:tcW w:w="3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(66)</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5"/>
              </w:rPr>
              <w:t>Net cash provided by (used in) investing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(1,268)</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175</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1,964</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(4,187)</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(3,016)</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452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452</w:t>
            </w: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579</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r>
      <w:tr>
        <w:trPr>
          <w:trHeight w:val="36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the nation’s largest broadband cable provider and offer a wide variety of consumer entertainment and communication products and services, serving approximately 24 million video subscribers, 11 million high-speed Internet subscribers and 2 million phone subscribers as of September 30, 2006. We also have a controlling interest in six national cable networks (E! Entertainment Television; Style Network; The Golf Channel; VERSUS (formerly known as OLN); G4; and AZN Television) and other entertainment-related businesses. We classify our operations in two reportable segments: Cable and Content. Our Cable segment develops, manages and operates our broadband cable systems, including video, high-speed Internet and phone services. The majority of our Cable segment revenue is earned from monthly subscriptions for these cable services. Other revenue sources include advertising and the operation of our regional sports and news networks. The Cable segment generates more than 95% of our consolidated revenues. Revenue from our Content segment is earned primarily from advertising revenues and from monthly per subscriber license fees paid by cable system operators and satellite television companies.</w:t>
      </w:r>
    </w:p>
    <w:p>
      <w:pPr>
        <w:spacing w:after="0" w:line="2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Financial results for the three and nine months ended September 30, 2006, reflect the completion of the previously reported transactions with Adelphia and Time Warner, including significant non-operating gains and the presentation of our cable systems located in Cleveland, Dallas and Los Angeles as discontinued operations. These items had a significant impact on our net income for the periods presented and are discussed separately below. In addition to these significant non-recurring items, highlights for the nine months ended September 30, 2006 include the following:</w:t>
      </w:r>
    </w:p>
    <w:p>
      <w:pPr>
        <w:spacing w:after="0" w:line="18" w:lineRule="exact"/>
        <w:rPr>
          <w:sz w:val="20"/>
          <w:szCs w:val="20"/>
          <w:color w:val="auto"/>
        </w:rPr>
      </w:pPr>
    </w:p>
    <w:p>
      <w:pPr>
        <w:jc w:val="both"/>
        <w:ind w:left="1020" w:right="1240" w:hanging="215"/>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growth of 15.7% and operating income before depreciation and amortization growth of 17.7% in our Cable segment compared to the same period in 2005, driven by continued growth in our digital cable and high-speed Internet services, rate increases in our video services and the results of the new systems</w:t>
      </w:r>
    </w:p>
    <w:p>
      <w:pPr>
        <w:spacing w:after="0" w:line="4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subscriber growth associated with our historical cable systems for digital (approximately 1.2 million), high-speed Internet (approximately 1.2 million) and Comcast Digital Voice (approximately 1.0 million) services since December 31, 2005</w:t>
      </w:r>
    </w:p>
    <w:p>
      <w:pPr>
        <w:spacing w:after="0" w:line="1" w:lineRule="exact"/>
        <w:rPr>
          <w:rFonts w:ascii="Arial" w:cs="Arial" w:eastAsia="Arial" w:hAnsi="Arial"/>
          <w:sz w:val="16"/>
          <w:szCs w:val="16"/>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dissolution of the Texas and Kansas City Cable Partnership (see below) that we expect will ultimately result in us acquiring cable systems serving Houston, Texas.</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participation in a consortium of investors (“SpectrumCo, LLC”) that was a winning bidder in the advanced wireless spectrum auction (see Note 4)</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of the cable systems of Susquehanna Communications, located in Pennsylvania, New York, Maine, and Mississippi (see Note 4)</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repurchase of approximately 64 million shares of our Class A Special common stock pursuant to our Board-authorized share repurchase program for approximately $1.9 billion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and Time Warner Transactions</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2005, we entered into an agreement with Adelphia, in which we agreed to acquire certain assets and assume certain liabilities of Adelphia (the “Adelphia Acquisition”). At the same time, we and Time Warner Cable Inc. and certain of its affiliates (“TWC”) entered into several agreements in which we agreed to</w:t>
      </w:r>
    </w:p>
    <w:p>
      <w:pPr>
        <w:jc w:val="both"/>
        <w:ind w:firstLine="8"/>
        <w:spacing w:after="0" w:line="254" w:lineRule="auto"/>
        <w:tabs>
          <w:tab w:leader="none" w:pos="242"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our interests in Time Warner Entertainment Company, L.P. (“TWE”) redeemed, (ii) have our interest in TWC redeemed (together with the TWE redemption, the “Redemptions”), and (iii) exchange certain cable systems acquired from Adelphia and certain historic Comcast cable systems with TWC (the “Exchanges”). On July 31, 2006, these transactions were completed. We collectively refer to the Adelphia Acquisition, the Redemptions and the Exchanges as the “Adelphia and Time Warner transactions” (see Note 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Adelphia and Time Warner transactions resulted in a net increase of 1.7 million video subscribers, a net cash payment by us of approximately $1.5 billion and the disposition of our ownership interests in TWE and TWC and the assets of two cable system partnerships. As a result of these transactions, we recognized gains, that are included in investment income (loss), net, of $694 million (see Note 5). The operating results of our historic Comcast cable systems located in Los Angeles, Dallas and Cleveland, included in the Exchanges, are reported as discontinued operations for all periods presented. As a result of the Exchanges, we also recognized a gain on the sale of discontinued operations of $234 million, net of tax of $563 million.</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valuations of assets acquired and estimated gains on these transactions are based on preliminary third-party valuations. Refinements may occur as these valuations are finalized.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of Texas and Kansas City Cable Partnership</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2006, we initiated the dissolution of our 50/50 cable system partnership with TWC, known as Texas and Kansas City Cable Partners, L.P. (see Note 4). The partnership consisted of two asset pools. One pool consisted of the cable systems serving Houston, Texas (“Houston Asset Pool”) and the other pool consisted of cable systems serving Kansas City, south and west Texas and New Mexico (“Kansas City Asset Pool”). In August 2006, TWC notified us that it selected the Kansas City Asset Pool and accordingly, we will receive the Houston Asset Pool. As a result, the economic return to us on our interest in the partnership tracks the performance of the Houston Asset Pool and we are no longer entitled to any benefits of ownership or responsible for the obligations of the Kansas City Asset Pool. For segment reporting purposes, we have included the operating results of the Houston Asset Pool in our Cable segment’s operating results beginning August 1, 2006 (the selection date). However, for our consolidated operating results the partnership will continue to be treated as an equity method investment until the distribution date of the Houston Asset Pool. Accordingly, the operating results of the Houston Asset Pool are reversed in the Eliminations column to reconcile to our consolidated operating results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132715</wp:posOffset>
            </wp:positionV>
            <wp:extent cx="15347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provides further details of these highlights and insights into our consolidated financial statements, including discussion of our results of operations and our 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w w:val="99"/>
              </w:rPr>
              <w:t>Nine Months Ended</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520" w:type="dxa"/>
            <w:vAlign w:val="bottom"/>
          </w:tcPr>
          <w:p>
            <w:pPr>
              <w:spacing w:after="0"/>
              <w:rPr>
                <w:sz w:val="15"/>
                <w:szCs w:val="15"/>
                <w:color w:val="auto"/>
              </w:rPr>
            </w:pPr>
          </w:p>
        </w:tc>
        <w:tc>
          <w:tcPr>
            <w:tcW w:w="17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tcPr>
          <w:p>
            <w:pPr>
              <w:jc w:val="right"/>
              <w:ind w:right="315"/>
              <w:spacing w:after="0"/>
              <w:rPr>
                <w:sz w:val="20"/>
                <w:szCs w:val="20"/>
                <w:color w:val="auto"/>
              </w:rPr>
            </w:pPr>
            <w:r>
              <w:rPr>
                <w:rFonts w:ascii="Arial" w:cs="Arial" w:eastAsia="Arial" w:hAnsi="Arial"/>
                <w:sz w:val="14"/>
                <w:szCs w:val="14"/>
                <w:b w:val="1"/>
                <w:bCs w:val="1"/>
                <w:color w:val="auto"/>
                <w:w w:val="98"/>
              </w:rPr>
              <w:t>Increase /(Decrease)</w:t>
            </w:r>
          </w:p>
        </w:tc>
        <w:tc>
          <w:tcPr>
            <w:tcW w:w="300" w:type="dxa"/>
            <w:vAlign w:val="bottom"/>
          </w:tcPr>
          <w:p>
            <w:pPr>
              <w:spacing w:after="0"/>
              <w:rPr>
                <w:sz w:val="15"/>
                <w:szCs w:val="15"/>
                <w:color w:val="auto"/>
              </w:rPr>
            </w:pPr>
          </w:p>
        </w:tc>
        <w:tc>
          <w:tcPr>
            <w:tcW w:w="18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2005</w:t>
            </w:r>
          </w:p>
        </w:tc>
        <w:tc>
          <w:tcPr>
            <w:tcW w:w="1760" w:type="dxa"/>
            <w:vAlign w:val="bottom"/>
            <w:tcBorders>
              <w:top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2005 to 2006</w:t>
            </w: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2005</w:t>
            </w:r>
          </w:p>
        </w:tc>
        <w:tc>
          <w:tcPr>
            <w:tcW w:w="156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2005 to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w w:val="93"/>
              </w:rPr>
              <w:t>6,432</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5,284</w:t>
            </w:r>
          </w:p>
        </w:tc>
        <w:tc>
          <w:tcPr>
            <w:tcW w:w="176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21.7%</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w w:val="83"/>
              </w:rPr>
              <w:t>17,935</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3"/>
              </w:rPr>
              <w:t>15,659</w:t>
            </w:r>
          </w:p>
        </w:tc>
        <w:tc>
          <w:tcPr>
            <w:tcW w:w="1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E5E5E5"/>
          </w:tcPr>
          <w:p>
            <w:pPr>
              <w:ind w:left="420"/>
              <w:spacing w:after="0"/>
              <w:rPr>
                <w:sz w:val="20"/>
                <w:szCs w:val="20"/>
                <w:color w:val="auto"/>
              </w:rPr>
            </w:pPr>
            <w:r>
              <w:rPr>
                <w:rFonts w:ascii="Arial" w:cs="Arial" w:eastAsia="Arial" w:hAnsi="Arial"/>
                <w:sz w:val="18"/>
                <w:szCs w:val="18"/>
                <w:color w:val="auto"/>
                <w:w w:val="88"/>
              </w:rPr>
              <w:t>Operating, selling, general and administrative</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5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E5E5E5"/>
          </w:tcPr>
          <w:p>
            <w:pPr>
              <w:ind w:left="640"/>
              <w:spacing w:after="0"/>
              <w:rPr>
                <w:sz w:val="20"/>
                <w:szCs w:val="20"/>
                <w:color w:val="auto"/>
              </w:rPr>
            </w:pPr>
            <w:r>
              <w:rPr>
                <w:rFonts w:ascii="Arial" w:cs="Arial" w:eastAsia="Arial" w:hAnsi="Arial"/>
                <w:sz w:val="18"/>
                <w:szCs w:val="18"/>
                <w:color w:val="auto"/>
              </w:rPr>
              <w:t>(excluding depreciation)</w:t>
            </w:r>
          </w:p>
        </w:tc>
        <w:tc>
          <w:tcPr>
            <w:tcW w:w="5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93"/>
              </w:rPr>
              <w:t>3,995</w:t>
            </w:r>
          </w:p>
        </w:tc>
        <w:tc>
          <w:tcPr>
            <w:tcW w:w="3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3,288</w:t>
            </w:r>
          </w:p>
        </w:tc>
        <w:tc>
          <w:tcPr>
            <w:tcW w:w="176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83"/>
              </w:rPr>
              <w:t>11,087</w:t>
            </w: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9,627</w:t>
            </w:r>
          </w:p>
        </w:tc>
        <w:tc>
          <w:tcPr>
            <w:tcW w:w="15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8"/>
                <w:szCs w:val="18"/>
                <w:color w:val="auto"/>
              </w:rPr>
              <w:t>963</w:t>
            </w:r>
          </w:p>
        </w:tc>
        <w:tc>
          <w:tcPr>
            <w:tcW w:w="3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863</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2,748</w:t>
            </w:r>
          </w:p>
        </w:tc>
        <w:tc>
          <w:tcPr>
            <w:tcW w:w="3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2,525</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292</w:t>
            </w:r>
          </w:p>
        </w:tc>
        <w:tc>
          <w:tcPr>
            <w:tcW w:w="176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699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835</w:t>
            </w:r>
          </w:p>
        </w:tc>
        <w:tc>
          <w:tcPr>
            <w:tcW w:w="15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8"/>
                <w:szCs w:val="18"/>
                <w:color w:val="auto"/>
                <w:w w:val="93"/>
              </w:rPr>
              <w:t>1,224</w:t>
            </w:r>
          </w:p>
        </w:tc>
        <w:tc>
          <w:tcPr>
            <w:tcW w:w="3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841</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3,401</w:t>
            </w:r>
          </w:p>
        </w:tc>
        <w:tc>
          <w:tcPr>
            <w:tcW w:w="3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2,672</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 items, net</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358</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(525)</w:t>
            </w:r>
          </w:p>
        </w:tc>
        <w:tc>
          <w:tcPr>
            <w:tcW w:w="176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(168.2)</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(459)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1"/>
              </w:rPr>
              <w:t>(1,374)</w:t>
            </w:r>
          </w:p>
        </w:tc>
        <w:tc>
          <w:tcPr>
            <w:tcW w:w="156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color w:val="auto"/>
              </w:rPr>
              <w:t>(66.6)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2"/>
              </w:rPr>
              <w:t>Income before income taxes and minority interest</w:t>
            </w:r>
          </w:p>
        </w:tc>
        <w:tc>
          <w:tcPr>
            <w:tcW w:w="5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8"/>
                <w:szCs w:val="18"/>
                <w:color w:val="auto"/>
                <w:w w:val="93"/>
              </w:rPr>
              <w:t>1,582</w:t>
            </w:r>
          </w:p>
        </w:tc>
        <w:tc>
          <w:tcPr>
            <w:tcW w:w="3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316</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400.6</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2,942</w:t>
            </w:r>
          </w:p>
        </w:tc>
        <w:tc>
          <w:tcPr>
            <w:tcW w:w="3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1,298</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(610)</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(129)</w:t>
            </w:r>
          </w:p>
        </w:tc>
        <w:tc>
          <w:tcPr>
            <w:tcW w:w="17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372.9</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91"/>
              </w:rPr>
              <w:t>(1,126)</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(570)</w:t>
            </w:r>
          </w:p>
        </w:tc>
        <w:tc>
          <w:tcPr>
            <w:tcW w:w="15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520" w:type="dxa"/>
            <w:vAlign w:val="bottom"/>
          </w:tcPr>
          <w:p>
            <w:pPr>
              <w:spacing w:after="0"/>
              <w:rPr>
                <w:sz w:val="18"/>
                <w:szCs w:val="18"/>
                <w:color w:val="auto"/>
              </w:rPr>
            </w:pPr>
          </w:p>
        </w:tc>
        <w:tc>
          <w:tcPr>
            <w:tcW w:w="720" w:type="dxa"/>
            <w:vAlign w:val="bottom"/>
          </w:tcPr>
          <w:p>
            <w:pPr>
              <w:jc w:val="right"/>
              <w:ind w:right="197"/>
              <w:spacing w:after="0"/>
              <w:rPr>
                <w:sz w:val="20"/>
                <w:szCs w:val="20"/>
                <w:color w:val="auto"/>
              </w:rPr>
            </w:pPr>
            <w:r>
              <w:rPr>
                <w:rFonts w:ascii="Arial" w:cs="Arial" w:eastAsia="Arial" w:hAnsi="Arial"/>
                <w:sz w:val="18"/>
                <w:szCs w:val="18"/>
                <w:color w:val="auto"/>
              </w:rPr>
              <w:t>972</w:t>
            </w:r>
          </w:p>
        </w:tc>
        <w:tc>
          <w:tcPr>
            <w:tcW w:w="34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187</w:t>
            </w:r>
          </w:p>
        </w:tc>
        <w:tc>
          <w:tcPr>
            <w:tcW w:w="1760" w:type="dxa"/>
            <w:vAlign w:val="bottom"/>
          </w:tcPr>
          <w:p>
            <w:pPr>
              <w:jc w:val="right"/>
              <w:ind w:right="315"/>
              <w:spacing w:after="0"/>
              <w:rPr>
                <w:sz w:val="20"/>
                <w:szCs w:val="20"/>
                <w:color w:val="auto"/>
              </w:rPr>
            </w:pPr>
            <w:r>
              <w:rPr>
                <w:rFonts w:ascii="Arial" w:cs="Arial" w:eastAsia="Arial" w:hAnsi="Arial"/>
                <w:sz w:val="18"/>
                <w:szCs w:val="18"/>
                <w:color w:val="auto"/>
              </w:rPr>
              <w:t>419.8</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1,816</w:t>
            </w:r>
          </w:p>
        </w:tc>
        <w:tc>
          <w:tcPr>
            <w:tcW w:w="3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728</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Minority interest</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11</w:t>
            </w:r>
          </w:p>
        </w:tc>
        <w:tc>
          <w:tcPr>
            <w:tcW w:w="17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w:t>
            </w:r>
          </w:p>
        </w:tc>
        <w:tc>
          <w:tcPr>
            <w:tcW w:w="15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969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198</w:t>
            </w:r>
          </w:p>
        </w:tc>
        <w:tc>
          <w:tcPr>
            <w:tcW w:w="1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389.4%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1,806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721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segment and Content segment accounted for substantially all of the increases in consolidated revenues for the three and nine months ended September 30, 2006, compared to the same periods in 2005. Cable segment and Content segment revenues are discussed separately below in “Segment Operating Results.” The remaining changes relate to our other business activities, primarily Comcast Spectacor, whose revenues increased for the nine months ended September 30, 2006, reflecting the return of National Hockey League (“NHL”) games for the 2005/2006 season.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segment and Content segment accounted for substantially all of the increases in consolidated operating, selling, general and administrative expenses for the three and nine months ended September 30, 2006, compared to the same periods in 2005. Cable segment and Content segment operating, selling, general and administrative expenses are discussed separately below in “Segment Operating Results.” The remaining changes relate to our other business activities, primarily Comcast Spectacor and the impact of adopting Statement of Financial Accounting Standards (“SFAS”) No. 123R, “Share-Based Payment” (“SFAS No. 123R”).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SFAS No. 123R</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January 1, 2006, we adopted SFAS No. 123R using the Modified Prospective Approach. SFAS No. 123R revises SFAS No. 123, “Accounting for Stock-Based Compensation” (“SFAS No. 123”) and supersedes Accounting Principles Board (“APB”) Opinion No. 25, “Accounting for Stock Issued to Employees” (“APB No. 25”). SFAS No. 123R requires the cost of all share-based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annual increase in share-based compensation expense relating to the adoption of SFAS No. 123R, including the estimated impact of 2006 share-based awards, is expected to be approximately $135 million in 2006. The incremental pre-tax share-based compensation expense recognized due to the adoption of SFAS No. 123R for the three and nine months ended September 30, 2006, was $31 million and $98 million respectively. Total share-based compensation expense recognized under SFAS No. 123R, including the incremental pre-tax share-based compensation expense above, was $49 million and $145 million, respectively, for the three and nine months ended September 30, 2006. Share-based compensation expense is reflected in the operating results of each segment (see Note 8 and Note 11 to our consolidated financial statements for further detail).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increases in depreciation expense for the three and nine months ended September 30, 2006, compared to the same periods in 2005 are primarily due to the effects of capital expenditures in our Cable segment and the depreciation associated with the new cable systems acquired in the Adelphia and Time Warner transactions.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decreases in amortization expense for the three and nine months ended September 30, 2006, compared to the same periods in 2005 are primarily due to the decrease in the amortization of our franchise-related customer relationship intangible assets in our Cable segment, partially offset by increased amortization expense related to software-related intangibles acquired in various transactions in 2005.</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adjustments have been made to the 2005 segment presentation to conform to our 2006 management reporting presentation. These adjustments primarily relate to the adoption of SFAS No. 123R and are further discussed in Note 11(f) to our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(“GAAP”) in the business segment footnote to our consolidated financial statements. You should not consider this measure a substitute for operating income (loss), net income (loss), net cash provided by operating activities, or other measures of performance or liquidity we have reported in accordance with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Results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Adelphia and Time Warner transactions (closed July 31, 2006), the inclusion of the operating results of the cable systems serving Houston, Texas (effective August 1, 2006) and the acquisition of the cable systems of Susquehanna Communications (closed April 30, 2006) (collectively the “new systems”) have impacted the comparability of the results of operations of our Cable segment. The following table presents our Cable segment operating results:</w:t>
      </w:r>
    </w:p>
    <w:tbl>
      <w:tblPr>
        <w:tblLayout w:type="fixed"/>
        <w:tblInd w:w="5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00" w:type="dxa"/>
            <w:vAlign w:val="bottom"/>
            <w:gridSpan w:val="3"/>
          </w:tcPr>
          <w:p>
            <w:pPr>
              <w:jc w:val="center"/>
              <w:ind w:right="294"/>
              <w:spacing w:after="0" w:line="156" w:lineRule="exact"/>
              <w:rPr>
                <w:sz w:val="20"/>
                <w:szCs w:val="20"/>
                <w:color w:val="auto"/>
              </w:rPr>
            </w:pPr>
            <w:r>
              <w:rPr>
                <w:rFonts w:ascii="Arial" w:cs="Arial" w:eastAsia="Arial" w:hAnsi="Arial"/>
                <w:sz w:val="14"/>
                <w:szCs w:val="14"/>
                <w:b w:val="1"/>
                <w:bCs w:val="1"/>
                <w:color w:val="auto"/>
                <w:w w:val="89"/>
              </w:rPr>
              <w:t>Three Months Ended</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w w:val="99"/>
              </w:rPr>
              <w:t>Increase/(Decrease)</w:t>
            </w: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72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2"/>
                <w:szCs w:val="12"/>
                <w:color w:val="auto"/>
              </w:rPr>
            </w:pPr>
          </w:p>
        </w:tc>
        <w:tc>
          <w:tcPr>
            <w:tcW w:w="880" w:type="dxa"/>
            <w:vAlign w:val="bottom"/>
          </w:tcPr>
          <w:p>
            <w:pPr>
              <w:jc w:val="right"/>
              <w:ind w:right="596"/>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14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3,953</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3,228</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725</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High-speed Internet</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1,322</w:t>
            </w:r>
          </w:p>
        </w:tc>
        <w:tc>
          <w:tcPr>
            <w:tcW w:w="42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962</w:t>
            </w:r>
          </w:p>
        </w:tc>
        <w:tc>
          <w:tcPr>
            <w:tcW w:w="4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8"/>
                <w:szCs w:val="18"/>
                <w:color w:val="auto"/>
              </w:rPr>
              <w:t>360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8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92</w:t>
            </w:r>
          </w:p>
        </w:tc>
        <w:tc>
          <w:tcPr>
            <w:tcW w:w="10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Advertising</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8"/>
                <w:szCs w:val="18"/>
                <w:color w:val="auto"/>
              </w:rPr>
              <w:t>68</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224</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14</w:t>
            </w:r>
          </w:p>
        </w:tc>
        <w:tc>
          <w:tcPr>
            <w:tcW w:w="10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Franchise fees</w:t>
            </w:r>
          </w:p>
        </w:tc>
        <w:tc>
          <w:tcPr>
            <w:tcW w:w="8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187</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162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6,312</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5,028</w:t>
            </w:r>
          </w:p>
        </w:tc>
        <w:tc>
          <w:tcPr>
            <w:tcW w:w="4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w w:val="97"/>
              </w:rPr>
              <w:t>1,284</w:t>
            </w:r>
          </w:p>
        </w:tc>
        <w:tc>
          <w:tcPr>
            <w:tcW w:w="10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2,253</w:t>
            </w:r>
          </w:p>
        </w:tc>
        <w:tc>
          <w:tcPr>
            <w:tcW w:w="42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1,784</w:t>
            </w:r>
          </w:p>
        </w:tc>
        <w:tc>
          <w:tcPr>
            <w:tcW w:w="4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8"/>
                <w:szCs w:val="18"/>
                <w:color w:val="auto"/>
              </w:rPr>
              <w:t>469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E5E5E5"/>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1,552</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1,253</w:t>
            </w:r>
          </w:p>
        </w:tc>
        <w:tc>
          <w:tcPr>
            <w:tcW w:w="4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299</w:t>
            </w:r>
          </w:p>
        </w:tc>
        <w:tc>
          <w:tcPr>
            <w:tcW w:w="10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w w:val="96"/>
              </w:rPr>
              <w:t>Operating income before 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7"/>
              <w:spacing w:after="0"/>
              <w:rPr>
                <w:sz w:val="20"/>
                <w:szCs w:val="20"/>
                <w:color w:val="auto"/>
              </w:rPr>
            </w:pPr>
            <w:r>
              <w:rPr>
                <w:rFonts w:ascii="Arial" w:cs="Arial" w:eastAsia="Arial" w:hAnsi="Arial"/>
                <w:sz w:val="18"/>
                <w:szCs w:val="18"/>
                <w:b w:val="1"/>
                <w:bCs w:val="1"/>
                <w:color w:val="auto"/>
              </w:rPr>
              <w:t>2,507</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b w:val="1"/>
                <w:bCs w:val="1"/>
                <w:color w:val="auto"/>
                <w:w w:val="93"/>
              </w:rPr>
              <w:t>1,991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6"/>
              <w:spacing w:after="0"/>
              <w:rPr>
                <w:sz w:val="20"/>
                <w:szCs w:val="20"/>
                <w:color w:val="auto"/>
              </w:rPr>
            </w:pPr>
            <w:r>
              <w:rPr>
                <w:rFonts w:ascii="Arial" w:cs="Arial" w:eastAsia="Arial" w:hAnsi="Arial"/>
                <w:sz w:val="18"/>
                <w:szCs w:val="18"/>
                <w:b w:val="1"/>
                <w:bCs w:val="1"/>
                <w:color w:val="auto"/>
              </w:rPr>
              <w:t>516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gridSpan w:val="3"/>
          </w:tcPr>
          <w:p>
            <w:pPr>
              <w:jc w:val="center"/>
              <w:ind w:right="294"/>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w w:val="99"/>
              </w:rPr>
              <w:t>Increase/(Decrease)</w:t>
            </w: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72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2"/>
                <w:szCs w:val="12"/>
                <w:color w:val="auto"/>
              </w:rPr>
            </w:pPr>
          </w:p>
        </w:tc>
        <w:tc>
          <w:tcPr>
            <w:tcW w:w="880" w:type="dxa"/>
            <w:vAlign w:val="bottom"/>
          </w:tcPr>
          <w:p>
            <w:pPr>
              <w:jc w:val="right"/>
              <w:ind w:right="596"/>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14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w w:val="83"/>
              </w:rPr>
              <w:t>10,882</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9,673</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w w:val="97"/>
              </w:rPr>
              <w:t>1,209</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High-speed Internet</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3,532</w:t>
            </w:r>
          </w:p>
        </w:tc>
        <w:tc>
          <w:tcPr>
            <w:tcW w:w="42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2,760</w:t>
            </w:r>
          </w:p>
        </w:tc>
        <w:tc>
          <w:tcPr>
            <w:tcW w:w="4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8"/>
                <w:szCs w:val="18"/>
                <w:color w:val="auto"/>
              </w:rPr>
              <w:t>772</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8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611</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462</w:t>
            </w:r>
          </w:p>
        </w:tc>
        <w:tc>
          <w:tcPr>
            <w:tcW w:w="4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149</w:t>
            </w:r>
          </w:p>
        </w:tc>
        <w:tc>
          <w:tcPr>
            <w:tcW w:w="10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Advertising</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1,036</w:t>
            </w:r>
          </w:p>
        </w:tc>
        <w:tc>
          <w:tcPr>
            <w:tcW w:w="42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927</w:t>
            </w:r>
          </w:p>
        </w:tc>
        <w:tc>
          <w:tcPr>
            <w:tcW w:w="4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8"/>
                <w:szCs w:val="18"/>
                <w:color w:val="auto"/>
              </w:rPr>
              <w:t>109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624</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580</w:t>
            </w:r>
          </w:p>
        </w:tc>
        <w:tc>
          <w:tcPr>
            <w:tcW w:w="4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44</w:t>
            </w:r>
          </w:p>
        </w:tc>
        <w:tc>
          <w:tcPr>
            <w:tcW w:w="10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Franchise fees</w:t>
            </w:r>
          </w:p>
        </w:tc>
        <w:tc>
          <w:tcPr>
            <w:tcW w:w="8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520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475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83"/>
              </w:rPr>
              <w:t>17,205</w:t>
            </w:r>
          </w:p>
        </w:tc>
        <w:tc>
          <w:tcPr>
            <w:tcW w:w="1140" w:type="dxa"/>
            <w:vAlign w:val="bottom"/>
            <w:gridSpan w:val="2"/>
            <w:shd w:val="clear" w:color="auto" w:fill="E5E5E5"/>
          </w:tcPr>
          <w:p>
            <w:pPr>
              <w:jc w:val="right"/>
              <w:ind w:right="194"/>
              <w:spacing w:after="0"/>
              <w:rPr>
                <w:sz w:val="20"/>
                <w:szCs w:val="20"/>
                <w:color w:val="auto"/>
              </w:rPr>
            </w:pPr>
            <w:r>
              <w:rPr>
                <w:rFonts w:ascii="Arial" w:cs="Arial" w:eastAsia="Arial" w:hAnsi="Arial"/>
                <w:sz w:val="18"/>
                <w:szCs w:val="18"/>
                <w:color w:val="auto"/>
              </w:rPr>
              <w:t>14,877</w:t>
            </w:r>
          </w:p>
        </w:tc>
        <w:tc>
          <w:tcPr>
            <w:tcW w:w="4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w w:val="97"/>
              </w:rPr>
              <w:t>2,328</w:t>
            </w:r>
          </w:p>
        </w:tc>
        <w:tc>
          <w:tcPr>
            <w:tcW w:w="10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6,163</w:t>
            </w:r>
          </w:p>
        </w:tc>
        <w:tc>
          <w:tcPr>
            <w:tcW w:w="42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93"/>
              </w:rPr>
              <w:t>5,263</w:t>
            </w:r>
          </w:p>
        </w:tc>
        <w:tc>
          <w:tcPr>
            <w:tcW w:w="420" w:type="dxa"/>
            <w:vAlign w:val="bottom"/>
          </w:tcPr>
          <w:p>
            <w:pPr>
              <w:spacing w:after="0"/>
              <w:rPr>
                <w:sz w:val="18"/>
                <w:szCs w:val="18"/>
                <w:color w:val="auto"/>
              </w:rPr>
            </w:pPr>
          </w:p>
        </w:tc>
        <w:tc>
          <w:tcPr>
            <w:tcW w:w="880" w:type="dxa"/>
            <w:vAlign w:val="bottom"/>
          </w:tcPr>
          <w:p>
            <w:pPr>
              <w:jc w:val="right"/>
              <w:ind w:right="336"/>
              <w:spacing w:after="0"/>
              <w:rPr>
                <w:sz w:val="20"/>
                <w:szCs w:val="20"/>
                <w:color w:val="auto"/>
              </w:rPr>
            </w:pPr>
            <w:r>
              <w:rPr>
                <w:rFonts w:ascii="Arial" w:cs="Arial" w:eastAsia="Arial" w:hAnsi="Arial"/>
                <w:sz w:val="18"/>
                <w:szCs w:val="18"/>
                <w:color w:val="auto"/>
              </w:rPr>
              <w:t>900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E5E5E5"/>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4,087</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93"/>
              </w:rPr>
              <w:t>3,704</w:t>
            </w:r>
          </w:p>
        </w:tc>
        <w:tc>
          <w:tcPr>
            <w:tcW w:w="4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383</w:t>
            </w:r>
          </w:p>
        </w:tc>
        <w:tc>
          <w:tcPr>
            <w:tcW w:w="10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w w:val="96"/>
              </w:rPr>
              <w:t>Operating income before 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7"/>
              <w:spacing w:after="0"/>
              <w:rPr>
                <w:sz w:val="20"/>
                <w:szCs w:val="20"/>
                <w:color w:val="auto"/>
              </w:rPr>
            </w:pPr>
            <w:r>
              <w:rPr>
                <w:rFonts w:ascii="Arial" w:cs="Arial" w:eastAsia="Arial" w:hAnsi="Arial"/>
                <w:sz w:val="18"/>
                <w:szCs w:val="18"/>
                <w:b w:val="1"/>
                <w:bCs w:val="1"/>
                <w:color w:val="auto"/>
              </w:rPr>
              <w:t>6,955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b w:val="1"/>
                <w:bCs w:val="1"/>
                <w:color w:val="auto"/>
                <w:w w:val="93"/>
              </w:rPr>
              <w:t>5,910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6"/>
              <w:spacing w:after="0"/>
              <w:rPr>
                <w:sz w:val="20"/>
                <w:szCs w:val="20"/>
                <w:color w:val="auto"/>
              </w:rPr>
            </w:pPr>
            <w:r>
              <w:rPr>
                <w:rFonts w:ascii="Arial" w:cs="Arial" w:eastAsia="Arial" w:hAnsi="Arial"/>
                <w:sz w:val="18"/>
                <w:szCs w:val="18"/>
                <w:b w:val="1"/>
                <w:bCs w:val="1"/>
                <w:color w:val="auto"/>
                <w:w w:val="97"/>
              </w:rPr>
              <w:t>1,045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34</w:t>
            </w:r>
          </w:p>
        </w:tc>
        <w:tc>
          <w:tcPr>
            <w:tcW w:w="6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Revenues</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u w:val="single" w:color="auto"/>
          <w:color w:val="auto"/>
        </w:rPr>
        <w:t>Video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new systems contributed $449 million and $475 million, respectively, of our video revenue growth for the three and nine month periods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2006. Revenues from our historic systems also increased as a result of higher subscriber rates and growth in our digital cable services, including the demand for advanced services such as digital video recorder (DVR) and HDTV. From September 30, 2005 to September 30, 2006, our historic systems added approximately 1.5 million digital subscribers, or a 17.3% increase. As a result of these factors, our average monthly video revenue per video subscriber in our historic systems increased from $53.00 to $57.51, while our video subscriber base has been stable.</w:t>
      </w:r>
    </w:p>
    <w:p>
      <w:pPr>
        <w:spacing w:after="0" w:line="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High-speed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new systems contributed $149 million and $150 million, respectively, of our high-speed Internet revenue growth for the three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2006. Revenues from our historic systems also increased as a result of the addition of approximately 1.5 million high-speed Internet subscribers since September 30, 2005, or a 20.0% increase, with stable average monthly revenue per subscriber. We expect that the rate of subscriber and revenue growth will slow as the market matures and competition increases.</w:t>
      </w: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u w:val="single" w:color="auto"/>
          <w:color w:val="auto"/>
        </w:rPr>
        <w:t>Phone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two phone services, Comcast Digital Voice, our IP-enabled phone service, and our circuit-switched local phone service. Our new systems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contributed $15 million and $16 million, respectively, of our phone revenue growth for the three and nine months ended September 30, 2006. Revenues from our historic systems also increased as a result of the addition of approximately 800,000 phone subscribers since September 30, 2005, as a result of the increase of approximately $1.1 million Comcast Digital Voice subscribers, partially offset by the decrease of approximately 300,000 circuit-switched subscribers. We expect the number of phone subscribers will grow as we continue to expand Comcast Digital Voice to new markets in 2006 and in 2007.</w:t>
      </w:r>
    </w:p>
    <w:p>
      <w:pPr>
        <w:spacing w:after="0" w:line="10" w:lineRule="exact"/>
        <w:rPr>
          <w:sz w:val="20"/>
          <w:szCs w:val="20"/>
          <w:color w:val="auto"/>
        </w:rPr>
      </w:pPr>
    </w:p>
    <w:p>
      <w:pPr>
        <w:jc w:val="both"/>
        <w:spacing w:after="0" w:line="331" w:lineRule="auto"/>
        <w:rPr>
          <w:sz w:val="20"/>
          <w:szCs w:val="20"/>
          <w:color w:val="auto"/>
        </w:rPr>
      </w:pPr>
      <w:r>
        <w:rPr>
          <w:rFonts w:ascii="Arial" w:cs="Arial" w:eastAsia="Arial" w:hAnsi="Arial"/>
          <w:sz w:val="15"/>
          <w:szCs w:val="15"/>
          <w:b w:val="1"/>
          <w:bCs w:val="1"/>
          <w:i w:val="1"/>
          <w:iCs w:val="1"/>
          <w:u w:val="single" w:color="auto"/>
          <w:color w:val="auto"/>
        </w:rPr>
        <w:t>Advertising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new systems contributed $35 million and $36 million, respectively, of our advertising revenue growth for the three and nine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2006. The remaining increases in advertising revenues for the three and nine months ended September 30, 2006, compared to the same periods in 2005 are reflective of strong growth in political advertising due to several primary races in our markets. We expect continued growth in our advertising revenues.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generate revenues from our sports and news networks, video installation services, commissions from third-party electronic retailing, and fees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services, such as providing businesses with Internet connectivity and networked business applications. The increase in other revenue for the nine months ended September 30, 2006, compared to the same period in 2005 is primarily due to installation revenues related to Comcast Digital Voice and our regional sports networks.</w:t>
      </w:r>
    </w:p>
    <w:p>
      <w:pPr>
        <w:spacing w:after="0" w:line="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u w:val="single" w:color="auto"/>
          <w:color w:val="auto"/>
        </w:rPr>
        <w:t>Franchise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increases in franchise fees collected from our cable subscribers for the three and nine months ended September 30, 2006,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periods in 2005 are primarily due to the increases in our revenues upon which the fees apply.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new systems contributed $264 million and $279 million, respectively, of our increases in operating expenses for the three and nine months ended September 30, 2006. Operating expenses from our historic systems also increased as a result of growth in our high-speed Internet, digital cable and Comcast Digital Voice services.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Selling, General and Administrative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new systems contributed $160 million and $166 million, respectively, of our increases in selling, general and administrative expenses for the three and nine months ended September 30, 2006. Selling, general and administrative expenses from our historic systems also increased as a result of growth in our high-speed Internet, digital cable and Comcast Digital Voice services.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6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1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752"/>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4"/>
              </w:rPr>
              <w:t>Increase/(Decrease)</w:t>
            </w:r>
          </w:p>
        </w:tc>
        <w:tc>
          <w:tcPr>
            <w:tcW w:w="0" w:type="dxa"/>
            <w:vAlign w:val="bottom"/>
          </w:tcPr>
          <w:p>
            <w:pPr>
              <w:spacing w:after="0"/>
              <w:rPr>
                <w:sz w:val="1"/>
                <w:szCs w:val="1"/>
                <w:color w:val="auto"/>
              </w:rPr>
            </w:pPr>
          </w:p>
        </w:tc>
      </w:tr>
      <w:tr>
        <w:trPr>
          <w:trHeight w:val="161"/>
        </w:trPr>
        <w:tc>
          <w:tcPr>
            <w:tcW w:w="5160" w:type="dxa"/>
            <w:vAlign w:val="bottom"/>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7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651764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580"/>
        <w:spacing w:after="0"/>
        <w:rPr>
          <w:sz w:val="20"/>
          <w:szCs w:val="20"/>
          <w:color w:val="auto"/>
        </w:rPr>
      </w:pPr>
      <w:r>
        <w:rPr>
          <w:rFonts w:ascii="Arial" w:cs="Arial" w:eastAsia="Arial" w:hAnsi="Arial"/>
          <w:sz w:val="18"/>
          <w:szCs w:val="18"/>
          <w:color w:val="auto"/>
        </w:rPr>
        <w:t>Revenues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Operating, selling, general and administrative expenses</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Operating income before depreciation and amortization</w:t>
      </w:r>
    </w:p>
    <w:p>
      <w:pPr>
        <w:spacing w:after="0" w:line="200" w:lineRule="exact"/>
        <w:rPr>
          <w:sz w:val="20"/>
          <w:szCs w:val="20"/>
          <w:color w:val="auto"/>
        </w:rPr>
      </w:pPr>
    </w:p>
    <w:p>
      <w:pPr>
        <w:spacing w:after="0" w:line="39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(Dollars 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258</w:t>
            </w: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237</w:t>
            </w: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21</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w:t>
            </w:r>
          </w:p>
        </w:tc>
      </w:tr>
      <w:tr>
        <w:trPr>
          <w:trHeight w:val="223"/>
        </w:trPr>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170</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166</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2.4</w:t>
            </w:r>
          </w:p>
        </w:tc>
      </w:tr>
      <w:tr>
        <w:trPr>
          <w:trHeight w:val="218"/>
        </w:trPr>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88</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71</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-153670</wp:posOffset>
            </wp:positionV>
            <wp:extent cx="651764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1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752"/>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4"/>
              </w:rPr>
              <w:t>Increase/(Decrease)</w:t>
            </w:r>
          </w:p>
        </w:tc>
      </w:tr>
      <w:tr>
        <w:trPr>
          <w:trHeight w:val="142"/>
        </w:trPr>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7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p>
      <w:pPr>
        <w:sectPr>
          <w:pgSz w:w="11900" w:h="16838" w:orient="portrait"/>
          <w:cols w:equalWidth="0" w:num="2">
            <w:col w:w="5020" w:space="720"/>
            <w:col w:w="5680"/>
          </w:cols>
          <w:pgMar w:left="240" w:top="459" w:right="2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5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8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770</w:t>
            </w:r>
          </w:p>
        </w:tc>
        <w:tc>
          <w:tcPr>
            <w:tcW w:w="5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684</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372"/>
              <w:spacing w:after="0"/>
              <w:rPr>
                <w:sz w:val="20"/>
                <w:szCs w:val="20"/>
                <w:color w:val="auto"/>
              </w:rPr>
            </w:pPr>
            <w:r>
              <w:rPr>
                <w:rFonts w:ascii="Arial" w:cs="Arial" w:eastAsia="Arial" w:hAnsi="Arial"/>
                <w:sz w:val="18"/>
                <w:szCs w:val="18"/>
                <w:color w:val="auto"/>
              </w:rPr>
              <w:t>86</w:t>
            </w:r>
          </w:p>
        </w:tc>
        <w:tc>
          <w:tcPr>
            <w:tcW w:w="102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12.6%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572</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444</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128</w:t>
            </w: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28.8</w:t>
            </w:r>
          </w:p>
        </w:tc>
      </w:tr>
      <w:tr>
        <w:trPr>
          <w:trHeight w:val="217"/>
        </w:trPr>
        <w:tc>
          <w:tcPr>
            <w:tcW w:w="51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8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198</w:t>
            </w:r>
          </w:p>
        </w:tc>
        <w:tc>
          <w:tcPr>
            <w:tcW w:w="5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240</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b w:val="1"/>
                <w:bCs w:val="1"/>
                <w:color w:val="auto"/>
              </w:rPr>
              <w:t>(42)</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(17.6)%</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Revenues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Content revenues for the three and nine months ended September 30, 2006, increased 8.9% and 12.6% compared to the same periods in 2005, primarily due to increases in advertising revenue and license fee revenue. For the three and nine months ended September 30, 2006 and 2005, approximately 12% and 11% respectively, of our Content segment revenues were generated from our Cable segment. These amounts are eliminated in our consolidated financial statements, but are included in the amounts presented above.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Operating, Selling, General and Administrative Expenses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Content operating, selling, general and administrative expenses for the three and nine months ended September 30, 2006, increased 2.4% and 28.8%, respectively, compared to the same periods in 2005, primarily due to an increase in the production of and programming rights costs for new and live event programming for our cable networks, including the NHL on VERSUS (for the 2006 nine month period), and a corresponding increase in marketing expenses for this programming. We have and expect to continue to invest in new and live event programming, such as our rights agreement with the NHL, that will cause our Content segment expenses to increase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Income (Expense) Items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Pr>
          <w:p>
            <w:pPr>
              <w:spacing w:after="0"/>
              <w:rPr>
                <w:sz w:val="14"/>
                <w:szCs w:val="14"/>
                <w:color w:val="auto"/>
              </w:rPr>
            </w:pPr>
          </w:p>
        </w:tc>
        <w:tc>
          <w:tcPr>
            <w:tcW w:w="172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2"/>
                <w:szCs w:val="12"/>
                <w:color w:val="auto"/>
              </w:rPr>
            </w:pPr>
          </w:p>
        </w:tc>
        <w:tc>
          <w:tcPr>
            <w:tcW w:w="78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2"/>
                <w:szCs w:val="12"/>
                <w:color w:val="auto"/>
              </w:rPr>
            </w:pPr>
          </w:p>
        </w:tc>
        <w:tc>
          <w:tcPr>
            <w:tcW w:w="800" w:type="dxa"/>
            <w:vAlign w:val="bottom"/>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2006</w:t>
            </w:r>
          </w:p>
        </w:tc>
        <w:tc>
          <w:tcPr>
            <w:tcW w:w="9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(530)</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(422)</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w w:val="87"/>
              </w:rPr>
              <w:t>(1,502)</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76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8"/>
                <w:szCs w:val="18"/>
                <w:color w:val="auto"/>
              </w:rPr>
              <w:t>857</w:t>
            </w:r>
          </w:p>
        </w:tc>
        <w:tc>
          <w:tcPr>
            <w:tcW w:w="40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8"/>
                <w:szCs w:val="18"/>
                <w:color w:val="auto"/>
              </w:rPr>
              <w:t>935</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w:t>
            </w:r>
          </w:p>
        </w:tc>
        <w:tc>
          <w:tcPr>
            <w:tcW w:w="7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(65)</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(18)</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(86)</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8"/>
                <w:szCs w:val="18"/>
                <w:color w:val="auto"/>
              </w:rPr>
              <w:t>96</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8"/>
                <w:szCs w:val="18"/>
                <w:color w:val="auto"/>
              </w:rPr>
              <w:t>194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bottom w:val="single" w:sz="8" w:color="E5E5E5"/>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358</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(525)</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(459)</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$(1,374)</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increases in interest expense for the three and nine months ended September 30, 2006, compared to the same periods in 2005 are primarily due to the effects of an increase in our average debt outstanding, higher interest rates on our variable rate debt, as well as to the effects of the gains on the early extinguishment of certain debt and interest rate swaps during the three and nine months ended September 30, 2005.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(Loss), Net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components of investment income (loss), net for the three and nine months ended September 30, 2006 and 2005, are presented in a table in Note 5 to our consolidated financial statements. In connection with the Adelphia and Time Warner transactions, we recognized gains of approximately $694 million for the three and nine months ended September 30, 2006 (see Note 4).</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entered into derivative financial instruments that we account for at fair value and that economically hedge the market price fluctuations in the common stock of all of our investments accounted for as trading securities (as of December 31, 2005). The differences between the unrealized gains (losses) on trading securities and the mark to market adjustments on derivatives related to trading securities, as presented in the table in Note 5 to our consolidated financial statements, result from one or more of the following:</w:t>
      </w:r>
    </w:p>
    <w:p>
      <w:pPr>
        <w:spacing w:after="0" w:line="49" w:lineRule="exact"/>
        <w:rPr>
          <w:sz w:val="20"/>
          <w:szCs w:val="20"/>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or all of the period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were changes in the derivative valuation assumptions such as interest rates, volatility and dividend policy</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Other income for the three months ended September 30, 2006, consists principally of a $100 million gain on the sale of investment assets. Other income for the nine months ended September 30, 2006, consists principally of $154 million of gains on the sales of investment assets, and a $35 million gain on the sale of one of our equity method investments. Other expense for the nine months ended September 30, 2005, consists principally of a $170 million charge representing our share of the settlement amount related to certain of AT&amp;T’s litigation with At Home Corporation, partially offset by $55 million of gains on the sales or restructurings of investment assets, and a $24 million gain on the exchange of one of our equity method investments.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and nine months ended September 30, 2006, reflects an income tax rate higher than the federal statutory rate primarily due to state income taxes, adjustments to prior year accruals, including related interest. We expect our 2006 annual effective tax rate to be in the range of 40% to 45%. Income tax expense for the three and nine months ended September 30, 2005 reflects an income tax rate higher than the federal statutory rate primarily due to state income taxes and adjustments to prior year accruals and related interest.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borrowed $3.383 billion during the three months ended September 30, 2006, and our cash equivalents totaled $2.774 billion at September 30, 2006. In October 2006, we used those funds to refinance the debt related to the Houston Asset Pool ($1.4 billion) and to fund our remaining portion of SpectrumCo, LLC’s successful bids in connection with the Federal Communications Commission’s advanced wireless spectrum auction ($960 million) (see Note 4).</w:t>
      </w:r>
    </w:p>
    <w:p>
      <w:pPr>
        <w:spacing w:after="0" w:line="1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we describe further below, our businesses generate significant cash flow from operating activities. The proceeds from monetizing our nonstrategic investments have also provided us with a significant source of cash flow. We believe that we will be able to meet our current and long term liquidity and capital requirements, including fixed charges, through our cash flows from operating activities, existing cash, cash equivalents and investments; through available borrowings under our existing credit facilities; and through our ability to obtain future external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financing. We anticipate continuing to use a substantial portion of our cash flow to fund our capital expenditures, repurchase our stock and invest in business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Net cash provided by operating activities amounted to $5.132 billion for the nine months ended September 30, 2006, due principally to our operating income before depreciation and amortization, the effects of the timing of interest and income tax payments, and changes in other operating assets and liabilities.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2006, the net change in our operating assets and liabilities was a decrease of $72 million, primarily due to an increase in our accounts receivable of $136 million, a decrease in other operating assets and liabilities of $238 million, partially offset by an increase in our accounts payable and accrued expenses related to trade creditors of $302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$2.006 billion for the nine months ended September 30, 2006, and consisted principally of our proceeds from borrowings of $5.970 billion, offset by our debt repayments of $2.222 billion, and repurchases of approximately 64 million shares of our Class A Special common stock for $1.882 billion (recognized on a settlement date or cash basis).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that may include open market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September 30, 2006, amounts available under these facilities totaled $4.657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As of September 30, 2006, the maximum dollar value of shares that may be repurchased under our Board-authorized share repurchase program is approximately $3.5 billion. We expect such repurchases to continue from time to time in the open market or in private transactions, subject to market conditions.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7 to our consolidated financial statements for further discussion of our financing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cash used in investing activities was $5.057 billion for the nine months ended September 30, 2006, and consisted primarily of capital expenditures of $3.051 billion, cash paid for acquisitions of $3.8 billion (primarily related to the Adelphia and Susquehanna acquisitions), cash paid for intangible assets of $227 million and cash paid for investments of $471 million (primarily related to SpectrumCo, LLC.) These cash outflows were partially offset by proceeds from the sale and restructuring of investments of approximately $2.519 billion (primarily related to our investments in TWE and TWC).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recurring investing activity has been for capital expenditures and we expect that this will continue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discussion of the accounting judgments and estimates that we have identified as critical in the preparation of our consolidated financial statements, please refer to our 2005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ind w:right="5400"/>
        <w:spacing w:after="0" w:line="261" w:lineRule="auto"/>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2005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Disclosure Controls and Procedures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10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For a more detailed explanation of the factors affecting our businesses, please refer to the Risk Factors section in Item 1A of our 2005 Form 10-K.</w:t>
      </w:r>
    </w:p>
    <w:p>
      <w:pPr>
        <w:spacing w:after="0" w:line="197" w:lineRule="exact"/>
        <w:rPr>
          <w:sz w:val="20"/>
          <w:szCs w:val="20"/>
          <w:color w:val="auto"/>
        </w:rPr>
      </w:pPr>
    </w:p>
    <w:p>
      <w:pPr>
        <w:ind w:right="5500"/>
        <w:spacing w:after="0" w:line="261" w:lineRule="auto"/>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summary of our repurchases during the three months ended September 30, 2006, under our Board-authorized repurchase program, on a trade-date basis, is as follows: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360" w:type="dxa"/>
            <w:vAlign w:val="bottom"/>
          </w:tcPr>
          <w:p>
            <w:pPr>
              <w:spacing w:after="0"/>
              <w:rPr>
                <w:sz w:val="14"/>
                <w:szCs w:val="14"/>
                <w:color w:val="auto"/>
              </w:rPr>
            </w:pPr>
          </w:p>
        </w:tc>
        <w:tc>
          <w:tcPr>
            <w:tcW w:w="1180" w:type="dxa"/>
            <w:vAlign w:val="bottom"/>
          </w:tcPr>
          <w:p>
            <w:pPr>
              <w:jc w:val="center"/>
              <w:ind w:right="283"/>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182"/>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360" w:type="dxa"/>
            <w:vAlign w:val="bottom"/>
          </w:tcPr>
          <w:p>
            <w:pPr>
              <w:spacing w:after="0"/>
              <w:rPr>
                <w:sz w:val="12"/>
                <w:szCs w:val="12"/>
                <w:color w:val="auto"/>
              </w:rPr>
            </w:pPr>
          </w:p>
        </w:tc>
        <w:tc>
          <w:tcPr>
            <w:tcW w:w="118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w w:val="88"/>
              </w:rPr>
              <w:t>Dollars</w:t>
            </w:r>
          </w:p>
        </w:tc>
        <w:tc>
          <w:tcPr>
            <w:tcW w:w="16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Maximum Dollar Value</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360" w:type="dxa"/>
            <w:vAlign w:val="bottom"/>
          </w:tcPr>
          <w:p>
            <w:pPr>
              <w:spacing w:after="0"/>
              <w:rPr>
                <w:sz w:val="12"/>
                <w:szCs w:val="12"/>
                <w:color w:val="auto"/>
              </w:rPr>
            </w:pPr>
          </w:p>
        </w:tc>
        <w:tc>
          <w:tcPr>
            <w:tcW w:w="1180" w:type="dxa"/>
            <w:vAlign w:val="bottom"/>
          </w:tcPr>
          <w:p>
            <w:pPr>
              <w:jc w:val="center"/>
              <w:ind w:right="303"/>
              <w:spacing w:after="0" w:line="149" w:lineRule="exact"/>
              <w:rPr>
                <w:sz w:val="20"/>
                <w:szCs w:val="20"/>
                <w:color w:val="auto"/>
              </w:rPr>
            </w:pPr>
            <w:r>
              <w:rPr>
                <w:rFonts w:ascii="Arial" w:cs="Arial" w:eastAsia="Arial" w:hAnsi="Arial"/>
                <w:sz w:val="14"/>
                <w:szCs w:val="14"/>
                <w:b w:val="1"/>
                <w:bCs w:val="1"/>
                <w:color w:val="auto"/>
                <w:w w:val="83"/>
              </w:rPr>
              <w:t>Purchased</w:t>
            </w:r>
          </w:p>
        </w:tc>
        <w:tc>
          <w:tcPr>
            <w:tcW w:w="3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of Shares that May</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64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w w:val="81"/>
              </w:rPr>
              <w:t>of Shares</w:t>
            </w:r>
          </w:p>
        </w:tc>
        <w:tc>
          <w:tcPr>
            <w:tcW w:w="13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60" w:type="dxa"/>
            <w:vAlign w:val="bottom"/>
          </w:tcPr>
          <w:p>
            <w:pPr>
              <w:spacing w:after="0"/>
              <w:rPr>
                <w:sz w:val="12"/>
                <w:szCs w:val="12"/>
                <w:color w:val="auto"/>
              </w:rPr>
            </w:pPr>
          </w:p>
        </w:tc>
        <w:tc>
          <w:tcPr>
            <w:tcW w:w="1180" w:type="dxa"/>
            <w:vAlign w:val="bottom"/>
          </w:tcPr>
          <w:p>
            <w:pPr>
              <w:jc w:val="center"/>
              <w:ind w:right="303"/>
              <w:spacing w:after="0" w:line="149" w:lineRule="exact"/>
              <w:rPr>
                <w:sz w:val="20"/>
                <w:szCs w:val="20"/>
                <w:color w:val="auto"/>
              </w:rPr>
            </w:pPr>
            <w:r>
              <w:rPr>
                <w:rFonts w:ascii="Arial" w:cs="Arial" w:eastAsia="Arial" w:hAnsi="Arial"/>
                <w:sz w:val="14"/>
                <w:szCs w:val="14"/>
                <w:b w:val="1"/>
                <w:bCs w:val="1"/>
                <w:color w:val="auto"/>
                <w:w w:val="88"/>
              </w:rPr>
              <w:t>Under</w:t>
            </w:r>
          </w:p>
        </w:tc>
        <w:tc>
          <w:tcPr>
            <w:tcW w:w="3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Yet Be Purchased</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tcPr>
          <w:p>
            <w:pPr>
              <w:jc w:val="center"/>
              <w:ind w:left="202"/>
              <w:spacing w:after="0"/>
              <w:rPr>
                <w:sz w:val="20"/>
                <w:szCs w:val="20"/>
                <w:color w:val="auto"/>
              </w:rPr>
            </w:pPr>
            <w:r>
              <w:rPr>
                <w:rFonts w:ascii="Arial" w:cs="Arial" w:eastAsia="Arial" w:hAnsi="Arial"/>
                <w:sz w:val="14"/>
                <w:szCs w:val="14"/>
                <w:b w:val="1"/>
                <w:bCs w:val="1"/>
                <w:color w:val="auto"/>
                <w:w w:val="83"/>
              </w:rPr>
              <w:t>Purchased</w:t>
            </w:r>
          </w:p>
        </w:tc>
        <w:tc>
          <w:tcPr>
            <w:tcW w:w="380" w:type="dxa"/>
            <w:vAlign w:val="bottom"/>
          </w:tcPr>
          <w:p>
            <w:pPr>
              <w:spacing w:after="0"/>
              <w:rPr>
                <w:sz w:val="14"/>
                <w:szCs w:val="14"/>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w w:val="89"/>
              </w:rPr>
              <w:t>per Share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Program</w:t>
            </w:r>
          </w:p>
        </w:tc>
        <w:tc>
          <w:tcPr>
            <w:tcW w:w="360" w:type="dxa"/>
            <w:vAlign w:val="bottom"/>
          </w:tcPr>
          <w:p>
            <w:pPr>
              <w:spacing w:after="0"/>
              <w:rPr>
                <w:sz w:val="14"/>
                <w:szCs w:val="14"/>
                <w:color w:val="auto"/>
              </w:rPr>
            </w:pPr>
          </w:p>
        </w:tc>
        <w:tc>
          <w:tcPr>
            <w:tcW w:w="1180" w:type="dxa"/>
            <w:vAlign w:val="bottom"/>
          </w:tcPr>
          <w:p>
            <w:pPr>
              <w:jc w:val="center"/>
              <w:ind w:right="303"/>
              <w:spacing w:after="0"/>
              <w:rPr>
                <w:sz w:val="20"/>
                <w:szCs w:val="20"/>
                <w:color w:val="auto"/>
              </w:rPr>
            </w:pPr>
            <w:r>
              <w:rPr>
                <w:rFonts w:ascii="Arial" w:cs="Arial" w:eastAsia="Arial" w:hAnsi="Arial"/>
                <w:sz w:val="14"/>
                <w:szCs w:val="14"/>
                <w:b w:val="1"/>
                <w:bCs w:val="1"/>
                <w:color w:val="auto"/>
                <w:w w:val="87"/>
              </w:rPr>
              <w:t>the Program</w:t>
            </w:r>
          </w:p>
        </w:tc>
        <w:tc>
          <w:tcPr>
            <w:tcW w:w="38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Under the Program</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July 1-31, 2006</w:t>
            </w:r>
          </w:p>
        </w:tc>
        <w:tc>
          <w:tcPr>
            <w:tcW w:w="164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222,427</w:t>
            </w: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32.38</w:t>
            </w:r>
          </w:p>
        </w:tc>
        <w:tc>
          <w:tcPr>
            <w:tcW w:w="176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200,000</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6,439,880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3,941,780,948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August 1-31, 2006</w:t>
            </w:r>
          </w:p>
        </w:tc>
        <w:tc>
          <w:tcPr>
            <w:tcW w:w="1640" w:type="dxa"/>
            <w:vAlign w:val="bottom"/>
          </w:tcPr>
          <w:p>
            <w:pPr>
              <w:jc w:val="right"/>
              <w:ind w:right="202"/>
              <w:spacing w:after="0"/>
              <w:rPr>
                <w:sz w:val="20"/>
                <w:szCs w:val="20"/>
                <w:color w:val="auto"/>
              </w:rPr>
            </w:pPr>
            <w:r>
              <w:rPr>
                <w:rFonts w:ascii="Arial" w:cs="Arial" w:eastAsia="Arial" w:hAnsi="Arial"/>
                <w:sz w:val="18"/>
                <w:szCs w:val="18"/>
                <w:color w:val="auto"/>
              </w:rPr>
              <w:t>23,632</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34.71</w:t>
            </w:r>
          </w:p>
        </w:tc>
        <w:tc>
          <w:tcPr>
            <w:tcW w:w="1760" w:type="dxa"/>
            <w:vAlign w:val="bottom"/>
          </w:tcPr>
          <w:p>
            <w:pPr>
              <w:jc w:val="right"/>
              <w:ind w:right="22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tcPr>
          <w:p>
            <w:pPr>
              <w:jc w:val="right"/>
              <w:ind w:right="22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3,941,780,948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September 1-30, 2006</w:t>
            </w:r>
          </w:p>
        </w:tc>
        <w:tc>
          <w:tcPr>
            <w:tcW w:w="164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14,409,131</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33.75</w:t>
            </w:r>
          </w:p>
        </w:tc>
        <w:tc>
          <w:tcPr>
            <w:tcW w:w="176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14,404,383</w:t>
            </w:r>
          </w:p>
        </w:tc>
        <w:tc>
          <w:tcPr>
            <w:tcW w:w="36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w w:val="85"/>
              </w:rPr>
              <w:t>486,192,985</w:t>
            </w:r>
          </w:p>
        </w:tc>
        <w:tc>
          <w:tcPr>
            <w:tcW w:w="38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3,455,587,963</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14,655,190</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33.73</w:t>
            </w:r>
          </w:p>
        </w:tc>
        <w:tc>
          <w:tcPr>
            <w:tcW w:w="176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rPr>
              <w:t>14,604,383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w w:val="85"/>
              </w:rPr>
              <w:t>492,632,865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3,455,587,963</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576"/>
              <w:spacing w:after="0"/>
              <w:rPr>
                <w:sz w:val="20"/>
                <w:szCs w:val="20"/>
                <w:color w:val="auto"/>
              </w:rPr>
            </w:pPr>
            <w:r>
              <w:rPr>
                <w:rFonts w:ascii="Arial" w:cs="Arial" w:eastAsia="Arial" w:hAnsi="Arial"/>
                <w:sz w:val="18"/>
                <w:szCs w:val="18"/>
                <w:color w:val="auto"/>
              </w:rPr>
              <w:t>39</w:t>
            </w: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includes 50,807 shares received in the administration of employee equity compensation plans. In January 2006, our Board of Directors authorized a $5 billion increase to our share repurchase program.</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to be filed by Item 601 of Regulation S-K:</w:t>
      </w:r>
    </w:p>
    <w:p>
      <w:pPr>
        <w:spacing w:after="0" w:line="252" w:lineRule="exact"/>
        <w:rPr>
          <w:sz w:val="20"/>
          <w:szCs w:val="20"/>
          <w:color w:val="auto"/>
        </w:rPr>
      </w:pPr>
    </w:p>
    <w:p>
      <w:pPr>
        <w:jc w:val="right"/>
        <w:ind w:left="940"/>
        <w:spacing w:after="0" w:line="332" w:lineRule="auto"/>
        <w:rPr>
          <w:sz w:val="20"/>
          <w:szCs w:val="20"/>
          <w:color w:val="auto"/>
        </w:rPr>
      </w:pPr>
      <w:r>
        <w:rPr>
          <w:rFonts w:ascii="Arial" w:cs="Arial" w:eastAsia="Arial" w:hAnsi="Arial"/>
          <w:sz w:val="16"/>
          <w:szCs w:val="16"/>
          <w:color w:val="auto"/>
        </w:rPr>
        <w:t>2.1     Amendment No. 1, dated June 24, 2005, to the Asset Purchase Agreement dated as of April 20, 2005 between Adelphia Communications Corporation (“Adelphia”) and Comcast (incorporated by reference to Exhibit 99.3 to our Current Report on Form 8-K dated July 31, 2006).</w:t>
      </w:r>
    </w:p>
    <w:p>
      <w:pPr>
        <w:spacing w:after="0" w:line="31" w:lineRule="exact"/>
        <w:rPr>
          <w:sz w:val="20"/>
          <w:szCs w:val="20"/>
          <w:color w:val="auto"/>
        </w:rPr>
      </w:pPr>
    </w:p>
    <w:p>
      <w:pPr>
        <w:ind w:left="1620" w:right="20" w:hanging="678"/>
        <w:spacing w:after="0" w:line="268" w:lineRule="auto"/>
        <w:tabs>
          <w:tab w:leader="none" w:pos="1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No. 3, dated June 26, 2006, to the Asset Purchase Agreement dated as of April 20, 2005 between Adelphia and Comcast (incorporated by reference to Exhibit 99.5 to our Current Report on Form 8-K dated July 31, 2006).</w:t>
      </w:r>
    </w:p>
    <w:p>
      <w:pPr>
        <w:spacing w:after="0" w:line="78" w:lineRule="exact"/>
        <w:rPr>
          <w:sz w:val="20"/>
          <w:szCs w:val="20"/>
          <w:color w:val="auto"/>
        </w:rPr>
      </w:pPr>
    </w:p>
    <w:p>
      <w:pPr>
        <w:ind w:left="1620" w:hanging="678"/>
        <w:spacing w:after="0" w:line="268" w:lineRule="auto"/>
        <w:tabs>
          <w:tab w:leader="none" w:pos="1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Amendment No. 4, dated July 31, 2006, to the Asset Purchase Agreement dated as of April 20, 2005 between Adelphia and Comcast (incorporated by reference to Exhibit 99.6 to our Current Report on Form 8-K dated July 31, 2006).</w:t>
      </w:r>
    </w:p>
    <w:p>
      <w:pPr>
        <w:spacing w:after="0" w:line="78" w:lineRule="exact"/>
        <w:rPr>
          <w:sz w:val="20"/>
          <w:szCs w:val="20"/>
          <w:color w:val="auto"/>
        </w:rPr>
      </w:pPr>
    </w:p>
    <w:p>
      <w:pPr>
        <w:ind w:left="1620" w:hanging="678"/>
        <w:spacing w:after="0" w:line="268" w:lineRule="auto"/>
        <w:tabs>
          <w:tab w:leader="none" w:pos="1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By-laws of Comcast Corporation, dated July 6, 2006 (incorporated by reference to Exhibit 3.1 to our Current Report on Form 8-K dated July 6, 2006).</w:t>
      </w:r>
    </w:p>
    <w:p>
      <w:pPr>
        <w:spacing w:after="0" w:line="78" w:lineRule="exact"/>
        <w:rPr>
          <w:sz w:val="20"/>
          <w:szCs w:val="20"/>
          <w:color w:val="auto"/>
        </w:rPr>
      </w:pPr>
    </w:p>
    <w:p>
      <w:pPr>
        <w:ind w:left="840"/>
        <w:spacing w:after="0"/>
        <w:tabs>
          <w:tab w:leader="none" w:pos="160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6"/>
          <w:szCs w:val="16"/>
          <w:color w:val="auto"/>
        </w:rPr>
        <w:t>Amendment to Life Insurance Premium and Tax Bonus Agreement between Comcast and Brian L. Roberts dated as of September 15,</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2006.</w:t>
      </w:r>
    </w:p>
    <w:p>
      <w:pPr>
        <w:spacing w:after="0" w:line="111" w:lineRule="exact"/>
        <w:rPr>
          <w:sz w:val="20"/>
          <w:szCs w:val="20"/>
          <w:color w:val="auto"/>
        </w:rPr>
      </w:pPr>
    </w:p>
    <w:p>
      <w:pPr>
        <w:ind w:left="1620" w:hanging="640"/>
        <w:spacing w:after="0"/>
        <w:tabs>
          <w:tab w:leader="none" w:pos="1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140" w:lineRule="exact"/>
        <w:rPr>
          <w:rFonts w:ascii="Arial" w:cs="Arial" w:eastAsia="Arial" w:hAnsi="Arial"/>
          <w:sz w:val="16"/>
          <w:szCs w:val="16"/>
          <w:color w:val="auto"/>
        </w:rPr>
      </w:pPr>
    </w:p>
    <w:p>
      <w:pPr>
        <w:ind w:right="380" w:firstLine="980"/>
        <w:spacing w:after="0" w:line="476" w:lineRule="auto"/>
        <w:tabs>
          <w:tab w:leader="none" w:pos="16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Certifications of Chief Executive Officer and Co-Chief Financial Officers pursuant to Section 906 of the Sarbanes-Oxley Act of 2002. * 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SEPTEMBER 30, 2006</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LIFE INSURANCE PREMIUM AND TAX BONUS AGREEMENT</w:t>
      </w:r>
    </w:p>
    <w:p>
      <w:pPr>
        <w:spacing w:after="0" w:line="1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AMENDMENT is made as of the 15th day of September, 2006, between COMCAST CORPORATION, a Pennsylvania corporation (together with its subsidiaries, the “Company”), and BRIAN L. ROBERTS (“Roberts”).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parties entered into a Life Insurance Premium and Tax Bonus Agreement dated as of May 22, 2006 (the “Agreement”), and desire to modify Schedule A thereto.</w:t>
      </w:r>
    </w:p>
    <w:p>
      <w:pPr>
        <w:spacing w:after="0" w:line="18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hereby, the Company and Roberts agree as follows:</w:t>
      </w:r>
    </w:p>
    <w:p>
      <w:pPr>
        <w:spacing w:after="0" w:line="77" w:lineRule="exact"/>
        <w:rPr>
          <w:sz w:val="20"/>
          <w:szCs w:val="20"/>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of the Agreement is hereby replaced in its entirety with the list of insurers and amounts of insurance reflected from time to time in the Company’s records, provided that the aggregate death benefit amount thereof shall not exceed $50,000,000.</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amended hereby, the Agreement remains in full force and effect.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Brian L. Roberts</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2006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Lawrence S. Smith, certify that:</w:t>
      </w:r>
    </w:p>
    <w:p>
      <w:pPr>
        <w:spacing w:after="0" w:line="14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2006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42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14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2006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42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30, 2006</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2"/>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2"/>
      <w:numFmt w:val="decimal"/>
      <w:start w:val="3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2019-12-15T06:09:57Z</dcterms:created>
  <dcterms:modified xsi:type="dcterms:W3CDTF">2019-12-15T06:09:57Z</dcterms:modified>
</cp:coreProperties>
</file>