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520" w:type="dxa"/>
            <w:vAlign w:val="bottom"/>
          </w:tcPr>
          <w:p>
            <w:pPr>
              <w:spacing w:after="0"/>
              <w:rPr>
                <w:sz w:val="20"/>
                <w:szCs w:val="20"/>
                <w:color w:val="auto"/>
              </w:rPr>
            </w:pPr>
          </w:p>
        </w:tc>
        <w:tc>
          <w:tcPr>
            <w:tcW w:w="7140" w:type="dxa"/>
            <w:vAlign w:val="bottom"/>
          </w:tcPr>
          <w:p>
            <w:pPr>
              <w:jc w:val="center"/>
              <w:ind w:right="222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July 28, 2022</w:t>
            </w:r>
          </w:p>
        </w:tc>
      </w:tr>
      <w:tr>
        <w:trPr>
          <w:trHeight w:val="450"/>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520" w:type="dxa"/>
            <w:vAlign w:val="bottom"/>
          </w:tcPr>
          <w:p>
            <w:pPr>
              <w:spacing w:after="0"/>
              <w:rPr>
                <w:sz w:val="12"/>
                <w:szCs w:val="12"/>
                <w:color w:val="auto"/>
              </w:rPr>
            </w:pPr>
          </w:p>
        </w:tc>
        <w:tc>
          <w:tcPr>
            <w:tcW w:w="7140" w:type="dxa"/>
            <w:vAlign w:val="bottom"/>
          </w:tcPr>
          <w:p>
            <w:pPr>
              <w:jc w:val="center"/>
              <w:ind w:right="226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383"/>
        </w:trPr>
        <w:tc>
          <w:tcPr>
            <w:tcW w:w="2520" w:type="dxa"/>
            <w:vAlign w:val="bottom"/>
          </w:tcPr>
          <w:p>
            <w:pPr>
              <w:spacing w:after="0"/>
              <w:rPr>
                <w:sz w:val="24"/>
                <w:szCs w:val="24"/>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92"/>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(Commission File Number)</w:t>
            </w:r>
          </w:p>
        </w:tc>
        <w:tc>
          <w:tcPr>
            <w:tcW w:w="7140" w:type="dxa"/>
            <w:vAlign w:val="bottom"/>
          </w:tcPr>
          <w:p>
            <w:pPr>
              <w:jc w:val="center"/>
              <w:ind w:left="506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40" w:type="dxa"/>
            <w:vAlign w:val="bottom"/>
          </w:tcPr>
          <w:p>
            <w:pPr>
              <w:spacing w:after="0"/>
              <w:rPr>
                <w:sz w:val="24"/>
                <w:szCs w:val="24"/>
                <w:color w:val="auto"/>
              </w:rPr>
            </w:pPr>
          </w:p>
        </w:tc>
      </w:tr>
      <w:tr>
        <w:trPr>
          <w:trHeight w:val="229"/>
        </w:trPr>
        <w:tc>
          <w:tcPr>
            <w:tcW w:w="2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9.455% Guaranteed Notes due 2022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CMCSA/22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67"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28, 2022, Comcast Corporation (“Comcast”) issued a press release reporting the results of its operations for the three and six months ended June 30, 2022.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July 28, 2022.</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July 28, 2022</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7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254635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2nd QUARTER 2022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PHILADELPHIA - July 28, 2022… Comcast Corporation (NASDAQ: CMCSA) today reported results for the quarter ended June 30, 2022.</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Our financial results in the second quarter were very strong across the board, with Cable, NBCUniversal, and Sky each delivering solid</w:t>
      </w:r>
      <w:r>
        <w:rPr>
          <w:rFonts w:ascii="Arial" w:cs="Arial" w:eastAsia="Arial" w:hAnsi="Arial"/>
          <w:sz w:val="18"/>
          <w:szCs w:val="18"/>
          <w:color w:val="auto"/>
        </w:rPr>
        <w:t xml:space="preserve"> </w:t>
      </w:r>
      <w:r>
        <w:rPr>
          <w:rFonts w:ascii="Arial" w:cs="Arial" w:eastAsia="Arial" w:hAnsi="Arial"/>
          <w:sz w:val="18"/>
          <w:szCs w:val="18"/>
          <w:i w:val="1"/>
          <w:iCs w:val="1"/>
          <w:color w:val="auto"/>
        </w:rPr>
        <w:t>growth in adjusted EBITDA, resulting in a double-digit increase in adjusted earnings per share and healthy free cash flow generation.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Significantly we accomplished this while also continuing to invest in our businesses’ future growth, increasing our return of capital to our shareholders, and keeping our balance sheet in a great place. In Cable, we achieved our highest adjusted EBITDA margin on record even amid a unique and evolving macroeconomic environment that is temporarily putting pressure on the volume of our new customer connects. At NBCUniversal, terrific results at theme parks fueled our growth in the quarter, and we expect our recent premieres and planned slate of content and live events from our media and studios businesses, including Jurassic World: Dominion, Minions: The Rise of Gru, Nope, Sunday Night Football and The World Cup, to make significant contributions later this year, including to our subscriber growth at Peacock. And, at Sky, we grew adjusted EBITDA by double-digits, with year-over-year improvement in each of our markets in Europe. Looking ahead, our company is in an enviable strategic and financial position, with substantial cash flow generation and a strong foundation for innovation,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commented Brian L. Roberts, Chairman and Chief Executive Officer of Comcast Corporation.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shd w:val="clear" w:color="auto" w:fill="D9D9D6"/>
          </w:tcPr>
          <w:p>
            <w:pPr>
              <w:ind w:left="120"/>
              <w:spacing w:after="0"/>
              <w:rPr>
                <w:sz w:val="20"/>
                <w:szCs w:val="20"/>
                <w:color w:val="auto"/>
              </w:rPr>
            </w:pPr>
            <w:r>
              <w:rPr>
                <w:rFonts w:ascii="Arial" w:cs="Arial" w:eastAsia="Arial" w:hAnsi="Arial"/>
                <w:sz w:val="11"/>
                <w:szCs w:val="11"/>
                <w:i w:val="1"/>
                <w:iCs w:val="1"/>
                <w:color w:val="auto"/>
              </w:rPr>
              <w:t>($ in millions, except per share data)</w:t>
            </w:r>
          </w:p>
        </w:tc>
        <w:tc>
          <w:tcPr>
            <w:tcW w:w="58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4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6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80" w:type="dxa"/>
            <w:vAlign w:val="bottom"/>
            <w:tcBorders>
              <w:right w:val="single" w:sz="8" w:color="D9D9D6"/>
            </w:tcBorders>
            <w:shd w:val="clear" w:color="auto" w:fill="D9D9D6"/>
          </w:tcPr>
          <w:p>
            <w:pPr>
              <w:spacing w:after="0"/>
              <w:rPr>
                <w:sz w:val="17"/>
                <w:szCs w:val="17"/>
                <w:color w:val="auto"/>
              </w:rPr>
            </w:pPr>
          </w:p>
        </w:tc>
        <w:tc>
          <w:tcPr>
            <w:tcW w:w="8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440" w:type="dxa"/>
            <w:vAlign w:val="bottom"/>
            <w:shd w:val="clear" w:color="auto" w:fill="D9D9D6"/>
          </w:tcPr>
          <w:p>
            <w:pPr>
              <w:spacing w:after="0"/>
              <w:rPr>
                <w:sz w:val="17"/>
                <w:szCs w:val="17"/>
                <w:color w:val="auto"/>
              </w:rPr>
            </w:pPr>
          </w:p>
        </w:tc>
        <w:tc>
          <w:tcPr>
            <w:tcW w:w="360" w:type="dxa"/>
            <w:vAlign w:val="bottom"/>
            <w:tcBorders>
              <w:right w:val="single" w:sz="8" w:color="D9D9D6"/>
            </w:tcBorders>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4660" w:type="dxa"/>
            <w:vAlign w:val="bottom"/>
            <w:shd w:val="clear" w:color="auto" w:fill="D9D9D6"/>
          </w:tcPr>
          <w:p>
            <w:pPr>
              <w:spacing w:after="0"/>
              <w:rPr>
                <w:sz w:val="15"/>
                <w:szCs w:val="15"/>
                <w:color w:val="auto"/>
              </w:rPr>
            </w:pPr>
          </w:p>
        </w:tc>
        <w:tc>
          <w:tcPr>
            <w:tcW w:w="58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spacing w:after="0"/>
              <w:rPr>
                <w:sz w:val="15"/>
                <w:szCs w:val="15"/>
                <w:color w:val="auto"/>
              </w:rPr>
            </w:pPr>
          </w:p>
        </w:tc>
        <w:tc>
          <w:tcPr>
            <w:tcW w:w="9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2nd Quarter</w:t>
            </w:r>
          </w:p>
        </w:tc>
        <w:tc>
          <w:tcPr>
            <w:tcW w:w="60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280" w:type="dxa"/>
            <w:vAlign w:val="bottom"/>
            <w:tcBorders>
              <w:right w:val="single" w:sz="8" w:color="828282"/>
            </w:tcBorders>
            <w:shd w:val="clear" w:color="auto" w:fill="D9D9D6"/>
          </w:tcPr>
          <w:p>
            <w:pPr>
              <w:spacing w:after="0"/>
              <w:rPr>
                <w:sz w:val="15"/>
                <w:szCs w:val="15"/>
                <w:color w:val="auto"/>
              </w:rPr>
            </w:pPr>
          </w:p>
        </w:tc>
        <w:tc>
          <w:tcPr>
            <w:tcW w:w="8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106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Year to Date</w:t>
            </w:r>
          </w:p>
        </w:tc>
        <w:tc>
          <w:tcPr>
            <w:tcW w:w="32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183"/>
        </w:trPr>
        <w:tc>
          <w:tcPr>
            <w:tcW w:w="4660" w:type="dxa"/>
            <w:vAlign w:val="bottom"/>
            <w:tcBorders>
              <w:top w:val="single" w:sz="8" w:color="D9D9D6"/>
            </w:tcBorders>
            <w:shd w:val="clear" w:color="auto" w:fill="D9D9D6"/>
          </w:tcPr>
          <w:p>
            <w:pPr>
              <w:ind w:left="120"/>
              <w:spacing w:after="0"/>
              <w:rPr>
                <w:sz w:val="20"/>
                <w:szCs w:val="20"/>
                <w:color w:val="auto"/>
              </w:rPr>
            </w:pPr>
            <w:r>
              <w:rPr>
                <w:rFonts w:ascii="Arial" w:cs="Arial" w:eastAsia="Arial" w:hAnsi="Arial"/>
                <w:sz w:val="14"/>
                <w:szCs w:val="14"/>
                <w:b w:val="1"/>
                <w:bCs w:val="1"/>
                <w:color w:val="auto"/>
              </w:rPr>
              <w:t>Consolidated Results</w:t>
            </w:r>
          </w:p>
        </w:tc>
        <w:tc>
          <w:tcPr>
            <w:tcW w:w="580" w:type="dxa"/>
            <w:vAlign w:val="bottom"/>
            <w:tcBorders>
              <w:top w:val="single" w:sz="8" w:color="D9D9D6"/>
            </w:tcBorders>
            <w:shd w:val="clear" w:color="auto" w:fill="D9D9D6"/>
          </w:tcPr>
          <w:p>
            <w:pPr>
              <w:spacing w:after="0"/>
              <w:rPr>
                <w:sz w:val="15"/>
                <w:szCs w:val="15"/>
                <w:color w:val="auto"/>
              </w:rPr>
            </w:pPr>
          </w:p>
        </w:tc>
        <w:tc>
          <w:tcPr>
            <w:tcW w:w="340" w:type="dxa"/>
            <w:vAlign w:val="bottom"/>
            <w:tcBorders>
              <w:top w:val="single" w:sz="8" w:color="D9D9D6"/>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2022</w:t>
            </w:r>
          </w:p>
        </w:tc>
        <w:tc>
          <w:tcPr>
            <w:tcW w:w="180" w:type="dxa"/>
            <w:vAlign w:val="bottom"/>
            <w:tcBorders>
              <w:top w:val="single" w:sz="8" w:color="D9D9D6"/>
            </w:tcBorders>
            <w:shd w:val="clear" w:color="auto" w:fill="D9D9D6"/>
          </w:tcPr>
          <w:p>
            <w:pPr>
              <w:spacing w:after="0"/>
              <w:rPr>
                <w:sz w:val="15"/>
                <w:szCs w:val="15"/>
                <w:color w:val="auto"/>
              </w:rPr>
            </w:pPr>
          </w:p>
        </w:tc>
        <w:tc>
          <w:tcPr>
            <w:tcW w:w="76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2021</w:t>
            </w:r>
          </w:p>
        </w:tc>
        <w:tc>
          <w:tcPr>
            <w:tcW w:w="1380" w:type="dxa"/>
            <w:vAlign w:val="bottom"/>
            <w:tcBorders>
              <w:top w:val="single" w:sz="8" w:color="D9D9D6"/>
              <w:right w:val="single" w:sz="8" w:color="828282"/>
            </w:tcBorders>
            <w:gridSpan w:val="4"/>
            <w:shd w:val="clear" w:color="auto" w:fill="D9D9D6"/>
          </w:tcPr>
          <w:p>
            <w:pPr>
              <w:ind w:left="600"/>
              <w:spacing w:after="0"/>
              <w:rPr>
                <w:sz w:val="20"/>
                <w:szCs w:val="20"/>
                <w:color w:val="auto"/>
              </w:rPr>
            </w:pPr>
            <w:r>
              <w:rPr>
                <w:rFonts w:ascii="Arial" w:cs="Arial" w:eastAsia="Arial" w:hAnsi="Arial"/>
                <w:sz w:val="14"/>
                <w:szCs w:val="14"/>
                <w:color w:val="auto"/>
              </w:rPr>
              <w:t>Change</w:t>
            </w:r>
          </w:p>
        </w:tc>
        <w:tc>
          <w:tcPr>
            <w:tcW w:w="1340" w:type="dxa"/>
            <w:vAlign w:val="bottom"/>
            <w:tcBorders>
              <w:top w:val="single" w:sz="8" w:color="D9D9D6"/>
            </w:tcBorders>
            <w:gridSpan w:val="3"/>
            <w:shd w:val="clear" w:color="auto" w:fill="D9D9D6"/>
          </w:tcPr>
          <w:p>
            <w:pPr>
              <w:jc w:val="right"/>
              <w:ind w:right="180"/>
              <w:spacing w:after="0"/>
              <w:rPr>
                <w:sz w:val="20"/>
                <w:szCs w:val="20"/>
                <w:color w:val="auto"/>
              </w:rPr>
            </w:pPr>
            <w:r>
              <w:rPr>
                <w:rFonts w:ascii="Arial" w:cs="Arial" w:eastAsia="Arial" w:hAnsi="Arial"/>
                <w:sz w:val="14"/>
                <w:szCs w:val="14"/>
                <w:color w:val="auto"/>
              </w:rPr>
              <w:t>2022</w:t>
            </w:r>
          </w:p>
        </w:tc>
        <w:tc>
          <w:tcPr>
            <w:tcW w:w="800" w:type="dxa"/>
            <w:vAlign w:val="bottom"/>
            <w:tcBorders>
              <w:top w:val="single" w:sz="8" w:color="auto"/>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2021</w:t>
            </w:r>
          </w:p>
        </w:tc>
        <w:tc>
          <w:tcPr>
            <w:tcW w:w="260" w:type="dxa"/>
            <w:vAlign w:val="bottom"/>
            <w:tcBorders>
              <w:top w:val="single" w:sz="8" w:color="D9D9D6"/>
            </w:tcBorders>
            <w:shd w:val="clear" w:color="auto" w:fill="D9D9D6"/>
          </w:tcPr>
          <w:p>
            <w:pPr>
              <w:spacing w:after="0"/>
              <w:rPr>
                <w:sz w:val="15"/>
                <w:szCs w:val="15"/>
                <w:color w:val="auto"/>
              </w:rPr>
            </w:pPr>
          </w:p>
        </w:tc>
        <w:tc>
          <w:tcPr>
            <w:tcW w:w="320" w:type="dxa"/>
            <w:vAlign w:val="bottom"/>
            <w:tcBorders>
              <w:top w:val="single" w:sz="8" w:color="D9D9D6"/>
            </w:tcBorders>
            <w:shd w:val="clear" w:color="auto" w:fill="D9D9D6"/>
          </w:tcPr>
          <w:p>
            <w:pPr>
              <w:spacing w:after="0"/>
              <w:rPr>
                <w:sz w:val="15"/>
                <w:szCs w:val="15"/>
                <w:color w:val="auto"/>
              </w:rPr>
            </w:pPr>
          </w:p>
        </w:tc>
        <w:tc>
          <w:tcPr>
            <w:tcW w:w="62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Change</w:t>
            </w:r>
          </w:p>
        </w:tc>
      </w:tr>
      <w:tr>
        <w:trPr>
          <w:trHeight w:val="20"/>
        </w:trPr>
        <w:tc>
          <w:tcPr>
            <w:tcW w:w="4660" w:type="dxa"/>
            <w:vAlign w:val="bottom"/>
            <w:shd w:val="clear" w:color="auto" w:fill="D9D9D6"/>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828282"/>
            </w:tcBorders>
            <w:shd w:val="clear" w:color="auto" w:fill="D9D9D6"/>
          </w:tcPr>
          <w:p>
            <w:pPr>
              <w:spacing w:after="0" w:line="20" w:lineRule="exact"/>
              <w:rPr>
                <w:sz w:val="1"/>
                <w:szCs w:val="1"/>
                <w:color w:val="auto"/>
              </w:rPr>
            </w:pPr>
          </w:p>
        </w:tc>
        <w:tc>
          <w:tcPr>
            <w:tcW w:w="84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60" w:type="dxa"/>
            <w:vAlign w:val="bottom"/>
            <w:tcBorders>
              <w:right w:val="single" w:sz="8" w:color="D9D9D6"/>
            </w:tcBorders>
            <w:shd w:val="clear" w:color="auto" w:fill="000000"/>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309"/>
        </w:trPr>
        <w:tc>
          <w:tcPr>
            <w:tcW w:w="46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Revenue</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$30,016</w:t>
            </w:r>
          </w:p>
        </w:tc>
        <w:tc>
          <w:tcPr>
            <w:tcW w:w="9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$28,546</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5.1 %</w:t>
            </w:r>
          </w:p>
        </w:tc>
        <w:tc>
          <w:tcPr>
            <w:tcW w:w="280" w:type="dxa"/>
            <w:vAlign w:val="bottom"/>
            <w:tcBorders>
              <w:right w:val="single" w:sz="8" w:color="828282"/>
            </w:tcBorders>
            <w:shd w:val="clear" w:color="auto" w:fill="D9D9D6"/>
          </w:tcPr>
          <w:p>
            <w:pPr>
              <w:spacing w:after="0"/>
              <w:rPr>
                <w:sz w:val="24"/>
                <w:szCs w:val="24"/>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$61,026</w:t>
            </w:r>
          </w:p>
        </w:tc>
        <w:tc>
          <w:tcPr>
            <w:tcW w:w="180" w:type="dxa"/>
            <w:vAlign w:val="bottom"/>
            <w:shd w:val="clear" w:color="auto" w:fill="D9D9D6"/>
          </w:tcPr>
          <w:p>
            <w:pPr>
              <w:spacing w:after="0"/>
              <w:rPr>
                <w:sz w:val="24"/>
                <w:szCs w:val="24"/>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fter="0"/>
              <w:rPr>
                <w:sz w:val="24"/>
                <w:szCs w:val="24"/>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9.5 %</w:t>
            </w:r>
          </w:p>
        </w:tc>
        <w:tc>
          <w:tcPr>
            <w:tcW w:w="120" w:type="dxa"/>
            <w:vAlign w:val="bottom"/>
            <w:shd w:val="clear" w:color="auto" w:fill="D9D9D6"/>
          </w:tcPr>
          <w:p>
            <w:pPr>
              <w:spacing w:after="0"/>
              <w:rPr>
                <w:sz w:val="24"/>
                <w:szCs w:val="24"/>
                <w:color w:val="auto"/>
              </w:rPr>
            </w:pPr>
          </w:p>
        </w:tc>
      </w:tr>
      <w:tr>
        <w:trPr>
          <w:trHeight w:val="203"/>
        </w:trPr>
        <w:tc>
          <w:tcPr>
            <w:tcW w:w="46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Net Income Attributable to Comcast</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$3,396</w:t>
            </w:r>
          </w:p>
        </w:tc>
        <w:tc>
          <w:tcPr>
            <w:tcW w:w="9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$3,738</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(9.2 %)</w:t>
            </w:r>
          </w:p>
        </w:tc>
        <w:tc>
          <w:tcPr>
            <w:tcW w:w="280" w:type="dxa"/>
            <w:vAlign w:val="bottom"/>
            <w:tcBorders>
              <w:right w:val="single" w:sz="8" w:color="828282"/>
            </w:tcBorders>
            <w:shd w:val="clear" w:color="auto" w:fill="D9D9D6"/>
          </w:tcPr>
          <w:p>
            <w:pPr>
              <w:spacing w:after="0"/>
              <w:rPr>
                <w:sz w:val="17"/>
                <w:szCs w:val="17"/>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$6,945</w:t>
            </w:r>
          </w:p>
        </w:tc>
        <w:tc>
          <w:tcPr>
            <w:tcW w:w="180" w:type="dxa"/>
            <w:vAlign w:val="bottom"/>
            <w:shd w:val="clear" w:color="auto" w:fill="D9D9D6"/>
          </w:tcPr>
          <w:p>
            <w:pPr>
              <w:spacing w:after="0"/>
              <w:rPr>
                <w:sz w:val="17"/>
                <w:szCs w:val="17"/>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$7,067</w:t>
            </w:r>
          </w:p>
        </w:tc>
        <w:tc>
          <w:tcPr>
            <w:tcW w:w="260" w:type="dxa"/>
            <w:vAlign w:val="bottom"/>
            <w:shd w:val="clear" w:color="auto" w:fill="D9D9D6"/>
          </w:tcPr>
          <w:p>
            <w:pPr>
              <w:spacing w:after="0"/>
              <w:rPr>
                <w:sz w:val="17"/>
                <w:szCs w:val="17"/>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D9D9D6"/>
          </w:tcPr>
          <w:p>
            <w:pPr>
              <w:spacing w:after="0"/>
              <w:rPr>
                <w:sz w:val="17"/>
                <w:szCs w:val="17"/>
                <w:color w:val="auto"/>
              </w:rPr>
            </w:pPr>
          </w:p>
        </w:tc>
      </w:tr>
      <w:tr>
        <w:trPr>
          <w:trHeight w:val="211"/>
        </w:trPr>
        <w:tc>
          <w:tcPr>
            <w:tcW w:w="46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$4,507</w:t>
            </w:r>
          </w:p>
        </w:tc>
        <w:tc>
          <w:tcPr>
            <w:tcW w:w="9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$3,943</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14.3 %</w:t>
            </w:r>
          </w:p>
        </w:tc>
        <w:tc>
          <w:tcPr>
            <w:tcW w:w="280" w:type="dxa"/>
            <w:vAlign w:val="bottom"/>
            <w:tcBorders>
              <w:right w:val="single" w:sz="8" w:color="828282"/>
            </w:tcBorders>
            <w:shd w:val="clear" w:color="auto" w:fill="D9D9D6"/>
          </w:tcPr>
          <w:p>
            <w:pPr>
              <w:spacing w:after="0"/>
              <w:rPr>
                <w:sz w:val="18"/>
                <w:szCs w:val="18"/>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$8,406</w:t>
            </w:r>
          </w:p>
        </w:tc>
        <w:tc>
          <w:tcPr>
            <w:tcW w:w="180" w:type="dxa"/>
            <w:vAlign w:val="bottom"/>
            <w:shd w:val="clear" w:color="auto" w:fill="D9D9D6"/>
          </w:tcPr>
          <w:p>
            <w:pPr>
              <w:spacing w:after="0"/>
              <w:rPr>
                <w:sz w:val="18"/>
                <w:szCs w:val="18"/>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$7,472</w:t>
            </w:r>
          </w:p>
        </w:tc>
        <w:tc>
          <w:tcPr>
            <w:tcW w:w="260" w:type="dxa"/>
            <w:vAlign w:val="bottom"/>
            <w:shd w:val="clear" w:color="auto" w:fill="D9D9D6"/>
          </w:tcPr>
          <w:p>
            <w:pPr>
              <w:spacing w:after="0"/>
              <w:rPr>
                <w:sz w:val="18"/>
                <w:szCs w:val="18"/>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12.5 %</w:t>
            </w:r>
          </w:p>
        </w:tc>
        <w:tc>
          <w:tcPr>
            <w:tcW w:w="120" w:type="dxa"/>
            <w:vAlign w:val="bottom"/>
            <w:shd w:val="clear" w:color="auto" w:fill="D9D9D6"/>
          </w:tcPr>
          <w:p>
            <w:pPr>
              <w:spacing w:after="0"/>
              <w:rPr>
                <w:sz w:val="18"/>
                <w:szCs w:val="18"/>
                <w:color w:val="auto"/>
              </w:rPr>
            </w:pPr>
          </w:p>
        </w:tc>
      </w:tr>
      <w:tr>
        <w:trPr>
          <w:trHeight w:val="203"/>
        </w:trPr>
        <w:tc>
          <w:tcPr>
            <w:tcW w:w="466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$9,827</w:t>
            </w:r>
          </w:p>
        </w:tc>
        <w:tc>
          <w:tcPr>
            <w:tcW w:w="9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$8,927</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10.1 %</w:t>
            </w:r>
          </w:p>
        </w:tc>
        <w:tc>
          <w:tcPr>
            <w:tcW w:w="280" w:type="dxa"/>
            <w:vAlign w:val="bottom"/>
            <w:tcBorders>
              <w:right w:val="single" w:sz="8" w:color="828282"/>
            </w:tcBorders>
            <w:shd w:val="clear" w:color="auto" w:fill="D9D9D6"/>
          </w:tcPr>
          <w:p>
            <w:pPr>
              <w:spacing w:after="0"/>
              <w:rPr>
                <w:sz w:val="17"/>
                <w:szCs w:val="17"/>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$18,977</w:t>
            </w:r>
          </w:p>
        </w:tc>
        <w:tc>
          <w:tcPr>
            <w:tcW w:w="180" w:type="dxa"/>
            <w:vAlign w:val="bottom"/>
            <w:shd w:val="clear" w:color="auto" w:fill="D9D9D6"/>
          </w:tcPr>
          <w:p>
            <w:pPr>
              <w:spacing w:after="0"/>
              <w:rPr>
                <w:sz w:val="17"/>
                <w:szCs w:val="17"/>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$17,339</w:t>
            </w:r>
          </w:p>
        </w:tc>
        <w:tc>
          <w:tcPr>
            <w:tcW w:w="260" w:type="dxa"/>
            <w:vAlign w:val="bottom"/>
            <w:shd w:val="clear" w:color="auto" w:fill="D9D9D6"/>
          </w:tcPr>
          <w:p>
            <w:pPr>
              <w:spacing w:after="0"/>
              <w:rPr>
                <w:sz w:val="17"/>
                <w:szCs w:val="17"/>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9.4 %</w:t>
            </w:r>
          </w:p>
        </w:tc>
        <w:tc>
          <w:tcPr>
            <w:tcW w:w="120" w:type="dxa"/>
            <w:vAlign w:val="bottom"/>
            <w:shd w:val="clear" w:color="auto" w:fill="D9D9D6"/>
          </w:tcPr>
          <w:p>
            <w:pPr>
              <w:spacing w:after="0"/>
              <w:rPr>
                <w:sz w:val="17"/>
                <w:szCs w:val="17"/>
                <w:color w:val="auto"/>
              </w:rPr>
            </w:pPr>
          </w:p>
        </w:tc>
      </w:tr>
      <w:tr>
        <w:trPr>
          <w:trHeight w:val="203"/>
        </w:trPr>
        <w:tc>
          <w:tcPr>
            <w:tcW w:w="466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$0.76</w:t>
            </w:r>
          </w:p>
        </w:tc>
        <w:tc>
          <w:tcPr>
            <w:tcW w:w="9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$0.80</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80" w:type="dxa"/>
            <w:vAlign w:val="bottom"/>
            <w:tcBorders>
              <w:right w:val="single" w:sz="8" w:color="828282"/>
            </w:tcBorders>
            <w:shd w:val="clear" w:color="auto" w:fill="D9D9D6"/>
          </w:tcPr>
          <w:p>
            <w:pPr>
              <w:spacing w:after="0"/>
              <w:rPr>
                <w:sz w:val="17"/>
                <w:szCs w:val="17"/>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$1.54</w:t>
            </w:r>
          </w:p>
        </w:tc>
        <w:tc>
          <w:tcPr>
            <w:tcW w:w="180" w:type="dxa"/>
            <w:vAlign w:val="bottom"/>
            <w:shd w:val="clear" w:color="auto" w:fill="D9D9D6"/>
          </w:tcPr>
          <w:p>
            <w:pPr>
              <w:spacing w:after="0"/>
              <w:rPr>
                <w:sz w:val="17"/>
                <w:szCs w:val="17"/>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$1.51</w:t>
            </w:r>
          </w:p>
        </w:tc>
        <w:tc>
          <w:tcPr>
            <w:tcW w:w="260" w:type="dxa"/>
            <w:vAlign w:val="bottom"/>
            <w:shd w:val="clear" w:color="auto" w:fill="D9D9D6"/>
          </w:tcPr>
          <w:p>
            <w:pPr>
              <w:spacing w:after="0"/>
              <w:rPr>
                <w:sz w:val="17"/>
                <w:szCs w:val="17"/>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2.0 %</w:t>
            </w:r>
          </w:p>
        </w:tc>
        <w:tc>
          <w:tcPr>
            <w:tcW w:w="120" w:type="dxa"/>
            <w:vAlign w:val="bottom"/>
            <w:shd w:val="clear" w:color="auto" w:fill="D9D9D6"/>
          </w:tcPr>
          <w:p>
            <w:pPr>
              <w:spacing w:after="0"/>
              <w:rPr>
                <w:sz w:val="17"/>
                <w:szCs w:val="17"/>
                <w:color w:val="auto"/>
              </w:rPr>
            </w:pPr>
          </w:p>
        </w:tc>
      </w:tr>
      <w:tr>
        <w:trPr>
          <w:trHeight w:val="202"/>
        </w:trPr>
        <w:tc>
          <w:tcPr>
            <w:tcW w:w="466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$1.01</w:t>
            </w:r>
          </w:p>
        </w:tc>
        <w:tc>
          <w:tcPr>
            <w:tcW w:w="9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$0.84</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828282"/>
            </w:tcBorders>
            <w:shd w:val="clear" w:color="auto" w:fill="D9D9D6"/>
          </w:tcPr>
          <w:p>
            <w:pPr>
              <w:spacing w:after="0"/>
              <w:rPr>
                <w:sz w:val="17"/>
                <w:szCs w:val="17"/>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$1.86</w:t>
            </w:r>
          </w:p>
        </w:tc>
        <w:tc>
          <w:tcPr>
            <w:tcW w:w="180" w:type="dxa"/>
            <w:vAlign w:val="bottom"/>
            <w:shd w:val="clear" w:color="auto" w:fill="D9D9D6"/>
          </w:tcPr>
          <w:p>
            <w:pPr>
              <w:spacing w:after="0"/>
              <w:rPr>
                <w:sz w:val="17"/>
                <w:szCs w:val="17"/>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$1.60</w:t>
            </w:r>
          </w:p>
        </w:tc>
        <w:tc>
          <w:tcPr>
            <w:tcW w:w="260" w:type="dxa"/>
            <w:vAlign w:val="bottom"/>
            <w:shd w:val="clear" w:color="auto" w:fill="D9D9D6"/>
          </w:tcPr>
          <w:p>
            <w:pPr>
              <w:spacing w:after="0"/>
              <w:rPr>
                <w:sz w:val="17"/>
                <w:szCs w:val="17"/>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16.3 %</w:t>
            </w:r>
          </w:p>
        </w:tc>
        <w:tc>
          <w:tcPr>
            <w:tcW w:w="120" w:type="dxa"/>
            <w:vAlign w:val="bottom"/>
            <w:shd w:val="clear" w:color="auto" w:fill="D9D9D6"/>
          </w:tcPr>
          <w:p>
            <w:pPr>
              <w:spacing w:after="0"/>
              <w:rPr>
                <w:sz w:val="17"/>
                <w:szCs w:val="17"/>
                <w:color w:val="auto"/>
              </w:rPr>
            </w:pPr>
          </w:p>
        </w:tc>
      </w:tr>
      <w:tr>
        <w:trPr>
          <w:trHeight w:val="195"/>
        </w:trPr>
        <w:tc>
          <w:tcPr>
            <w:tcW w:w="46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$6,327</w:t>
            </w:r>
          </w:p>
        </w:tc>
        <w:tc>
          <w:tcPr>
            <w:tcW w:w="9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$7,606</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(16.8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$13,584</w:t>
            </w:r>
          </w:p>
        </w:tc>
        <w:tc>
          <w:tcPr>
            <w:tcW w:w="180" w:type="dxa"/>
            <w:vAlign w:val="bottom"/>
            <w:shd w:val="clear" w:color="auto" w:fill="D9D9D6"/>
          </w:tcPr>
          <w:p>
            <w:pPr>
              <w:spacing w:after="0"/>
              <w:rPr>
                <w:sz w:val="16"/>
                <w:szCs w:val="16"/>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$15,357</w:t>
            </w:r>
          </w:p>
        </w:tc>
        <w:tc>
          <w:tcPr>
            <w:tcW w:w="26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(11.5 %)</w:t>
            </w:r>
          </w:p>
        </w:tc>
        <w:tc>
          <w:tcPr>
            <w:tcW w:w="120" w:type="dxa"/>
            <w:vAlign w:val="bottom"/>
            <w:shd w:val="clear" w:color="auto" w:fill="D9D9D6"/>
          </w:tcPr>
          <w:p>
            <w:pPr>
              <w:spacing w:after="0"/>
              <w:rPr>
                <w:sz w:val="16"/>
                <w:szCs w:val="16"/>
                <w:color w:val="auto"/>
              </w:rPr>
            </w:pPr>
          </w:p>
        </w:tc>
      </w:tr>
      <w:tr>
        <w:trPr>
          <w:trHeight w:val="245"/>
        </w:trPr>
        <w:tc>
          <w:tcPr>
            <w:tcW w:w="466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2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$3,170</w:t>
            </w:r>
          </w:p>
        </w:tc>
        <w:tc>
          <w:tcPr>
            <w:tcW w:w="940" w:type="dxa"/>
            <w:vAlign w:val="bottom"/>
            <w:tcBorders>
              <w:bottom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$4,791</w:t>
            </w:r>
          </w:p>
        </w:tc>
        <w:tc>
          <w:tcPr>
            <w:tcW w:w="92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(33.8</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80" w:type="dxa"/>
            <w:vAlign w:val="bottom"/>
            <w:tcBorders>
              <w:bottom w:val="single" w:sz="8" w:color="D9D9D6"/>
              <w:right w:val="single" w:sz="8" w:color="828282"/>
            </w:tcBorders>
            <w:shd w:val="clear" w:color="auto" w:fill="D9D9D6"/>
          </w:tcPr>
          <w:p>
            <w:pPr>
              <w:spacing w:after="0"/>
              <w:rPr>
                <w:sz w:val="21"/>
                <w:szCs w:val="21"/>
                <w:color w:val="auto"/>
              </w:rPr>
            </w:pPr>
          </w:p>
        </w:tc>
        <w:tc>
          <w:tcPr>
            <w:tcW w:w="116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$7,930</w:t>
            </w:r>
          </w:p>
        </w:tc>
        <w:tc>
          <w:tcPr>
            <w:tcW w:w="180" w:type="dxa"/>
            <w:vAlign w:val="bottom"/>
            <w:tcBorders>
              <w:bottom w:val="single" w:sz="8" w:color="D9D9D6"/>
            </w:tcBorders>
            <w:shd w:val="clear" w:color="auto" w:fill="D9D9D6"/>
          </w:tcPr>
          <w:p>
            <w:pPr>
              <w:spacing w:after="0"/>
              <w:rPr>
                <w:sz w:val="21"/>
                <w:szCs w:val="21"/>
                <w:color w:val="auto"/>
              </w:rPr>
            </w:pPr>
          </w:p>
        </w:tc>
        <w:tc>
          <w:tcPr>
            <w:tcW w:w="800" w:type="dxa"/>
            <w:vAlign w:val="bottom"/>
            <w:tcBorders>
              <w:bottom w:val="single" w:sz="8" w:color="D9D9D6"/>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$10,071</w:t>
            </w:r>
          </w:p>
        </w:tc>
        <w:tc>
          <w:tcPr>
            <w:tcW w:w="260" w:type="dxa"/>
            <w:vAlign w:val="bottom"/>
            <w:tcBorders>
              <w:bottom w:val="single" w:sz="8" w:color="D9D9D6"/>
            </w:tcBorders>
            <w:shd w:val="clear" w:color="auto" w:fill="D9D9D6"/>
          </w:tcPr>
          <w:p>
            <w:pPr>
              <w:spacing w:after="0"/>
              <w:rPr>
                <w:sz w:val="21"/>
                <w:szCs w:val="21"/>
                <w:color w:val="auto"/>
              </w:rPr>
            </w:pPr>
          </w:p>
        </w:tc>
        <w:tc>
          <w:tcPr>
            <w:tcW w:w="82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(21.3 %)</w:t>
            </w:r>
          </w:p>
        </w:tc>
        <w:tc>
          <w:tcPr>
            <w:tcW w:w="120" w:type="dxa"/>
            <w:vAlign w:val="bottom"/>
            <w:tcBorders>
              <w:bottom w:val="single" w:sz="8" w:color="D9D9D6"/>
            </w:tcBorders>
            <w:shd w:val="clear" w:color="auto" w:fill="D9D9D6"/>
          </w:tcPr>
          <w:p>
            <w:pPr>
              <w:spacing w:after="0"/>
              <w:rPr>
                <w:sz w:val="21"/>
                <w:szCs w:val="21"/>
                <w:color w:val="auto"/>
              </w:rPr>
            </w:pPr>
          </w:p>
        </w:tc>
      </w:tr>
    </w:tbl>
    <w:p>
      <w:pPr>
        <w:spacing w:after="0" w:line="7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2nd Quarter 2022 Highlights:</w:t>
      </w:r>
    </w:p>
    <w:p>
      <w:pPr>
        <w:spacing w:after="0" w:line="63" w:lineRule="exact"/>
        <w:rPr>
          <w:sz w:val="20"/>
          <w:szCs w:val="20"/>
          <w:color w:val="auto"/>
        </w:rPr>
      </w:pPr>
    </w:p>
    <w:p>
      <w:pPr>
        <w:ind w:left="340" w:hanging="332"/>
        <w:spacing w:after="0" w:line="234"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18"/>
          <w:szCs w:val="18"/>
          <w:color w:val="auto"/>
        </w:rPr>
        <w:t>Consolidated Adjusted EBITDA Increased 10.1% to $9.8 Billion; Adjusted EPS Increased 20.2% to $1.01; Generated Free Cash Flow of $3.2 Billion</w:t>
      </w:r>
    </w:p>
    <w:p>
      <w:pPr>
        <w:spacing w:after="0" w:line="1" w:lineRule="exact"/>
        <w:rPr>
          <w:rFonts w:ascii="Arial" w:cs="Arial" w:eastAsia="Arial" w:hAnsi="Arial"/>
          <w:sz w:val="22"/>
          <w:szCs w:val="22"/>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$4.2 Billion to Shareholders Through a Combination of $1.2 Billion in Dividend Payments and $3.0 Billion in Share Repurchases</w:t>
      </w:r>
    </w:p>
    <w:p>
      <w:pPr>
        <w:ind w:left="340" w:hanging="332"/>
        <w:spacing w:after="0" w:line="25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5.3% and Adjusted EBITDA per Customer Relationship Increased 3.0%; Adjusted EBITDA Margin Increased 70 Basis Points to 44.9%</w:t>
      </w:r>
    </w:p>
    <w:p>
      <w:pPr>
        <w:ind w:left="340" w:right="20" w:hanging="332"/>
        <w:spacing w:after="0" w:line="247"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Relationships of 34.4 Million and Total Broadband Customers of 32.2 Million Were Consistent with the Prior Quarter and Increased 1.7% and 2.5%, Respectively, Compared to the Prior Year Period</w:t>
      </w:r>
    </w:p>
    <w:p>
      <w:pPr>
        <w:spacing w:after="0" w:line="1" w:lineRule="exact"/>
        <w:rPr>
          <w:rFonts w:ascii="Arial" w:cs="Arial" w:eastAsia="Arial" w:hAnsi="Arial"/>
          <w:sz w:val="18"/>
          <w:szCs w:val="18"/>
          <w:color w:val="auto"/>
        </w:rPr>
      </w:pPr>
    </w:p>
    <w:p>
      <w:pPr>
        <w:ind w:left="340" w:right="20" w:hanging="332"/>
        <w:spacing w:after="0" w:line="25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Wireless Customer Line Net Additions Were 317,000, the Best Second Quarter Result on Record; Wireless Penetration of Residential Broadband Customers Increased to 7.9%</w:t>
      </w: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June, Closed the Previously Announced Joint Venture with Charter to Develop and Nationally Offer a Next Generation Streaming Platform</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Adjusted EBITDA Increased 19.5% to $1.9 Billion, Including Peacock Losses</w:t>
      </w:r>
    </w:p>
    <w:p>
      <w:pPr>
        <w:spacing w:after="0" w:line="26"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Peacock Paid Subscribers Stayed Relatively Flat at 13 Million, Following a Very Strong First Quarter That Was Driven by a Variety of Extraordinary Programming</w:t>
      </w:r>
    </w:p>
    <w:p>
      <w:pPr>
        <w:spacing w:after="0" w:line="1" w:lineRule="exact"/>
        <w:rPr>
          <w:rFonts w:ascii="Arial" w:cs="Arial" w:eastAsia="Arial" w:hAnsi="Arial"/>
          <w:sz w:val="18"/>
          <w:szCs w:val="18"/>
          <w:color w:val="auto"/>
        </w:rPr>
      </w:pPr>
    </w:p>
    <w:p>
      <w:pPr>
        <w:ind w:left="340" w:hanging="332"/>
        <w:spacing w:after="0" w:line="242"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Studios Revenue Increased 33.3% to $3.0 Billion, Driven by the Successful Theatrical Performance of </w:t>
      </w:r>
      <w:r>
        <w:rPr>
          <w:rFonts w:ascii="Arial" w:cs="Arial" w:eastAsia="Arial" w:hAnsi="Arial"/>
          <w:sz w:val="18"/>
          <w:szCs w:val="18"/>
          <w:i w:val="1"/>
          <w:iCs w:val="1"/>
          <w:color w:val="auto"/>
        </w:rPr>
        <w:t>Jurassic World: Dominion</w:t>
      </w:r>
      <w:r>
        <w:rPr>
          <w:rFonts w:ascii="Arial" w:cs="Arial" w:eastAsia="Arial" w:hAnsi="Arial"/>
          <w:sz w:val="18"/>
          <w:szCs w:val="18"/>
          <w:color w:val="auto"/>
        </w:rPr>
        <w:t xml:space="preserve">; Adjusted EBITDA in the Second Quarter Reflected the Timing of Costs for Future Theatrical Releases, Including the Premiere of </w:t>
      </w:r>
      <w:r>
        <w:rPr>
          <w:rFonts w:ascii="Arial" w:cs="Arial" w:eastAsia="Arial" w:hAnsi="Arial"/>
          <w:sz w:val="18"/>
          <w:szCs w:val="18"/>
          <w:i w:val="1"/>
          <w:iCs w:val="1"/>
          <w:color w:val="auto"/>
        </w:rPr>
        <w:t>Minions: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Rise of Gru </w:t>
      </w:r>
      <w:r>
        <w:rPr>
          <w:rFonts w:ascii="Arial" w:cs="Arial" w:eastAsia="Arial" w:hAnsi="Arial"/>
          <w:sz w:val="18"/>
          <w:szCs w:val="18"/>
          <w:color w:val="auto"/>
        </w:rPr>
        <w:t>in the Third Quarter</w:t>
      </w:r>
    </w:p>
    <w:p>
      <w:pPr>
        <w:sectPr>
          <w:pgSz w:w="11900" w:h="16838" w:orient="portrait"/>
          <w:cols w:equalWidth="0" w:num="1">
            <w:col w:w="11240"/>
          </w:cols>
          <w:pgMar w:left="320" w:top="737" w:right="339" w:bottom="1440" w:gutter="0" w:footer="0" w:header="0"/>
        </w:sectPr>
      </w:pPr>
    </w:p>
    <w:bookmarkStart w:id="4" w:name="page5"/>
    <w:bookmarkEnd w:id="4"/>
    <w:p>
      <w:pPr>
        <w:jc w:val="both"/>
        <w:ind w:left="340" w:hanging="332"/>
        <w:spacing w:after="0" w:line="252"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Theme Parks Adjusted EBITDA Increased $411 Million to $632 Million, Its Highest Adjusted EBITDA on Record For a Second Quarter, Reflecting Improved Results at Each Park Compared to the Prior Year Period. Universal Orlando Generated Its Highest Adjusted EBITDA on Record for Any Quarter</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Sky Adjusted EBITDA Increased 54.1% to $863 Million; On a Constant Currency Basis, Adjusted EBITDA Increased 70.7%</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4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second quarter of 2022 increased 5.1% to $30.0 billion.</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decreased 9.2% to $3.4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w:t>
      </w:r>
      <w:r>
        <w:rPr>
          <w:rFonts w:ascii="Arial" w:cs="Arial" w:eastAsia="Arial" w:hAnsi="Arial"/>
          <w:sz w:val="18"/>
          <w:szCs w:val="18"/>
          <w:b w:val="1"/>
          <w:bCs w:val="1"/>
          <w:i w:val="1"/>
          <w:iCs w:val="1"/>
          <w:color w:val="auto"/>
        </w:rPr>
        <w:t>Adjusted Net Income</w:t>
      </w:r>
      <w:r>
        <w:rPr>
          <w:rFonts w:ascii="Arial" w:cs="Arial" w:eastAsia="Arial" w:hAnsi="Arial"/>
          <w:sz w:val="18"/>
          <w:szCs w:val="18"/>
          <w:color w:val="auto"/>
        </w:rPr>
        <w:t xml:space="preserve"> increased 14.3% to $4.5 billion.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10.1% to $9.8 billion.</w:t>
      </w:r>
    </w:p>
    <w:p>
      <w:pPr>
        <w:spacing w:after="0" w:line="1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six months ended June 30, 2022, revenue increased 9.5% to $ 61.0 billion compared to 2021. Net income attributable to Comcast decreased 1.7% to $6.9 billion. Adjusted Net Income increased 12.5% to $8.4 billion. Adjusted EBITDA increased 9.4% to $19.0 billion.</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second quarter of 2022 decreased 5.0% to $0.76 compared to the prior year period.</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20.2% to $1.01.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2022, EPS increased 2.0% to $1.54 compared to 2021. Adjusted EPS increased 16.3% to $1.86.</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12.6% to $ 2.4 billion in the second quarter of 2022. Cable Communications’ capital expenditures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4.8% to $1.8 billion. NBCUniversal’s capital expenditures increased 153.8% to $463 million. Sky's capital expenditures decreased 29.3% to $130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2022, capital expenditures increased 6.7% to $4.3 billion compared to 2021. Cable Communications'</w:t>
      </w:r>
    </w:p>
    <w:p>
      <w:pPr>
        <w:spacing w:after="0" w:line="1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capital expenditures increased 2.5% to $3.1 billion. NBCUniversal's capital expenditures increased 116.9% to $769 million. Sky's capital expenditures decreased 39.1% to $277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$6.3 billion in the second quarter of 2022.</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$3.2 billion.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2022, net cash provided by operating activities was $13.6 billion. Free cash flow was $7.9 billion.</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resumed its share repurchase program in May 2021 after pausing the program in 2019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the reduction of indebtedness it incurred in connection with its acquisition of Sky. During the second quarter of 2022, Comcast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paid dividends totaling $1.2 billion and repurchased 70.8 million of its common shares for $3.0 billion, resulting in a total return of capital to shareholders of $4.2 billion, compared to $1.7 billion in the prior year period.</w:t>
      </w:r>
    </w:p>
    <w:p>
      <w:pPr>
        <w:spacing w:after="0" w:line="1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the six months ended June 30, 2022, Comcast paid dividends totaling $2.4 billion and repurchased 133.4 million of its common shares for $6.0 billion, resulting in a total return of capital to shareholders of $8.4 billion, compared to $2.7 billion in 2021.</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0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66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right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8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66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120" w:type="dxa"/>
            <w:vAlign w:val="bottom"/>
            <w:shd w:val="clear" w:color="auto" w:fill="D9D9D6"/>
          </w:tcPr>
          <w:p>
            <w:pPr>
              <w:spacing w:after="0"/>
              <w:rPr>
                <w:sz w:val="14"/>
                <w:szCs w:val="14"/>
                <w:color w:val="auto"/>
              </w:rPr>
            </w:pPr>
          </w:p>
        </w:tc>
        <w:tc>
          <w:tcPr>
            <w:tcW w:w="4000" w:type="dxa"/>
            <w:vAlign w:val="bottom"/>
            <w:shd w:val="clear" w:color="auto" w:fill="D9D9D6"/>
          </w:tcPr>
          <w:p>
            <w:pPr>
              <w:spacing w:after="0"/>
              <w:rPr>
                <w:sz w:val="14"/>
                <w:szCs w:val="14"/>
                <w:color w:val="auto"/>
              </w:rPr>
            </w:pPr>
          </w:p>
        </w:tc>
        <w:tc>
          <w:tcPr>
            <w:tcW w:w="7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40" w:type="dxa"/>
            <w:vAlign w:val="bottom"/>
            <w:shd w:val="clear" w:color="auto" w:fill="D9D9D6"/>
          </w:tcPr>
          <w:p>
            <w:pPr>
              <w:spacing w:after="0"/>
              <w:rPr>
                <w:sz w:val="14"/>
                <w:szCs w:val="14"/>
                <w:color w:val="auto"/>
              </w:rPr>
            </w:pPr>
          </w:p>
        </w:tc>
        <w:tc>
          <w:tcPr>
            <w:tcW w:w="78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2nd Quarter</w:t>
            </w:r>
          </w:p>
        </w:tc>
        <w:tc>
          <w:tcPr>
            <w:tcW w:w="220" w:type="dxa"/>
            <w:vAlign w:val="bottom"/>
            <w:gridSpan w:val="2"/>
            <w:shd w:val="clear" w:color="auto" w:fill="D9D9D6"/>
          </w:tcPr>
          <w:p>
            <w:pPr>
              <w:spacing w:after="0"/>
              <w:rPr>
                <w:sz w:val="14"/>
                <w:szCs w:val="14"/>
                <w:color w:val="auto"/>
              </w:rPr>
            </w:pP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80" w:type="dxa"/>
            <w:vAlign w:val="bottom"/>
            <w:tcBorders>
              <w:right w:val="single" w:sz="8" w:color="97999B"/>
            </w:tcBorders>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8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140" w:type="dxa"/>
            <w:vAlign w:val="bottom"/>
            <w:gridSpan w:val="5"/>
            <w:shd w:val="clear" w:color="auto" w:fill="D9D9D6"/>
          </w:tcPr>
          <w:p>
            <w:pPr>
              <w:jc w:val="right"/>
              <w:ind w:right="220"/>
              <w:spacing w:after="0"/>
              <w:rPr>
                <w:sz w:val="20"/>
                <w:szCs w:val="20"/>
                <w:color w:val="auto"/>
              </w:rPr>
            </w:pPr>
            <w:r>
              <w:rPr>
                <w:rFonts w:ascii="Arial" w:cs="Arial" w:eastAsia="Arial" w:hAnsi="Arial"/>
                <w:sz w:val="14"/>
                <w:szCs w:val="14"/>
                <w:color w:val="auto"/>
              </w:rPr>
              <w:t>Year to Date</w:t>
            </w: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000" w:type="dxa"/>
            <w:vAlign w:val="bottom"/>
            <w:shd w:val="clear" w:color="auto" w:fill="D9D9D6"/>
          </w:tcPr>
          <w:p>
            <w:pPr>
              <w:spacing w:after="0" w:line="20" w:lineRule="exact"/>
              <w:rPr>
                <w:sz w:val="1"/>
                <w:szCs w:val="1"/>
                <w:color w:val="auto"/>
              </w:rPr>
            </w:pPr>
          </w:p>
        </w:tc>
        <w:tc>
          <w:tcPr>
            <w:tcW w:w="7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80" w:type="dxa"/>
            <w:vAlign w:val="bottom"/>
            <w:tcBorders>
              <w:right w:val="single" w:sz="8" w:color="97999B"/>
            </w:tcBorders>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000" w:type="dxa"/>
            <w:vAlign w:val="bottom"/>
            <w:shd w:val="clear" w:color="auto" w:fill="D9D9D6"/>
          </w:tcPr>
          <w:p>
            <w:pPr>
              <w:spacing w:after="0"/>
              <w:rPr>
                <w:sz w:val="15"/>
                <w:szCs w:val="15"/>
                <w:color w:val="auto"/>
              </w:rPr>
            </w:pP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140" w:type="dxa"/>
            <w:vAlign w:val="bottom"/>
            <w:shd w:val="clear" w:color="auto" w:fill="D9D9D6"/>
          </w:tcPr>
          <w:p>
            <w:pPr>
              <w:spacing w:after="0"/>
              <w:rPr>
                <w:sz w:val="15"/>
                <w:szCs w:val="15"/>
                <w:color w:val="auto"/>
              </w:rPr>
            </w:pP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540" w:type="dxa"/>
            <w:vAlign w:val="bottom"/>
            <w:shd w:val="clear" w:color="auto" w:fill="D9D9D6"/>
          </w:tcPr>
          <w:p>
            <w:pPr>
              <w:spacing w:after="0"/>
              <w:rPr>
                <w:sz w:val="15"/>
                <w:szCs w:val="15"/>
                <w:color w:val="auto"/>
              </w:rPr>
            </w:pPr>
          </w:p>
        </w:tc>
        <w:tc>
          <w:tcPr>
            <w:tcW w:w="52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Change</w:t>
            </w:r>
          </w:p>
        </w:tc>
        <w:tc>
          <w:tcPr>
            <w:tcW w:w="180" w:type="dxa"/>
            <w:vAlign w:val="bottom"/>
            <w:tcBorders>
              <w:right w:val="single" w:sz="8" w:color="97999B"/>
            </w:tcBorders>
            <w:shd w:val="clear" w:color="auto" w:fill="D9D9D6"/>
          </w:tcPr>
          <w:p>
            <w:pPr>
              <w:spacing w:after="0"/>
              <w:rPr>
                <w:sz w:val="15"/>
                <w:szCs w:val="15"/>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180" w:type="dxa"/>
            <w:vAlign w:val="bottom"/>
            <w:gridSpan w:val="5"/>
            <w:shd w:val="clear" w:color="auto" w:fill="D9D9D6"/>
          </w:tcPr>
          <w:p>
            <w:pPr>
              <w:ind w:left="54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400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7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66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auto"/>
            </w:tcBorders>
            <w:shd w:val="clear" w:color="auto" w:fill="D9D9D6"/>
          </w:tcPr>
          <w:p>
            <w:pPr>
              <w:spacing w:after="0"/>
              <w:rPr>
                <w:sz w:val="19"/>
                <w:szCs w:val="19"/>
                <w:color w:val="auto"/>
              </w:rPr>
            </w:pPr>
          </w:p>
        </w:tc>
        <w:tc>
          <w:tcPr>
            <w:tcW w:w="2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right w:val="single" w:sz="8" w:color="97999B"/>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8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66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auto"/>
            </w:tcBorders>
            <w:shd w:val="clear" w:color="auto" w:fill="D9D9D6"/>
          </w:tcPr>
          <w:p>
            <w:pPr>
              <w:spacing w:after="0"/>
              <w:rPr>
                <w:sz w:val="19"/>
                <w:szCs w:val="19"/>
                <w:color w:val="auto"/>
              </w:rPr>
            </w:pPr>
          </w:p>
        </w:tc>
        <w:tc>
          <w:tcPr>
            <w:tcW w:w="2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Broadband</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$6,107</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$5,717</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$12,158</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$11,317</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7.4 %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Video</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5,423</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5,554</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(2.4</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10,959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11,177</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Voice</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763</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870</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1,549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1,741</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Wireless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722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556</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1,399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1,069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30.9 %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Business Services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2,424</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2,202</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4,820</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4,369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748</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679</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1,419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1,296</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9.4 %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40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415</w:t>
            </w:r>
          </w:p>
        </w:tc>
        <w:tc>
          <w:tcPr>
            <w:tcW w:w="114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425</w:t>
            </w: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(2.3</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right w:val="single" w:sz="8" w:color="97999B"/>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839</w:t>
            </w:r>
          </w:p>
        </w:tc>
        <w:tc>
          <w:tcPr>
            <w:tcW w:w="114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838</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0.1</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$16,601</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$16,002</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3.7</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$33,142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$31,807</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4.2</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$7,448</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$7,073</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5.3 %</w:t>
            </w:r>
          </w:p>
        </w:tc>
        <w:tc>
          <w:tcPr>
            <w:tcW w:w="20" w:type="dxa"/>
            <w:vAlign w:val="bottom"/>
            <w:shd w:val="clear" w:color="auto" w:fill="D9D9D6"/>
          </w:tcPr>
          <w:p>
            <w:pPr>
              <w:spacing w:after="0"/>
              <w:rPr>
                <w:sz w:val="24"/>
                <w:szCs w:val="24"/>
                <w:color w:val="auto"/>
              </w:rPr>
            </w:pPr>
          </w:p>
        </w:tc>
        <w:tc>
          <w:tcPr>
            <w:tcW w:w="18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$14,720</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$13,903</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5.9 %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44.9 %</w:t>
            </w:r>
          </w:p>
        </w:tc>
        <w:tc>
          <w:tcPr>
            <w:tcW w:w="20" w:type="dxa"/>
            <w:vAlign w:val="bottom"/>
            <w:shd w:val="clear" w:color="auto" w:fill="D9D9D6"/>
          </w:tcPr>
          <w:p>
            <w:pPr>
              <w:spacing w:after="0"/>
              <w:rPr>
                <w:sz w:val="17"/>
                <w:szCs w:val="17"/>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44.2 %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44.4 %</w:t>
            </w:r>
          </w:p>
        </w:tc>
        <w:tc>
          <w:tcPr>
            <w:tcW w:w="20" w:type="dxa"/>
            <w:vAlign w:val="bottom"/>
            <w:shd w:val="clear" w:color="auto" w:fill="D9D9D6"/>
          </w:tcPr>
          <w:p>
            <w:pPr>
              <w:spacing w:after="0"/>
              <w:rPr>
                <w:sz w:val="17"/>
                <w:szCs w:val="17"/>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43.7 %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24"/>
        </w:trPr>
        <w:tc>
          <w:tcPr>
            <w:tcW w:w="120" w:type="dxa"/>
            <w:vAlign w:val="bottom"/>
            <w:shd w:val="clear" w:color="auto" w:fill="D9D9D6"/>
          </w:tcPr>
          <w:p>
            <w:pPr>
              <w:spacing w:after="0"/>
              <w:rPr>
                <w:sz w:val="24"/>
                <w:szCs w:val="24"/>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$1,776</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$1,695</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4.8 %</w:t>
            </w:r>
          </w:p>
        </w:tc>
        <w:tc>
          <w:tcPr>
            <w:tcW w:w="20" w:type="dxa"/>
            <w:vAlign w:val="bottom"/>
            <w:shd w:val="clear" w:color="auto" w:fill="D9D9D6"/>
          </w:tcPr>
          <w:p>
            <w:pPr>
              <w:spacing w:after="0"/>
              <w:rPr>
                <w:sz w:val="24"/>
                <w:szCs w:val="24"/>
                <w:color w:val="auto"/>
              </w:rPr>
            </w:pPr>
          </w:p>
        </w:tc>
        <w:tc>
          <w:tcPr>
            <w:tcW w:w="18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$3,143</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$3,065</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2.5 %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5"/>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Percent of Cable Communications Revenue</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10.7 %</w:t>
            </w:r>
          </w:p>
        </w:tc>
        <w:tc>
          <w:tcPr>
            <w:tcW w:w="20" w:type="dxa"/>
            <w:vAlign w:val="bottom"/>
            <w:shd w:val="clear" w:color="auto" w:fill="D9D9D6"/>
          </w:tcPr>
          <w:p>
            <w:pPr>
              <w:spacing w:after="0"/>
              <w:rPr>
                <w:sz w:val="17"/>
                <w:szCs w:val="17"/>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10.6 %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9.5 %</w:t>
            </w:r>
          </w:p>
        </w:tc>
        <w:tc>
          <w:tcPr>
            <w:tcW w:w="20" w:type="dxa"/>
            <w:vAlign w:val="bottom"/>
            <w:shd w:val="clear" w:color="auto" w:fill="D9D9D6"/>
          </w:tcPr>
          <w:p>
            <w:pPr>
              <w:spacing w:after="0"/>
              <w:rPr>
                <w:sz w:val="17"/>
                <w:szCs w:val="17"/>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9.6 %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95"/>
        </w:trPr>
        <w:tc>
          <w:tcPr>
            <w:tcW w:w="120" w:type="dxa"/>
            <w:vAlign w:val="bottom"/>
            <w:shd w:val="clear" w:color="auto" w:fill="D9D9D6"/>
          </w:tcPr>
          <w:p>
            <w:pPr>
              <w:spacing w:after="0"/>
              <w:rPr>
                <w:sz w:val="8"/>
                <w:szCs w:val="8"/>
                <w:color w:val="auto"/>
              </w:rPr>
            </w:pPr>
          </w:p>
        </w:tc>
        <w:tc>
          <w:tcPr>
            <w:tcW w:w="4000" w:type="dxa"/>
            <w:vAlign w:val="bottom"/>
            <w:shd w:val="clear" w:color="auto" w:fill="D9D9D6"/>
          </w:tcPr>
          <w:p>
            <w:pPr>
              <w:spacing w:after="0"/>
              <w:rPr>
                <w:sz w:val="8"/>
                <w:szCs w:val="8"/>
                <w:color w:val="auto"/>
              </w:rPr>
            </w:pPr>
          </w:p>
        </w:tc>
        <w:tc>
          <w:tcPr>
            <w:tcW w:w="78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66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80" w:type="dxa"/>
            <w:vAlign w:val="bottom"/>
            <w:tcBorders>
              <w:right w:val="single" w:sz="8" w:color="D9D9D6"/>
            </w:tcBorders>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66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3.7% to $16.6 billion in the second quarter of 2022, driven by increases in broadband,</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business services, wireless, and advertising revenue, partially offset by decreases in video, voice, and other revenue. Broadband revenue increased 6.8% due to an increase in average rates and an increase in the number of residential broadband customers compared to the prior year period. Business services revenue increased 10.1% due to an increase in average rates, an increase in the number of customers receiving our services, and from a recent acquisition. Wireless revenue increased 29.8%, primarily due to an increase in the number of</w:t>
      </w:r>
    </w:p>
    <w:p>
      <w:pPr>
        <w:jc w:val="both"/>
        <w:spacing w:after="0" w:line="223" w:lineRule="auto"/>
        <w:rPr>
          <w:sz w:val="20"/>
          <w:szCs w:val="20"/>
          <w:color w:val="auto"/>
        </w:rPr>
      </w:pPr>
      <w:r>
        <w:rPr>
          <w:rFonts w:ascii="Arial" w:cs="Arial" w:eastAsia="Arial" w:hAnsi="Arial"/>
          <w:sz w:val="18"/>
          <w:szCs w:val="18"/>
          <w:color w:val="auto"/>
        </w:rPr>
        <w:t>customer lines. Advertising revenue increased 10.2%, primarily driven by increases in political advertising and at our advanced advertising businesses, as well as advertising at our Xumo streaming service. Excluding political advertising revenue, advertising revenue increased 1.2%. Video revenue decreased 2.4%, reflecting a decrease in the number of residential video customers, partially offset by an increase in average rates. Voice revenue decreased 12.3%, primarily reflecting a decrease in the number of residential voice customers. Other revenue</w:t>
      </w:r>
    </w:p>
    <w:p>
      <w:pPr>
        <w:spacing w:after="0"/>
        <w:rPr>
          <w:sz w:val="20"/>
          <w:szCs w:val="20"/>
          <w:color w:val="auto"/>
        </w:rPr>
      </w:pPr>
      <w:r>
        <w:rPr>
          <w:rFonts w:ascii="Arial" w:cs="Arial" w:eastAsia="Arial" w:hAnsi="Arial"/>
          <w:sz w:val="18"/>
          <w:szCs w:val="18"/>
          <w:color w:val="auto"/>
        </w:rPr>
        <w:t>decreased 2.3%.</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six months ended June 30, 2022, Cable revenue increased 4.2% to $33.1 billion compared to 2021, driven by growth in broadband, business services, wireless, advertising, and other revenue, partially offset by a decrease in video and voice revenue.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decreased by 28,000 to 34.4 million in the second quarter of 2022.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38,000 and business customer relationships increased by 10,000. Total broadband customers of 32.2 million were flat compared to the first quarter of 2022, total video customer net losses were 521,000, and total voice customer net losses were 286,000. In addition, Cable Communications added 317,000 wireless lines in the quarter.</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six months ended June 30, 2022, total customer relationships increased by 166,000. Residential customer relationships increased by 147,000 and business customer relationships increased by 19,000. Total broadband customer net additions were 262,000, total video</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customer net losses were 1.0 million, and total voice customer net losses were 568,000. In addition, Cable Communications added 635,000 wireless lines in the current period.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7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6"/>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34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400" w:type="dxa"/>
            <w:vAlign w:val="bottom"/>
            <w:tcBorders>
              <w:right w:val="single" w:sz="8" w:color="D9D9D6"/>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40" w:type="dxa"/>
            <w:vAlign w:val="bottom"/>
            <w:tcBorders>
              <w:right w:val="single" w:sz="8" w:color="D9D9D6"/>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182"/>
        </w:trPr>
        <w:tc>
          <w:tcPr>
            <w:tcW w:w="100" w:type="dxa"/>
            <w:vAlign w:val="bottom"/>
            <w:shd w:val="clear" w:color="auto" w:fill="D9D9D6"/>
          </w:tcPr>
          <w:p>
            <w:pPr>
              <w:spacing w:after="0"/>
              <w:rPr>
                <w:sz w:val="15"/>
                <w:szCs w:val="15"/>
                <w:color w:val="auto"/>
              </w:rPr>
            </w:pPr>
          </w:p>
        </w:tc>
        <w:tc>
          <w:tcPr>
            <w:tcW w:w="474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4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2660" w:type="dxa"/>
            <w:vAlign w:val="bottom"/>
            <w:gridSpan w:val="10"/>
            <w:shd w:val="clear" w:color="auto" w:fill="D9D9D6"/>
          </w:tcPr>
          <w:p>
            <w:pPr>
              <w:ind w:left="360"/>
              <w:spacing w:after="0"/>
              <w:rPr>
                <w:sz w:val="20"/>
                <w:szCs w:val="20"/>
                <w:color w:val="auto"/>
              </w:rPr>
            </w:pPr>
            <w:r>
              <w:rPr>
                <w:rFonts w:ascii="Arial" w:cs="Arial" w:eastAsia="Arial" w:hAnsi="Arial"/>
                <w:sz w:val="14"/>
                <w:szCs w:val="14"/>
                <w:color w:val="auto"/>
              </w:rPr>
              <w:t>Net Additions / (Losses)</w:t>
            </w:r>
          </w:p>
        </w:tc>
        <w:tc>
          <w:tcPr>
            <w:tcW w:w="12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r>
      <w:tr>
        <w:trPr>
          <w:trHeight w:val="20"/>
        </w:trPr>
        <w:tc>
          <w:tcPr>
            <w:tcW w:w="100" w:type="dxa"/>
            <w:vAlign w:val="bottom"/>
            <w:tcBorders>
              <w:bottom w:val="single" w:sz="8" w:color="D9D9D6"/>
            </w:tcBorders>
            <w:shd w:val="clear" w:color="auto" w:fill="D9D9D6"/>
          </w:tcPr>
          <w:p>
            <w:pPr>
              <w:spacing w:after="0" w:line="20" w:lineRule="exact"/>
              <w:rPr>
                <w:sz w:val="1"/>
                <w:szCs w:val="1"/>
                <w:color w:val="auto"/>
              </w:rPr>
            </w:pPr>
          </w:p>
        </w:tc>
        <w:tc>
          <w:tcPr>
            <w:tcW w:w="4740" w:type="dxa"/>
            <w:vAlign w:val="bottom"/>
            <w:tcBorders>
              <w:bottom w:val="single" w:sz="8" w:color="D9D9D6"/>
            </w:tcBorders>
            <w:shd w:val="clear" w:color="auto" w:fill="D9D9D6"/>
          </w:tcPr>
          <w:p>
            <w:pPr>
              <w:spacing w:after="0" w:line="20" w:lineRule="exact"/>
              <w:rPr>
                <w:sz w:val="1"/>
                <w:szCs w:val="1"/>
                <w:color w:val="auto"/>
              </w:rPr>
            </w:pPr>
          </w:p>
        </w:tc>
        <w:tc>
          <w:tcPr>
            <w:tcW w:w="520" w:type="dxa"/>
            <w:vAlign w:val="bottom"/>
            <w:tcBorders>
              <w:bottom w:val="single" w:sz="8" w:color="D9D9D6"/>
            </w:tcBorders>
            <w:shd w:val="clear" w:color="auto" w:fill="D9D9D6"/>
          </w:tcPr>
          <w:p>
            <w:pPr>
              <w:spacing w:after="0" w:line="20" w:lineRule="exact"/>
              <w:rPr>
                <w:sz w:val="1"/>
                <w:szCs w:val="1"/>
                <w:color w:val="auto"/>
              </w:rPr>
            </w:pPr>
          </w:p>
        </w:tc>
        <w:tc>
          <w:tcPr>
            <w:tcW w:w="36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520" w:type="dxa"/>
            <w:vAlign w:val="bottom"/>
            <w:tcBorders>
              <w:bottom w:val="single" w:sz="8" w:color="D9D9D6"/>
            </w:tcBorders>
            <w:shd w:val="clear" w:color="auto" w:fill="D9D9D6"/>
          </w:tcPr>
          <w:p>
            <w:pPr>
              <w:spacing w:after="0" w:line="20" w:lineRule="exact"/>
              <w:rPr>
                <w:sz w:val="1"/>
                <w:szCs w:val="1"/>
                <w:color w:val="auto"/>
              </w:rPr>
            </w:pPr>
          </w:p>
        </w:tc>
        <w:tc>
          <w:tcPr>
            <w:tcW w:w="34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520" w:type="dxa"/>
            <w:vAlign w:val="bottom"/>
            <w:tcBorders>
              <w:bottom w:val="single" w:sz="8" w:color="D9D9D6"/>
            </w:tcBorders>
            <w:shd w:val="clear" w:color="auto" w:fill="D9D9D6"/>
          </w:tcPr>
          <w:p>
            <w:pPr>
              <w:spacing w:after="0" w:line="20" w:lineRule="exact"/>
              <w:rPr>
                <w:sz w:val="1"/>
                <w:szCs w:val="1"/>
                <w:color w:val="auto"/>
              </w:rPr>
            </w:pPr>
          </w:p>
        </w:tc>
        <w:tc>
          <w:tcPr>
            <w:tcW w:w="500" w:type="dxa"/>
            <w:vAlign w:val="bottom"/>
            <w:tcBorders>
              <w:bottom w:val="single" w:sz="8" w:color="D9D9D6"/>
            </w:tcBorders>
            <w:shd w:val="clear" w:color="auto" w:fill="D9D9D6"/>
          </w:tcPr>
          <w:p>
            <w:pPr>
              <w:spacing w:after="0" w:line="20" w:lineRule="exact"/>
              <w:rPr>
                <w:sz w:val="1"/>
                <w:szCs w:val="1"/>
                <w:color w:val="auto"/>
              </w:rPr>
            </w:pPr>
          </w:p>
        </w:tc>
        <w:tc>
          <w:tcPr>
            <w:tcW w:w="40" w:type="dxa"/>
            <w:vAlign w:val="bottom"/>
            <w:tcBorders>
              <w:bottom w:val="single" w:sz="8" w:color="D9D9D6"/>
            </w:tcBorders>
            <w:shd w:val="clear" w:color="auto" w:fill="D9D9D6"/>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400" w:type="dxa"/>
            <w:vAlign w:val="bottom"/>
            <w:tcBorders>
              <w:bottom w:val="single" w:sz="8" w:color="D9D9D6"/>
              <w:right w:val="single" w:sz="8" w:color="auto"/>
            </w:tcBorders>
            <w:shd w:val="clear" w:color="auto" w:fill="D9D9D6"/>
          </w:tcPr>
          <w:p>
            <w:pPr>
              <w:spacing w:after="0" w:line="20" w:lineRule="exact"/>
              <w:rPr>
                <w:sz w:val="1"/>
                <w:szCs w:val="1"/>
                <w:color w:val="auto"/>
              </w:rPr>
            </w:pPr>
          </w:p>
        </w:tc>
        <w:tc>
          <w:tcPr>
            <w:tcW w:w="160" w:type="dxa"/>
            <w:vAlign w:val="bottom"/>
            <w:tcBorders>
              <w:bottom w:val="single" w:sz="8" w:color="D9D9D6"/>
            </w:tcBorders>
            <w:shd w:val="clear" w:color="auto" w:fill="000000"/>
          </w:tcPr>
          <w:p>
            <w:pPr>
              <w:spacing w:after="0" w:line="20" w:lineRule="exact"/>
              <w:rPr>
                <w:sz w:val="1"/>
                <w:szCs w:val="1"/>
                <w:color w:val="auto"/>
              </w:rPr>
            </w:pPr>
          </w:p>
        </w:tc>
        <w:tc>
          <w:tcPr>
            <w:tcW w:w="320" w:type="dxa"/>
            <w:vAlign w:val="bottom"/>
            <w:tcBorders>
              <w:bottom w:val="single" w:sz="8" w:color="D9D9D6"/>
            </w:tcBorders>
            <w:shd w:val="clear" w:color="auto" w:fill="000000"/>
          </w:tcPr>
          <w:p>
            <w:pPr>
              <w:spacing w:after="0" w:line="20" w:lineRule="exact"/>
              <w:rPr>
                <w:sz w:val="1"/>
                <w:szCs w:val="1"/>
                <w:color w:val="auto"/>
              </w:rPr>
            </w:pPr>
          </w:p>
        </w:tc>
        <w:tc>
          <w:tcPr>
            <w:tcW w:w="20" w:type="dxa"/>
            <w:vAlign w:val="bottom"/>
            <w:tcBorders>
              <w:bottom w:val="single" w:sz="8" w:color="D9D9D6"/>
            </w:tcBorders>
            <w:shd w:val="clear" w:color="auto" w:fill="000000"/>
          </w:tcPr>
          <w:p>
            <w:pPr>
              <w:spacing w:after="0" w:line="20" w:lineRule="exact"/>
              <w:rPr>
                <w:sz w:val="1"/>
                <w:szCs w:val="1"/>
                <w:color w:val="auto"/>
              </w:rPr>
            </w:pPr>
          </w:p>
        </w:tc>
        <w:tc>
          <w:tcPr>
            <w:tcW w:w="240" w:type="dxa"/>
            <w:vAlign w:val="bottom"/>
            <w:tcBorders>
              <w:bottom w:val="single" w:sz="8" w:color="D9D9D6"/>
              <w:right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D9D9D6"/>
            </w:tcBorders>
            <w:shd w:val="clear" w:color="auto" w:fill="000000"/>
          </w:tcPr>
          <w:p>
            <w:pPr>
              <w:spacing w:after="0" w:line="20" w:lineRule="exact"/>
              <w:rPr>
                <w:sz w:val="1"/>
                <w:szCs w:val="1"/>
                <w:color w:val="auto"/>
              </w:rPr>
            </w:pPr>
          </w:p>
        </w:tc>
        <w:tc>
          <w:tcPr>
            <w:tcW w:w="560" w:type="dxa"/>
            <w:vAlign w:val="bottom"/>
            <w:tcBorders>
              <w:bottom w:val="single" w:sz="8" w:color="D9D9D6"/>
              <w:right w:val="single" w:sz="8" w:color="auto"/>
            </w:tcBorders>
            <w:shd w:val="clear" w:color="auto" w:fill="000000"/>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420" w:type="dxa"/>
            <w:vAlign w:val="bottom"/>
            <w:tcBorders>
              <w:bottom w:val="single" w:sz="8" w:color="D9D9D6"/>
            </w:tcBorders>
            <w:shd w:val="clear" w:color="auto" w:fill="D9D9D6"/>
          </w:tcPr>
          <w:p>
            <w:pPr>
              <w:spacing w:after="0" w:line="20" w:lineRule="exact"/>
              <w:rPr>
                <w:sz w:val="1"/>
                <w:szCs w:val="1"/>
                <w:color w:val="auto"/>
              </w:rPr>
            </w:pPr>
          </w:p>
        </w:tc>
        <w:tc>
          <w:tcPr>
            <w:tcW w:w="40" w:type="dxa"/>
            <w:vAlign w:val="bottom"/>
            <w:tcBorders>
              <w:bottom w:val="single" w:sz="8" w:color="D9D9D6"/>
            </w:tcBorders>
            <w:shd w:val="clear" w:color="auto" w:fill="D9D9D6"/>
          </w:tcPr>
          <w:p>
            <w:pPr>
              <w:spacing w:after="0" w:line="20" w:lineRule="exact"/>
              <w:rPr>
                <w:sz w:val="1"/>
                <w:szCs w:val="1"/>
                <w:color w:val="auto"/>
              </w:rPr>
            </w:pPr>
          </w:p>
        </w:tc>
        <w:tc>
          <w:tcPr>
            <w:tcW w:w="120" w:type="dxa"/>
            <w:vAlign w:val="bottom"/>
            <w:tcBorders>
              <w:bottom w:val="single" w:sz="8" w:color="D9D9D6"/>
            </w:tcBorders>
            <w:shd w:val="clear" w:color="auto" w:fill="D9D9D6"/>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100" w:type="dxa"/>
            <w:vAlign w:val="bottom"/>
            <w:tcBorders>
              <w:bottom w:val="single" w:sz="8" w:color="D9D9D6"/>
            </w:tcBorders>
            <w:shd w:val="clear" w:color="auto" w:fill="D9D9D6"/>
          </w:tcPr>
          <w:p>
            <w:pPr>
              <w:spacing w:after="0" w:line="20" w:lineRule="exact"/>
              <w:rPr>
                <w:sz w:val="1"/>
                <w:szCs w:val="1"/>
                <w:color w:val="auto"/>
              </w:rPr>
            </w:pPr>
          </w:p>
        </w:tc>
      </w:tr>
      <w:tr>
        <w:trPr>
          <w:trHeight w:val="162"/>
        </w:trPr>
        <w:tc>
          <w:tcPr>
            <w:tcW w:w="100" w:type="dxa"/>
            <w:vAlign w:val="bottom"/>
            <w:tcBorders>
              <w:bottom w:val="single" w:sz="8" w:color="D9D9D6"/>
            </w:tcBorders>
            <w:shd w:val="clear" w:color="auto" w:fill="D9D9D6"/>
          </w:tcPr>
          <w:p>
            <w:pPr>
              <w:spacing w:after="0"/>
              <w:rPr>
                <w:sz w:val="14"/>
                <w:szCs w:val="14"/>
                <w:color w:val="auto"/>
              </w:rPr>
            </w:pPr>
          </w:p>
        </w:tc>
        <w:tc>
          <w:tcPr>
            <w:tcW w:w="4740" w:type="dxa"/>
            <w:vAlign w:val="bottom"/>
            <w:tcBorders>
              <w:bottom w:val="single" w:sz="8" w:color="D9D9D6"/>
            </w:tcBorders>
            <w:shd w:val="clear" w:color="auto" w:fill="D9D9D6"/>
          </w:tcPr>
          <w:p>
            <w:pPr>
              <w:spacing w:after="0"/>
              <w:rPr>
                <w:sz w:val="14"/>
                <w:szCs w:val="14"/>
                <w:color w:val="auto"/>
              </w:rPr>
            </w:pPr>
          </w:p>
        </w:tc>
        <w:tc>
          <w:tcPr>
            <w:tcW w:w="520" w:type="dxa"/>
            <w:vAlign w:val="bottom"/>
            <w:tcBorders>
              <w:bottom w:val="single" w:sz="8" w:color="D9D9D6"/>
            </w:tcBorders>
            <w:shd w:val="clear" w:color="auto" w:fill="D9D9D6"/>
          </w:tcPr>
          <w:p>
            <w:pPr>
              <w:spacing w:after="0"/>
              <w:rPr>
                <w:sz w:val="14"/>
                <w:szCs w:val="14"/>
                <w:color w:val="auto"/>
              </w:rPr>
            </w:pPr>
          </w:p>
        </w:tc>
        <w:tc>
          <w:tcPr>
            <w:tcW w:w="36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520" w:type="dxa"/>
            <w:vAlign w:val="bottom"/>
            <w:tcBorders>
              <w:bottom w:val="single" w:sz="8" w:color="D9D9D6"/>
            </w:tcBorders>
            <w:shd w:val="clear" w:color="auto" w:fill="D9D9D6"/>
          </w:tcPr>
          <w:p>
            <w:pPr>
              <w:spacing w:after="0"/>
              <w:rPr>
                <w:sz w:val="14"/>
                <w:szCs w:val="14"/>
                <w:color w:val="auto"/>
              </w:rPr>
            </w:pPr>
          </w:p>
        </w:tc>
        <w:tc>
          <w:tcPr>
            <w:tcW w:w="34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520" w:type="dxa"/>
            <w:vAlign w:val="bottom"/>
            <w:tcBorders>
              <w:bottom w:val="single" w:sz="8" w:color="D9D9D6"/>
            </w:tcBorders>
            <w:shd w:val="clear" w:color="auto" w:fill="D9D9D6"/>
          </w:tcPr>
          <w:p>
            <w:pPr>
              <w:spacing w:after="0"/>
              <w:rPr>
                <w:sz w:val="14"/>
                <w:szCs w:val="14"/>
                <w:color w:val="auto"/>
              </w:rPr>
            </w:pPr>
          </w:p>
        </w:tc>
        <w:tc>
          <w:tcPr>
            <w:tcW w:w="500" w:type="dxa"/>
            <w:vAlign w:val="bottom"/>
            <w:tcBorders>
              <w:bottom w:val="single" w:sz="8" w:color="D9D9D6"/>
            </w:tcBorders>
            <w:shd w:val="clear" w:color="auto" w:fill="D9D9D6"/>
          </w:tcPr>
          <w:p>
            <w:pPr>
              <w:spacing w:after="0"/>
              <w:rPr>
                <w:sz w:val="14"/>
                <w:szCs w:val="14"/>
                <w:color w:val="auto"/>
              </w:rPr>
            </w:pPr>
          </w:p>
        </w:tc>
        <w:tc>
          <w:tcPr>
            <w:tcW w:w="780" w:type="dxa"/>
            <w:vAlign w:val="bottom"/>
            <w:tcBorders>
              <w:bottom w:val="single" w:sz="8" w:color="auto"/>
              <w:right w:val="single" w:sz="8" w:color="D9D9D6"/>
            </w:tcBorders>
            <w:gridSpan w:val="4"/>
            <w:shd w:val="clear" w:color="auto" w:fill="D9D9D6"/>
          </w:tcPr>
          <w:p>
            <w:pPr>
              <w:spacing w:after="0"/>
              <w:rPr>
                <w:sz w:val="20"/>
                <w:szCs w:val="20"/>
                <w:color w:val="auto"/>
              </w:rPr>
            </w:pPr>
            <w:r>
              <w:rPr>
                <w:rFonts w:ascii="Arial" w:cs="Arial" w:eastAsia="Arial" w:hAnsi="Arial"/>
                <w:sz w:val="14"/>
                <w:szCs w:val="14"/>
                <w:color w:val="auto"/>
                <w:w w:val="98"/>
              </w:rPr>
              <w:t>2nd Quarter</w:t>
            </w:r>
          </w:p>
        </w:tc>
        <w:tc>
          <w:tcPr>
            <w:tcW w:w="500" w:type="dxa"/>
            <w:vAlign w:val="bottom"/>
            <w:tcBorders>
              <w:bottom w:val="single" w:sz="8" w:color="D9D9D6"/>
            </w:tcBorders>
            <w:gridSpan w:val="3"/>
            <w:shd w:val="clear" w:color="auto" w:fill="D9D9D6"/>
          </w:tcPr>
          <w:p>
            <w:pPr>
              <w:spacing w:after="0"/>
              <w:rPr>
                <w:sz w:val="14"/>
                <w:szCs w:val="14"/>
                <w:color w:val="auto"/>
              </w:rPr>
            </w:pPr>
          </w:p>
        </w:tc>
        <w:tc>
          <w:tcPr>
            <w:tcW w:w="240" w:type="dxa"/>
            <w:vAlign w:val="bottom"/>
            <w:tcBorders>
              <w:bottom w:val="single" w:sz="8" w:color="D9D9D6"/>
              <w:right w:val="single" w:sz="8" w:color="97999B"/>
            </w:tcBorders>
            <w:shd w:val="clear" w:color="auto" w:fill="D9D9D6"/>
          </w:tcPr>
          <w:p>
            <w:pPr>
              <w:spacing w:after="0"/>
              <w:rPr>
                <w:sz w:val="14"/>
                <w:szCs w:val="14"/>
                <w:color w:val="auto"/>
              </w:rPr>
            </w:pPr>
          </w:p>
        </w:tc>
        <w:tc>
          <w:tcPr>
            <w:tcW w:w="180" w:type="dxa"/>
            <w:vAlign w:val="bottom"/>
            <w:tcBorders>
              <w:bottom w:val="single" w:sz="8" w:color="D9D9D6"/>
            </w:tcBorders>
            <w:shd w:val="clear" w:color="auto" w:fill="D9D9D6"/>
          </w:tcPr>
          <w:p>
            <w:pPr>
              <w:spacing w:after="0"/>
              <w:rPr>
                <w:sz w:val="14"/>
                <w:szCs w:val="14"/>
                <w:color w:val="auto"/>
              </w:rPr>
            </w:pPr>
          </w:p>
        </w:tc>
        <w:tc>
          <w:tcPr>
            <w:tcW w:w="560" w:type="dxa"/>
            <w:vAlign w:val="bottom"/>
            <w:tcBorders>
              <w:bottom w:val="single" w:sz="8" w:color="D9D9D6"/>
              <w:right w:val="single" w:sz="8" w:color="D9D9D6"/>
            </w:tcBorders>
            <w:shd w:val="clear" w:color="auto" w:fill="D9D9D6"/>
          </w:tcPr>
          <w:p>
            <w:pPr>
              <w:spacing w:after="0"/>
              <w:rPr>
                <w:sz w:val="14"/>
                <w:szCs w:val="14"/>
                <w:color w:val="auto"/>
              </w:rPr>
            </w:pPr>
          </w:p>
        </w:tc>
        <w:tc>
          <w:tcPr>
            <w:tcW w:w="7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w w:val="91"/>
              </w:rPr>
              <w:t>Year to Date</w:t>
            </w:r>
          </w:p>
        </w:tc>
        <w:tc>
          <w:tcPr>
            <w:tcW w:w="40" w:type="dxa"/>
            <w:vAlign w:val="bottom"/>
            <w:tcBorders>
              <w:bottom w:val="single" w:sz="8" w:color="D9D9D6"/>
            </w:tcBorders>
            <w:shd w:val="clear" w:color="auto" w:fill="D9D9D6"/>
          </w:tcPr>
          <w:p>
            <w:pPr>
              <w:spacing w:after="0"/>
              <w:rPr>
                <w:sz w:val="14"/>
                <w:szCs w:val="14"/>
                <w:color w:val="auto"/>
              </w:rPr>
            </w:pPr>
          </w:p>
        </w:tc>
        <w:tc>
          <w:tcPr>
            <w:tcW w:w="12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100" w:type="dxa"/>
            <w:vAlign w:val="bottom"/>
            <w:tcBorders>
              <w:bottom w:val="single" w:sz="8" w:color="D9D9D6"/>
            </w:tcBorders>
            <w:shd w:val="clear" w:color="auto" w:fill="D9D9D6"/>
          </w:tcPr>
          <w:p>
            <w:pPr>
              <w:spacing w:after="0"/>
              <w:rPr>
                <w:sz w:val="14"/>
                <w:szCs w:val="14"/>
                <w:color w:val="auto"/>
              </w:rPr>
            </w:pPr>
          </w:p>
        </w:tc>
      </w:tr>
      <w:tr>
        <w:trPr>
          <w:trHeight w:val="183"/>
        </w:trPr>
        <w:tc>
          <w:tcPr>
            <w:tcW w:w="100" w:type="dxa"/>
            <w:vAlign w:val="bottom"/>
            <w:shd w:val="clear" w:color="auto" w:fill="D9D9D6"/>
          </w:tcPr>
          <w:p>
            <w:pPr>
              <w:spacing w:after="0"/>
              <w:rPr>
                <w:sz w:val="15"/>
                <w:szCs w:val="15"/>
                <w:color w:val="auto"/>
              </w:rPr>
            </w:pPr>
          </w:p>
        </w:tc>
        <w:tc>
          <w:tcPr>
            <w:tcW w:w="4740" w:type="dxa"/>
            <w:vAlign w:val="bottom"/>
            <w:shd w:val="clear" w:color="auto" w:fill="D9D9D6"/>
          </w:tcPr>
          <w:p>
            <w:pPr>
              <w:spacing w:after="0"/>
              <w:rPr>
                <w:sz w:val="15"/>
                <w:szCs w:val="15"/>
                <w:color w:val="auto"/>
              </w:rPr>
            </w:pPr>
          </w:p>
        </w:tc>
        <w:tc>
          <w:tcPr>
            <w:tcW w:w="900" w:type="dxa"/>
            <w:vAlign w:val="bottom"/>
            <w:gridSpan w:val="3"/>
            <w:shd w:val="clear" w:color="auto" w:fill="D9D9D6"/>
          </w:tcPr>
          <w:p>
            <w:pPr>
              <w:ind w:left="520"/>
              <w:spacing w:after="0"/>
              <w:rPr>
                <w:sz w:val="20"/>
                <w:szCs w:val="20"/>
                <w:color w:val="auto"/>
              </w:rPr>
            </w:pPr>
            <w:r>
              <w:rPr>
                <w:rFonts w:ascii="Arial" w:cs="Arial" w:eastAsia="Arial" w:hAnsi="Arial"/>
                <w:sz w:val="14"/>
                <w:szCs w:val="14"/>
                <w:color w:val="auto"/>
              </w:rPr>
              <w:t>2Q22</w:t>
            </w:r>
          </w:p>
        </w:tc>
        <w:tc>
          <w:tcPr>
            <w:tcW w:w="880" w:type="dxa"/>
            <w:vAlign w:val="bottom"/>
            <w:gridSpan w:val="3"/>
            <w:shd w:val="clear" w:color="auto" w:fill="D9D9D6"/>
          </w:tcPr>
          <w:p>
            <w:pPr>
              <w:ind w:left="520"/>
              <w:spacing w:after="0"/>
              <w:rPr>
                <w:sz w:val="20"/>
                <w:szCs w:val="20"/>
                <w:color w:val="auto"/>
              </w:rPr>
            </w:pPr>
            <w:r>
              <w:rPr>
                <w:rFonts w:ascii="Arial" w:cs="Arial" w:eastAsia="Arial" w:hAnsi="Arial"/>
                <w:sz w:val="14"/>
                <w:szCs w:val="14"/>
                <w:color w:val="auto"/>
                <w:w w:val="99"/>
              </w:rPr>
              <w:t>2Q21</w:t>
            </w:r>
          </w:p>
        </w:tc>
        <w:tc>
          <w:tcPr>
            <w:tcW w:w="14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9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240" w:type="dxa"/>
            <w:vAlign w:val="bottom"/>
            <w:tcBorders>
              <w:right w:val="single" w:sz="8" w:color="97999B"/>
            </w:tcBorders>
            <w:shd w:val="clear" w:color="auto" w:fill="D9D9D6"/>
          </w:tcPr>
          <w:p>
            <w:pPr>
              <w:spacing w:after="0"/>
              <w:rPr>
                <w:sz w:val="15"/>
                <w:szCs w:val="15"/>
                <w:color w:val="auto"/>
              </w:rPr>
            </w:pPr>
          </w:p>
        </w:tc>
        <w:tc>
          <w:tcPr>
            <w:tcW w:w="1480" w:type="dxa"/>
            <w:vAlign w:val="bottom"/>
            <w:gridSpan w:val="4"/>
            <w:shd w:val="clear" w:color="auto" w:fill="D9D9D6"/>
          </w:tcPr>
          <w:p>
            <w:pPr>
              <w:jc w:val="right"/>
              <w:ind w:right="420"/>
              <w:spacing w:after="0"/>
              <w:rPr>
                <w:sz w:val="20"/>
                <w:szCs w:val="20"/>
                <w:color w:val="auto"/>
              </w:rPr>
            </w:pPr>
            <w:r>
              <w:rPr>
                <w:rFonts w:ascii="Arial" w:cs="Arial" w:eastAsia="Arial" w:hAnsi="Arial"/>
                <w:sz w:val="14"/>
                <w:szCs w:val="14"/>
                <w:color w:val="auto"/>
              </w:rPr>
              <w:t>2022</w:t>
            </w:r>
          </w:p>
        </w:tc>
        <w:tc>
          <w:tcPr>
            <w:tcW w:w="40" w:type="dxa"/>
            <w:vAlign w:val="bottom"/>
            <w:shd w:val="clear" w:color="auto" w:fill="D9D9D6"/>
          </w:tcPr>
          <w:p>
            <w:pPr>
              <w:spacing w:after="0"/>
              <w:rPr>
                <w:sz w:val="15"/>
                <w:szCs w:val="15"/>
                <w:color w:val="auto"/>
              </w:rPr>
            </w:pPr>
          </w:p>
        </w:tc>
        <w:tc>
          <w:tcPr>
            <w:tcW w:w="4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D9D9D6"/>
          </w:tcPr>
          <w:p>
            <w:pPr>
              <w:spacing w:after="0"/>
              <w:rPr>
                <w:sz w:val="15"/>
                <w:szCs w:val="15"/>
                <w:color w:val="auto"/>
              </w:rPr>
            </w:pPr>
          </w:p>
        </w:tc>
      </w:tr>
      <w:tr>
        <w:trPr>
          <w:trHeight w:val="221"/>
        </w:trPr>
        <w:tc>
          <w:tcPr>
            <w:tcW w:w="100" w:type="dxa"/>
            <w:vAlign w:val="bottom"/>
            <w:tcBorders>
              <w:top w:val="single" w:sz="8" w:color="D9D9D6"/>
            </w:tcBorders>
            <w:shd w:val="clear" w:color="auto" w:fill="D9D9D6"/>
          </w:tcPr>
          <w:p>
            <w:pPr>
              <w:spacing w:after="0"/>
              <w:rPr>
                <w:sz w:val="19"/>
                <w:szCs w:val="19"/>
                <w:color w:val="auto"/>
              </w:rPr>
            </w:pPr>
          </w:p>
        </w:tc>
        <w:tc>
          <w:tcPr>
            <w:tcW w:w="47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D9D9D6"/>
            </w:tcBorders>
            <w:shd w:val="clear" w:color="auto" w:fill="D9D9D6"/>
          </w:tcPr>
          <w:p>
            <w:pPr>
              <w:spacing w:after="0"/>
              <w:rPr>
                <w:sz w:val="19"/>
                <w:szCs w:val="19"/>
                <w:color w:val="auto"/>
              </w:rPr>
            </w:pPr>
          </w:p>
        </w:tc>
        <w:tc>
          <w:tcPr>
            <w:tcW w:w="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right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right w:val="single" w:sz="8" w:color="97999B"/>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560" w:type="dxa"/>
            <w:vAlign w:val="bottom"/>
            <w:tcBorders>
              <w:top w:val="single" w:sz="8" w:color="D9D9D6"/>
              <w:right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4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r>
      <w:tr>
        <w:trPr>
          <w:trHeight w:val="197"/>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 Relationships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31,875</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31,339</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(38)</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277</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147</w:t>
            </w:r>
          </w:p>
        </w:tc>
        <w:tc>
          <w:tcPr>
            <w:tcW w:w="4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4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647</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Customer Relationships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2,508</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2,454</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19</w:t>
            </w:r>
          </w:p>
        </w:tc>
        <w:tc>
          <w:tcPr>
            <w:tcW w:w="420" w:type="dxa"/>
            <w:vAlign w:val="bottom"/>
            <w:tcBorders>
              <w:bottom w:val="single" w:sz="8" w:color="auto"/>
            </w:tcBorders>
            <w:shd w:val="clear" w:color="auto" w:fill="D9D9D6"/>
          </w:tcPr>
          <w:p>
            <w:pPr>
              <w:spacing w:after="0"/>
              <w:rPr>
                <w:sz w:val="17"/>
                <w:szCs w:val="17"/>
                <w:color w:val="auto"/>
              </w:rPr>
            </w:pPr>
          </w:p>
        </w:tc>
        <w:tc>
          <w:tcPr>
            <w:tcW w:w="40" w:type="dxa"/>
            <w:vAlign w:val="bottom"/>
            <w:tcBorders>
              <w:bottom w:val="single" w:sz="8" w:color="auto"/>
            </w:tcBorders>
            <w:shd w:val="clear" w:color="auto" w:fill="D9D9D6"/>
          </w:tcPr>
          <w:p>
            <w:pPr>
              <w:spacing w:after="0"/>
              <w:rPr>
                <w:sz w:val="17"/>
                <w:szCs w:val="17"/>
                <w:color w:val="auto"/>
              </w:rPr>
            </w:pPr>
          </w:p>
        </w:tc>
        <w:tc>
          <w:tcPr>
            <w:tcW w:w="44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Customer Relationships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34,384</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33,793</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(28)</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294</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166</w:t>
            </w:r>
          </w:p>
        </w:tc>
        <w:tc>
          <w:tcPr>
            <w:tcW w:w="4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4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675</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8"/>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Residential Customer Relationships Mix</w:t>
            </w: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00" w:type="dxa"/>
            <w:vAlign w:val="bottom"/>
            <w:tcBorders>
              <w:right w:val="single" w:sz="8" w:color="D9D9D6"/>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197"/>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One Product Residential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15,123</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13,477</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307</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480</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793</w:t>
            </w:r>
          </w:p>
        </w:tc>
        <w:tc>
          <w:tcPr>
            <w:tcW w:w="4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4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1,069</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203"/>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Two Product Residential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8,282</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8,562</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(82)</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(83)</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(125)</w:t>
            </w:r>
          </w:p>
        </w:tc>
        <w:tc>
          <w:tcPr>
            <w:tcW w:w="4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4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(173)</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203"/>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Three or More Product Residential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8,471</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9,299</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(263)</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(120)</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(521)</w:t>
            </w:r>
          </w:p>
        </w:tc>
        <w:tc>
          <w:tcPr>
            <w:tcW w:w="4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4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(250)</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8"/>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Broadband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29,826</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29,108</w:t>
            </w: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334</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243</w:t>
            </w:r>
          </w:p>
        </w:tc>
        <w:tc>
          <w:tcPr>
            <w:tcW w:w="4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4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782</w:t>
            </w: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Broadband Customers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2,337</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2,280</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19</w:t>
            </w:r>
          </w:p>
        </w:tc>
        <w:tc>
          <w:tcPr>
            <w:tcW w:w="420" w:type="dxa"/>
            <w:vAlign w:val="bottom"/>
            <w:tcBorders>
              <w:bottom w:val="single" w:sz="8" w:color="auto"/>
            </w:tcBorders>
            <w:shd w:val="clear" w:color="auto" w:fill="D9D9D6"/>
          </w:tcPr>
          <w:p>
            <w:pPr>
              <w:spacing w:after="0"/>
              <w:rPr>
                <w:sz w:val="17"/>
                <w:szCs w:val="17"/>
                <w:color w:val="auto"/>
              </w:rPr>
            </w:pPr>
          </w:p>
        </w:tc>
        <w:tc>
          <w:tcPr>
            <w:tcW w:w="40" w:type="dxa"/>
            <w:vAlign w:val="bottom"/>
            <w:tcBorders>
              <w:bottom w:val="single" w:sz="8" w:color="auto"/>
            </w:tcBorders>
            <w:shd w:val="clear" w:color="auto" w:fill="D9D9D6"/>
          </w:tcPr>
          <w:p>
            <w:pPr>
              <w:spacing w:after="0"/>
              <w:rPr>
                <w:sz w:val="17"/>
                <w:szCs w:val="17"/>
                <w:color w:val="auto"/>
              </w:rPr>
            </w:pPr>
          </w:p>
        </w:tc>
        <w:tc>
          <w:tcPr>
            <w:tcW w:w="44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32</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Broadband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32,163</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31,388</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354</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262</w:t>
            </w:r>
          </w:p>
        </w:tc>
        <w:tc>
          <w:tcPr>
            <w:tcW w:w="4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4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814</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3"/>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Video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16,513</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18,225</w:t>
            </w: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(497)</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(364)</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(982)</w:t>
            </w:r>
          </w:p>
        </w:tc>
        <w:tc>
          <w:tcPr>
            <w:tcW w:w="4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4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(768)</w:t>
            </w: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Video Customers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631</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731</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(23)</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(34)</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(50)</w:t>
            </w:r>
          </w:p>
        </w:tc>
        <w:tc>
          <w:tcPr>
            <w:tcW w:w="420" w:type="dxa"/>
            <w:vAlign w:val="bottom"/>
            <w:tcBorders>
              <w:bottom w:val="single" w:sz="8" w:color="auto"/>
            </w:tcBorders>
            <w:shd w:val="clear" w:color="auto" w:fill="D9D9D6"/>
          </w:tcPr>
          <w:p>
            <w:pPr>
              <w:spacing w:after="0"/>
              <w:rPr>
                <w:sz w:val="17"/>
                <w:szCs w:val="17"/>
                <w:color w:val="auto"/>
              </w:rPr>
            </w:pPr>
          </w:p>
        </w:tc>
        <w:tc>
          <w:tcPr>
            <w:tcW w:w="40" w:type="dxa"/>
            <w:vAlign w:val="bottom"/>
            <w:tcBorders>
              <w:bottom w:val="single" w:sz="8" w:color="auto"/>
            </w:tcBorders>
            <w:shd w:val="clear" w:color="auto" w:fill="D9D9D6"/>
          </w:tcPr>
          <w:p>
            <w:pPr>
              <w:spacing w:after="0"/>
              <w:rPr>
                <w:sz w:val="17"/>
                <w:szCs w:val="17"/>
                <w:color w:val="auto"/>
              </w:rPr>
            </w:pPr>
          </w:p>
        </w:tc>
        <w:tc>
          <w:tcPr>
            <w:tcW w:w="44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(121)</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Video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17,144</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18,956</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(521)</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(399)</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(1,032)</w:t>
            </w:r>
          </w:p>
        </w:tc>
        <w:tc>
          <w:tcPr>
            <w:tcW w:w="4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4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(889)</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3"/>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Voice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8,497</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9,412</w:t>
            </w: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(284)</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(121)</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(566)</w:t>
            </w:r>
          </w:p>
        </w:tc>
        <w:tc>
          <w:tcPr>
            <w:tcW w:w="4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4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(233)</w:t>
            </w: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Voice Customers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1,389</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1,376</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w:t>
            </w:r>
          </w:p>
        </w:tc>
        <w:tc>
          <w:tcPr>
            <w:tcW w:w="420" w:type="dxa"/>
            <w:vAlign w:val="bottom"/>
            <w:tcBorders>
              <w:bottom w:val="single" w:sz="8" w:color="auto"/>
            </w:tcBorders>
            <w:shd w:val="clear" w:color="auto" w:fill="D9D9D6"/>
          </w:tcPr>
          <w:p>
            <w:pPr>
              <w:spacing w:after="0"/>
              <w:rPr>
                <w:sz w:val="17"/>
                <w:szCs w:val="17"/>
                <w:color w:val="auto"/>
              </w:rPr>
            </w:pPr>
          </w:p>
        </w:tc>
        <w:tc>
          <w:tcPr>
            <w:tcW w:w="40" w:type="dxa"/>
            <w:vAlign w:val="bottom"/>
            <w:tcBorders>
              <w:bottom w:val="single" w:sz="8" w:color="auto"/>
            </w:tcBorders>
            <w:shd w:val="clear" w:color="auto" w:fill="D9D9D6"/>
          </w:tcPr>
          <w:p>
            <w:pPr>
              <w:spacing w:after="0"/>
              <w:rPr>
                <w:sz w:val="17"/>
                <w:szCs w:val="17"/>
                <w:color w:val="auto"/>
              </w:rPr>
            </w:pPr>
          </w:p>
        </w:tc>
        <w:tc>
          <w:tcPr>
            <w:tcW w:w="44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19</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Voice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9,886</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10,788</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(286)</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(108)</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(568)</w:t>
            </w:r>
          </w:p>
        </w:tc>
        <w:tc>
          <w:tcPr>
            <w:tcW w:w="4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4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(214)</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55"/>
        </w:trPr>
        <w:tc>
          <w:tcPr>
            <w:tcW w:w="100" w:type="dxa"/>
            <w:vAlign w:val="bottom"/>
            <w:tcBorders>
              <w:bottom w:val="single" w:sz="8" w:color="D9D9D6"/>
            </w:tcBorders>
            <w:shd w:val="clear" w:color="auto" w:fill="D9D9D6"/>
          </w:tcPr>
          <w:p>
            <w:pPr>
              <w:spacing w:after="0"/>
              <w:rPr>
                <w:sz w:val="24"/>
                <w:szCs w:val="24"/>
                <w:color w:val="auto"/>
              </w:rPr>
            </w:pPr>
          </w:p>
        </w:tc>
        <w:tc>
          <w:tcPr>
            <w:tcW w:w="4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Total Wireless Lines</w:t>
            </w:r>
          </w:p>
        </w:tc>
        <w:tc>
          <w:tcPr>
            <w:tcW w:w="88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4,615</w:t>
            </w:r>
          </w:p>
        </w:tc>
        <w:tc>
          <w:tcPr>
            <w:tcW w:w="2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3,383</w:t>
            </w:r>
          </w:p>
        </w:tc>
        <w:tc>
          <w:tcPr>
            <w:tcW w:w="20" w:type="dxa"/>
            <w:vAlign w:val="bottom"/>
            <w:tcBorders>
              <w:bottom w:val="single" w:sz="8" w:color="D9D9D6"/>
            </w:tcBorders>
            <w:shd w:val="clear" w:color="auto" w:fill="D9D9D6"/>
          </w:tcPr>
          <w:p>
            <w:pPr>
              <w:spacing w:after="0"/>
              <w:rPr>
                <w:sz w:val="24"/>
                <w:szCs w:val="24"/>
                <w:color w:val="auto"/>
              </w:rPr>
            </w:pPr>
          </w:p>
        </w:tc>
        <w:tc>
          <w:tcPr>
            <w:tcW w:w="52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317</w:t>
            </w:r>
          </w:p>
        </w:tc>
        <w:tc>
          <w:tcPr>
            <w:tcW w:w="2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280</w:t>
            </w:r>
          </w:p>
        </w:tc>
        <w:tc>
          <w:tcPr>
            <w:tcW w:w="2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right w:val="single" w:sz="8" w:color="97999B"/>
            </w:tcBorders>
            <w:shd w:val="clear" w:color="auto" w:fill="D9D9D6"/>
          </w:tcPr>
          <w:p>
            <w:pPr>
              <w:spacing w:after="0"/>
              <w:rPr>
                <w:sz w:val="24"/>
                <w:szCs w:val="24"/>
                <w:color w:val="auto"/>
              </w:rPr>
            </w:pPr>
          </w:p>
        </w:tc>
        <w:tc>
          <w:tcPr>
            <w:tcW w:w="18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635</w:t>
            </w:r>
          </w:p>
        </w:tc>
        <w:tc>
          <w:tcPr>
            <w:tcW w:w="420" w:type="dxa"/>
            <w:vAlign w:val="bottom"/>
            <w:tcBorders>
              <w:bottom w:val="single" w:sz="8" w:color="D9D9D6"/>
            </w:tcBorders>
            <w:shd w:val="clear" w:color="auto" w:fill="D9D9D6"/>
          </w:tcPr>
          <w:p>
            <w:pPr>
              <w:spacing w:after="0"/>
              <w:rPr>
                <w:sz w:val="24"/>
                <w:szCs w:val="24"/>
                <w:color w:val="auto"/>
              </w:rPr>
            </w:pPr>
          </w:p>
        </w:tc>
        <w:tc>
          <w:tcPr>
            <w:tcW w:w="40" w:type="dxa"/>
            <w:vAlign w:val="bottom"/>
            <w:tcBorders>
              <w:bottom w:val="single" w:sz="8" w:color="D9D9D6"/>
            </w:tcBorders>
            <w:shd w:val="clear" w:color="auto" w:fill="D9D9D6"/>
          </w:tcPr>
          <w:p>
            <w:pPr>
              <w:spacing w:after="0"/>
              <w:rPr>
                <w:sz w:val="24"/>
                <w:szCs w:val="24"/>
                <w:color w:val="auto"/>
              </w:rPr>
            </w:pPr>
          </w:p>
        </w:tc>
        <w:tc>
          <w:tcPr>
            <w:tcW w:w="44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558</w:t>
            </w:r>
          </w:p>
        </w:tc>
        <w:tc>
          <w:tcPr>
            <w:tcW w:w="20" w:type="dxa"/>
            <w:vAlign w:val="bottom"/>
            <w:tcBorders>
              <w:bottom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r>
    </w:tbl>
    <w:p>
      <w:pPr>
        <w:spacing w:after="0" w:line="30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5.3% to $7.4 billion in the second quarter of 2022, reflecting higher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a 2.5% increase in operating expenses. Programming costs decreased 1.6%, reflecting a decline in the number of video subscribers, partially offset by contractual rate increases. Non-programming expenses increased 5.2%, primarily reflecting higher other expenses and technical and product support expenses, partially offset by lower franchise and regulatory fees and customer service</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expenses. Adjusted EBITDA per customer relationship increased 3.0%, and Adjusted EBITDA margin was 44.9% compared to 44.2% in the prior year period.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2022, Adjusted EBITDA for Cable Communications increased 5.9% to $14.7 billion compared to 2021, reflecting higher revenue, partially offset by a 2.9% increase in operating expenses. Programming costs decreased 1.3%, reflecting a decline in the number of video subscribers, partially offset by contractual rate increases. Non-programming expenses increased 5.8%. For the six months ended June 30, 2022, Adjusted EBITDA per customer relationship increased 3.3%, and Adjusted EBITDA margin was 44.4% compared to 43.7% in 2021.</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increased 4.8% to $1.8 billion in the second quarter of 2022, primarily reflecting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in line extensions, scalable infrastructure, and support capital, partially offset by decreased investment in customer premise equipment. Cable capital expenditures represented 10.7% of Cable revenue in the second quarter of 2022 compared to 10.6% in the prior year period.</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six months ended June 30, 2022, Cable capital expenditures increased 2.5% to $3.1 billion, primarily reflecting increased investment in line extensions, scalable infrastructure, and support capital, partially offset by decreased investment in customer premise equipment. Cable capital expenditures represented 9.5% of Cable revenue compared to 9.6%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733"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9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3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right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4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120" w:type="dxa"/>
            <w:vAlign w:val="bottom"/>
            <w:tcBorders>
              <w:bottom w:val="single" w:sz="8" w:color="D9D9D6"/>
            </w:tcBorders>
            <w:shd w:val="clear" w:color="auto" w:fill="D9D9D6"/>
          </w:tcPr>
          <w:p>
            <w:pPr>
              <w:spacing w:after="0"/>
              <w:rPr>
                <w:sz w:val="14"/>
                <w:szCs w:val="14"/>
                <w:color w:val="auto"/>
              </w:rPr>
            </w:pPr>
          </w:p>
        </w:tc>
        <w:tc>
          <w:tcPr>
            <w:tcW w:w="4960" w:type="dxa"/>
            <w:vAlign w:val="bottom"/>
            <w:tcBorders>
              <w:bottom w:val="single" w:sz="8" w:color="D9D9D6"/>
            </w:tcBorders>
            <w:shd w:val="clear" w:color="auto" w:fill="D9D9D6"/>
          </w:tcPr>
          <w:p>
            <w:pPr>
              <w:spacing w:after="0"/>
              <w:rPr>
                <w:sz w:val="14"/>
                <w:szCs w:val="14"/>
                <w:color w:val="auto"/>
              </w:rPr>
            </w:pPr>
          </w:p>
        </w:tc>
        <w:tc>
          <w:tcPr>
            <w:tcW w:w="52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140" w:type="dxa"/>
            <w:vAlign w:val="bottom"/>
            <w:tcBorders>
              <w:bottom w:val="single" w:sz="8" w:color="D9D9D6"/>
            </w:tcBorders>
            <w:shd w:val="clear" w:color="auto" w:fill="D9D9D6"/>
          </w:tcPr>
          <w:p>
            <w:pPr>
              <w:spacing w:after="0"/>
              <w:rPr>
                <w:sz w:val="14"/>
                <w:szCs w:val="14"/>
                <w:color w:val="auto"/>
              </w:rPr>
            </w:pPr>
          </w:p>
        </w:tc>
        <w:tc>
          <w:tcPr>
            <w:tcW w:w="7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w w:val="98"/>
              </w:rPr>
              <w:t>2nd Quarter</w:t>
            </w:r>
          </w:p>
        </w:tc>
        <w:tc>
          <w:tcPr>
            <w:tcW w:w="200" w:type="dxa"/>
            <w:vAlign w:val="bottom"/>
            <w:tcBorders>
              <w:bottom w:val="single" w:sz="8" w:color="D9D9D6"/>
            </w:tcBorders>
            <w:shd w:val="clear" w:color="auto" w:fill="D9D9D6"/>
          </w:tcPr>
          <w:p>
            <w:pPr>
              <w:spacing w:after="0"/>
              <w:rPr>
                <w:sz w:val="14"/>
                <w:szCs w:val="14"/>
                <w:color w:val="auto"/>
              </w:rPr>
            </w:pPr>
          </w:p>
        </w:tc>
        <w:tc>
          <w:tcPr>
            <w:tcW w:w="28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18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240" w:type="dxa"/>
            <w:vAlign w:val="bottom"/>
            <w:tcBorders>
              <w:bottom w:val="single" w:sz="8" w:color="D9D9D6"/>
              <w:right w:val="single" w:sz="8" w:color="97999B"/>
            </w:tcBorders>
            <w:shd w:val="clear" w:color="auto" w:fill="D9D9D6"/>
          </w:tcPr>
          <w:p>
            <w:pPr>
              <w:spacing w:after="0"/>
              <w:rPr>
                <w:sz w:val="14"/>
                <w:szCs w:val="14"/>
                <w:color w:val="auto"/>
              </w:rPr>
            </w:pPr>
          </w:p>
        </w:tc>
        <w:tc>
          <w:tcPr>
            <w:tcW w:w="240" w:type="dxa"/>
            <w:vAlign w:val="bottom"/>
            <w:tcBorders>
              <w:bottom w:val="single" w:sz="8" w:color="D9D9D6"/>
            </w:tcBorders>
            <w:shd w:val="clear" w:color="auto" w:fill="D9D9D6"/>
          </w:tcPr>
          <w:p>
            <w:pPr>
              <w:spacing w:after="0"/>
              <w:rPr>
                <w:sz w:val="14"/>
                <w:szCs w:val="14"/>
                <w:color w:val="auto"/>
              </w:rPr>
            </w:pPr>
          </w:p>
        </w:tc>
        <w:tc>
          <w:tcPr>
            <w:tcW w:w="54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140" w:type="dxa"/>
            <w:vAlign w:val="bottom"/>
            <w:tcBorders>
              <w:bottom w:val="single" w:sz="8" w:color="D9D9D6"/>
            </w:tcBorders>
            <w:shd w:val="clear" w:color="auto" w:fill="D9D9D6"/>
          </w:tcPr>
          <w:p>
            <w:pPr>
              <w:spacing w:after="0"/>
              <w:rPr>
                <w:sz w:val="14"/>
                <w:szCs w:val="14"/>
                <w:color w:val="auto"/>
              </w:rPr>
            </w:pPr>
          </w:p>
        </w:tc>
        <w:tc>
          <w:tcPr>
            <w:tcW w:w="8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w w:val="99"/>
              </w:rPr>
              <w:t>Year to Date</w:t>
            </w:r>
          </w:p>
        </w:tc>
        <w:tc>
          <w:tcPr>
            <w:tcW w:w="220" w:type="dxa"/>
            <w:vAlign w:val="bottom"/>
            <w:tcBorders>
              <w:bottom w:val="single" w:sz="8" w:color="D9D9D6"/>
            </w:tcBorders>
            <w:shd w:val="clear" w:color="auto" w:fill="D9D9D6"/>
          </w:tcPr>
          <w:p>
            <w:pPr>
              <w:spacing w:after="0"/>
              <w:rPr>
                <w:sz w:val="14"/>
                <w:szCs w:val="14"/>
                <w:color w:val="auto"/>
              </w:rPr>
            </w:pPr>
          </w:p>
        </w:tc>
        <w:tc>
          <w:tcPr>
            <w:tcW w:w="26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18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120" w:type="dxa"/>
            <w:vAlign w:val="bottom"/>
            <w:tcBorders>
              <w:bottom w:val="single" w:sz="8" w:color="D9D9D6"/>
            </w:tcBorders>
            <w:shd w:val="clear" w:color="auto" w:fill="D9D9D6"/>
          </w:tcPr>
          <w:p>
            <w:pPr>
              <w:spacing w:after="0"/>
              <w:rPr>
                <w:sz w:val="14"/>
                <w:szCs w:val="14"/>
                <w:color w:val="auto"/>
              </w:rPr>
            </w:pPr>
          </w:p>
        </w:tc>
      </w:tr>
      <w:tr>
        <w:trPr>
          <w:trHeight w:val="183"/>
        </w:trPr>
        <w:tc>
          <w:tcPr>
            <w:tcW w:w="120" w:type="dxa"/>
            <w:vAlign w:val="bottom"/>
            <w:shd w:val="clear" w:color="auto" w:fill="D9D9D6"/>
          </w:tcPr>
          <w:p>
            <w:pPr>
              <w:spacing w:after="0"/>
              <w:rPr>
                <w:sz w:val="15"/>
                <w:szCs w:val="15"/>
                <w:color w:val="auto"/>
              </w:rPr>
            </w:pPr>
          </w:p>
        </w:tc>
        <w:tc>
          <w:tcPr>
            <w:tcW w:w="496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90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2021</w:t>
            </w:r>
          </w:p>
        </w:tc>
        <w:tc>
          <w:tcPr>
            <w:tcW w:w="200" w:type="dxa"/>
            <w:vAlign w:val="bottom"/>
            <w:shd w:val="clear" w:color="auto" w:fill="D9D9D6"/>
          </w:tcPr>
          <w:p>
            <w:pPr>
              <w:spacing w:after="0"/>
              <w:rPr>
                <w:sz w:val="15"/>
                <w:szCs w:val="15"/>
                <w:color w:val="auto"/>
              </w:rPr>
            </w:pPr>
          </w:p>
        </w:tc>
        <w:tc>
          <w:tcPr>
            <w:tcW w:w="280" w:type="dxa"/>
            <w:vAlign w:val="bottom"/>
            <w:shd w:val="clear" w:color="auto" w:fill="D9D9D6"/>
          </w:tcPr>
          <w:p>
            <w:pPr>
              <w:spacing w:after="0"/>
              <w:rPr>
                <w:sz w:val="15"/>
                <w:szCs w:val="15"/>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w w:val="97"/>
              </w:rPr>
              <w:t>Change</w:t>
            </w:r>
          </w:p>
        </w:tc>
        <w:tc>
          <w:tcPr>
            <w:tcW w:w="240" w:type="dxa"/>
            <w:vAlign w:val="bottom"/>
            <w:tcBorders>
              <w:right w:val="single" w:sz="8" w:color="97999B"/>
            </w:tcBorders>
            <w:shd w:val="clear" w:color="auto" w:fill="D9D9D6"/>
          </w:tcPr>
          <w:p>
            <w:pPr>
              <w:spacing w:after="0"/>
              <w:rPr>
                <w:sz w:val="15"/>
                <w:szCs w:val="15"/>
                <w:color w:val="auto"/>
              </w:rPr>
            </w:pP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2022</w:t>
            </w:r>
          </w:p>
        </w:tc>
        <w:tc>
          <w:tcPr>
            <w:tcW w:w="94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D9D9D6"/>
          </w:tcPr>
          <w:p>
            <w:pPr>
              <w:spacing w:after="0"/>
              <w:rPr>
                <w:sz w:val="15"/>
                <w:szCs w:val="15"/>
                <w:color w:val="auto"/>
              </w:rPr>
            </w:pPr>
          </w:p>
        </w:tc>
        <w:tc>
          <w:tcPr>
            <w:tcW w:w="900" w:type="dxa"/>
            <w:vAlign w:val="bottom"/>
            <w:gridSpan w:val="5"/>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49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5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right w:val="single" w:sz="8" w:color="97999B"/>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$5,332</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$5,148</w:t>
            </w:r>
          </w:p>
        </w:tc>
        <w:tc>
          <w:tcPr>
            <w:tcW w:w="6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3.6 %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$12,196</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$10,184</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19.8 %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11"/>
        </w:trPr>
        <w:tc>
          <w:tcPr>
            <w:tcW w:w="120" w:type="dxa"/>
            <w:vAlign w:val="bottom"/>
            <w:shd w:val="clear" w:color="auto" w:fill="D9D9D6"/>
          </w:tcPr>
          <w:p>
            <w:pPr>
              <w:spacing w:after="0"/>
              <w:rPr>
                <w:sz w:val="18"/>
                <w:szCs w:val="18"/>
                <w:color w:val="auto"/>
              </w:rPr>
            </w:pPr>
          </w:p>
        </w:tc>
        <w:tc>
          <w:tcPr>
            <w:tcW w:w="4960" w:type="dxa"/>
            <w:vAlign w:val="bottom"/>
            <w:shd w:val="clear" w:color="auto" w:fill="D9D9D6"/>
          </w:tcPr>
          <w:p>
            <w:pPr>
              <w:ind w:left="220"/>
              <w:spacing w:after="0"/>
              <w:rPr>
                <w:sz w:val="20"/>
                <w:szCs w:val="20"/>
                <w:color w:val="auto"/>
              </w:rPr>
            </w:pPr>
            <w:r>
              <w:rPr>
                <w:rFonts w:ascii="Arial" w:cs="Arial" w:eastAsia="Arial" w:hAnsi="Arial"/>
                <w:sz w:val="14"/>
                <w:szCs w:val="14"/>
                <w:i w:val="1"/>
                <w:iCs w:val="1"/>
                <w:color w:val="auto"/>
              </w:rPr>
              <w:t>Excluding Olympics and Super Bowl</w:t>
            </w:r>
            <w:r>
              <w:rPr>
                <w:rFonts w:ascii="Arial" w:cs="Arial" w:eastAsia="Arial" w:hAnsi="Arial"/>
                <w:sz w:val="18"/>
                <w:szCs w:val="18"/>
                <w:i w:val="1"/>
                <w:iCs w:val="1"/>
                <w:color w:val="auto"/>
                <w:vertAlign w:val="superscript"/>
              </w:rPr>
              <w:t>5</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$5,332</w:t>
            </w:r>
          </w:p>
        </w:tc>
        <w:tc>
          <w:tcPr>
            <w:tcW w:w="20" w:type="dxa"/>
            <w:vAlign w:val="bottom"/>
            <w:shd w:val="clear" w:color="auto" w:fill="D9D9D6"/>
          </w:tcPr>
          <w:p>
            <w:pPr>
              <w:spacing w:after="0"/>
              <w:rPr>
                <w:sz w:val="18"/>
                <w:szCs w:val="18"/>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$5,148</w:t>
            </w:r>
          </w:p>
        </w:tc>
        <w:tc>
          <w:tcPr>
            <w:tcW w:w="60" w:type="dxa"/>
            <w:vAlign w:val="bottom"/>
            <w:shd w:val="clear" w:color="auto" w:fill="D9D9D6"/>
          </w:tcPr>
          <w:p>
            <w:pPr>
              <w:spacing w:after="0"/>
              <w:rPr>
                <w:sz w:val="18"/>
                <w:szCs w:val="18"/>
                <w:color w:val="auto"/>
              </w:rPr>
            </w:pPr>
          </w:p>
        </w:tc>
        <w:tc>
          <w:tcPr>
            <w:tcW w:w="200" w:type="dxa"/>
            <w:vAlign w:val="bottom"/>
            <w:shd w:val="clear" w:color="auto" w:fill="D9D9D6"/>
          </w:tcPr>
          <w:p>
            <w:pPr>
              <w:spacing w:after="0"/>
              <w:rPr>
                <w:sz w:val="18"/>
                <w:szCs w:val="18"/>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3.6 %</w:t>
            </w:r>
          </w:p>
        </w:tc>
        <w:tc>
          <w:tcPr>
            <w:tcW w:w="20" w:type="dxa"/>
            <w:vAlign w:val="bottom"/>
            <w:shd w:val="clear" w:color="auto" w:fill="D9D9D6"/>
          </w:tcPr>
          <w:p>
            <w:pPr>
              <w:spacing w:after="0"/>
              <w:rPr>
                <w:sz w:val="18"/>
                <w:szCs w:val="18"/>
                <w:color w:val="auto"/>
              </w:rPr>
            </w:pPr>
          </w:p>
        </w:tc>
        <w:tc>
          <w:tcPr>
            <w:tcW w:w="240" w:type="dxa"/>
            <w:vAlign w:val="bottom"/>
            <w:tcBorders>
              <w:right w:val="single" w:sz="8" w:color="97999B"/>
            </w:tcBorders>
            <w:shd w:val="clear" w:color="auto" w:fill="D9D9D6"/>
          </w:tcPr>
          <w:p>
            <w:pPr>
              <w:spacing w:after="0"/>
              <w:rPr>
                <w:sz w:val="18"/>
                <w:szCs w:val="18"/>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$10,715</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$10,184</w:t>
            </w:r>
          </w:p>
        </w:tc>
        <w:tc>
          <w:tcPr>
            <w:tcW w:w="80" w:type="dxa"/>
            <w:vAlign w:val="bottom"/>
            <w:shd w:val="clear" w:color="auto" w:fill="D9D9D6"/>
          </w:tcPr>
          <w:p>
            <w:pPr>
              <w:spacing w:after="0"/>
              <w:rPr>
                <w:sz w:val="18"/>
                <w:szCs w:val="18"/>
                <w:color w:val="auto"/>
              </w:rPr>
            </w:pPr>
          </w:p>
        </w:tc>
        <w:tc>
          <w:tcPr>
            <w:tcW w:w="220" w:type="dxa"/>
            <w:vAlign w:val="bottom"/>
            <w:shd w:val="clear" w:color="auto" w:fill="D9D9D6"/>
          </w:tcPr>
          <w:p>
            <w:pPr>
              <w:spacing w:after="0"/>
              <w:rPr>
                <w:sz w:val="18"/>
                <w:szCs w:val="18"/>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5.2 %</w:t>
            </w:r>
          </w:p>
        </w:tc>
        <w:tc>
          <w:tcPr>
            <w:tcW w:w="2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r>
      <w:tr>
        <w:trPr>
          <w:trHeight w:val="194"/>
        </w:trPr>
        <w:tc>
          <w:tcPr>
            <w:tcW w:w="120" w:type="dxa"/>
            <w:vAlign w:val="bottom"/>
            <w:shd w:val="clear" w:color="auto" w:fill="D9D9D6"/>
          </w:tcPr>
          <w:p>
            <w:pPr>
              <w:spacing w:after="0"/>
              <w:rPr>
                <w:sz w:val="16"/>
                <w:szCs w:val="16"/>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2,966</w:t>
            </w:r>
          </w:p>
        </w:tc>
        <w:tc>
          <w:tcPr>
            <w:tcW w:w="2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2,224</w:t>
            </w:r>
          </w:p>
        </w:tc>
        <w:tc>
          <w:tcPr>
            <w:tcW w:w="6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33.3 %</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5,722</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4,620</w:t>
            </w:r>
          </w:p>
        </w:tc>
        <w:tc>
          <w:tcPr>
            <w:tcW w:w="8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23.9 %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1,804</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1,095</w:t>
            </w:r>
          </w:p>
        </w:tc>
        <w:tc>
          <w:tcPr>
            <w:tcW w:w="6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64.8 %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3,364</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1,714</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96.3 %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22</w:t>
            </w:r>
          </w:p>
        </w:tc>
        <w:tc>
          <w:tcPr>
            <w:tcW w:w="6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(63.9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24</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38</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(35.9 %)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49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4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(664)</w:t>
            </w:r>
          </w:p>
        </w:tc>
        <w:tc>
          <w:tcPr>
            <w:tcW w:w="20" w:type="dxa"/>
            <w:vAlign w:val="bottom"/>
            <w:tcBorders>
              <w:bottom w:val="single" w:sz="8" w:color="auto"/>
            </w:tcBorders>
            <w:shd w:val="clear" w:color="auto" w:fill="D9D9D6"/>
          </w:tcPr>
          <w:p>
            <w:pPr>
              <w:spacing w:after="0"/>
              <w:rPr>
                <w:sz w:val="17"/>
                <w:szCs w:val="17"/>
                <w:color w:val="auto"/>
              </w:rPr>
            </w:pPr>
          </w:p>
        </w:tc>
        <w:tc>
          <w:tcPr>
            <w:tcW w:w="84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(534)</w:t>
            </w:r>
          </w:p>
        </w:tc>
        <w:tc>
          <w:tcPr>
            <w:tcW w:w="60" w:type="dxa"/>
            <w:vAlign w:val="bottom"/>
            <w:tcBorders>
              <w:bottom w:val="single" w:sz="8" w:color="auto"/>
            </w:tcBorders>
            <w:shd w:val="clear" w:color="auto" w:fill="D9D9D6"/>
          </w:tcPr>
          <w:p>
            <w:pPr>
              <w:spacing w:after="0"/>
              <w:rPr>
                <w:sz w:val="17"/>
                <w:szCs w:val="17"/>
                <w:color w:val="auto"/>
              </w:rPr>
            </w:pPr>
          </w:p>
        </w:tc>
        <w:tc>
          <w:tcPr>
            <w:tcW w:w="200" w:type="dxa"/>
            <w:vAlign w:val="bottom"/>
            <w:tcBorders>
              <w:bottom w:val="single" w:sz="8" w:color="auto"/>
            </w:tcBorders>
            <w:shd w:val="clear" w:color="auto" w:fill="D9D9D6"/>
          </w:tcPr>
          <w:p>
            <w:pPr>
              <w:spacing w:after="0"/>
              <w:rPr>
                <w:sz w:val="17"/>
                <w:szCs w:val="17"/>
                <w:color w:val="auto"/>
              </w:rPr>
            </w:pPr>
          </w:p>
        </w:tc>
        <w:tc>
          <w:tcPr>
            <w:tcW w:w="6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(24.5</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(1,566)</w:t>
            </w: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(1,576)</w:t>
            </w:r>
          </w:p>
        </w:tc>
        <w:tc>
          <w:tcPr>
            <w:tcW w:w="80" w:type="dxa"/>
            <w:vAlign w:val="bottom"/>
            <w:tcBorders>
              <w:bottom w:val="single" w:sz="8" w:color="auto"/>
            </w:tcBorders>
            <w:shd w:val="clear" w:color="auto" w:fill="D9D9D6"/>
          </w:tcPr>
          <w:p>
            <w:pPr>
              <w:spacing w:after="0"/>
              <w:rPr>
                <w:sz w:val="17"/>
                <w:szCs w:val="17"/>
                <w:color w:val="auto"/>
              </w:rPr>
            </w:pPr>
          </w:p>
        </w:tc>
        <w:tc>
          <w:tcPr>
            <w:tcW w:w="220" w:type="dxa"/>
            <w:vAlign w:val="bottom"/>
            <w:tcBorders>
              <w:bottom w:val="single" w:sz="8" w:color="auto"/>
            </w:tcBorders>
            <w:shd w:val="clear" w:color="auto" w:fill="D9D9D6"/>
          </w:tcPr>
          <w:p>
            <w:pPr>
              <w:spacing w:after="0"/>
              <w:rPr>
                <w:sz w:val="17"/>
                <w:szCs w:val="17"/>
                <w:color w:val="auto"/>
              </w:rPr>
            </w:pPr>
          </w:p>
        </w:tc>
        <w:tc>
          <w:tcPr>
            <w:tcW w:w="7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0.7 %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$9,445</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$7,955</w:t>
            </w:r>
          </w:p>
        </w:tc>
        <w:tc>
          <w:tcPr>
            <w:tcW w:w="6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18.7</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$19,741</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$14,980</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31.8 %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9"/>
        </w:trPr>
        <w:tc>
          <w:tcPr>
            <w:tcW w:w="120" w:type="dxa"/>
            <w:vAlign w:val="bottom"/>
            <w:shd w:val="clear" w:color="auto" w:fill="D9D9D6"/>
          </w:tcPr>
          <w:p>
            <w:pPr>
              <w:spacing w:after="0"/>
              <w:rPr>
                <w:sz w:val="24"/>
                <w:szCs w:val="24"/>
                <w:color w:val="auto"/>
              </w:rPr>
            </w:pPr>
          </w:p>
        </w:tc>
        <w:tc>
          <w:tcPr>
            <w:tcW w:w="49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5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$1,337</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$1,378</w:t>
            </w:r>
          </w:p>
        </w:tc>
        <w:tc>
          <w:tcPr>
            <w:tcW w:w="6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(2.9 %)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$2,496</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$2,851</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(12.4 %)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156</w:t>
            </w:r>
          </w:p>
        </w:tc>
        <w:tc>
          <w:tcPr>
            <w:tcW w:w="6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(99.5 %)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246</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653</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(62.4 %)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632</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221</w:t>
            </w:r>
          </w:p>
        </w:tc>
        <w:tc>
          <w:tcPr>
            <w:tcW w:w="6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186.5 %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1,082</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159</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640" w:type="dxa"/>
            <w:vAlign w:val="bottom"/>
            <w:gridSpan w:val="4"/>
            <w:shd w:val="clear" w:color="auto" w:fill="D9D9D6"/>
          </w:tcPr>
          <w:p>
            <w:pPr>
              <w:jc w:val="right"/>
              <w:ind w:right="140"/>
              <w:spacing w:after="0"/>
              <w:rPr>
                <w:sz w:val="20"/>
                <w:szCs w:val="20"/>
                <w:color w:val="auto"/>
              </w:rPr>
            </w:pPr>
            <w:r>
              <w:rPr>
                <w:rFonts w:ascii="Arial" w:cs="Arial" w:eastAsia="Arial" w:hAnsi="Arial"/>
                <w:sz w:val="14"/>
                <w:szCs w:val="14"/>
                <w:color w:val="auto"/>
              </w:rPr>
              <w:t>NM</w:t>
            </w: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(137)</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(186)</w:t>
            </w:r>
          </w:p>
        </w:tc>
        <w:tc>
          <w:tcPr>
            <w:tcW w:w="6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26.3 %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(329)</w:t>
            </w: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(395)</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16.8 %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49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4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w:t>
            </w:r>
          </w:p>
        </w:tc>
        <w:tc>
          <w:tcPr>
            <w:tcW w:w="20" w:type="dxa"/>
            <w:vAlign w:val="bottom"/>
            <w:tcBorders>
              <w:bottom w:val="single" w:sz="8" w:color="auto"/>
            </w:tcBorders>
            <w:shd w:val="clear" w:color="auto" w:fill="D9D9D6"/>
          </w:tcPr>
          <w:p>
            <w:pPr>
              <w:spacing w:after="0"/>
              <w:rPr>
                <w:sz w:val="17"/>
                <w:szCs w:val="17"/>
                <w:color w:val="auto"/>
              </w:rPr>
            </w:pPr>
          </w:p>
        </w:tc>
        <w:tc>
          <w:tcPr>
            <w:tcW w:w="84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(15)</w:t>
            </w:r>
          </w:p>
        </w:tc>
        <w:tc>
          <w:tcPr>
            <w:tcW w:w="60" w:type="dxa"/>
            <w:vAlign w:val="bottom"/>
            <w:tcBorders>
              <w:bottom w:val="single" w:sz="8" w:color="auto"/>
            </w:tcBorders>
            <w:shd w:val="clear" w:color="auto" w:fill="D9D9D6"/>
          </w:tcPr>
          <w:p>
            <w:pPr>
              <w:spacing w:after="0"/>
              <w:rPr>
                <w:sz w:val="17"/>
                <w:szCs w:val="17"/>
                <w:color w:val="auto"/>
              </w:rPr>
            </w:pPr>
          </w:p>
        </w:tc>
        <w:tc>
          <w:tcPr>
            <w:tcW w:w="200" w:type="dxa"/>
            <w:vAlign w:val="bottom"/>
            <w:tcBorders>
              <w:bottom w:val="single" w:sz="8" w:color="auto"/>
            </w:tcBorders>
            <w:shd w:val="clear" w:color="auto" w:fill="D9D9D6"/>
          </w:tcPr>
          <w:p>
            <w:pPr>
              <w:spacing w:after="0"/>
              <w:rPr>
                <w:sz w:val="17"/>
                <w:szCs w:val="17"/>
                <w:color w:val="auto"/>
              </w:rPr>
            </w:pPr>
          </w:p>
        </w:tc>
        <w:tc>
          <w:tcPr>
            <w:tcW w:w="28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(39)</w:t>
            </w: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(225)</w:t>
            </w:r>
          </w:p>
        </w:tc>
        <w:tc>
          <w:tcPr>
            <w:tcW w:w="80" w:type="dxa"/>
            <w:vAlign w:val="bottom"/>
            <w:tcBorders>
              <w:bottom w:val="single" w:sz="8" w:color="auto"/>
            </w:tcBorders>
            <w:shd w:val="clear" w:color="auto" w:fill="D9D9D6"/>
          </w:tcPr>
          <w:p>
            <w:pPr>
              <w:spacing w:after="0"/>
              <w:rPr>
                <w:sz w:val="17"/>
                <w:szCs w:val="17"/>
                <w:color w:val="auto"/>
              </w:rPr>
            </w:pPr>
          </w:p>
        </w:tc>
        <w:tc>
          <w:tcPr>
            <w:tcW w:w="220" w:type="dxa"/>
            <w:vAlign w:val="bottom"/>
            <w:tcBorders>
              <w:bottom w:val="single" w:sz="8" w:color="auto"/>
            </w:tcBorders>
            <w:shd w:val="clear" w:color="auto" w:fill="D9D9D6"/>
          </w:tcPr>
          <w:p>
            <w:pPr>
              <w:spacing w:after="0"/>
              <w:rPr>
                <w:sz w:val="17"/>
                <w:szCs w:val="17"/>
                <w:color w:val="auto"/>
              </w:rPr>
            </w:pPr>
          </w:p>
        </w:tc>
        <w:tc>
          <w:tcPr>
            <w:tcW w:w="5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82.7</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$1,856</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$1,553</w:t>
            </w:r>
          </w:p>
        </w:tc>
        <w:tc>
          <w:tcPr>
            <w:tcW w:w="6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19.5 %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$3,457</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$3,043</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13.6</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5"/>
        </w:trPr>
        <w:tc>
          <w:tcPr>
            <w:tcW w:w="120" w:type="dxa"/>
            <w:vAlign w:val="bottom"/>
            <w:shd w:val="clear" w:color="auto" w:fill="D9D9D6"/>
          </w:tcPr>
          <w:p>
            <w:pPr>
              <w:spacing w:after="0"/>
              <w:rPr>
                <w:sz w:val="16"/>
                <w:szCs w:val="16"/>
                <w:color w:val="auto"/>
              </w:rPr>
            </w:pPr>
          </w:p>
        </w:tc>
        <w:tc>
          <w:tcPr>
            <w:tcW w:w="4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5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40" w:type="dxa"/>
            <w:vAlign w:val="bottom"/>
            <w:tcBorders>
              <w:right w:val="single" w:sz="8" w:color="D9D9D6"/>
            </w:tcBorders>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4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62"/>
        </w:trPr>
        <w:tc>
          <w:tcPr>
            <w:tcW w:w="120" w:type="dxa"/>
            <w:vAlign w:val="bottom"/>
            <w:shd w:val="clear" w:color="auto" w:fill="D9D9D6"/>
          </w:tcPr>
          <w:p>
            <w:pPr>
              <w:spacing w:after="0"/>
              <w:rPr>
                <w:sz w:val="5"/>
                <w:szCs w:val="5"/>
                <w:color w:val="auto"/>
              </w:rPr>
            </w:pPr>
          </w:p>
        </w:tc>
        <w:tc>
          <w:tcPr>
            <w:tcW w:w="4960" w:type="dxa"/>
            <w:vAlign w:val="bottom"/>
            <w:shd w:val="clear" w:color="auto" w:fill="D9D9D6"/>
          </w:tcPr>
          <w:p>
            <w:pPr>
              <w:spacing w:after="0"/>
              <w:rPr>
                <w:sz w:val="5"/>
                <w:szCs w:val="5"/>
                <w:color w:val="auto"/>
              </w:rPr>
            </w:pPr>
          </w:p>
        </w:tc>
        <w:tc>
          <w:tcPr>
            <w:tcW w:w="52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3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6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2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240" w:type="dxa"/>
            <w:vAlign w:val="bottom"/>
            <w:tcBorders>
              <w:right w:val="single" w:sz="8" w:color="D9D9D6"/>
            </w:tcBorders>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40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2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20" w:type="dxa"/>
            <w:vAlign w:val="bottom"/>
            <w:shd w:val="clear" w:color="auto" w:fill="D9D9D6"/>
          </w:tcPr>
          <w:p>
            <w:pPr>
              <w:spacing w:after="0"/>
              <w:rPr>
                <w:sz w:val="5"/>
                <w:szCs w:val="5"/>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18.7% to $9.4 billion in the second quarter of 2022.</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19.5% to $1.9 billion.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six months ended June 30, 2022, NBCUniversal revenue increased 31.8% to $19.7 billion compared to 2021. Adjusted EBITDA increased 13.6% to $3.5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Media revenue increased 3.6% to $5.3 billion in the second quarter of 2022, primarily reflecting higher distribution revenue, partially offset by lower advertising revenue. Distribution revenue increased 8.4%, driven by increases at Peacock and contractual rate increases, partially offset by a decline in subscribers at our networks. Advertising revenue decreased 1.3%, reflecting a decline in ratings in the current year period and a higher number of sporting events in the prior year period, partially offset by higher pricing and additional Peacock sales. Adjusted EBITDA decreased 2.9% to $1.3 billion in the second quarter of 2022, reflecting higher operating expenses, which more than offset higher revenue. The increase in operating expenses was primarily due to higher costs at Peacock. Media results include $444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$467 million related to Peacock, compared to $122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$363 million in the prior year period.</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six months ended June 30, 2022, revenue from the Media segment increased 19.8% to $12.2 billion compared to 2021, primarily due to higher advertising revenue and distribution revenue. Excluding $963 million of revenue generated by the broadcast of the 2022 Beijing Olympics and $519 million of revenue generated by the broadcast of the NFL's Super Bowl in the first quarter of 2022, Media revenue</w:t>
      </w:r>
    </w:p>
    <w:p>
      <w:pPr>
        <w:jc w:val="both"/>
        <w:spacing w:after="0" w:line="249" w:lineRule="auto"/>
        <w:rPr>
          <w:sz w:val="20"/>
          <w:szCs w:val="20"/>
          <w:color w:val="auto"/>
        </w:rPr>
      </w:pPr>
      <w:r>
        <w:rPr>
          <w:rFonts w:ascii="Arial" w:cs="Arial" w:eastAsia="Arial" w:hAnsi="Arial"/>
          <w:sz w:val="18"/>
          <w:szCs w:val="18"/>
          <w:color w:val="auto"/>
        </w:rPr>
        <w:t>increased 5.2%. Adjusted EBITDA decreased 12.4% to $2.5 billion compared to 2021, reflecting higher operating expenses, which more than offset higher revenue. The increase in operating expenses was primarily driven by higher programming and production expenses, primarily reflecting higher sports programming costs associated with the broadcasts of 2022 Beijing Olympics and the NFL's Super Bowl, as well as higher programming costs at Peacock. Media results include $916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$924 million related to Peacock, compared to $213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$640 million in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Studios revenue increased 33.3% to $3.0 billion in the second quarter of 2022, primarily reflecting higher theatrical revenue and content licensing revenue. Theatrical revenue increased $352 million to $550 million, primarily due to an increase in the number of theatrical releases in the current year period, including the successful release of </w:t>
      </w:r>
      <w:r>
        <w:rPr>
          <w:rFonts w:ascii="Arial" w:cs="Arial" w:eastAsia="Arial" w:hAnsi="Arial"/>
          <w:sz w:val="18"/>
          <w:szCs w:val="18"/>
          <w:i w:val="1"/>
          <w:iCs w:val="1"/>
          <w:color w:val="auto"/>
        </w:rPr>
        <w:t>Jurassic World: Dominion</w:t>
      </w:r>
      <w:r>
        <w:rPr>
          <w:rFonts w:ascii="Arial" w:cs="Arial" w:eastAsia="Arial" w:hAnsi="Arial"/>
          <w:sz w:val="18"/>
          <w:szCs w:val="18"/>
          <w:color w:val="auto"/>
        </w:rPr>
        <w:t>. Content licensing revenue increased 19.0%, driven by television content licensing. Adjusted EBITDA decreased $155 million to $1 million in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692" w:right="339" w:bottom="1440" w:gutter="0" w:footer="0" w:header="0"/>
        </w:sectPr>
      </w:pPr>
    </w:p>
    <w:bookmarkStart w:id="8" w:name="page9"/>
    <w:bookmarkEnd w:id="8"/>
    <w:p>
      <w:pPr>
        <w:jc w:val="both"/>
        <w:spacing w:after="0" w:line="262" w:lineRule="auto"/>
        <w:rPr>
          <w:sz w:val="20"/>
          <w:szCs w:val="20"/>
          <w:color w:val="auto"/>
        </w:rPr>
      </w:pPr>
      <w:r>
        <w:rPr>
          <w:rFonts w:ascii="Arial" w:cs="Arial" w:eastAsia="Arial" w:hAnsi="Arial"/>
          <w:sz w:val="18"/>
          <w:szCs w:val="18"/>
          <w:color w:val="auto"/>
        </w:rPr>
        <w:t xml:space="preserve">the second quarter of 2022, reflecting higher operating expenses, which more than offset higher revenue. The increase in operating expenses was driven by higher programming and production expenses, reflecting higher amortization of television and film production costs in the current year period, as well as an increase in advertising, marketing and promotion expenses ahead of recent film releases, </w:t>
      </w:r>
      <w:r>
        <w:rPr>
          <w:rFonts w:ascii="Arial" w:cs="Arial" w:eastAsia="Arial" w:hAnsi="Arial"/>
          <w:sz w:val="18"/>
          <w:szCs w:val="18"/>
          <w:i w:val="1"/>
          <w:iCs w:val="1"/>
          <w:color w:val="auto"/>
        </w:rPr>
        <w:t>Jurassic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World: Dominion </w:t>
      </w:r>
      <w:r>
        <w:rPr>
          <w:rFonts w:ascii="Arial" w:cs="Arial" w:eastAsia="Arial" w:hAnsi="Arial"/>
          <w:sz w:val="18"/>
          <w:szCs w:val="18"/>
          <w:color w:val="auto"/>
        </w:rPr>
        <w:t>and</w:t>
      </w:r>
      <w:r>
        <w:rPr>
          <w:rFonts w:ascii="Arial" w:cs="Arial" w:eastAsia="Arial" w:hAnsi="Arial"/>
          <w:sz w:val="18"/>
          <w:szCs w:val="18"/>
          <w:i w:val="1"/>
          <w:iCs w:val="1"/>
          <w:color w:val="auto"/>
        </w:rPr>
        <w:t xml:space="preserve"> Minions: The Rise of Gru</w:t>
      </w:r>
      <w:r>
        <w:rPr>
          <w:rFonts w:ascii="Arial" w:cs="Arial" w:eastAsia="Arial" w:hAnsi="Arial"/>
          <w:sz w:val="18"/>
          <w:szCs w:val="18"/>
          <w:color w:val="auto"/>
        </w:rPr>
        <w:t>.</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2022, revenue from the Studios segment increased 23.9% to $5.7 billion compared to 2021, primarily reflecting higher content licensing revenue and theatrical revenue. Adjusted EBITDA decreased 62.4% to $246 million compared to 2021, reflecting higher operating expenses, which more than offset higher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Theme Parks revenue increased 64.8% to $1.8 billion in the second quarter of 2022, due to higher attendance and increases in guest spending at our parks in the U.S. and Japan compared to the prior year period. Universal Beijing Resort was closed for most of the second quarter of 2022 due to local COVID-19-related prevention and control requirements, then resumed operations with restricted capacity in late June. Theme Parks Adjusted EBITDA increased $411 million to $632 million in the second quarter of 2022, reflecting higher revenue, partially offset by higher operating expenses.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six months ended June 30, 2022, revenue from the Theme Parks segment increased 96.3% to $3.4 billion compared to 2021, primarily reflecting improved operating conditions compared to 2021, when each of our theme parks in the U.S. and Japan was either operating at limited capacity or closed during certain periods as a result of COVID-19. Adjusted EBITDA increased $923 million to $1.1 billion compared to 2021, reflecting higher revenue, partially offset by higher operating expenses.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NBCUniversal Headquarters and Other includes overhead, personnel costs and costs associated with corporate initiatives. Headquarters and Other Adjusted EBITDA loss in the second quarter of 2022 was $137 million, compared to a loss of $186 million in the prior year period.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six months ended June 30, 2022, Headquarters and Other Adjusted EBITDA loss was $329 million, compared to a loss of $395 million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Amounts represent eliminations of transactions between our NBCUniversal segments, which are affected by the timing of recognition of content licenses between our Studios and Media segments. Revenue eliminations in the second quarter of 2022 were $664 million, compared to $534 million in the prior year period, and Adjusted EBITDA eliminations were a benefit of $23 million, compared to a loss of $15 million in the prior year period.</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six months ended June 30, 2022, revenue eliminations of $1.6 billion were consistent with 2021. Adjusted EBITDA eliminations were $39 million, compared to $225 million in 2021. The year-over-year change was primarily driven by the licensing of content by the Studios segment to Peacock in the Media segment.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29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4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right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6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44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48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D9D9D6"/>
          </w:tcPr>
          <w:p>
            <w:pPr>
              <w:spacing w:after="0"/>
              <w:rPr>
                <w:sz w:val="15"/>
                <w:szCs w:val="15"/>
                <w:color w:val="auto"/>
              </w:rPr>
            </w:pPr>
          </w:p>
        </w:tc>
        <w:tc>
          <w:tcPr>
            <w:tcW w:w="2900" w:type="dxa"/>
            <w:vAlign w:val="bottom"/>
            <w:shd w:val="clear" w:color="auto" w:fill="D9D9D6"/>
          </w:tcPr>
          <w:p>
            <w:pPr>
              <w:spacing w:after="0"/>
              <w:rPr>
                <w:sz w:val="15"/>
                <w:szCs w:val="15"/>
                <w:color w:val="auto"/>
              </w:rPr>
            </w:pPr>
          </w:p>
        </w:tc>
        <w:tc>
          <w:tcPr>
            <w:tcW w:w="58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580" w:type="dxa"/>
            <w:vAlign w:val="bottom"/>
            <w:shd w:val="clear" w:color="auto" w:fill="D9D9D6"/>
          </w:tcPr>
          <w:p>
            <w:pPr>
              <w:spacing w:after="0"/>
              <w:rPr>
                <w:sz w:val="15"/>
                <w:szCs w:val="15"/>
                <w:color w:val="auto"/>
              </w:rPr>
            </w:pPr>
          </w:p>
        </w:tc>
        <w:tc>
          <w:tcPr>
            <w:tcW w:w="60" w:type="dxa"/>
            <w:vAlign w:val="bottom"/>
            <w:shd w:val="clear" w:color="auto" w:fill="D9D9D6"/>
          </w:tcPr>
          <w:p>
            <w:pPr>
              <w:spacing w:after="0"/>
              <w:rPr>
                <w:sz w:val="15"/>
                <w:szCs w:val="15"/>
                <w:color w:val="auto"/>
              </w:rPr>
            </w:pPr>
          </w:p>
        </w:tc>
        <w:tc>
          <w:tcPr>
            <w:tcW w:w="1260" w:type="dxa"/>
            <w:vAlign w:val="bottom"/>
            <w:gridSpan w:val="7"/>
            <w:shd w:val="clear" w:color="auto" w:fill="D9D9D6"/>
          </w:tcPr>
          <w:p>
            <w:pPr>
              <w:spacing w:after="0"/>
              <w:rPr>
                <w:sz w:val="20"/>
                <w:szCs w:val="20"/>
                <w:color w:val="auto"/>
              </w:rPr>
            </w:pPr>
            <w:r>
              <w:rPr>
                <w:rFonts w:ascii="Arial" w:cs="Arial" w:eastAsia="Arial" w:hAnsi="Arial"/>
                <w:sz w:val="14"/>
                <w:szCs w:val="14"/>
                <w:color w:val="auto"/>
              </w:rPr>
              <w:t>2nd Quarter</w:t>
            </w:r>
          </w:p>
        </w:tc>
        <w:tc>
          <w:tcPr>
            <w:tcW w:w="50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60" w:type="dxa"/>
            <w:vAlign w:val="bottom"/>
            <w:shd w:val="clear" w:color="auto" w:fill="D9D9D6"/>
          </w:tcPr>
          <w:p>
            <w:pPr>
              <w:spacing w:after="0"/>
              <w:rPr>
                <w:sz w:val="15"/>
                <w:szCs w:val="15"/>
                <w:color w:val="auto"/>
              </w:rPr>
            </w:pPr>
          </w:p>
        </w:tc>
        <w:tc>
          <w:tcPr>
            <w:tcW w:w="140" w:type="dxa"/>
            <w:vAlign w:val="bottom"/>
            <w:tcBorders>
              <w:right w:val="single" w:sz="8" w:color="929292"/>
            </w:tcBorders>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60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20" w:type="dxa"/>
            <w:vAlign w:val="bottom"/>
            <w:shd w:val="clear" w:color="auto" w:fill="D9D9D6"/>
          </w:tcPr>
          <w:p>
            <w:pPr>
              <w:spacing w:after="0"/>
              <w:rPr>
                <w:sz w:val="15"/>
                <w:szCs w:val="15"/>
                <w:color w:val="auto"/>
              </w:rPr>
            </w:pPr>
          </w:p>
        </w:tc>
        <w:tc>
          <w:tcPr>
            <w:tcW w:w="440" w:type="dxa"/>
            <w:vAlign w:val="bottom"/>
            <w:shd w:val="clear" w:color="auto" w:fill="D9D9D6"/>
          </w:tcPr>
          <w:p>
            <w:pPr>
              <w:spacing w:after="0"/>
              <w:rPr>
                <w:sz w:val="15"/>
                <w:szCs w:val="15"/>
                <w:color w:val="auto"/>
              </w:rPr>
            </w:pPr>
          </w:p>
        </w:tc>
        <w:tc>
          <w:tcPr>
            <w:tcW w:w="1540" w:type="dxa"/>
            <w:vAlign w:val="bottom"/>
            <w:gridSpan w:val="7"/>
            <w:shd w:val="clear" w:color="auto" w:fill="D9D9D6"/>
          </w:tcPr>
          <w:p>
            <w:pPr>
              <w:ind w:left="20"/>
              <w:spacing w:after="0"/>
              <w:rPr>
                <w:sz w:val="20"/>
                <w:szCs w:val="20"/>
                <w:color w:val="auto"/>
              </w:rPr>
            </w:pPr>
            <w:r>
              <w:rPr>
                <w:rFonts w:ascii="Arial" w:cs="Arial" w:eastAsia="Arial" w:hAnsi="Arial"/>
                <w:sz w:val="14"/>
                <w:szCs w:val="14"/>
                <w:color w:val="auto"/>
              </w:rPr>
              <w:t>Year to Date</w:t>
            </w:r>
          </w:p>
        </w:tc>
        <w:tc>
          <w:tcPr>
            <w:tcW w:w="28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290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2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4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30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060" w:type="dxa"/>
            <w:vAlign w:val="bottom"/>
            <w:tcBorders>
              <w:top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40" w:type="dxa"/>
            <w:vAlign w:val="bottom"/>
            <w:tcBorders>
              <w:top w:val="single" w:sz="8" w:color="D9D9D6"/>
              <w:right w:val="single" w:sz="8" w:color="929292"/>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6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44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2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48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980" w:type="dxa"/>
            <w:vAlign w:val="bottom"/>
            <w:tcBorders>
              <w:top w:val="single" w:sz="8" w:color="D9D9D6"/>
            </w:tcBorders>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37"/>
        </w:trPr>
        <w:tc>
          <w:tcPr>
            <w:tcW w:w="120" w:type="dxa"/>
            <w:vAlign w:val="bottom"/>
            <w:shd w:val="clear" w:color="auto" w:fill="D9D9D6"/>
          </w:tcPr>
          <w:p>
            <w:pPr>
              <w:spacing w:after="0"/>
              <w:rPr>
                <w:sz w:val="11"/>
                <w:szCs w:val="11"/>
                <w:color w:val="auto"/>
              </w:rPr>
            </w:pPr>
          </w:p>
        </w:tc>
        <w:tc>
          <w:tcPr>
            <w:tcW w:w="2900" w:type="dxa"/>
            <w:vAlign w:val="bottom"/>
            <w:shd w:val="clear" w:color="auto" w:fill="D9D9D6"/>
          </w:tcPr>
          <w:p>
            <w:pPr>
              <w:spacing w:after="0"/>
              <w:rPr>
                <w:sz w:val="11"/>
                <w:szCs w:val="11"/>
                <w:color w:val="auto"/>
              </w:rPr>
            </w:pPr>
          </w:p>
        </w:tc>
        <w:tc>
          <w:tcPr>
            <w:tcW w:w="92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9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460" w:type="dxa"/>
            <w:vAlign w:val="bottom"/>
            <w:shd w:val="clear" w:color="auto" w:fill="D9D9D6"/>
          </w:tcPr>
          <w:p>
            <w:pPr>
              <w:spacing w:after="0"/>
              <w:rPr>
                <w:sz w:val="11"/>
                <w:szCs w:val="11"/>
                <w:color w:val="auto"/>
              </w:rPr>
            </w:pPr>
          </w:p>
        </w:tc>
        <w:tc>
          <w:tcPr>
            <w:tcW w:w="520" w:type="dxa"/>
            <w:vAlign w:val="bottom"/>
            <w:gridSpan w:val="4"/>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1060" w:type="dxa"/>
            <w:vAlign w:val="bottom"/>
            <w:gridSpan w:val="4"/>
            <w:shd w:val="clear" w:color="auto" w:fill="D9D9D6"/>
          </w:tcPr>
          <w:p>
            <w:pPr>
              <w:jc w:val="right"/>
              <w:ind w:right="60"/>
              <w:spacing w:after="0" w:line="137" w:lineRule="exact"/>
              <w:rPr>
                <w:sz w:val="20"/>
                <w:szCs w:val="20"/>
                <w:color w:val="auto"/>
              </w:rPr>
            </w:pPr>
            <w:r>
              <w:rPr>
                <w:rFonts w:ascii="Arial" w:cs="Arial" w:eastAsia="Arial" w:hAnsi="Arial"/>
                <w:sz w:val="14"/>
                <w:szCs w:val="14"/>
                <w:color w:val="auto"/>
              </w:rPr>
              <w:t>Currency</w:t>
            </w:r>
          </w:p>
        </w:tc>
        <w:tc>
          <w:tcPr>
            <w:tcW w:w="140" w:type="dxa"/>
            <w:vAlign w:val="bottom"/>
            <w:tcBorders>
              <w:right w:val="single" w:sz="8" w:color="929292"/>
            </w:tcBorders>
            <w:shd w:val="clear" w:color="auto" w:fill="D9D9D6"/>
          </w:tcPr>
          <w:p>
            <w:pPr>
              <w:spacing w:after="0"/>
              <w:rPr>
                <w:sz w:val="11"/>
                <w:szCs w:val="11"/>
                <w:color w:val="auto"/>
              </w:rPr>
            </w:pPr>
          </w:p>
        </w:tc>
        <w:tc>
          <w:tcPr>
            <w:tcW w:w="1240" w:type="dxa"/>
            <w:vAlign w:val="bottom"/>
            <w:gridSpan w:val="4"/>
            <w:vMerge w:val="restart"/>
            <w:shd w:val="clear" w:color="auto" w:fill="D9D9D6"/>
          </w:tcPr>
          <w:p>
            <w:pPr>
              <w:jc w:val="right"/>
              <w:ind w:right="220"/>
              <w:spacing w:after="0"/>
              <w:rPr>
                <w:sz w:val="20"/>
                <w:szCs w:val="20"/>
                <w:color w:val="auto"/>
              </w:rPr>
            </w:pPr>
            <w:r>
              <w:rPr>
                <w:rFonts w:ascii="Arial" w:cs="Arial" w:eastAsia="Arial" w:hAnsi="Arial"/>
                <w:sz w:val="14"/>
                <w:szCs w:val="14"/>
                <w:color w:val="auto"/>
              </w:rPr>
              <w:t>2022</w:t>
            </w:r>
          </w:p>
        </w:tc>
        <w:tc>
          <w:tcPr>
            <w:tcW w:w="980" w:type="dxa"/>
            <w:vAlign w:val="bottom"/>
            <w:gridSpan w:val="4"/>
            <w:vMerge w:val="restart"/>
            <w:shd w:val="clear" w:color="auto" w:fill="D9D9D6"/>
          </w:tcPr>
          <w:p>
            <w:pPr>
              <w:jc w:val="right"/>
              <w:ind w:right="220"/>
              <w:spacing w:after="0"/>
              <w:rPr>
                <w:sz w:val="20"/>
                <w:szCs w:val="20"/>
                <w:color w:val="auto"/>
              </w:rPr>
            </w:pPr>
            <w:r>
              <w:rPr>
                <w:rFonts w:ascii="Arial" w:cs="Arial" w:eastAsia="Arial" w:hAnsi="Arial"/>
                <w:sz w:val="14"/>
                <w:szCs w:val="14"/>
                <w:color w:val="auto"/>
              </w:rPr>
              <w:t>2021</w:t>
            </w:r>
          </w:p>
        </w:tc>
        <w:tc>
          <w:tcPr>
            <w:tcW w:w="280" w:type="dxa"/>
            <w:vAlign w:val="bottom"/>
            <w:shd w:val="clear" w:color="auto" w:fill="D9D9D6"/>
          </w:tcPr>
          <w:p>
            <w:pPr>
              <w:spacing w:after="0"/>
              <w:rPr>
                <w:sz w:val="11"/>
                <w:szCs w:val="11"/>
                <w:color w:val="auto"/>
              </w:rPr>
            </w:pPr>
          </w:p>
        </w:tc>
        <w:tc>
          <w:tcPr>
            <w:tcW w:w="720" w:type="dxa"/>
            <w:vAlign w:val="bottom"/>
            <w:gridSpan w:val="3"/>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980" w:type="dxa"/>
            <w:vAlign w:val="bottom"/>
            <w:gridSpan w:val="4"/>
            <w:shd w:val="clear" w:color="auto" w:fill="D9D9D6"/>
          </w:tcPr>
          <w:p>
            <w:pPr>
              <w:jc w:val="right"/>
              <w:ind w:right="180"/>
              <w:spacing w:after="0" w:line="137"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60"/>
        </w:trPr>
        <w:tc>
          <w:tcPr>
            <w:tcW w:w="120" w:type="dxa"/>
            <w:vAlign w:val="bottom"/>
            <w:shd w:val="clear" w:color="auto" w:fill="D9D9D6"/>
          </w:tcPr>
          <w:p>
            <w:pPr>
              <w:spacing w:after="0"/>
              <w:rPr>
                <w:sz w:val="13"/>
                <w:szCs w:val="13"/>
                <w:color w:val="auto"/>
              </w:rPr>
            </w:pPr>
          </w:p>
        </w:tc>
        <w:tc>
          <w:tcPr>
            <w:tcW w:w="2900" w:type="dxa"/>
            <w:vAlign w:val="bottom"/>
            <w:shd w:val="clear" w:color="auto" w:fill="D9D9D6"/>
          </w:tcPr>
          <w:p>
            <w:pPr>
              <w:spacing w:after="0"/>
              <w:rPr>
                <w:sz w:val="13"/>
                <w:szCs w:val="13"/>
                <w:color w:val="auto"/>
              </w:rPr>
            </w:pPr>
          </w:p>
        </w:tc>
        <w:tc>
          <w:tcPr>
            <w:tcW w:w="920" w:type="dxa"/>
            <w:vAlign w:val="bottom"/>
            <w:gridSpan w:val="3"/>
            <w:vMerge w:val="continue"/>
            <w:shd w:val="clear" w:color="auto" w:fill="D9D9D6"/>
          </w:tcPr>
          <w:p>
            <w:pPr>
              <w:spacing w:after="0"/>
              <w:rPr>
                <w:sz w:val="13"/>
                <w:szCs w:val="13"/>
                <w:color w:val="auto"/>
              </w:rPr>
            </w:pPr>
          </w:p>
        </w:tc>
        <w:tc>
          <w:tcPr>
            <w:tcW w:w="920" w:type="dxa"/>
            <w:vAlign w:val="bottom"/>
            <w:gridSpan w:val="4"/>
            <w:vMerge w:val="continue"/>
            <w:shd w:val="clear" w:color="auto" w:fill="D9D9D6"/>
          </w:tcPr>
          <w:p>
            <w:pPr>
              <w:spacing w:after="0"/>
              <w:rPr>
                <w:sz w:val="13"/>
                <w:szCs w:val="13"/>
                <w:color w:val="auto"/>
              </w:rPr>
            </w:pPr>
          </w:p>
        </w:tc>
        <w:tc>
          <w:tcPr>
            <w:tcW w:w="460" w:type="dxa"/>
            <w:vAlign w:val="bottom"/>
            <w:shd w:val="clear" w:color="auto" w:fill="D9D9D6"/>
          </w:tcPr>
          <w:p>
            <w:pPr>
              <w:spacing w:after="0"/>
              <w:rPr>
                <w:sz w:val="13"/>
                <w:szCs w:val="13"/>
                <w:color w:val="auto"/>
              </w:rPr>
            </w:pPr>
          </w:p>
        </w:tc>
        <w:tc>
          <w:tcPr>
            <w:tcW w:w="520" w:type="dxa"/>
            <w:vAlign w:val="bottom"/>
            <w:gridSpan w:val="4"/>
            <w:vMerge w:val="continue"/>
            <w:shd w:val="clear" w:color="auto" w:fill="D9D9D6"/>
          </w:tcPr>
          <w:p>
            <w:pPr>
              <w:spacing w:after="0"/>
              <w:rPr>
                <w:sz w:val="13"/>
                <w:szCs w:val="13"/>
                <w:color w:val="auto"/>
              </w:rPr>
            </w:pPr>
          </w:p>
        </w:tc>
        <w:tc>
          <w:tcPr>
            <w:tcW w:w="500" w:type="dxa"/>
            <w:vAlign w:val="bottom"/>
            <w:shd w:val="clear" w:color="auto" w:fill="D9D9D6"/>
          </w:tcPr>
          <w:p>
            <w:pPr>
              <w:spacing w:after="0"/>
              <w:rPr>
                <w:sz w:val="13"/>
                <w:szCs w:val="13"/>
                <w:color w:val="auto"/>
              </w:rPr>
            </w:pPr>
          </w:p>
        </w:tc>
        <w:tc>
          <w:tcPr>
            <w:tcW w:w="560" w:type="dxa"/>
            <w:vAlign w:val="bottom"/>
            <w:gridSpan w:val="3"/>
            <w:shd w:val="clear" w:color="auto" w:fill="D9D9D6"/>
          </w:tcPr>
          <w:p>
            <w:pPr>
              <w:jc w:val="right"/>
              <w:ind w:right="20"/>
              <w:spacing w:after="0" w:line="160" w:lineRule="exact"/>
              <w:rPr>
                <w:sz w:val="20"/>
                <w:szCs w:val="20"/>
                <w:color w:val="auto"/>
              </w:rPr>
            </w:pPr>
            <w:r>
              <w:rPr>
                <w:rFonts w:ascii="Arial" w:cs="Arial" w:eastAsia="Arial" w:hAnsi="Arial"/>
                <w:sz w:val="14"/>
                <w:szCs w:val="14"/>
                <w:color w:val="auto"/>
                <w:w w:val="93"/>
              </w:rPr>
              <w:t>Change</w:t>
            </w:r>
            <w:r>
              <w:rPr>
                <w:rFonts w:ascii="Arial" w:cs="Arial" w:eastAsia="Arial" w:hAnsi="Arial"/>
                <w:sz w:val="18"/>
                <w:szCs w:val="18"/>
                <w:u w:val="single" w:color="auto"/>
                <w:color w:val="auto"/>
                <w:w w:val="93"/>
                <w:vertAlign w:val="superscript"/>
              </w:rPr>
              <w:t>7</w:t>
            </w:r>
          </w:p>
        </w:tc>
        <w:tc>
          <w:tcPr>
            <w:tcW w:w="140" w:type="dxa"/>
            <w:vAlign w:val="bottom"/>
            <w:tcBorders>
              <w:right w:val="single" w:sz="8" w:color="929292"/>
            </w:tcBorders>
            <w:shd w:val="clear" w:color="auto" w:fill="D9D9D6"/>
          </w:tcPr>
          <w:p>
            <w:pPr>
              <w:spacing w:after="0"/>
              <w:rPr>
                <w:sz w:val="13"/>
                <w:szCs w:val="13"/>
                <w:color w:val="auto"/>
              </w:rPr>
            </w:pPr>
          </w:p>
        </w:tc>
        <w:tc>
          <w:tcPr>
            <w:tcW w:w="1240" w:type="dxa"/>
            <w:vAlign w:val="bottom"/>
            <w:gridSpan w:val="4"/>
            <w:vMerge w:val="continue"/>
            <w:shd w:val="clear" w:color="auto" w:fill="D9D9D6"/>
          </w:tcPr>
          <w:p>
            <w:pPr>
              <w:spacing w:after="0"/>
              <w:rPr>
                <w:sz w:val="13"/>
                <w:szCs w:val="13"/>
                <w:color w:val="auto"/>
              </w:rPr>
            </w:pPr>
          </w:p>
        </w:tc>
        <w:tc>
          <w:tcPr>
            <w:tcW w:w="980" w:type="dxa"/>
            <w:vAlign w:val="bottom"/>
            <w:gridSpan w:val="4"/>
            <w:vMerge w:val="continue"/>
            <w:shd w:val="clear" w:color="auto" w:fill="D9D9D6"/>
          </w:tcPr>
          <w:p>
            <w:pPr>
              <w:spacing w:after="0"/>
              <w:rPr>
                <w:sz w:val="13"/>
                <w:szCs w:val="13"/>
                <w:color w:val="auto"/>
              </w:rPr>
            </w:pPr>
          </w:p>
        </w:tc>
        <w:tc>
          <w:tcPr>
            <w:tcW w:w="280" w:type="dxa"/>
            <w:vAlign w:val="bottom"/>
            <w:shd w:val="clear" w:color="auto" w:fill="D9D9D6"/>
          </w:tcPr>
          <w:p>
            <w:pPr>
              <w:spacing w:after="0"/>
              <w:rPr>
                <w:sz w:val="13"/>
                <w:szCs w:val="13"/>
                <w:color w:val="auto"/>
              </w:rPr>
            </w:pPr>
          </w:p>
        </w:tc>
        <w:tc>
          <w:tcPr>
            <w:tcW w:w="720" w:type="dxa"/>
            <w:vAlign w:val="bottom"/>
            <w:gridSpan w:val="3"/>
            <w:vMerge w:val="continue"/>
            <w:shd w:val="clear" w:color="auto" w:fill="D9D9D6"/>
          </w:tcPr>
          <w:p>
            <w:pPr>
              <w:spacing w:after="0"/>
              <w:rPr>
                <w:sz w:val="13"/>
                <w:szCs w:val="13"/>
                <w:color w:val="auto"/>
              </w:rPr>
            </w:pPr>
          </w:p>
        </w:tc>
        <w:tc>
          <w:tcPr>
            <w:tcW w:w="280" w:type="dxa"/>
            <w:vAlign w:val="bottom"/>
            <w:shd w:val="clear" w:color="auto" w:fill="D9D9D6"/>
          </w:tcPr>
          <w:p>
            <w:pPr>
              <w:spacing w:after="0"/>
              <w:rPr>
                <w:sz w:val="13"/>
                <w:szCs w:val="13"/>
                <w:color w:val="auto"/>
              </w:rPr>
            </w:pPr>
          </w:p>
        </w:tc>
        <w:tc>
          <w:tcPr>
            <w:tcW w:w="700" w:type="dxa"/>
            <w:vAlign w:val="bottom"/>
            <w:gridSpan w:val="3"/>
            <w:shd w:val="clear" w:color="auto" w:fill="D9D9D6"/>
          </w:tcPr>
          <w:p>
            <w:pPr>
              <w:spacing w:after="0" w:line="160" w:lineRule="exact"/>
              <w:rPr>
                <w:sz w:val="20"/>
                <w:szCs w:val="20"/>
                <w:color w:val="auto"/>
              </w:rPr>
            </w:pPr>
            <w:r>
              <w:rPr>
                <w:rFonts w:ascii="Arial" w:cs="Arial" w:eastAsia="Arial" w:hAnsi="Arial"/>
                <w:sz w:val="14"/>
                <w:szCs w:val="14"/>
                <w:color w:val="auto"/>
              </w:rPr>
              <w:t>Change</w:t>
            </w:r>
            <w:r>
              <w:rPr>
                <w:rFonts w:ascii="Arial" w:cs="Arial" w:eastAsia="Arial" w:hAnsi="Arial"/>
                <w:sz w:val="18"/>
                <w:szCs w:val="18"/>
                <w:u w:val="single" w:color="auto"/>
                <w:color w:val="auto"/>
                <w:vertAlign w:val="superscript"/>
              </w:rPr>
              <w:t>7</w:t>
            </w:r>
          </w:p>
        </w:tc>
        <w:tc>
          <w:tcPr>
            <w:tcW w:w="0" w:type="dxa"/>
            <w:vAlign w:val="bottom"/>
          </w:tcPr>
          <w:p>
            <w:pPr>
              <w:spacing w:after="0"/>
              <w:rPr>
                <w:sz w:val="1"/>
                <w:szCs w:val="1"/>
                <w:color w:val="auto"/>
              </w:rPr>
            </w:pP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290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5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60" w:type="dxa"/>
            <w:vAlign w:val="bottom"/>
            <w:tcBorders>
              <w:top w:val="single" w:sz="8" w:color="auto"/>
            </w:tcBorders>
            <w:shd w:val="clear" w:color="auto" w:fill="D9D9D6"/>
          </w:tcPr>
          <w:p>
            <w:pPr>
              <w:spacing w:after="0"/>
              <w:rPr>
                <w:sz w:val="19"/>
                <w:szCs w:val="19"/>
                <w:color w:val="auto"/>
              </w:rPr>
            </w:pPr>
          </w:p>
        </w:tc>
        <w:tc>
          <w:tcPr>
            <w:tcW w:w="2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46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30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140" w:type="dxa"/>
            <w:vAlign w:val="bottom"/>
            <w:tcBorders>
              <w:top w:val="single" w:sz="8" w:color="auto"/>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right w:val="single" w:sz="8" w:color="929292"/>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6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44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30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48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D9D9D6"/>
          </w:tcPr>
          <w:p>
            <w:pPr>
              <w:spacing w:after="0"/>
              <w:rPr>
                <w:sz w:val="17"/>
                <w:szCs w:val="17"/>
                <w:color w:val="auto"/>
              </w:rPr>
            </w:pPr>
          </w:p>
        </w:tc>
        <w:tc>
          <w:tcPr>
            <w:tcW w:w="29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Direct-to-Consumer</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$3,680</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$4,222</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(12.8</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(2.4 %)</w:t>
            </w:r>
          </w:p>
        </w:tc>
        <w:tc>
          <w:tcPr>
            <w:tcW w:w="140" w:type="dxa"/>
            <w:vAlign w:val="bottom"/>
            <w:tcBorders>
              <w:right w:val="single" w:sz="8" w:color="929292"/>
            </w:tcBorders>
            <w:shd w:val="clear" w:color="auto" w:fill="D9D9D6"/>
          </w:tcPr>
          <w:p>
            <w:pPr>
              <w:spacing w:after="0"/>
              <w:rPr>
                <w:sz w:val="17"/>
                <w:szCs w:val="17"/>
                <w:color w:val="auto"/>
              </w:rPr>
            </w:pPr>
          </w:p>
        </w:tc>
        <w:tc>
          <w:tcPr>
            <w:tcW w:w="124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$7,564</w:t>
            </w:r>
          </w:p>
        </w:tc>
        <w:tc>
          <w:tcPr>
            <w:tcW w:w="9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$8,288</w:t>
            </w:r>
          </w:p>
        </w:tc>
        <w:tc>
          <w:tcPr>
            <w:tcW w:w="7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(8.7 %)</w:t>
            </w:r>
          </w:p>
        </w:tc>
        <w:tc>
          <w:tcPr>
            <w:tcW w:w="2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29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265</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355</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(25.3</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(16.4 %)</w:t>
            </w:r>
          </w:p>
        </w:tc>
        <w:tc>
          <w:tcPr>
            <w:tcW w:w="140" w:type="dxa"/>
            <w:vAlign w:val="bottom"/>
            <w:tcBorders>
              <w:right w:val="single" w:sz="8" w:color="929292"/>
            </w:tcBorders>
            <w:shd w:val="clear" w:color="auto" w:fill="D9D9D6"/>
          </w:tcPr>
          <w:p>
            <w:pPr>
              <w:spacing w:after="0"/>
              <w:rPr>
                <w:sz w:val="17"/>
                <w:szCs w:val="17"/>
                <w:color w:val="auto"/>
              </w:rPr>
            </w:pPr>
          </w:p>
        </w:tc>
        <w:tc>
          <w:tcPr>
            <w:tcW w:w="124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561</w:t>
            </w:r>
          </w:p>
        </w:tc>
        <w:tc>
          <w:tcPr>
            <w:tcW w:w="9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713</w:t>
            </w:r>
          </w:p>
        </w:tc>
        <w:tc>
          <w:tcPr>
            <w:tcW w:w="7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(21.4 %)</w:t>
            </w:r>
          </w:p>
        </w:tc>
        <w:tc>
          <w:tcPr>
            <w:tcW w:w="2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(15.4 %)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29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9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556</w:t>
            </w:r>
          </w:p>
        </w:tc>
        <w:tc>
          <w:tcPr>
            <w:tcW w:w="9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643</w:t>
            </w:r>
          </w:p>
        </w:tc>
        <w:tc>
          <w:tcPr>
            <w:tcW w:w="7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(13.5</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(3.1</w:t>
            </w:r>
          </w:p>
        </w:tc>
        <w:tc>
          <w:tcPr>
            <w:tcW w:w="20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3"/>
              </w:rPr>
              <w:t>%)</w:t>
            </w:r>
          </w:p>
        </w:tc>
        <w:tc>
          <w:tcPr>
            <w:tcW w:w="140" w:type="dxa"/>
            <w:vAlign w:val="bottom"/>
            <w:tcBorders>
              <w:bottom w:val="single" w:sz="8" w:color="D9D9D6"/>
              <w:right w:val="single" w:sz="8" w:color="929292"/>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1140" w:type="dxa"/>
            <w:vAlign w:val="bottom"/>
            <w:tcBorders>
              <w:bottom w:val="single" w:sz="8" w:color="auto"/>
            </w:tcBorders>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1,152</w:t>
            </w:r>
          </w:p>
        </w:tc>
        <w:tc>
          <w:tcPr>
            <w:tcW w:w="980" w:type="dxa"/>
            <w:vAlign w:val="bottom"/>
            <w:tcBorders>
              <w:bottom w:val="single" w:sz="8" w:color="auto"/>
            </w:tcBorders>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1,216</w:t>
            </w:r>
          </w:p>
        </w:tc>
        <w:tc>
          <w:tcPr>
            <w:tcW w:w="7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(5.3 %)</w:t>
            </w:r>
          </w:p>
        </w:tc>
        <w:tc>
          <w:tcPr>
            <w:tcW w:w="220" w:type="dxa"/>
            <w:vAlign w:val="bottom"/>
            <w:tcBorders>
              <w:bottom w:val="single" w:sz="8" w:color="auto"/>
            </w:tcBorders>
            <w:shd w:val="clear" w:color="auto" w:fill="D9D9D6"/>
          </w:tcPr>
          <w:p>
            <w:pPr>
              <w:spacing w:after="0"/>
              <w:rPr>
                <w:sz w:val="17"/>
                <w:szCs w:val="17"/>
                <w:color w:val="auto"/>
              </w:rPr>
            </w:pPr>
          </w:p>
        </w:tc>
        <w:tc>
          <w:tcPr>
            <w:tcW w:w="7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2.3 %</w:t>
            </w:r>
          </w:p>
        </w:tc>
        <w:tc>
          <w:tcPr>
            <w:tcW w:w="8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D9D9D6"/>
          </w:tcPr>
          <w:p>
            <w:pPr>
              <w:spacing w:after="0"/>
              <w:rPr>
                <w:sz w:val="17"/>
                <w:szCs w:val="17"/>
                <w:color w:val="auto"/>
              </w:rPr>
            </w:pPr>
          </w:p>
        </w:tc>
        <w:tc>
          <w:tcPr>
            <w:tcW w:w="29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$4,501</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$5,220</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(13.8</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(3.5</w:t>
            </w:r>
          </w:p>
        </w:tc>
        <w:tc>
          <w:tcPr>
            <w:tcW w:w="2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right w:val="single" w:sz="8" w:color="929292"/>
            </w:tcBorders>
            <w:shd w:val="clear" w:color="auto" w:fill="D9D9D6"/>
          </w:tcPr>
          <w:p>
            <w:pPr>
              <w:spacing w:after="0"/>
              <w:rPr>
                <w:sz w:val="17"/>
                <w:szCs w:val="17"/>
                <w:color w:val="auto"/>
              </w:rPr>
            </w:pPr>
          </w:p>
        </w:tc>
        <w:tc>
          <w:tcPr>
            <w:tcW w:w="124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$9,276</w:t>
            </w:r>
          </w:p>
        </w:tc>
        <w:tc>
          <w:tcPr>
            <w:tcW w:w="9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$10,217</w:t>
            </w:r>
          </w:p>
        </w:tc>
        <w:tc>
          <w:tcPr>
            <w:tcW w:w="7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(9.2 %)</w:t>
            </w:r>
          </w:p>
        </w:tc>
        <w:tc>
          <w:tcPr>
            <w:tcW w:w="2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(1.9 %)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20" w:type="dxa"/>
            <w:vAlign w:val="bottom"/>
            <w:shd w:val="clear" w:color="auto" w:fill="D9D9D6"/>
          </w:tcPr>
          <w:p>
            <w:pPr>
              <w:spacing w:after="0"/>
              <w:rPr>
                <w:sz w:val="24"/>
                <w:szCs w:val="24"/>
                <w:color w:val="auto"/>
              </w:rPr>
            </w:pPr>
          </w:p>
        </w:tc>
        <w:tc>
          <w:tcPr>
            <w:tcW w:w="29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$3,639</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$4,660</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(21.9 %)</w:t>
            </w:r>
          </w:p>
        </w:tc>
        <w:tc>
          <w:tcPr>
            <w:tcW w:w="20" w:type="dxa"/>
            <w:vAlign w:val="bottom"/>
            <w:shd w:val="clear" w:color="auto" w:fill="D9D9D6"/>
          </w:tcPr>
          <w:p>
            <w:pPr>
              <w:spacing w:after="0"/>
              <w:rPr>
                <w:sz w:val="24"/>
                <w:szCs w:val="24"/>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(12.5 %)</w:t>
            </w:r>
          </w:p>
        </w:tc>
        <w:tc>
          <w:tcPr>
            <w:tcW w:w="140" w:type="dxa"/>
            <w:vAlign w:val="bottom"/>
            <w:tcBorders>
              <w:right w:val="single" w:sz="8" w:color="929292"/>
            </w:tcBorders>
            <w:shd w:val="clear" w:color="auto" w:fill="D9D9D6"/>
          </w:tcPr>
          <w:p>
            <w:pPr>
              <w:spacing w:after="0"/>
              <w:rPr>
                <w:sz w:val="24"/>
                <w:szCs w:val="24"/>
                <w:color w:val="auto"/>
              </w:rPr>
            </w:pPr>
          </w:p>
        </w:tc>
        <w:tc>
          <w:tcPr>
            <w:tcW w:w="124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$7,791</w:t>
            </w:r>
          </w:p>
        </w:tc>
        <w:tc>
          <w:tcPr>
            <w:tcW w:w="9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$9,294</w:t>
            </w:r>
          </w:p>
        </w:tc>
        <w:tc>
          <w:tcPr>
            <w:tcW w:w="7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(16.2 %)</w:t>
            </w:r>
          </w:p>
        </w:tc>
        <w:tc>
          <w:tcPr>
            <w:tcW w:w="2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(9.3 %)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shd w:val="clear" w:color="auto" w:fill="D9D9D6"/>
          </w:tcPr>
          <w:p>
            <w:pPr>
              <w:spacing w:after="0"/>
              <w:rPr>
                <w:sz w:val="24"/>
                <w:szCs w:val="24"/>
                <w:color w:val="auto"/>
              </w:rPr>
            </w:pPr>
          </w:p>
        </w:tc>
        <w:tc>
          <w:tcPr>
            <w:tcW w:w="29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$863</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$560</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54.1 %</w:t>
            </w:r>
          </w:p>
        </w:tc>
        <w:tc>
          <w:tcPr>
            <w:tcW w:w="2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70.7 %</w:t>
            </w:r>
          </w:p>
        </w:tc>
        <w:tc>
          <w:tcPr>
            <w:tcW w:w="60" w:type="dxa"/>
            <w:vAlign w:val="bottom"/>
            <w:shd w:val="clear" w:color="auto" w:fill="D9D9D6"/>
          </w:tcPr>
          <w:p>
            <w:pPr>
              <w:spacing w:after="0"/>
              <w:rPr>
                <w:sz w:val="24"/>
                <w:szCs w:val="24"/>
                <w:color w:val="auto"/>
              </w:rPr>
            </w:pPr>
          </w:p>
        </w:tc>
        <w:tc>
          <w:tcPr>
            <w:tcW w:w="140" w:type="dxa"/>
            <w:vAlign w:val="bottom"/>
            <w:tcBorders>
              <w:right w:val="single" w:sz="8" w:color="929292"/>
            </w:tcBorders>
            <w:shd w:val="clear" w:color="auto" w:fill="D9D9D6"/>
          </w:tcPr>
          <w:p>
            <w:pPr>
              <w:spacing w:after="0"/>
              <w:rPr>
                <w:sz w:val="24"/>
                <w:szCs w:val="24"/>
                <w:color w:val="auto"/>
              </w:rPr>
            </w:pPr>
          </w:p>
        </w:tc>
        <w:tc>
          <w:tcPr>
            <w:tcW w:w="124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$1,485</w:t>
            </w:r>
          </w:p>
        </w:tc>
        <w:tc>
          <w:tcPr>
            <w:tcW w:w="9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$924</w:t>
            </w:r>
          </w:p>
        </w:tc>
        <w:tc>
          <w:tcPr>
            <w:tcW w:w="7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60.8 %</w:t>
            </w:r>
          </w:p>
        </w:tc>
        <w:tc>
          <w:tcPr>
            <w:tcW w:w="220" w:type="dxa"/>
            <w:vAlign w:val="bottom"/>
            <w:shd w:val="clear" w:color="auto" w:fill="D9D9D6"/>
          </w:tcPr>
          <w:p>
            <w:pPr>
              <w:spacing w:after="0"/>
              <w:rPr>
                <w:sz w:val="24"/>
                <w:szCs w:val="24"/>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70.9 %</w:t>
            </w:r>
          </w:p>
        </w:tc>
        <w:tc>
          <w:tcPr>
            <w:tcW w:w="8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D9D9D6"/>
          </w:tcPr>
          <w:p>
            <w:pPr>
              <w:spacing w:after="0"/>
              <w:rPr>
                <w:sz w:val="17"/>
                <w:szCs w:val="17"/>
                <w:color w:val="auto"/>
              </w:rPr>
            </w:pPr>
          </w:p>
        </w:tc>
        <w:tc>
          <w:tcPr>
            <w:tcW w:w="29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19.2 %</w:t>
            </w:r>
          </w:p>
        </w:tc>
        <w:tc>
          <w:tcPr>
            <w:tcW w:w="20" w:type="dxa"/>
            <w:vAlign w:val="bottom"/>
            <w:shd w:val="clear" w:color="auto" w:fill="D9D9D6"/>
          </w:tcPr>
          <w:p>
            <w:pPr>
              <w:spacing w:after="0"/>
              <w:rPr>
                <w:sz w:val="17"/>
                <w:szCs w:val="17"/>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10.7 %</w:t>
            </w:r>
          </w:p>
        </w:tc>
        <w:tc>
          <w:tcPr>
            <w:tcW w:w="20" w:type="dxa"/>
            <w:vAlign w:val="bottom"/>
            <w:shd w:val="clear" w:color="auto" w:fill="D9D9D6"/>
          </w:tcPr>
          <w:p>
            <w:pPr>
              <w:spacing w:after="0"/>
              <w:rPr>
                <w:sz w:val="17"/>
                <w:szCs w:val="17"/>
                <w:color w:val="auto"/>
              </w:rPr>
            </w:pPr>
          </w:p>
        </w:tc>
        <w:tc>
          <w:tcPr>
            <w:tcW w:w="46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140" w:type="dxa"/>
            <w:vAlign w:val="bottom"/>
            <w:tcBorders>
              <w:right w:val="single" w:sz="8" w:color="929292"/>
            </w:tcBorders>
            <w:shd w:val="clear" w:color="auto" w:fill="D9D9D6"/>
          </w:tcPr>
          <w:p>
            <w:pPr>
              <w:spacing w:after="0"/>
              <w:rPr>
                <w:sz w:val="17"/>
                <w:szCs w:val="17"/>
                <w:color w:val="auto"/>
              </w:rPr>
            </w:pPr>
          </w:p>
        </w:tc>
        <w:tc>
          <w:tcPr>
            <w:tcW w:w="102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16.0 %</w:t>
            </w: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9.0 %</w:t>
            </w:r>
          </w:p>
        </w:tc>
        <w:tc>
          <w:tcPr>
            <w:tcW w:w="22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4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D9D9D6"/>
          </w:tcPr>
          <w:p>
            <w:pPr>
              <w:spacing w:after="0"/>
              <w:rPr>
                <w:sz w:val="5"/>
                <w:szCs w:val="5"/>
                <w:color w:val="auto"/>
              </w:rPr>
            </w:pPr>
          </w:p>
        </w:tc>
        <w:tc>
          <w:tcPr>
            <w:tcW w:w="2900" w:type="dxa"/>
            <w:vAlign w:val="bottom"/>
            <w:shd w:val="clear" w:color="auto" w:fill="D9D9D6"/>
          </w:tcPr>
          <w:p>
            <w:pPr>
              <w:spacing w:after="0"/>
              <w:rPr>
                <w:sz w:val="5"/>
                <w:szCs w:val="5"/>
                <w:color w:val="auto"/>
              </w:rPr>
            </w:pPr>
          </w:p>
        </w:tc>
        <w:tc>
          <w:tcPr>
            <w:tcW w:w="5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80" w:type="dxa"/>
            <w:vAlign w:val="bottom"/>
            <w:shd w:val="clear" w:color="auto" w:fill="D9D9D6"/>
          </w:tcPr>
          <w:p>
            <w:pPr>
              <w:spacing w:after="0"/>
              <w:rPr>
                <w:sz w:val="5"/>
                <w:szCs w:val="5"/>
                <w:color w:val="auto"/>
              </w:rPr>
            </w:pPr>
          </w:p>
        </w:tc>
        <w:tc>
          <w:tcPr>
            <w:tcW w:w="60" w:type="dxa"/>
            <w:vAlign w:val="bottom"/>
            <w:shd w:val="clear" w:color="auto" w:fill="D9D9D6"/>
          </w:tcPr>
          <w:p>
            <w:pPr>
              <w:spacing w:after="0"/>
              <w:rPr>
                <w:sz w:val="5"/>
                <w:szCs w:val="5"/>
                <w:color w:val="auto"/>
              </w:rPr>
            </w:pPr>
          </w:p>
        </w:tc>
        <w:tc>
          <w:tcPr>
            <w:tcW w:w="26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46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30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60" w:type="dxa"/>
            <w:vAlign w:val="bottom"/>
            <w:shd w:val="clear" w:color="auto" w:fill="D9D9D6"/>
          </w:tcPr>
          <w:p>
            <w:pPr>
              <w:spacing w:after="0"/>
              <w:rPr>
                <w:sz w:val="5"/>
                <w:szCs w:val="5"/>
                <w:color w:val="auto"/>
              </w:rPr>
            </w:pPr>
          </w:p>
        </w:tc>
        <w:tc>
          <w:tcPr>
            <w:tcW w:w="140" w:type="dxa"/>
            <w:vAlign w:val="bottom"/>
            <w:tcBorders>
              <w:right w:val="single" w:sz="8" w:color="929292"/>
            </w:tcBorders>
            <w:shd w:val="clear" w:color="auto" w:fill="D9D9D6"/>
          </w:tcPr>
          <w:p>
            <w:pPr>
              <w:spacing w:after="0"/>
              <w:rPr>
                <w:sz w:val="5"/>
                <w:szCs w:val="5"/>
                <w:color w:val="auto"/>
              </w:rPr>
            </w:pPr>
          </w:p>
        </w:tc>
        <w:tc>
          <w:tcPr>
            <w:tcW w:w="100" w:type="dxa"/>
            <w:vAlign w:val="bottom"/>
            <w:shd w:val="clear" w:color="auto" w:fill="D9D9D6"/>
          </w:tcPr>
          <w:p>
            <w:pPr>
              <w:spacing w:after="0"/>
              <w:rPr>
                <w:sz w:val="5"/>
                <w:szCs w:val="5"/>
                <w:color w:val="auto"/>
              </w:rPr>
            </w:pPr>
          </w:p>
        </w:tc>
        <w:tc>
          <w:tcPr>
            <w:tcW w:w="60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4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30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2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28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2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Sky decreased 13.8% to $4.5 billion in the second quarter of 2022. Excluding the impact of currency, revenue decreased 3.5%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prior year period, primarily reflecting lower direct-to-consumer revenue, content revenue, and advertising revenue. Direct-to-consumer revenue decreased 2.4% to $3.7 billion due to a decrease in customer relationships and average revenue per customer relationship in Italy and Germany compared to the prior year period, including the impact of resets in our sports rights, partially offset by an increase in customer relationships and average revenue per customer relationship in the U.K. compared to the prior year period. Content revenue decreased 16.4% to $ 265 million, primarily due to a change in sports programming licensing agreements in Italy and Germany. Advertising revenue decreased 3.1% to $556 million, reflecting lower advertising revenue in Italy primarily associated with the reset in our sports rights, which more than offset higher advertising revenue in the U.K. and Germany.</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six months ended June 30, 2022, Sky revenue decreased 9.2% to $9.3 billion compared to 2021. Excluding the impact of currency, revenue decreased 1.9%, reflecting lower direct-to-consumer revenue and content revenue, which more than offset higher advertising revenue.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decreased by 255,000 to 22.7 million in the second quarter of 2022.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total customer relationships decreased by 361,000.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shd w:val="clear" w:color="auto" w:fill="D9D9D6"/>
          </w:tcPr>
          <w:p>
            <w:pPr>
              <w:ind w:left="140"/>
              <w:spacing w:after="0"/>
              <w:rPr>
                <w:sz w:val="20"/>
                <w:szCs w:val="20"/>
                <w:color w:val="auto"/>
              </w:rPr>
            </w:pPr>
            <w:r>
              <w:rPr>
                <w:rFonts w:ascii="Arial" w:cs="Arial" w:eastAsia="Arial" w:hAnsi="Arial"/>
                <w:sz w:val="11"/>
                <w:szCs w:val="11"/>
                <w:i w:val="1"/>
                <w:iCs w:val="1"/>
                <w:color w:val="auto"/>
              </w:rPr>
              <w:t>(in thousands)</w:t>
            </w:r>
          </w:p>
        </w:tc>
        <w:tc>
          <w:tcPr>
            <w:tcW w:w="66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800" w:type="dxa"/>
            <w:vAlign w:val="bottom"/>
            <w:shd w:val="clear" w:color="auto" w:fill="D9D9D6"/>
          </w:tcPr>
          <w:p>
            <w:pPr>
              <w:spacing w:after="0"/>
              <w:rPr>
                <w:sz w:val="17"/>
                <w:szCs w:val="17"/>
                <w:color w:val="auto"/>
              </w:rPr>
            </w:pPr>
          </w:p>
        </w:tc>
        <w:tc>
          <w:tcPr>
            <w:tcW w:w="84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220" w:type="dxa"/>
            <w:vAlign w:val="bottom"/>
            <w:tcBorders>
              <w:right w:val="single" w:sz="8" w:color="D9D9D6"/>
            </w:tcBorders>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40" w:type="dxa"/>
            <w:vAlign w:val="bottom"/>
            <w:tcBorders>
              <w:right w:val="single" w:sz="8" w:color="D9D9D6"/>
            </w:tcBorders>
            <w:shd w:val="clear" w:color="auto" w:fill="D9D9D6"/>
          </w:tcPr>
          <w:p>
            <w:pPr>
              <w:spacing w:after="0"/>
              <w:rPr>
                <w:sz w:val="17"/>
                <w:szCs w:val="17"/>
                <w:color w:val="auto"/>
              </w:rPr>
            </w:pPr>
          </w:p>
        </w:tc>
        <w:tc>
          <w:tcPr>
            <w:tcW w:w="78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r>
      <w:tr>
        <w:trPr>
          <w:trHeight w:val="182"/>
        </w:trPr>
        <w:tc>
          <w:tcPr>
            <w:tcW w:w="3900" w:type="dxa"/>
            <w:vAlign w:val="bottom"/>
            <w:shd w:val="clear" w:color="auto" w:fill="D9D9D6"/>
          </w:tcPr>
          <w:p>
            <w:pPr>
              <w:spacing w:after="0"/>
              <w:rPr>
                <w:sz w:val="15"/>
                <w:szCs w:val="15"/>
                <w:color w:val="auto"/>
              </w:rPr>
            </w:pPr>
          </w:p>
        </w:tc>
        <w:tc>
          <w:tcPr>
            <w:tcW w:w="660" w:type="dxa"/>
            <w:vAlign w:val="bottom"/>
            <w:tcBorders>
              <w:right w:val="single" w:sz="8" w:color="D9D9D6"/>
            </w:tcBorders>
            <w:shd w:val="clear" w:color="auto" w:fill="D9D9D6"/>
          </w:tcPr>
          <w:p>
            <w:pPr>
              <w:spacing w:after="0"/>
              <w:rPr>
                <w:sz w:val="15"/>
                <w:szCs w:val="15"/>
                <w:color w:val="auto"/>
              </w:rPr>
            </w:pPr>
          </w:p>
        </w:tc>
        <w:tc>
          <w:tcPr>
            <w:tcW w:w="76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Customers</w:t>
            </w:r>
          </w:p>
        </w:tc>
        <w:tc>
          <w:tcPr>
            <w:tcW w:w="20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800" w:type="dxa"/>
            <w:vAlign w:val="bottom"/>
            <w:shd w:val="clear" w:color="auto" w:fill="D9D9D6"/>
          </w:tcPr>
          <w:p>
            <w:pPr>
              <w:spacing w:after="0"/>
              <w:rPr>
                <w:sz w:val="15"/>
                <w:szCs w:val="15"/>
                <w:color w:val="auto"/>
              </w:rPr>
            </w:pPr>
          </w:p>
        </w:tc>
        <w:tc>
          <w:tcPr>
            <w:tcW w:w="840" w:type="dxa"/>
            <w:vAlign w:val="bottom"/>
            <w:tcBorders>
              <w:right w:val="single" w:sz="8" w:color="D9D9D6"/>
            </w:tcBorders>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1820" w:type="dxa"/>
            <w:vAlign w:val="bottom"/>
            <w:tcBorders>
              <w:right w:val="single" w:sz="8" w:color="D9D9D6"/>
            </w:tcBorders>
            <w:gridSpan w:val="5"/>
            <w:shd w:val="clear" w:color="auto" w:fill="D9D9D6"/>
          </w:tcPr>
          <w:p>
            <w:pPr>
              <w:ind w:left="200"/>
              <w:spacing w:after="0"/>
              <w:rPr>
                <w:sz w:val="20"/>
                <w:szCs w:val="20"/>
                <w:color w:val="auto"/>
              </w:rPr>
            </w:pPr>
            <w:r>
              <w:rPr>
                <w:rFonts w:ascii="Arial" w:cs="Arial" w:eastAsia="Arial" w:hAnsi="Arial"/>
                <w:sz w:val="14"/>
                <w:szCs w:val="14"/>
                <w:color w:val="auto"/>
              </w:rPr>
              <w:t>Net Additions / (Losses)</w:t>
            </w:r>
          </w:p>
        </w:tc>
        <w:tc>
          <w:tcPr>
            <w:tcW w:w="320" w:type="dxa"/>
            <w:vAlign w:val="bottom"/>
            <w:shd w:val="clear" w:color="auto" w:fill="D9D9D6"/>
          </w:tcPr>
          <w:p>
            <w:pPr>
              <w:spacing w:after="0"/>
              <w:rPr>
                <w:sz w:val="15"/>
                <w:szCs w:val="15"/>
                <w:color w:val="auto"/>
              </w:rPr>
            </w:pPr>
          </w:p>
        </w:tc>
        <w:tc>
          <w:tcPr>
            <w:tcW w:w="4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r>
      <w:tr>
        <w:trPr>
          <w:trHeight w:val="20"/>
        </w:trPr>
        <w:tc>
          <w:tcPr>
            <w:tcW w:w="3900" w:type="dxa"/>
            <w:vAlign w:val="bottom"/>
            <w:tcBorders>
              <w:bottom w:val="single" w:sz="8" w:color="D9D9D6"/>
            </w:tcBorders>
            <w:shd w:val="clear" w:color="auto" w:fill="D9D9D6"/>
          </w:tcPr>
          <w:p>
            <w:pPr>
              <w:spacing w:after="0" w:line="20" w:lineRule="exact"/>
              <w:rPr>
                <w:sz w:val="1"/>
                <w:szCs w:val="1"/>
                <w:color w:val="auto"/>
              </w:rPr>
            </w:pPr>
          </w:p>
        </w:tc>
        <w:tc>
          <w:tcPr>
            <w:tcW w:w="660" w:type="dxa"/>
            <w:vAlign w:val="bottom"/>
            <w:tcBorders>
              <w:bottom w:val="single" w:sz="8" w:color="D9D9D6"/>
              <w:right w:val="single" w:sz="8" w:color="D9D9D6"/>
            </w:tcBorders>
            <w:shd w:val="clear" w:color="auto" w:fill="D9D9D6"/>
          </w:tcPr>
          <w:p>
            <w:pPr>
              <w:spacing w:after="0" w:line="20" w:lineRule="exact"/>
              <w:rPr>
                <w:sz w:val="1"/>
                <w:szCs w:val="1"/>
                <w:color w:val="auto"/>
              </w:rPr>
            </w:pPr>
          </w:p>
        </w:tc>
        <w:tc>
          <w:tcPr>
            <w:tcW w:w="320" w:type="dxa"/>
            <w:vAlign w:val="bottom"/>
            <w:tcBorders>
              <w:bottom w:val="single" w:sz="8" w:color="D9D9D6"/>
            </w:tcBorders>
            <w:shd w:val="clear" w:color="auto" w:fill="000000"/>
          </w:tcPr>
          <w:p>
            <w:pPr>
              <w:spacing w:after="0" w:line="20" w:lineRule="exact"/>
              <w:rPr>
                <w:sz w:val="1"/>
                <w:szCs w:val="1"/>
                <w:color w:val="auto"/>
              </w:rPr>
            </w:pPr>
          </w:p>
        </w:tc>
        <w:tc>
          <w:tcPr>
            <w:tcW w:w="360" w:type="dxa"/>
            <w:vAlign w:val="bottom"/>
            <w:tcBorders>
              <w:bottom w:val="single" w:sz="8" w:color="D9D9D6"/>
            </w:tcBorders>
            <w:shd w:val="clear" w:color="auto" w:fill="000000"/>
          </w:tcPr>
          <w:p>
            <w:pPr>
              <w:spacing w:after="0" w:line="20" w:lineRule="exact"/>
              <w:rPr>
                <w:sz w:val="1"/>
                <w:szCs w:val="1"/>
                <w:color w:val="auto"/>
              </w:rPr>
            </w:pPr>
          </w:p>
        </w:tc>
        <w:tc>
          <w:tcPr>
            <w:tcW w:w="80" w:type="dxa"/>
            <w:vAlign w:val="bottom"/>
            <w:tcBorders>
              <w:bottom w:val="single" w:sz="8" w:color="D9D9D6"/>
            </w:tcBorders>
            <w:shd w:val="clear" w:color="auto" w:fill="D9D9D6"/>
          </w:tcPr>
          <w:p>
            <w:pPr>
              <w:spacing w:after="0" w:line="20" w:lineRule="exact"/>
              <w:rPr>
                <w:sz w:val="1"/>
                <w:szCs w:val="1"/>
                <w:color w:val="auto"/>
              </w:rPr>
            </w:pPr>
          </w:p>
        </w:tc>
        <w:tc>
          <w:tcPr>
            <w:tcW w:w="200" w:type="dxa"/>
            <w:vAlign w:val="bottom"/>
            <w:tcBorders>
              <w:bottom w:val="single" w:sz="8" w:color="D9D9D6"/>
            </w:tcBorders>
            <w:shd w:val="clear" w:color="auto" w:fill="D9D9D6"/>
          </w:tcPr>
          <w:p>
            <w:pPr>
              <w:spacing w:after="0" w:line="20" w:lineRule="exact"/>
              <w:rPr>
                <w:sz w:val="1"/>
                <w:szCs w:val="1"/>
                <w:color w:val="auto"/>
              </w:rPr>
            </w:pPr>
          </w:p>
        </w:tc>
        <w:tc>
          <w:tcPr>
            <w:tcW w:w="360" w:type="dxa"/>
            <w:vAlign w:val="bottom"/>
            <w:tcBorders>
              <w:bottom w:val="single" w:sz="8" w:color="D9D9D6"/>
            </w:tcBorders>
            <w:shd w:val="clear" w:color="auto" w:fill="D9D9D6"/>
          </w:tcPr>
          <w:p>
            <w:pPr>
              <w:spacing w:after="0" w:line="20" w:lineRule="exact"/>
              <w:rPr>
                <w:sz w:val="1"/>
                <w:szCs w:val="1"/>
                <w:color w:val="auto"/>
              </w:rPr>
            </w:pPr>
          </w:p>
        </w:tc>
        <w:tc>
          <w:tcPr>
            <w:tcW w:w="800" w:type="dxa"/>
            <w:vAlign w:val="bottom"/>
            <w:tcBorders>
              <w:bottom w:val="single" w:sz="8" w:color="D9D9D6"/>
            </w:tcBorders>
            <w:shd w:val="clear" w:color="auto" w:fill="D9D9D6"/>
          </w:tcPr>
          <w:p>
            <w:pPr>
              <w:spacing w:after="0" w:line="20" w:lineRule="exact"/>
              <w:rPr>
                <w:sz w:val="1"/>
                <w:szCs w:val="1"/>
                <w:color w:val="auto"/>
              </w:rPr>
            </w:pPr>
          </w:p>
        </w:tc>
        <w:tc>
          <w:tcPr>
            <w:tcW w:w="840" w:type="dxa"/>
            <w:vAlign w:val="bottom"/>
            <w:tcBorders>
              <w:bottom w:val="single" w:sz="8" w:color="D9D9D6"/>
              <w:right w:val="single" w:sz="8" w:color="D9D9D6"/>
            </w:tcBorders>
            <w:shd w:val="clear" w:color="auto" w:fill="D9D9D6"/>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200" w:type="dxa"/>
            <w:vAlign w:val="bottom"/>
            <w:tcBorders>
              <w:bottom w:val="single" w:sz="8" w:color="D9D9D6"/>
            </w:tcBorders>
            <w:shd w:val="clear" w:color="auto" w:fill="D9D9D6"/>
          </w:tcPr>
          <w:p>
            <w:pPr>
              <w:spacing w:after="0" w:line="20" w:lineRule="exact"/>
              <w:rPr>
                <w:sz w:val="1"/>
                <w:szCs w:val="1"/>
                <w:color w:val="auto"/>
              </w:rPr>
            </w:pPr>
          </w:p>
        </w:tc>
        <w:tc>
          <w:tcPr>
            <w:tcW w:w="220" w:type="dxa"/>
            <w:vAlign w:val="bottom"/>
            <w:tcBorders>
              <w:bottom w:val="single" w:sz="8" w:color="D9D9D6"/>
              <w:right w:val="single" w:sz="8" w:color="auto"/>
            </w:tcBorders>
            <w:shd w:val="clear" w:color="auto" w:fill="D9D9D6"/>
          </w:tcPr>
          <w:p>
            <w:pPr>
              <w:spacing w:after="0" w:line="20" w:lineRule="exact"/>
              <w:rPr>
                <w:sz w:val="1"/>
                <w:szCs w:val="1"/>
                <w:color w:val="auto"/>
              </w:rPr>
            </w:pPr>
          </w:p>
        </w:tc>
        <w:tc>
          <w:tcPr>
            <w:tcW w:w="260" w:type="dxa"/>
            <w:vAlign w:val="bottom"/>
            <w:tcBorders>
              <w:bottom w:val="single" w:sz="8" w:color="D9D9D6"/>
            </w:tcBorders>
            <w:shd w:val="clear" w:color="auto" w:fill="000000"/>
          </w:tcPr>
          <w:p>
            <w:pPr>
              <w:spacing w:after="0" w:line="20" w:lineRule="exact"/>
              <w:rPr>
                <w:sz w:val="1"/>
                <w:szCs w:val="1"/>
                <w:color w:val="auto"/>
              </w:rPr>
            </w:pPr>
          </w:p>
        </w:tc>
        <w:tc>
          <w:tcPr>
            <w:tcW w:w="320" w:type="dxa"/>
            <w:vAlign w:val="bottom"/>
            <w:tcBorders>
              <w:bottom w:val="single" w:sz="8" w:color="D9D9D6"/>
            </w:tcBorders>
            <w:shd w:val="clear" w:color="auto" w:fill="000000"/>
          </w:tcPr>
          <w:p>
            <w:pPr>
              <w:spacing w:after="0" w:line="20" w:lineRule="exact"/>
              <w:rPr>
                <w:sz w:val="1"/>
                <w:szCs w:val="1"/>
                <w:color w:val="auto"/>
              </w:rPr>
            </w:pPr>
          </w:p>
        </w:tc>
        <w:tc>
          <w:tcPr>
            <w:tcW w:w="240" w:type="dxa"/>
            <w:vAlign w:val="bottom"/>
            <w:tcBorders>
              <w:bottom w:val="single" w:sz="8" w:color="D9D9D6"/>
              <w:right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D9D9D6"/>
              <w:right w:val="single" w:sz="8" w:color="D9D9D6"/>
            </w:tcBorders>
            <w:shd w:val="clear" w:color="auto" w:fill="000000"/>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420" w:type="dxa"/>
            <w:vAlign w:val="bottom"/>
            <w:tcBorders>
              <w:bottom w:val="single" w:sz="8" w:color="D9D9D6"/>
            </w:tcBorders>
            <w:shd w:val="clear" w:color="auto" w:fill="D9D9D6"/>
          </w:tcPr>
          <w:p>
            <w:pPr>
              <w:spacing w:after="0" w:line="20" w:lineRule="exact"/>
              <w:rPr>
                <w:sz w:val="1"/>
                <w:szCs w:val="1"/>
                <w:color w:val="auto"/>
              </w:rPr>
            </w:pPr>
          </w:p>
        </w:tc>
        <w:tc>
          <w:tcPr>
            <w:tcW w:w="180" w:type="dxa"/>
            <w:vAlign w:val="bottom"/>
            <w:tcBorders>
              <w:bottom w:val="single" w:sz="8" w:color="D9D9D6"/>
            </w:tcBorders>
            <w:shd w:val="clear" w:color="auto" w:fill="D9D9D6"/>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140" w:type="dxa"/>
            <w:vAlign w:val="bottom"/>
            <w:tcBorders>
              <w:bottom w:val="single" w:sz="8" w:color="D9D9D6"/>
            </w:tcBorders>
            <w:shd w:val="clear" w:color="auto" w:fill="D9D9D6"/>
          </w:tcPr>
          <w:p>
            <w:pPr>
              <w:spacing w:after="0" w:line="20" w:lineRule="exact"/>
              <w:rPr>
                <w:sz w:val="1"/>
                <w:szCs w:val="1"/>
                <w:color w:val="auto"/>
              </w:rPr>
            </w:pPr>
          </w:p>
        </w:tc>
      </w:tr>
      <w:tr>
        <w:trPr>
          <w:trHeight w:val="162"/>
        </w:trPr>
        <w:tc>
          <w:tcPr>
            <w:tcW w:w="3900" w:type="dxa"/>
            <w:vAlign w:val="bottom"/>
            <w:tcBorders>
              <w:bottom w:val="single" w:sz="8" w:color="D9D9D6"/>
            </w:tcBorders>
            <w:shd w:val="clear" w:color="auto" w:fill="D9D9D6"/>
          </w:tcPr>
          <w:p>
            <w:pPr>
              <w:spacing w:after="0"/>
              <w:rPr>
                <w:sz w:val="14"/>
                <w:szCs w:val="14"/>
                <w:color w:val="auto"/>
              </w:rPr>
            </w:pPr>
          </w:p>
        </w:tc>
        <w:tc>
          <w:tcPr>
            <w:tcW w:w="660" w:type="dxa"/>
            <w:vAlign w:val="bottom"/>
            <w:tcBorders>
              <w:bottom w:val="single" w:sz="8" w:color="D9D9D6"/>
              <w:right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360" w:type="dxa"/>
            <w:vAlign w:val="bottom"/>
            <w:tcBorders>
              <w:bottom w:val="single" w:sz="8" w:color="D9D9D6"/>
            </w:tcBorders>
            <w:shd w:val="clear" w:color="auto" w:fill="D9D9D6"/>
          </w:tcPr>
          <w:p>
            <w:pPr>
              <w:spacing w:after="0"/>
              <w:rPr>
                <w:sz w:val="14"/>
                <w:szCs w:val="14"/>
                <w:color w:val="auto"/>
              </w:rPr>
            </w:pPr>
          </w:p>
        </w:tc>
        <w:tc>
          <w:tcPr>
            <w:tcW w:w="80" w:type="dxa"/>
            <w:vAlign w:val="bottom"/>
            <w:tcBorders>
              <w:bottom w:val="single" w:sz="8" w:color="D9D9D6"/>
            </w:tcBorders>
            <w:shd w:val="clear" w:color="auto" w:fill="D9D9D6"/>
          </w:tcPr>
          <w:p>
            <w:pPr>
              <w:spacing w:after="0"/>
              <w:rPr>
                <w:sz w:val="14"/>
                <w:szCs w:val="14"/>
                <w:color w:val="auto"/>
              </w:rPr>
            </w:pPr>
          </w:p>
        </w:tc>
        <w:tc>
          <w:tcPr>
            <w:tcW w:w="200" w:type="dxa"/>
            <w:vAlign w:val="bottom"/>
            <w:tcBorders>
              <w:bottom w:val="single" w:sz="8" w:color="D9D9D6"/>
            </w:tcBorders>
            <w:shd w:val="clear" w:color="auto" w:fill="D9D9D6"/>
          </w:tcPr>
          <w:p>
            <w:pPr>
              <w:spacing w:after="0"/>
              <w:rPr>
                <w:sz w:val="14"/>
                <w:szCs w:val="14"/>
                <w:color w:val="auto"/>
              </w:rPr>
            </w:pPr>
          </w:p>
        </w:tc>
        <w:tc>
          <w:tcPr>
            <w:tcW w:w="360" w:type="dxa"/>
            <w:vAlign w:val="bottom"/>
            <w:tcBorders>
              <w:bottom w:val="single" w:sz="8" w:color="D9D9D6"/>
            </w:tcBorders>
            <w:shd w:val="clear" w:color="auto" w:fill="D9D9D6"/>
          </w:tcPr>
          <w:p>
            <w:pPr>
              <w:spacing w:after="0"/>
              <w:rPr>
                <w:sz w:val="14"/>
                <w:szCs w:val="14"/>
                <w:color w:val="auto"/>
              </w:rPr>
            </w:pPr>
          </w:p>
        </w:tc>
        <w:tc>
          <w:tcPr>
            <w:tcW w:w="800" w:type="dxa"/>
            <w:vAlign w:val="bottom"/>
            <w:tcBorders>
              <w:bottom w:val="single" w:sz="8" w:color="D9D9D6"/>
            </w:tcBorders>
            <w:shd w:val="clear" w:color="auto" w:fill="D9D9D6"/>
          </w:tcPr>
          <w:p>
            <w:pPr>
              <w:spacing w:after="0"/>
              <w:rPr>
                <w:sz w:val="14"/>
                <w:szCs w:val="14"/>
                <w:color w:val="auto"/>
              </w:rPr>
            </w:pPr>
          </w:p>
        </w:tc>
        <w:tc>
          <w:tcPr>
            <w:tcW w:w="840" w:type="dxa"/>
            <w:vAlign w:val="bottom"/>
            <w:tcBorders>
              <w:bottom w:val="single" w:sz="8" w:color="D9D9D6"/>
              <w:right w:val="single" w:sz="8" w:color="D9D9D6"/>
            </w:tcBorders>
            <w:shd w:val="clear" w:color="auto" w:fill="D9D9D6"/>
          </w:tcPr>
          <w:p>
            <w:pPr>
              <w:spacing w:after="0"/>
              <w:rPr>
                <w:sz w:val="14"/>
                <w:szCs w:val="14"/>
                <w:color w:val="auto"/>
              </w:rPr>
            </w:pPr>
          </w:p>
        </w:tc>
        <w:tc>
          <w:tcPr>
            <w:tcW w:w="740" w:type="dxa"/>
            <w:vAlign w:val="bottom"/>
            <w:tcBorders>
              <w:bottom w:val="single" w:sz="8" w:color="auto"/>
              <w:right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w w:val="93"/>
              </w:rPr>
              <w:t>2nd Quarter</w:t>
            </w:r>
          </w:p>
        </w:tc>
        <w:tc>
          <w:tcPr>
            <w:tcW w:w="820" w:type="dxa"/>
            <w:vAlign w:val="bottom"/>
            <w:tcBorders>
              <w:bottom w:val="single" w:sz="8" w:color="D9D9D6"/>
              <w:right w:val="single" w:sz="8" w:color="97999B"/>
            </w:tcBorders>
            <w:gridSpan w:val="3"/>
            <w:shd w:val="clear" w:color="auto" w:fill="D9D9D6"/>
          </w:tcPr>
          <w:p>
            <w:pPr>
              <w:spacing w:after="0"/>
              <w:rPr>
                <w:sz w:val="14"/>
                <w:szCs w:val="14"/>
                <w:color w:val="auto"/>
              </w:rPr>
            </w:pPr>
          </w:p>
        </w:tc>
        <w:tc>
          <w:tcPr>
            <w:tcW w:w="780" w:type="dxa"/>
            <w:vAlign w:val="bottom"/>
            <w:tcBorders>
              <w:bottom w:val="single" w:sz="8" w:color="D9D9D6"/>
              <w:right w:val="single" w:sz="8" w:color="D9D9D6"/>
            </w:tcBorders>
            <w:shd w:val="clear" w:color="auto" w:fill="D9D9D6"/>
          </w:tcPr>
          <w:p>
            <w:pPr>
              <w:spacing w:after="0"/>
              <w:rPr>
                <w:sz w:val="14"/>
                <w:szCs w:val="14"/>
                <w:color w:val="auto"/>
              </w:rPr>
            </w:pPr>
          </w:p>
        </w:tc>
        <w:tc>
          <w:tcPr>
            <w:tcW w:w="7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w w:val="91"/>
              </w:rPr>
              <w:t>Year to Date</w:t>
            </w:r>
          </w:p>
        </w:tc>
        <w:tc>
          <w:tcPr>
            <w:tcW w:w="18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140" w:type="dxa"/>
            <w:vAlign w:val="bottom"/>
            <w:tcBorders>
              <w:bottom w:val="single" w:sz="8" w:color="D9D9D6"/>
            </w:tcBorders>
            <w:shd w:val="clear" w:color="auto" w:fill="D9D9D6"/>
          </w:tcPr>
          <w:p>
            <w:pPr>
              <w:spacing w:after="0"/>
              <w:rPr>
                <w:sz w:val="14"/>
                <w:szCs w:val="14"/>
                <w:color w:val="auto"/>
              </w:rPr>
            </w:pPr>
          </w:p>
        </w:tc>
      </w:tr>
      <w:tr>
        <w:trPr>
          <w:trHeight w:val="183"/>
        </w:trPr>
        <w:tc>
          <w:tcPr>
            <w:tcW w:w="3900" w:type="dxa"/>
            <w:vAlign w:val="bottom"/>
            <w:shd w:val="clear" w:color="auto" w:fill="D9D9D6"/>
          </w:tcPr>
          <w:p>
            <w:pPr>
              <w:spacing w:after="0"/>
              <w:rPr>
                <w:sz w:val="15"/>
                <w:szCs w:val="15"/>
                <w:color w:val="auto"/>
              </w:rPr>
            </w:pPr>
          </w:p>
        </w:tc>
        <w:tc>
          <w:tcPr>
            <w:tcW w:w="660" w:type="dxa"/>
            <w:vAlign w:val="bottom"/>
            <w:tcBorders>
              <w:right w:val="single" w:sz="8" w:color="D9D9D6"/>
            </w:tcBorders>
            <w:shd w:val="clear" w:color="auto" w:fill="D9D9D6"/>
          </w:tcPr>
          <w:p>
            <w:pPr>
              <w:spacing w:after="0"/>
              <w:rPr>
                <w:sz w:val="15"/>
                <w:szCs w:val="15"/>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87"/>
              </w:rPr>
              <w:t>2Q22</w:t>
            </w:r>
          </w:p>
        </w:tc>
        <w:tc>
          <w:tcPr>
            <w:tcW w:w="36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9"/>
              </w:rPr>
              <w:t>2Q21</w:t>
            </w:r>
          </w:p>
        </w:tc>
        <w:tc>
          <w:tcPr>
            <w:tcW w:w="800" w:type="dxa"/>
            <w:vAlign w:val="bottom"/>
            <w:shd w:val="clear" w:color="auto" w:fill="D9D9D6"/>
          </w:tcPr>
          <w:p>
            <w:pPr>
              <w:spacing w:after="0"/>
              <w:rPr>
                <w:sz w:val="15"/>
                <w:szCs w:val="15"/>
                <w:color w:val="auto"/>
              </w:rPr>
            </w:pPr>
          </w:p>
        </w:tc>
        <w:tc>
          <w:tcPr>
            <w:tcW w:w="840" w:type="dxa"/>
            <w:vAlign w:val="bottom"/>
            <w:tcBorders>
              <w:right w:val="single" w:sz="8" w:color="D9D9D6"/>
            </w:tcBorders>
            <w:shd w:val="clear" w:color="auto" w:fill="D9D9D6"/>
          </w:tcPr>
          <w:p>
            <w:pPr>
              <w:spacing w:after="0"/>
              <w:rPr>
                <w:sz w:val="15"/>
                <w:szCs w:val="15"/>
                <w:color w:val="auto"/>
              </w:rPr>
            </w:pPr>
          </w:p>
        </w:tc>
        <w:tc>
          <w:tcPr>
            <w:tcW w:w="520" w:type="dxa"/>
            <w:vAlign w:val="bottom"/>
            <w:gridSpan w:val="2"/>
            <w:shd w:val="clear" w:color="auto" w:fill="D9D9D6"/>
          </w:tcPr>
          <w:p>
            <w:pPr>
              <w:jc w:val="right"/>
              <w:ind w:right="200"/>
              <w:spacing w:after="0"/>
              <w:rPr>
                <w:sz w:val="20"/>
                <w:szCs w:val="20"/>
                <w:color w:val="auto"/>
              </w:rPr>
            </w:pPr>
            <w:r>
              <w:rPr>
                <w:rFonts w:ascii="Arial" w:cs="Arial" w:eastAsia="Arial" w:hAnsi="Arial"/>
                <w:sz w:val="14"/>
                <w:szCs w:val="14"/>
                <w:color w:val="auto"/>
                <w:w w:val="96"/>
              </w:rPr>
              <w:t>2022</w:t>
            </w:r>
          </w:p>
        </w:tc>
        <w:tc>
          <w:tcPr>
            <w:tcW w:w="1040" w:type="dxa"/>
            <w:vAlign w:val="bottom"/>
            <w:tcBorders>
              <w:right w:val="single" w:sz="8" w:color="97999B"/>
            </w:tcBorders>
            <w:gridSpan w:val="4"/>
            <w:shd w:val="clear" w:color="auto" w:fill="D9D9D6"/>
          </w:tcPr>
          <w:p>
            <w:pPr>
              <w:jc w:val="right"/>
              <w:ind w:right="240"/>
              <w:spacing w:after="0"/>
              <w:rPr>
                <w:sz w:val="20"/>
                <w:szCs w:val="20"/>
                <w:color w:val="auto"/>
              </w:rPr>
            </w:pPr>
            <w:r>
              <w:rPr>
                <w:rFonts w:ascii="Arial" w:cs="Arial" w:eastAsia="Arial" w:hAnsi="Arial"/>
                <w:sz w:val="14"/>
                <w:szCs w:val="14"/>
                <w:color w:val="auto"/>
              </w:rPr>
              <w:t>2021</w:t>
            </w:r>
          </w:p>
        </w:tc>
        <w:tc>
          <w:tcPr>
            <w:tcW w:w="780" w:type="dxa"/>
            <w:vAlign w:val="bottom"/>
            <w:tcBorders>
              <w:right w:val="single" w:sz="8" w:color="D9D9D6"/>
            </w:tcBorders>
            <w:shd w:val="clear" w:color="auto" w:fill="D9D9D6"/>
          </w:tcPr>
          <w:p>
            <w:pPr>
              <w:spacing w:after="0"/>
              <w:rPr>
                <w:sz w:val="15"/>
                <w:szCs w:val="15"/>
                <w:color w:val="auto"/>
              </w:rPr>
            </w:pPr>
          </w:p>
        </w:tc>
        <w:tc>
          <w:tcPr>
            <w:tcW w:w="740" w:type="dxa"/>
            <w:vAlign w:val="bottom"/>
            <w:gridSpan w:val="2"/>
            <w:shd w:val="clear" w:color="auto" w:fill="D9D9D6"/>
          </w:tcPr>
          <w:p>
            <w:pPr>
              <w:jc w:val="right"/>
              <w:ind w:right="420"/>
              <w:spacing w:after="0"/>
              <w:rPr>
                <w:sz w:val="20"/>
                <w:szCs w:val="20"/>
                <w:color w:val="auto"/>
              </w:rPr>
            </w:pPr>
            <w:r>
              <w:rPr>
                <w:rFonts w:ascii="Arial" w:cs="Arial" w:eastAsia="Arial" w:hAnsi="Arial"/>
                <w:sz w:val="14"/>
                <w:szCs w:val="14"/>
                <w:color w:val="auto"/>
                <w:w w:val="96"/>
              </w:rPr>
              <w:t>2022</w:t>
            </w:r>
          </w:p>
        </w:tc>
        <w:tc>
          <w:tcPr>
            <w:tcW w:w="180" w:type="dxa"/>
            <w:vAlign w:val="bottom"/>
            <w:shd w:val="clear" w:color="auto" w:fill="D9D9D6"/>
          </w:tcPr>
          <w:p>
            <w:pPr>
              <w:spacing w:after="0"/>
              <w:rPr>
                <w:sz w:val="15"/>
                <w:szCs w:val="15"/>
                <w:color w:val="auto"/>
              </w:rPr>
            </w:pPr>
          </w:p>
        </w:tc>
        <w:tc>
          <w:tcPr>
            <w:tcW w:w="460" w:type="dxa"/>
            <w:vAlign w:val="bottom"/>
            <w:gridSpan w:val="2"/>
            <w:shd w:val="clear" w:color="auto" w:fill="D9D9D6"/>
          </w:tcPr>
          <w:p>
            <w:pPr>
              <w:jc w:val="right"/>
              <w:ind w:right="140"/>
              <w:spacing w:after="0"/>
              <w:rPr>
                <w:sz w:val="20"/>
                <w:szCs w:val="20"/>
                <w:color w:val="auto"/>
              </w:rPr>
            </w:pPr>
            <w:r>
              <w:rPr>
                <w:rFonts w:ascii="Arial" w:cs="Arial" w:eastAsia="Arial" w:hAnsi="Arial"/>
                <w:sz w:val="14"/>
                <w:szCs w:val="14"/>
                <w:color w:val="auto"/>
                <w:w w:val="96"/>
              </w:rPr>
              <w:t>2021</w:t>
            </w:r>
          </w:p>
        </w:tc>
      </w:tr>
      <w:tr>
        <w:trPr>
          <w:trHeight w:val="20"/>
        </w:trPr>
        <w:tc>
          <w:tcPr>
            <w:tcW w:w="3900" w:type="dxa"/>
            <w:vAlign w:val="bottom"/>
            <w:shd w:val="clear" w:color="auto" w:fill="D9D9D6"/>
          </w:tcPr>
          <w:p>
            <w:pPr>
              <w:spacing w:after="0" w:line="20" w:lineRule="exact"/>
              <w:rPr>
                <w:sz w:val="1"/>
                <w:szCs w:val="1"/>
                <w:color w:val="auto"/>
              </w:rPr>
            </w:pPr>
          </w:p>
        </w:tc>
        <w:tc>
          <w:tcPr>
            <w:tcW w:w="660" w:type="dxa"/>
            <w:vAlign w:val="bottom"/>
            <w:tcBorders>
              <w:right w:val="single" w:sz="8" w:color="auto"/>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84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20" w:type="dxa"/>
            <w:vAlign w:val="bottom"/>
            <w:tcBorders>
              <w:right w:val="single" w:sz="8" w:color="D9D9D6"/>
            </w:tcBorders>
            <w:shd w:val="clear" w:color="auto" w:fill="D9D9D6"/>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97999B"/>
            </w:tcBorders>
            <w:shd w:val="clear" w:color="auto" w:fill="D9D9D6"/>
          </w:tcPr>
          <w:p>
            <w:pPr>
              <w:spacing w:after="0" w:line="20" w:lineRule="exact"/>
              <w:rPr>
                <w:sz w:val="1"/>
                <w:szCs w:val="1"/>
                <w:color w:val="auto"/>
              </w:rPr>
            </w:pPr>
          </w:p>
        </w:tc>
        <w:tc>
          <w:tcPr>
            <w:tcW w:w="78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r>
      <w:tr>
        <w:trPr>
          <w:trHeight w:val="257"/>
        </w:trPr>
        <w:tc>
          <w:tcPr>
            <w:tcW w:w="3900" w:type="dxa"/>
            <w:vAlign w:val="bottom"/>
            <w:tcBorders>
              <w:bottom w:val="single" w:sz="8" w:color="D9D9D6"/>
            </w:tcBorders>
            <w:shd w:val="clear" w:color="auto" w:fill="D9D9D6"/>
          </w:tcPr>
          <w:p>
            <w:pPr>
              <w:ind w:left="260"/>
              <w:spacing w:after="0"/>
              <w:rPr>
                <w:sz w:val="20"/>
                <w:szCs w:val="20"/>
                <w:color w:val="auto"/>
              </w:rPr>
            </w:pPr>
            <w:r>
              <w:rPr>
                <w:rFonts w:ascii="Arial" w:cs="Arial" w:eastAsia="Arial" w:hAnsi="Arial"/>
                <w:sz w:val="14"/>
                <w:szCs w:val="14"/>
                <w:b w:val="1"/>
                <w:bCs w:val="1"/>
                <w:color w:val="auto"/>
              </w:rPr>
              <w:t>Total Customer Relationships</w:t>
            </w:r>
          </w:p>
        </w:tc>
        <w:tc>
          <w:tcPr>
            <w:tcW w:w="9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22,666</w:t>
            </w:r>
          </w:p>
        </w:tc>
        <w:tc>
          <w:tcPr>
            <w:tcW w:w="360" w:type="dxa"/>
            <w:vAlign w:val="bottom"/>
            <w:tcBorders>
              <w:bottom w:val="single" w:sz="8" w:color="D9D9D6"/>
            </w:tcBorders>
            <w:shd w:val="clear" w:color="auto" w:fill="D9D9D6"/>
          </w:tcPr>
          <w:p>
            <w:pPr>
              <w:spacing w:after="0"/>
              <w:rPr>
                <w:sz w:val="22"/>
                <w:szCs w:val="22"/>
                <w:color w:val="auto"/>
              </w:rPr>
            </w:pPr>
          </w:p>
        </w:tc>
        <w:tc>
          <w:tcPr>
            <w:tcW w:w="80" w:type="dxa"/>
            <w:vAlign w:val="bottom"/>
            <w:tcBorders>
              <w:bottom w:val="single" w:sz="8" w:color="D9D9D6"/>
            </w:tcBorders>
            <w:shd w:val="clear" w:color="auto" w:fill="D9D9D6"/>
          </w:tcPr>
          <w:p>
            <w:pPr>
              <w:spacing w:after="0"/>
              <w:rPr>
                <w:sz w:val="22"/>
                <w:szCs w:val="22"/>
                <w:color w:val="auto"/>
              </w:rPr>
            </w:pPr>
          </w:p>
        </w:tc>
        <w:tc>
          <w:tcPr>
            <w:tcW w:w="56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23,198</w:t>
            </w:r>
          </w:p>
        </w:tc>
        <w:tc>
          <w:tcPr>
            <w:tcW w:w="800" w:type="dxa"/>
            <w:vAlign w:val="bottom"/>
            <w:tcBorders>
              <w:bottom w:val="single" w:sz="8" w:color="D9D9D6"/>
            </w:tcBorders>
            <w:shd w:val="clear" w:color="auto" w:fill="D9D9D6"/>
          </w:tcPr>
          <w:p>
            <w:pPr>
              <w:spacing w:after="0"/>
              <w:rPr>
                <w:sz w:val="22"/>
                <w:szCs w:val="22"/>
                <w:color w:val="auto"/>
              </w:rPr>
            </w:pPr>
          </w:p>
        </w:tc>
        <w:tc>
          <w:tcPr>
            <w:tcW w:w="116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(255)</w:t>
            </w:r>
          </w:p>
        </w:tc>
        <w:tc>
          <w:tcPr>
            <w:tcW w:w="200" w:type="dxa"/>
            <w:vAlign w:val="bottom"/>
            <w:tcBorders>
              <w:bottom w:val="single" w:sz="8" w:color="D9D9D6"/>
            </w:tcBorders>
            <w:shd w:val="clear" w:color="auto" w:fill="D9D9D6"/>
          </w:tcPr>
          <w:p>
            <w:pPr>
              <w:spacing w:after="0"/>
              <w:rPr>
                <w:sz w:val="22"/>
                <w:szCs w:val="22"/>
                <w:color w:val="auto"/>
              </w:rPr>
            </w:pPr>
          </w:p>
        </w:tc>
        <w:tc>
          <w:tcPr>
            <w:tcW w:w="800" w:type="dxa"/>
            <w:vAlign w:val="bottom"/>
            <w:tcBorders>
              <w:bottom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(248)</w:t>
            </w:r>
          </w:p>
        </w:tc>
        <w:tc>
          <w:tcPr>
            <w:tcW w:w="240" w:type="dxa"/>
            <w:vAlign w:val="bottom"/>
            <w:tcBorders>
              <w:bottom w:val="single" w:sz="8" w:color="D9D9D6"/>
              <w:right w:val="single" w:sz="8" w:color="97999B"/>
            </w:tcBorders>
            <w:shd w:val="clear" w:color="auto" w:fill="D9D9D6"/>
          </w:tcPr>
          <w:p>
            <w:pPr>
              <w:spacing w:after="0"/>
              <w:rPr>
                <w:sz w:val="22"/>
                <w:szCs w:val="22"/>
                <w:color w:val="auto"/>
              </w:rPr>
            </w:pPr>
          </w:p>
        </w:tc>
        <w:tc>
          <w:tcPr>
            <w:tcW w:w="780" w:type="dxa"/>
            <w:vAlign w:val="bottom"/>
            <w:tcBorders>
              <w:bottom w:val="single" w:sz="8" w:color="D9D9D6"/>
              <w:right w:val="single" w:sz="8" w:color="D9D9D6"/>
            </w:tcBorders>
            <w:shd w:val="clear" w:color="auto" w:fill="D9D9D6"/>
          </w:tcPr>
          <w:p>
            <w:pPr>
              <w:spacing w:after="0"/>
              <w:rPr>
                <w:sz w:val="22"/>
                <w:szCs w:val="22"/>
                <w:color w:val="auto"/>
              </w:rPr>
            </w:pPr>
          </w:p>
        </w:tc>
        <w:tc>
          <w:tcPr>
            <w:tcW w:w="32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w w:val="91"/>
              </w:rPr>
              <w:t>(361)</w:t>
            </w:r>
          </w:p>
        </w:tc>
        <w:tc>
          <w:tcPr>
            <w:tcW w:w="420" w:type="dxa"/>
            <w:vAlign w:val="bottom"/>
            <w:tcBorders>
              <w:bottom w:val="single" w:sz="8" w:color="D9D9D6"/>
            </w:tcBorders>
            <w:shd w:val="clear" w:color="auto" w:fill="D9D9D6"/>
          </w:tcPr>
          <w:p>
            <w:pPr>
              <w:spacing w:after="0"/>
              <w:rPr>
                <w:sz w:val="22"/>
                <w:szCs w:val="22"/>
                <w:color w:val="auto"/>
              </w:rPr>
            </w:pPr>
          </w:p>
        </w:tc>
        <w:tc>
          <w:tcPr>
            <w:tcW w:w="180" w:type="dxa"/>
            <w:vAlign w:val="bottom"/>
            <w:tcBorders>
              <w:bottom w:val="single" w:sz="8" w:color="D9D9D6"/>
            </w:tcBorders>
            <w:shd w:val="clear" w:color="auto" w:fill="D9D9D6"/>
          </w:tcPr>
          <w:p>
            <w:pPr>
              <w:spacing w:after="0"/>
              <w:rPr>
                <w:sz w:val="22"/>
                <w:szCs w:val="22"/>
                <w:color w:val="auto"/>
              </w:rPr>
            </w:pPr>
          </w:p>
        </w:tc>
        <w:tc>
          <w:tcPr>
            <w:tcW w:w="32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(26)</w:t>
            </w:r>
          </w:p>
        </w:tc>
        <w:tc>
          <w:tcPr>
            <w:tcW w:w="140" w:type="dxa"/>
            <w:vAlign w:val="bottom"/>
            <w:tcBorders>
              <w:bottom w:val="single" w:sz="8" w:color="D9D9D6"/>
            </w:tcBorders>
            <w:shd w:val="clear" w:color="auto" w:fill="D9D9D6"/>
          </w:tcPr>
          <w:p>
            <w:pPr>
              <w:spacing w:after="0"/>
              <w:rPr>
                <w:sz w:val="22"/>
                <w:szCs w:val="22"/>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increased 54.1% to $863 million in the second quarter of 2022. Excluding the impact of currency,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EBITDA increased 70.7% compared to the prior year period, reflecting lower operating expenses, which more than offset lower revenue. The decrease in operating expenses was due to lower programming and production expenses, primarily reflecting resets in our sports rights in Italy and Germany.</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six months ended June 30, 2022, Adjusted EBITDA for Sky increased 60.8% to $1.5 billion compared to 2021. Excluding the impact of currency, Adjusted EBITDA increased 70.9%.</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Corporate and Other primarily relates to corporate operations, Comcast Spectacor, and our new smart TV initiatives. Revenue in the second quarter of 2022 was $164 million compared to $92 million in the prior year period. Corporate and Other Adjusted EBITDA loss was $304 million compared to a loss of $261 million in the prior year period.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692" w:right="3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8"/>
          <w:szCs w:val="18"/>
          <w:color w:val="auto"/>
        </w:rPr>
        <w:t>For the six months ended June 30, 2022, Corporate and Other revenue was $402 million compared to $181 million in 2021. Corporate and Other Adjusted EBITDA loss was $566 million compared to a loss of $541 million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Amounts represent eliminations of transactions between Cable Communications, NBCUniversal, Sky and other businesses. Eliminations of transactions between NBCUniversal segments are presented separately. Revenue eliminations in the second quarter of 2022 were $696 million compared to $723 million in the prior year period, and Adjusted EBITDA eliminations were a loss of $36 million compared to a benefit of $2 million in the prior year period.</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six months ended June 30, 2022, revenue eliminations were $1.5 billion compared to $1.4 billion in 2021, and Adjusted EBITDA eliminations were a loss of $119 million compared to a benefit of $11 million in 2021. Current year amounts reflect an increase in eliminations associated with the 2022 Beijing Olympics.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308610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34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5 From time to time, we may present adjusted information (e.g., Adjusted Revenues) to exclude the impact of certain events, gains, losses or other charges affecting period-to-period comparability of our operating performance. See Table 7 for reconciliations of non-GAAP financial measures.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125" w:lineRule="exact"/>
        <w:rPr>
          <w:sz w:val="20"/>
          <w:szCs w:val="20"/>
          <w:color w:val="auto"/>
        </w:rPr>
      </w:pPr>
    </w:p>
    <w:p>
      <w:pPr>
        <w:jc w:val="both"/>
        <w:ind w:left="180" w:hanging="161"/>
        <w:spacing w:after="0" w:line="287" w:lineRule="auto"/>
        <w:rPr>
          <w:sz w:val="20"/>
          <w:szCs w:val="20"/>
          <w:color w:val="auto"/>
        </w:rPr>
      </w:pPr>
      <w:r>
        <w:rPr>
          <w:rFonts w:ascii="Arial" w:cs="Arial" w:eastAsia="Arial" w:hAnsi="Arial"/>
          <w:sz w:val="18"/>
          <w:szCs w:val="18"/>
          <w:color w:val="auto"/>
        </w:rPr>
        <w:t>7 Sky constant currency growth rates are calculated by comparing the current period results to the comparative period results in the prior year adjusted to reflect the average exchange rates from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931" w:right="339" w:bottom="1440" w:gutter="0" w:footer="0" w:header="0"/>
        </w:sectPr>
      </w:pPr>
    </w:p>
    <w:bookmarkStart w:id="11" w:name="page12"/>
    <w:bookmarkEnd w:id="11"/>
    <w:p>
      <w:pPr>
        <w:ind w:left="180"/>
        <w:spacing w:after="0" w:line="287" w:lineRule="auto"/>
        <w:rPr>
          <w:sz w:val="20"/>
          <w:szCs w:val="20"/>
          <w:color w:val="auto"/>
        </w:rPr>
      </w:pPr>
      <w:r>
        <w:rPr>
          <w:rFonts w:ascii="Arial" w:cs="Arial" w:eastAsia="Arial" w:hAnsi="Arial"/>
          <w:sz w:val="18"/>
          <w:szCs w:val="18"/>
          <w:color w:val="auto"/>
        </w:rPr>
        <w:t>current year period rather than the actual exchange rates in effect during the respective prior year periods. See Table 6 for reconciliation of Sky's constant currency growth.</w:t>
      </w:r>
    </w:p>
    <w:p>
      <w:pPr>
        <w:spacing w:after="0" w:line="99"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color w:val="auto"/>
        </w:rPr>
        <w:t>Numerical information is presented on a rounded basis using actual amounts. Minor differences in totals and percentage calculations may exist due to rounding.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July 28, 2022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(929) 477-0336 with the conference ID number 722005. A replay of the call will be available starting at 11:30 a.m. ET on Thursday, July 28, 2022 on the Investor Relations website or by telephone. To access the telephone replay, which will be available until Thursday, August 4, 2022 at 11:30 a.m. ET, please dial (719) 457-0820 and enter the conference ID number 1292809.</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5"/>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press release includes statements that may constitute forward-looking statements.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We undertake no obligation to update or revise publicly any forward-looking statements, whether because of new information, future events or otherwise.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Comcast Corporation (Nasdaq: CMCSA) is a global media and technology company that connects people to moments that matter. We are principally focused on connectivity, aggregation, and streaming with 57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2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5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9"/>
              </w:rPr>
              <w:t>June 30,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$30,016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$28,546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$61,026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$55,751</w:t>
            </w:r>
          </w:p>
        </w:tc>
        <w:tc>
          <w:tcPr>
            <w:tcW w:w="0" w:type="dxa"/>
            <w:vAlign w:val="bottom"/>
          </w:tcPr>
          <w:p>
            <w:pPr>
              <w:spacing w:after="0"/>
              <w:rPr>
                <w:sz w:val="1"/>
                <w:szCs w:val="1"/>
                <w:color w:val="auto"/>
              </w:rPr>
            </w:pPr>
          </w:p>
        </w:tc>
      </w:tr>
      <w:tr>
        <w:trPr>
          <w:trHeight w:val="477"/>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8,887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9,256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19,457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18,175</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9,098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8,549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18,358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16,818</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2,196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4,258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2,162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2,113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4,375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4,231</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23,649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49,089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45,205</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6,367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5,507</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11,936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10,546</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(968)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(1,093)</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(1,962)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478"/>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(413)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4,502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5,630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9,266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10,042</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(2,548)</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(3,119)</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3,241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3,630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6,717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6,922</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$3,738</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$6,945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$7,067</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$0.76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$0.80</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89"/>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4,673</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4,520</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6"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354965</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154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Pr>
          <w:p>
            <w:pPr>
              <w:spacing w:after="0"/>
              <w:rPr>
                <w:sz w:val="18"/>
                <w:szCs w:val="18"/>
                <w:color w:val="auto"/>
              </w:rPr>
            </w:pP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$6,717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$6,922</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7,016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6,745</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675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864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837</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13,584</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15,357</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(4,270)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(4,003)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(1,383)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54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(1,164)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10"/>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(6,792)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(5,631)</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(5,785)</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(6,288)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(2,377)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(2,230)</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(8,636)</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(9,064)</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(1,920)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8,778</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11,768</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$6,859</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$12,418</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 millions)</w:t>
            </w:r>
          </w:p>
        </w:tc>
        <w:tc>
          <w:tcPr>
            <w:tcW w:w="184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5"/>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1"/>
        </w:trPr>
        <w:tc>
          <w:tcPr>
            <w:tcW w:w="778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$6,822</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11,956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35"/>
        </w:trPr>
        <w:tc>
          <w:tcPr>
            <w:tcW w:w="77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5,415</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24,192</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24,807</w:t>
            </w:r>
          </w:p>
        </w:tc>
        <w:tc>
          <w:tcPr>
            <w:tcW w:w="0" w:type="dxa"/>
            <w:vAlign w:val="bottom"/>
          </w:tcPr>
          <w:p>
            <w:pPr>
              <w:spacing w:after="0"/>
              <w:rPr>
                <w:sz w:val="1"/>
                <w:szCs w:val="1"/>
                <w:color w:val="auto"/>
              </w:rPr>
            </w:pPr>
          </w:p>
        </w:tc>
      </w:tr>
      <w:tr>
        <w:trPr>
          <w:trHeight w:val="438"/>
        </w:trPr>
        <w:tc>
          <w:tcPr>
            <w:tcW w:w="77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11,622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12,806</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Investments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7,598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8,082</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53,508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54,047</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66,486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70,189</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Franchise rights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30,728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33,580</w:t>
            </w:r>
          </w:p>
        </w:tc>
        <w:tc>
          <w:tcPr>
            <w:tcW w:w="0" w:type="dxa"/>
            <w:vAlign w:val="bottom"/>
          </w:tcPr>
          <w:p>
            <w:pPr>
              <w:spacing w:after="0"/>
              <w:rPr>
                <w:sz w:val="1"/>
                <w:szCs w:val="1"/>
                <w:color w:val="auto"/>
              </w:rPr>
            </w:pPr>
          </w:p>
        </w:tc>
      </w:tr>
      <w:tr>
        <w:trPr>
          <w:trHeight w:val="434"/>
        </w:trPr>
        <w:tc>
          <w:tcPr>
            <w:tcW w:w="77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12,892</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$267,032</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$275,905</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$12,304</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1,749</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2,787</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8,663</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35"/>
        </w:trPr>
        <w:tc>
          <w:tcPr>
            <w:tcW w:w="77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27,585</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29,348</w:t>
            </w:r>
          </w:p>
        </w:tc>
        <w:tc>
          <w:tcPr>
            <w:tcW w:w="0" w:type="dxa"/>
            <w:vAlign w:val="bottom"/>
          </w:tcPr>
          <w:p>
            <w:pPr>
              <w:spacing w:after="0"/>
              <w:rPr>
                <w:sz w:val="1"/>
                <w:szCs w:val="1"/>
                <w:color w:val="auto"/>
              </w:rPr>
            </w:pPr>
          </w:p>
        </w:tc>
      </w:tr>
      <w:tr>
        <w:trPr>
          <w:trHeight w:val="437"/>
        </w:trPr>
        <w:tc>
          <w:tcPr>
            <w:tcW w:w="77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91,459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92,718</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5,171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29,491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30,041</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20,254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20,620</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428"/>
        </w:trPr>
        <w:tc>
          <w:tcPr>
            <w:tcW w:w="7780" w:type="dxa"/>
            <w:vAlign w:val="bottom"/>
          </w:tcPr>
          <w:p>
            <w:pPr>
              <w:spacing w:after="0"/>
              <w:rPr>
                <w:sz w:val="20"/>
                <w:szCs w:val="20"/>
                <w:color w:val="auto"/>
              </w:rPr>
            </w:pPr>
            <w:r>
              <w:rPr>
                <w:rFonts w:ascii="Arial" w:cs="Arial" w:eastAsia="Arial" w:hAnsi="Arial"/>
                <w:sz w:val="18"/>
                <w:szCs w:val="18"/>
                <w:color w:val="auto"/>
              </w:rPr>
              <w:t>Equity</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Comcast Corporation shareholders' equity</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91,426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96,092</w:t>
            </w:r>
          </w:p>
        </w:tc>
        <w:tc>
          <w:tcPr>
            <w:tcW w:w="0" w:type="dxa"/>
            <w:vAlign w:val="bottom"/>
          </w:tcPr>
          <w:p>
            <w:pPr>
              <w:spacing w:after="0"/>
              <w:rPr>
                <w:sz w:val="1"/>
                <w:szCs w:val="1"/>
                <w:color w:val="auto"/>
              </w:rPr>
            </w:pPr>
          </w:p>
        </w:tc>
      </w:tr>
      <w:tr>
        <w:trPr>
          <w:trHeight w:val="235"/>
        </w:trPr>
        <w:tc>
          <w:tcPr>
            <w:tcW w:w="77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92,558</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97,490</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$267,032</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$275,905</w:t>
            </w:r>
          </w:p>
        </w:tc>
        <w:tc>
          <w:tcPr>
            <w:tcW w:w="0" w:type="dxa"/>
            <w:vAlign w:val="bottom"/>
          </w:tcPr>
          <w:p>
            <w:pPr>
              <w:spacing w:after="0"/>
              <w:rPr>
                <w:sz w:val="1"/>
                <w:szCs w:val="1"/>
                <w:color w:val="auto"/>
              </w:rPr>
            </w:pPr>
          </w:p>
        </w:tc>
      </w:tr>
      <w:tr>
        <w:trPr>
          <w:trHeight w:val="21"/>
        </w:trPr>
        <w:tc>
          <w:tcPr>
            <w:tcW w:w="7780" w:type="dxa"/>
            <w:vAlign w:val="bottom"/>
            <w:vMerge w:val="restart"/>
          </w:tcPr>
          <w:p>
            <w:pPr>
              <w:ind w:left="5520"/>
              <w:spacing w:after="0"/>
              <w:rPr>
                <w:sz w:val="20"/>
                <w:szCs w:val="20"/>
                <w:color w:val="auto"/>
              </w:rPr>
            </w:pPr>
            <w:r>
              <w:rPr>
                <w:rFonts w:ascii="Arial" w:cs="Arial" w:eastAsia="Arial" w:hAnsi="Arial"/>
                <w:sz w:val="14"/>
                <w:szCs w:val="14"/>
                <w:color w:val="auto"/>
              </w:rPr>
              <w:t>12</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568960</wp:posOffset>
            </wp:positionV>
            <wp:extent cx="1028700"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37515"/>
                    </a:xfrm>
                    <a:prstGeom prst="rect">
                      <a:avLst/>
                    </a:prstGeom>
                    <a:noFill/>
                  </pic:spPr>
                </pic:pic>
              </a:graphicData>
            </a:graphic>
          </wp:anchor>
        </w:drawing>
        <w:t>TABLE 4</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1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0"/>
                <w:szCs w:val="20"/>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7300" w:type="dxa"/>
            <w:vAlign w:val="bottom"/>
          </w:tcPr>
          <w:p>
            <w:pPr>
              <w:spacing w:after="0"/>
              <w:rPr>
                <w:sz w:val="16"/>
                <w:szCs w:val="16"/>
                <w:color w:val="auto"/>
              </w:rPr>
            </w:pPr>
          </w:p>
        </w:tc>
        <w:tc>
          <w:tcPr>
            <w:tcW w:w="120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r>
      <w:tr>
        <w:trPr>
          <w:trHeight w:val="196"/>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2021</w:t>
            </w:r>
          </w:p>
        </w:tc>
      </w:tr>
      <w:tr>
        <w:trPr>
          <w:trHeight w:val="196"/>
        </w:trPr>
        <w:tc>
          <w:tcPr>
            <w:tcW w:w="7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$3,396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$3,738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$6,945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$7,067</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(227)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1,261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2,548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3,119</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968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1,962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2,112</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897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(1,216)</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709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(1,607)</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3,469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3,383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7,016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6,745</w:t>
            </w:r>
          </w:p>
        </w:tc>
      </w:tr>
      <w:tr>
        <w:trPr>
          <w:trHeight w:val="205"/>
        </w:trPr>
        <w:tc>
          <w:tcPr>
            <w:tcW w:w="730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236"/>
        </w:trPr>
        <w:tc>
          <w:tcPr>
            <w:tcW w:w="73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$9,827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$18,977</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$17,339</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200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3"/>
        </w:trPr>
        <w:tc>
          <w:tcPr>
            <w:tcW w:w="7220" w:type="dxa"/>
            <w:vAlign w:val="bottom"/>
          </w:tcPr>
          <w:p>
            <w:pPr>
              <w:spacing w:after="0"/>
              <w:rPr>
                <w:sz w:val="16"/>
                <w:szCs w:val="16"/>
                <w:color w:val="auto"/>
              </w:rPr>
            </w:pPr>
          </w:p>
        </w:tc>
        <w:tc>
          <w:tcPr>
            <w:tcW w:w="124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9"/>
              </w:rPr>
              <w:t>June 30,</w:t>
            </w:r>
          </w:p>
        </w:tc>
        <w:tc>
          <w:tcPr>
            <w:tcW w:w="640" w:type="dxa"/>
            <w:vAlign w:val="bottom"/>
          </w:tcPr>
          <w:p>
            <w:pPr>
              <w:spacing w:after="0"/>
              <w:rPr>
                <w:sz w:val="16"/>
                <w:szCs w:val="16"/>
                <w:color w:val="auto"/>
              </w:rPr>
            </w:pPr>
          </w:p>
        </w:tc>
      </w:tr>
      <w:tr>
        <w:trPr>
          <w:trHeight w:val="196"/>
        </w:trPr>
        <w:tc>
          <w:tcPr>
            <w:tcW w:w="722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2021</w:t>
            </w:r>
          </w:p>
        </w:tc>
      </w:tr>
      <w:tr>
        <w:trPr>
          <w:trHeight w:val="196"/>
        </w:trPr>
        <w:tc>
          <w:tcPr>
            <w:tcW w:w="722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$6,327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$7,606</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$13,584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4"/>
                <w:szCs w:val="14"/>
                <w:color w:val="auto"/>
              </w:rPr>
              <w:t>$15,357</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(2,414)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(2,144)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(4,270)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(4,003)</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r>
      <w:tr>
        <w:trPr>
          <w:trHeight w:val="237"/>
        </w:trPr>
        <w:tc>
          <w:tcPr>
            <w:tcW w:w="722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$4,791</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$7,930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$10,071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200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3"/>
        </w:trPr>
        <w:tc>
          <w:tcPr>
            <w:tcW w:w="7220" w:type="dxa"/>
            <w:vAlign w:val="bottom"/>
          </w:tcPr>
          <w:p>
            <w:pPr>
              <w:spacing w:after="0"/>
              <w:rPr>
                <w:sz w:val="16"/>
                <w:szCs w:val="16"/>
                <w:color w:val="auto"/>
              </w:rPr>
            </w:pPr>
          </w:p>
        </w:tc>
        <w:tc>
          <w:tcPr>
            <w:tcW w:w="124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9"/>
              </w:rPr>
              <w:t>June 30,</w:t>
            </w:r>
          </w:p>
        </w:tc>
        <w:tc>
          <w:tcPr>
            <w:tcW w:w="640" w:type="dxa"/>
            <w:vAlign w:val="bottom"/>
          </w:tcPr>
          <w:p>
            <w:pPr>
              <w:spacing w:after="0"/>
              <w:rPr>
                <w:sz w:val="16"/>
                <w:szCs w:val="16"/>
                <w:color w:val="auto"/>
              </w:rPr>
            </w:pPr>
          </w:p>
        </w:tc>
      </w:tr>
      <w:tr>
        <w:trPr>
          <w:trHeight w:val="196"/>
        </w:trPr>
        <w:tc>
          <w:tcPr>
            <w:tcW w:w="722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2021</w:t>
            </w:r>
          </w:p>
        </w:tc>
      </w:tr>
      <w:tr>
        <w:trPr>
          <w:trHeight w:val="196"/>
        </w:trPr>
        <w:tc>
          <w:tcPr>
            <w:tcW w:w="72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$9,827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$8,927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$18,977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$17,339</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(2,414)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(2,144)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(4,270)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(4,003)</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(743)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(1,283)</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(897)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(1,909)</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taxes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(2,751)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(1,745)</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(2,841)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(1,832)</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892</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675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711</w:t>
            </w:r>
          </w:p>
        </w:tc>
      </w:tr>
      <w:tr>
        <w:trPr>
          <w:trHeight w:val="205"/>
        </w:trPr>
        <w:tc>
          <w:tcPr>
            <w:tcW w:w="722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236"/>
        </w:trPr>
        <w:tc>
          <w:tcPr>
            <w:tcW w:w="722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$4,791</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$7,930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$10,071</w:t>
            </w:r>
          </w:p>
        </w:tc>
      </w:tr>
    </w:tbl>
    <w:p>
      <w:pPr>
        <w:spacing w:after="0" w:line="31" w:lineRule="exact"/>
        <w:rPr>
          <w:sz w:val="20"/>
          <w:szCs w:val="20"/>
          <w:color w:val="auto"/>
        </w:rPr>
      </w:pPr>
    </w:p>
    <w:p>
      <w:pPr>
        <w:jc w:val="both"/>
        <w:ind w:left="340" w:right="20" w:hanging="334"/>
        <w:spacing w:after="0" w:line="197"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2nd quarter and year to date 2022 Adjusted EBITDA exclude ($9) million and $24 million of other operating and administrative expense, respectively, related to our investment portfolio. 2nd quarter and year to date 2021 Adjusted EBITDA exclude $36 million and $48 million of other operating and administrative expense, respectively, related to our investment portfolio and Sky transaction-related costs.</w:t>
      </w:r>
    </w:p>
    <w:p>
      <w:pPr>
        <w:spacing w:after="0" w:line="68" w:lineRule="exact"/>
        <w:rPr>
          <w:rFonts w:ascii="Arial" w:cs="Arial" w:eastAsia="Arial" w:hAnsi="Arial"/>
          <w:sz w:val="22"/>
          <w:szCs w:val="22"/>
          <w:color w:val="auto"/>
          <w:vertAlign w:val="superscript"/>
        </w:rPr>
      </w:pPr>
    </w:p>
    <w:p>
      <w:pPr>
        <w:ind w:left="340" w:right="440" w:hanging="334"/>
        <w:spacing w:after="0" w:line="197"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2nd quarter and year to date 2022 include decreases of ($9) million and $24 million, respectively, of costs related to our investment portfolio as these amounts are excluded from Adjusted EBITDA. 2nd quarter and year to date 2021 include decreases of $36 million and $48 million, respectively, of costs related to our investment portfolio and Sky transaction-related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40" w:top="898"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6003290</wp:posOffset>
            </wp:positionH>
            <wp:positionV relativeFrom="page">
              <wp:posOffset>526415</wp:posOffset>
            </wp:positionV>
            <wp:extent cx="108013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920" w:type="dxa"/>
            <w:vAlign w:val="bottom"/>
            <w:gridSpan w:val="5"/>
          </w:tcPr>
          <w:p>
            <w:pPr>
              <w:jc w:val="center"/>
              <w:ind w:left="48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gridSpan w:val="4"/>
          </w:tcPr>
          <w:p>
            <w:pPr>
              <w:jc w:val="center"/>
              <w:ind w:right="488"/>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94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9"/>
              </w:rPr>
              <w:t>June 30,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02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rPr>
              <w:t>June 30,</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2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18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80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EPS</w:t>
            </w:r>
          </w:p>
        </w:tc>
        <w:tc>
          <w:tcPr>
            <w:tcW w:w="80" w:type="dxa"/>
            <w:vAlign w:val="bottom"/>
          </w:tcPr>
          <w:p>
            <w:pPr>
              <w:spacing w:after="0"/>
              <w:rPr>
                <w:sz w:val="15"/>
                <w:szCs w:val="15"/>
                <w:color w:val="auto"/>
              </w:rPr>
            </w:pPr>
          </w:p>
        </w:tc>
        <w:tc>
          <w:tcPr>
            <w:tcW w:w="11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EPS</w:t>
            </w:r>
          </w:p>
        </w:tc>
        <w:tc>
          <w:tcPr>
            <w:tcW w:w="82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14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08"/>
        </w:trPr>
        <w:tc>
          <w:tcPr>
            <w:tcW w:w="40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68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w:t>
            </w:r>
          </w:p>
        </w:tc>
        <w:tc>
          <w:tcPr>
            <w:tcW w:w="1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line="145" w:lineRule="exact"/>
              <w:rPr>
                <w:sz w:val="20"/>
                <w:szCs w:val="20"/>
                <w:color w:val="auto"/>
              </w:rPr>
            </w:pPr>
            <w:r>
              <w:rPr>
                <w:rFonts w:ascii="Arial" w:cs="Arial" w:eastAsia="Arial" w:hAnsi="Arial"/>
                <w:sz w:val="14"/>
                <w:szCs w:val="14"/>
                <w:b w:val="1"/>
                <w:bCs w:val="1"/>
                <w:color w:val="auto"/>
              </w:rPr>
              <w:t>diluted earnings per share attributable to Comcast</w:t>
            </w: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$3,396</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$0.76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color w:val="auto"/>
              </w:rPr>
              <w:t>$3,738</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$0.80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$6,945</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$7,067</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20"/>
                <w:szCs w:val="20"/>
                <w:color w:val="auto"/>
              </w:rPr>
            </w:pPr>
            <w:r>
              <w:rPr>
                <w:rFonts w:ascii="Arial" w:cs="Arial" w:eastAsia="Arial" w:hAnsi="Arial"/>
                <w:sz w:val="14"/>
                <w:szCs w:val="14"/>
                <w:b w:val="1"/>
                <w:bCs w:val="1"/>
                <w:color w:val="auto"/>
              </w:rPr>
              <w:t>Corporation shareholders</w:t>
            </w:r>
          </w:p>
        </w:tc>
        <w:tc>
          <w:tcPr>
            <w:tcW w:w="1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2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80" w:type="dxa"/>
            <w:vAlign w:val="bottom"/>
          </w:tcPr>
          <w:p>
            <w:pPr>
              <w:jc w:val="right"/>
              <w:ind w:right="268"/>
              <w:spacing w:after="0"/>
              <w:rPr>
                <w:sz w:val="20"/>
                <w:szCs w:val="20"/>
                <w:color w:val="auto"/>
              </w:rPr>
            </w:pPr>
            <w:r>
              <w:rPr>
                <w:rFonts w:ascii="Arial" w:cs="Arial" w:eastAsia="Arial" w:hAnsi="Arial"/>
                <w:sz w:val="14"/>
                <w:szCs w:val="14"/>
                <w:i w:val="1"/>
                <w:iCs w:val="1"/>
                <w:color w:val="auto"/>
              </w:rPr>
              <w:t>(9.2 %)</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(5.0 %)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i w:val="1"/>
                <w:iCs w:val="1"/>
                <w:color w:val="auto"/>
              </w:rPr>
              <w:t>(1.7 %)</w:t>
            </w: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2.0 %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02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460</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472</w:t>
            </w:r>
          </w:p>
        </w:tc>
        <w:tc>
          <w:tcPr>
            <w:tcW w:w="56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941</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949</w:t>
            </w:r>
          </w:p>
        </w:tc>
        <w:tc>
          <w:tcPr>
            <w:tcW w:w="56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05"/>
        </w:trPr>
        <w:tc>
          <w:tcPr>
            <w:tcW w:w="4020" w:type="dxa"/>
            <w:vAlign w:val="bottom"/>
          </w:tcPr>
          <w:p>
            <w:pPr>
              <w:spacing w:after="0" w:line="20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591</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(835)</w:t>
            </w:r>
          </w:p>
        </w:tc>
        <w:tc>
          <w:tcPr>
            <w:tcW w:w="560" w:type="dxa"/>
            <w:vAlign w:val="bottom"/>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460</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(1,122)</w:t>
            </w:r>
          </w:p>
        </w:tc>
        <w:tc>
          <w:tcPr>
            <w:tcW w:w="56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20" w:type="dxa"/>
            <w:vAlign w:val="bottom"/>
          </w:tcPr>
          <w:p>
            <w:pPr>
              <w:ind w:left="120"/>
              <w:spacing w:after="0"/>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18"/>
                <w:szCs w:val="18"/>
                <w:color w:val="auto"/>
                <w:vertAlign w:val="superscript"/>
              </w:rPr>
              <w:t>(3)</w:t>
            </w:r>
          </w:p>
        </w:tc>
        <w:tc>
          <w:tcPr>
            <w:tcW w:w="118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498</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0.11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498</w:t>
            </w:r>
          </w:p>
        </w:tc>
        <w:tc>
          <w:tcPr>
            <w:tcW w:w="56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18"/>
                <w:szCs w:val="18"/>
                <w:color w:val="auto"/>
                <w:vertAlign w:val="superscript"/>
              </w:rPr>
              <w:t>(4)</w:t>
            </w:r>
          </w:p>
        </w:tc>
        <w:tc>
          <w:tcPr>
            <w:tcW w:w="118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59</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59</w:t>
            </w:r>
          </w:p>
        </w:tc>
        <w:tc>
          <w:tcPr>
            <w:tcW w:w="56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18"/>
                <w:szCs w:val="18"/>
                <w:color w:val="auto"/>
                <w:vertAlign w:val="superscript"/>
              </w:rPr>
              <w:t>(6)</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60</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60</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020" w:type="dxa"/>
            <w:vAlign w:val="bottom"/>
          </w:tcPr>
          <w:p>
            <w:pPr>
              <w:ind w:left="120"/>
              <w:spacing w:after="0" w:line="201" w:lineRule="exact"/>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18"/>
                <w:szCs w:val="18"/>
                <w:color w:val="auto"/>
                <w:vertAlign w:val="superscript"/>
              </w:rPr>
              <w:t>(5)</w:t>
            </w:r>
          </w:p>
        </w:tc>
        <w:tc>
          <w:tcPr>
            <w:tcW w:w="118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11</w:t>
            </w: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21</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402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1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$4,507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$3,943</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$8,406</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$7,472</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80" w:type="dxa"/>
            <w:vAlign w:val="bottom"/>
          </w:tcPr>
          <w:p>
            <w:pPr>
              <w:jc w:val="right"/>
              <w:ind w:right="308"/>
              <w:spacing w:after="0"/>
              <w:rPr>
                <w:sz w:val="20"/>
                <w:szCs w:val="20"/>
                <w:color w:val="auto"/>
              </w:rPr>
            </w:pPr>
            <w:r>
              <w:rPr>
                <w:rFonts w:ascii="Arial" w:cs="Arial" w:eastAsia="Arial" w:hAnsi="Arial"/>
                <w:sz w:val="14"/>
                <w:szCs w:val="14"/>
                <w:i w:val="1"/>
                <w:iCs w:val="1"/>
                <w:color w:val="auto"/>
              </w:rPr>
              <w:t>14.3 %</w:t>
            </w:r>
          </w:p>
        </w:tc>
        <w:tc>
          <w:tcPr>
            <w:tcW w:w="660" w:type="dxa"/>
            <w:vAlign w:val="bottom"/>
          </w:tcPr>
          <w:p>
            <w:pPr>
              <w:jc w:val="right"/>
              <w:ind w:right="8"/>
              <w:spacing w:after="0"/>
              <w:rPr>
                <w:sz w:val="20"/>
                <w:szCs w:val="20"/>
                <w:color w:val="auto"/>
              </w:rPr>
            </w:pPr>
            <w:r>
              <w:rPr>
                <w:rFonts w:ascii="Arial" w:cs="Arial" w:eastAsia="Arial" w:hAnsi="Arial"/>
                <w:sz w:val="14"/>
                <w:szCs w:val="14"/>
                <w:i w:val="1"/>
                <w:iCs w:val="1"/>
                <w:color w:val="auto"/>
              </w:rPr>
              <w:t>20.2 %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i w:val="1"/>
                <w:iCs w:val="1"/>
                <w:color w:val="auto"/>
              </w:rPr>
              <w:t>12.5 %</w:t>
            </w: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16.3 %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260" w:right="40" w:hanging="252"/>
        <w:spacing w:after="0" w:line="251" w:lineRule="auto"/>
        <w:tabs>
          <w:tab w:leader="none" w:pos="252"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3"/>
                <w:szCs w:val="13"/>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4"/>
          </w:tcPr>
          <w:p>
            <w:pPr>
              <w:jc w:val="center"/>
              <w:spacing w:after="0"/>
              <w:rPr>
                <w:sz w:val="20"/>
                <w:szCs w:val="20"/>
                <w:color w:val="auto"/>
              </w:rPr>
            </w:pPr>
            <w:r>
              <w:rPr>
                <w:rFonts w:ascii="Arial" w:cs="Arial" w:eastAsia="Arial" w:hAnsi="Arial"/>
                <w:sz w:val="13"/>
                <w:szCs w:val="13"/>
                <w:color w:val="auto"/>
                <w:w w:val="96"/>
              </w:rPr>
              <w:t>Six Months Ended</w:t>
            </w:r>
          </w:p>
        </w:tc>
      </w:tr>
      <w:tr>
        <w:trPr>
          <w:trHeight w:val="166"/>
        </w:trPr>
        <w:tc>
          <w:tcPr>
            <w:tcW w:w="6980" w:type="dxa"/>
            <w:vAlign w:val="bottom"/>
          </w:tcPr>
          <w:p>
            <w:pPr>
              <w:spacing w:after="0"/>
              <w:rPr>
                <w:sz w:val="14"/>
                <w:szCs w:val="14"/>
                <w:color w:val="auto"/>
              </w:rPr>
            </w:pPr>
          </w:p>
        </w:tc>
        <w:tc>
          <w:tcPr>
            <w:tcW w:w="1220" w:type="dxa"/>
            <w:vAlign w:val="bottom"/>
            <w:gridSpan w:val="3"/>
          </w:tcPr>
          <w:p>
            <w:pPr>
              <w:jc w:val="center"/>
              <w:ind w:left="537"/>
              <w:spacing w:after="0"/>
              <w:rPr>
                <w:sz w:val="20"/>
                <w:szCs w:val="20"/>
                <w:color w:val="auto"/>
              </w:rPr>
            </w:pPr>
            <w:r>
              <w:rPr>
                <w:rFonts w:ascii="Arial" w:cs="Arial" w:eastAsia="Arial" w:hAnsi="Arial"/>
                <w:sz w:val="13"/>
                <w:szCs w:val="13"/>
                <w:color w:val="auto"/>
              </w:rPr>
              <w:t>June 30,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left="537"/>
              <w:spacing w:after="0"/>
              <w:rPr>
                <w:sz w:val="20"/>
                <w:szCs w:val="20"/>
                <w:color w:val="auto"/>
              </w:rPr>
            </w:pPr>
            <w:r>
              <w:rPr>
                <w:rFonts w:ascii="Arial" w:cs="Arial" w:eastAsia="Arial" w:hAnsi="Arial"/>
                <w:sz w:val="13"/>
                <w:szCs w:val="13"/>
                <w:color w:val="auto"/>
              </w:rPr>
              <w:t>June 30,</w:t>
            </w:r>
          </w:p>
        </w:tc>
        <w:tc>
          <w:tcPr>
            <w:tcW w:w="600" w:type="dxa"/>
            <w:vAlign w:val="bottom"/>
          </w:tcPr>
          <w:p>
            <w:pPr>
              <w:spacing w:after="0"/>
              <w:rPr>
                <w:sz w:val="14"/>
                <w:szCs w:val="14"/>
                <w:color w:val="auto"/>
              </w:rPr>
            </w:pPr>
          </w:p>
        </w:tc>
      </w:tr>
      <w:tr>
        <w:trPr>
          <w:trHeight w:val="192"/>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r>
      <w:tr>
        <w:trPr>
          <w:trHeight w:val="171"/>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$1,160</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$1,178</w:t>
            </w:r>
          </w:p>
        </w:tc>
      </w:tr>
      <w:tr>
        <w:trPr>
          <w:trHeight w:val="174"/>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$949</w:t>
            </w:r>
          </w:p>
        </w:tc>
      </w:tr>
      <w:tr>
        <w:trPr>
          <w:trHeight w:val="20"/>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right="220" w:hanging="252"/>
        <w:spacing w:after="0" w:line="264"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4"/>
          </w:tcPr>
          <w:p>
            <w:pPr>
              <w:jc w:val="center"/>
              <w:spacing w:after="0"/>
              <w:rPr>
                <w:sz w:val="20"/>
                <w:szCs w:val="20"/>
                <w:color w:val="auto"/>
              </w:rPr>
            </w:pPr>
            <w:r>
              <w:rPr>
                <w:rFonts w:ascii="Arial" w:cs="Arial" w:eastAsia="Arial" w:hAnsi="Arial"/>
                <w:sz w:val="13"/>
                <w:szCs w:val="13"/>
                <w:color w:val="auto"/>
                <w:w w:val="96"/>
              </w:rPr>
              <w:t>Six Months Ended</w:t>
            </w:r>
          </w:p>
        </w:tc>
      </w:tr>
      <w:tr>
        <w:trPr>
          <w:trHeight w:val="166"/>
        </w:trPr>
        <w:tc>
          <w:tcPr>
            <w:tcW w:w="6980" w:type="dxa"/>
            <w:vAlign w:val="bottom"/>
          </w:tcPr>
          <w:p>
            <w:pPr>
              <w:spacing w:after="0"/>
              <w:rPr>
                <w:sz w:val="14"/>
                <w:szCs w:val="14"/>
                <w:color w:val="auto"/>
              </w:rPr>
            </w:pPr>
          </w:p>
        </w:tc>
        <w:tc>
          <w:tcPr>
            <w:tcW w:w="1220" w:type="dxa"/>
            <w:vAlign w:val="bottom"/>
            <w:gridSpan w:val="3"/>
          </w:tcPr>
          <w:p>
            <w:pPr>
              <w:jc w:val="center"/>
              <w:ind w:left="537"/>
              <w:spacing w:after="0"/>
              <w:rPr>
                <w:sz w:val="20"/>
                <w:szCs w:val="20"/>
                <w:color w:val="auto"/>
              </w:rPr>
            </w:pPr>
            <w:r>
              <w:rPr>
                <w:rFonts w:ascii="Arial" w:cs="Arial" w:eastAsia="Arial" w:hAnsi="Arial"/>
                <w:sz w:val="13"/>
                <w:szCs w:val="13"/>
                <w:color w:val="auto"/>
              </w:rPr>
              <w:t>June 30,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left="537"/>
              <w:spacing w:after="0"/>
              <w:rPr>
                <w:sz w:val="20"/>
                <w:szCs w:val="20"/>
                <w:color w:val="auto"/>
              </w:rPr>
            </w:pPr>
            <w:r>
              <w:rPr>
                <w:rFonts w:ascii="Arial" w:cs="Arial" w:eastAsia="Arial" w:hAnsi="Arial"/>
                <w:sz w:val="13"/>
                <w:szCs w:val="13"/>
                <w:color w:val="auto"/>
              </w:rPr>
              <w:t>June 30,</w:t>
            </w:r>
          </w:p>
        </w:tc>
        <w:tc>
          <w:tcPr>
            <w:tcW w:w="600" w:type="dxa"/>
            <w:vAlign w:val="bottom"/>
          </w:tcPr>
          <w:p>
            <w:pPr>
              <w:spacing w:after="0"/>
              <w:rPr>
                <w:sz w:val="14"/>
                <w:szCs w:val="14"/>
                <w:color w:val="auto"/>
              </w:rPr>
            </w:pPr>
          </w:p>
        </w:tc>
      </w:tr>
      <w:tr>
        <w:trPr>
          <w:trHeight w:val="192"/>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r>
      <w:tr>
        <w:trPr>
          <w:trHeight w:val="166"/>
        </w:trPr>
        <w:tc>
          <w:tcPr>
            <w:tcW w:w="698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$321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($426)</w:t>
            </w:r>
          </w:p>
        </w:tc>
      </w:tr>
      <w:tr>
        <w:trPr>
          <w:trHeight w:val="179"/>
        </w:trPr>
        <w:tc>
          <w:tcPr>
            <w:tcW w:w="698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w:t>
            </w:r>
          </w:p>
        </w:tc>
      </w:tr>
      <w:tr>
        <w:trPr>
          <w:trHeight w:val="166"/>
        </w:trPr>
        <w:tc>
          <w:tcPr>
            <w:tcW w:w="698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782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(1,106)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(1,476)</w:t>
            </w:r>
          </w:p>
        </w:tc>
      </w:tr>
      <w:tr>
        <w:trPr>
          <w:trHeight w:val="185"/>
        </w:trPr>
        <w:tc>
          <w:tcPr>
            <w:tcW w:w="698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($1,122)</w:t>
            </w:r>
          </w:p>
        </w:tc>
      </w:tr>
      <w:tr>
        <w:trPr>
          <w:trHeight w:val="20"/>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2nd quarter and year to date 2021 net income attributable to Comcast Corporation includes $498 million of income tax expense adjustments related to UK tax law changes.</w:t>
      </w:r>
    </w:p>
    <w:p>
      <w:pPr>
        <w:spacing w:after="0" w:line="242" w:lineRule="exact"/>
        <w:rPr>
          <w:rFonts w:ascii="Arial" w:cs="Arial" w:eastAsia="Arial" w:hAnsi="Arial"/>
          <w:sz w:val="13"/>
          <w:szCs w:val="13"/>
          <w:color w:val="auto"/>
        </w:rPr>
      </w:pPr>
    </w:p>
    <w:p>
      <w:pPr>
        <w:ind w:left="240" w:hanging="232"/>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2nd quarter and year to date 2021 net income attributable to Comcast Corporation includes $78 million of interest expense, $59 million net of tax, resulting from the early redemption of debt.</w:t>
      </w:r>
    </w:p>
    <w:p>
      <w:pPr>
        <w:spacing w:after="0" w:line="242" w:lineRule="exact"/>
        <w:rPr>
          <w:rFonts w:ascii="Arial" w:cs="Arial" w:eastAsia="Arial" w:hAnsi="Arial"/>
          <w:sz w:val="13"/>
          <w:szCs w:val="13"/>
          <w:color w:val="auto"/>
        </w:rPr>
      </w:pPr>
    </w:p>
    <w:p>
      <w:pPr>
        <w:ind w:left="260" w:right="420" w:hanging="252"/>
        <w:spacing w:after="0" w:line="264"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2nd quarter and year to date 2021 net income attributable to Comcast Corporation includes $13 million and $25 million of operating costs and expenses, $11 million and $21 million net of tax, respectively, related to the Sky transaction.</w:t>
      </w:r>
    </w:p>
    <w:p>
      <w:pPr>
        <w:spacing w:after="0" w:line="211" w:lineRule="exact"/>
        <w:rPr>
          <w:rFonts w:ascii="Arial" w:cs="Arial" w:eastAsia="Arial" w:hAnsi="Arial"/>
          <w:sz w:val="13"/>
          <w:szCs w:val="13"/>
          <w:color w:val="auto"/>
        </w:rPr>
      </w:pPr>
    </w:p>
    <w:p>
      <w:pPr>
        <w:ind w:left="240" w:hanging="232"/>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2nd quarter and year to date 2022 net income attributable to Comcast Corporation includes a loss of $60 million in other income related to an impairment of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44" w:right="339" w:bottom="1440" w:gutter="0" w:footer="0" w:header="0"/>
        </w:sectPr>
      </w:pPr>
    </w:p>
    <w:bookmarkStart w:id="17" w:name="page18"/>
    <w:bookmarkEnd w:id="17"/>
    <w:p>
      <w:pPr>
        <w:ind w:left="52"/>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543560</wp:posOffset>
            </wp:positionV>
            <wp:extent cx="1209040" cy="52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3" w:lineRule="exact"/>
        <w:rPr>
          <w:sz w:val="20"/>
          <w:szCs w:val="20"/>
          <w:color w:val="auto"/>
        </w:rPr>
      </w:pPr>
    </w:p>
    <w:p>
      <w:pPr>
        <w:ind w:left="52"/>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23495</wp:posOffset>
            </wp:positionV>
            <wp:extent cx="7089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14" w:lineRule="exact"/>
        <w:rPr>
          <w:sz w:val="20"/>
          <w:szCs w:val="20"/>
          <w:color w:val="auto"/>
        </w:rPr>
      </w:pPr>
    </w:p>
    <w:tbl>
      <w:tblPr>
        <w:tblLayout w:type="fixed"/>
        <w:tblInd w:w="192" w:type="dxa"/>
        <w:tblCellMar>
          <w:top w:w="0" w:type="dxa"/>
          <w:left w:w="0" w:type="dxa"/>
          <w:bottom w:w="0" w:type="dxa"/>
          <w:right w:w="0" w:type="dxa"/>
        </w:tblCellMar>
      </w:tblPr>
      <w:tr>
        <w:trPr>
          <w:trHeight w:val="310"/>
        </w:trPr>
        <w:tc>
          <w:tcPr>
            <w:tcW w:w="4340" w:type="dxa"/>
            <w:vAlign w:val="bottom"/>
          </w:tcPr>
          <w:p>
            <w:pPr>
              <w:spacing w:after="0"/>
              <w:rPr>
                <w:sz w:val="24"/>
                <w:szCs w:val="24"/>
                <w:color w:val="auto"/>
              </w:rPr>
            </w:pPr>
          </w:p>
        </w:tc>
        <w:tc>
          <w:tcPr>
            <w:tcW w:w="328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gridSpan w:val="5"/>
          </w:tcPr>
          <w:p>
            <w:pPr>
              <w:jc w:val="center"/>
              <w:ind w:right="759"/>
              <w:spacing w:after="0"/>
              <w:rPr>
                <w:sz w:val="20"/>
                <w:szCs w:val="20"/>
                <w:color w:val="auto"/>
              </w:rPr>
            </w:pPr>
            <w:r>
              <w:rPr>
                <w:rFonts w:ascii="Arial" w:cs="Arial" w:eastAsia="Arial" w:hAnsi="Arial"/>
                <w:sz w:val="16"/>
                <w:szCs w:val="16"/>
                <w:b w:val="1"/>
                <w:bCs w:val="1"/>
                <w:color w:val="auto"/>
              </w:rPr>
              <w:t>Six Months Ended</w:t>
            </w:r>
          </w:p>
        </w:tc>
      </w:tr>
      <w:tr>
        <w:trPr>
          <w:trHeight w:val="205"/>
        </w:trPr>
        <w:tc>
          <w:tcPr>
            <w:tcW w:w="4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99"/>
              </w:rPr>
              <w:t>June 30,</w:t>
            </w:r>
          </w:p>
        </w:tc>
        <w:tc>
          <w:tcPr>
            <w:tcW w:w="12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w w:val="99"/>
              </w:rPr>
              <w:t>June 30,</w:t>
            </w:r>
          </w:p>
        </w:tc>
        <w:tc>
          <w:tcPr>
            <w:tcW w:w="1200" w:type="dxa"/>
            <w:vAlign w:val="bottom"/>
          </w:tcPr>
          <w:p>
            <w:pPr>
              <w:spacing w:after="0"/>
              <w:rPr>
                <w:sz w:val="17"/>
                <w:szCs w:val="17"/>
                <w:color w:val="auto"/>
              </w:rPr>
            </w:pPr>
          </w:p>
        </w:tc>
      </w:tr>
      <w:tr>
        <w:trPr>
          <w:trHeight w:val="227"/>
        </w:trPr>
        <w:tc>
          <w:tcPr>
            <w:tcW w:w="434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119"/>
              <w:spacing w:after="0" w:line="227" w:lineRule="exact"/>
              <w:rPr>
                <w:sz w:val="20"/>
                <w:szCs w:val="20"/>
                <w:color w:val="auto"/>
              </w:rPr>
            </w:pPr>
            <w:r>
              <w:rPr>
                <w:rFonts w:ascii="Arial" w:cs="Arial" w:eastAsia="Arial" w:hAnsi="Arial"/>
                <w:sz w:val="16"/>
                <w:szCs w:val="16"/>
                <w:color w:val="auto"/>
              </w:rPr>
              <w:t>2021</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99"/>
              <w:spacing w:after="0" w:line="227" w:lineRule="exact"/>
              <w:rPr>
                <w:sz w:val="20"/>
                <w:szCs w:val="20"/>
                <w:color w:val="auto"/>
              </w:rPr>
            </w:pPr>
            <w:r>
              <w:rPr>
                <w:rFonts w:ascii="Arial" w:cs="Arial" w:eastAsia="Arial" w:hAnsi="Arial"/>
                <w:sz w:val="16"/>
                <w:szCs w:val="16"/>
                <w:color w:val="auto"/>
              </w:rPr>
              <w:t>2021</w:t>
            </w:r>
            <w:r>
              <w:rPr>
                <w:rFonts w:ascii="Arial" w:cs="Arial" w:eastAsia="Arial" w:hAnsi="Arial"/>
                <w:sz w:val="21"/>
                <w:szCs w:val="21"/>
                <w:color w:val="auto"/>
                <w:vertAlign w:val="superscript"/>
              </w:rPr>
              <w:t>(1)</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303"/>
        </w:trPr>
        <w:tc>
          <w:tcPr>
            <w:tcW w:w="4340" w:type="dxa"/>
            <w:vAlign w:val="bottom"/>
          </w:tcPr>
          <w:p>
            <w:pPr>
              <w:spacing w:after="0"/>
              <w:rPr>
                <w:sz w:val="20"/>
                <w:szCs w:val="20"/>
                <w:color w:val="auto"/>
              </w:rPr>
            </w:pPr>
            <w:r>
              <w:rPr>
                <w:rFonts w:ascii="Arial" w:cs="Arial" w:eastAsia="Arial" w:hAnsi="Arial"/>
                <w:sz w:val="16"/>
                <w:szCs w:val="16"/>
                <w:color w:val="auto"/>
              </w:rPr>
              <w:t>Direct-to-Consumer</w:t>
            </w:r>
          </w:p>
        </w:tc>
        <w:tc>
          <w:tcPr>
            <w:tcW w:w="860" w:type="dxa"/>
            <w:vAlign w:val="bottom"/>
          </w:tcPr>
          <w:p>
            <w:pPr>
              <w:jc w:val="right"/>
              <w:ind w:right="6"/>
              <w:spacing w:after="0"/>
              <w:rPr>
                <w:sz w:val="20"/>
                <w:szCs w:val="20"/>
                <w:color w:val="auto"/>
              </w:rPr>
            </w:pPr>
            <w:r>
              <w:rPr>
                <w:rFonts w:ascii="Arial" w:cs="Arial" w:eastAsia="Arial" w:hAnsi="Arial"/>
                <w:sz w:val="14"/>
                <w:szCs w:val="14"/>
                <w:b w:val="1"/>
                <w:bCs w:val="1"/>
                <w:color w:val="auto"/>
              </w:rPr>
              <w:t>$3,680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$3,771</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$7,564</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$7,672</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Content</w:t>
            </w:r>
          </w:p>
        </w:tc>
        <w:tc>
          <w:tcPr>
            <w:tcW w:w="860" w:type="dxa"/>
            <w:vAlign w:val="bottom"/>
          </w:tcPr>
          <w:p>
            <w:pPr>
              <w:jc w:val="right"/>
              <w:ind w:right="6"/>
              <w:spacing w:after="0"/>
              <w:rPr>
                <w:sz w:val="20"/>
                <w:szCs w:val="20"/>
                <w:color w:val="auto"/>
              </w:rPr>
            </w:pPr>
            <w:r>
              <w:rPr>
                <w:rFonts w:ascii="Arial" w:cs="Arial" w:eastAsia="Arial" w:hAnsi="Arial"/>
                <w:sz w:val="14"/>
                <w:szCs w:val="14"/>
                <w:b w:val="1"/>
                <w:bCs w:val="1"/>
                <w:color w:val="auto"/>
              </w:rPr>
              <w:t>265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561</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(15.4 %)</w:t>
            </w:r>
          </w:p>
        </w:tc>
      </w:tr>
      <w:tr>
        <w:trPr>
          <w:trHeight w:val="217"/>
        </w:trPr>
        <w:tc>
          <w:tcPr>
            <w:tcW w:w="4340" w:type="dxa"/>
            <w:vAlign w:val="bottom"/>
          </w:tcPr>
          <w:p>
            <w:pPr>
              <w:spacing w:after="0"/>
              <w:rPr>
                <w:sz w:val="20"/>
                <w:szCs w:val="20"/>
                <w:color w:val="auto"/>
              </w:rPr>
            </w:pPr>
            <w:r>
              <w:rPr>
                <w:rFonts w:ascii="Arial" w:cs="Arial" w:eastAsia="Arial" w:hAnsi="Arial"/>
                <w:sz w:val="16"/>
                <w:szCs w:val="16"/>
                <w:color w:val="auto"/>
              </w:rPr>
              <w:t>Advertising</w:t>
            </w:r>
          </w:p>
        </w:tc>
        <w:tc>
          <w:tcPr>
            <w:tcW w:w="860" w:type="dxa"/>
            <w:vAlign w:val="bottom"/>
          </w:tcPr>
          <w:p>
            <w:pPr>
              <w:jc w:val="right"/>
              <w:ind w:right="6"/>
              <w:spacing w:after="0"/>
              <w:rPr>
                <w:sz w:val="20"/>
                <w:szCs w:val="20"/>
                <w:color w:val="auto"/>
              </w:rPr>
            </w:pPr>
            <w:r>
              <w:rPr>
                <w:rFonts w:ascii="Arial" w:cs="Arial" w:eastAsia="Arial" w:hAnsi="Arial"/>
                <w:sz w:val="14"/>
                <w:szCs w:val="14"/>
                <w:b w:val="1"/>
                <w:bCs w:val="1"/>
                <w:color w:val="auto"/>
              </w:rPr>
              <w:t>556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1,152</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9"/>
        </w:trPr>
        <w:tc>
          <w:tcPr>
            <w:tcW w:w="43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$4,501</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$9,276</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$9,460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
        </w:trPr>
        <w:tc>
          <w:tcPr>
            <w:tcW w:w="4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6"/>
        </w:trPr>
        <w:tc>
          <w:tcPr>
            <w:tcW w:w="434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860" w:type="dxa"/>
            <w:vAlign w:val="bottom"/>
          </w:tcPr>
          <w:p>
            <w:pPr>
              <w:jc w:val="right"/>
              <w:ind w:right="6"/>
              <w:spacing w:after="0"/>
              <w:rPr>
                <w:sz w:val="20"/>
                <w:szCs w:val="20"/>
                <w:color w:val="auto"/>
              </w:rPr>
            </w:pPr>
            <w:r>
              <w:rPr>
                <w:rFonts w:ascii="Arial" w:cs="Arial" w:eastAsia="Arial" w:hAnsi="Arial"/>
                <w:sz w:val="14"/>
                <w:szCs w:val="14"/>
                <w:b w:val="1"/>
                <w:bCs w:val="1"/>
                <w:color w:val="auto"/>
              </w:rPr>
              <w:t>$3,639</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$4,157</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(12.5 %)</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$7,791</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$8,591</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17"/>
        </w:trPr>
        <w:tc>
          <w:tcPr>
            <w:tcW w:w="43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60" w:type="dxa"/>
            <w:vAlign w:val="bottom"/>
          </w:tcPr>
          <w:p>
            <w:pPr>
              <w:jc w:val="right"/>
              <w:ind w:right="6"/>
              <w:spacing w:after="0"/>
              <w:rPr>
                <w:sz w:val="20"/>
                <w:szCs w:val="20"/>
                <w:color w:val="auto"/>
              </w:rPr>
            </w:pPr>
            <w:r>
              <w:rPr>
                <w:rFonts w:ascii="Arial" w:cs="Arial" w:eastAsia="Arial" w:hAnsi="Arial"/>
                <w:sz w:val="14"/>
                <w:szCs w:val="14"/>
                <w:b w:val="1"/>
                <w:bCs w:val="1"/>
                <w:color w:val="auto"/>
              </w:rPr>
              <w:t>$863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1200" w:type="dxa"/>
            <w:vAlign w:val="bottom"/>
          </w:tcPr>
          <w:p>
            <w:pPr>
              <w:jc w:val="right"/>
              <w:ind w:right="7"/>
              <w:spacing w:after="0"/>
              <w:rPr>
                <w:sz w:val="20"/>
                <w:szCs w:val="20"/>
                <w:color w:val="auto"/>
              </w:rPr>
            </w:pPr>
            <w:r>
              <w:rPr>
                <w:rFonts w:ascii="Arial" w:cs="Arial" w:eastAsia="Arial" w:hAnsi="Arial"/>
                <w:sz w:val="14"/>
                <w:szCs w:val="14"/>
                <w:color w:val="auto"/>
              </w:rPr>
              <w:t>70.7 %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$1,485</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70.9 %</w:t>
            </w:r>
          </w:p>
        </w:tc>
      </w:tr>
    </w:tbl>
    <w:p>
      <w:pPr>
        <w:spacing w:after="0" w:line="306" w:lineRule="exact"/>
        <w:rPr>
          <w:sz w:val="20"/>
          <w:szCs w:val="20"/>
          <w:color w:val="auto"/>
        </w:rPr>
      </w:pPr>
    </w:p>
    <w:p>
      <w:pPr>
        <w:ind w:left="252" w:hanging="252"/>
        <w:spacing w:after="0" w:line="286" w:lineRule="auto"/>
        <w:tabs>
          <w:tab w:leader="none" w:pos="244" w:val="left"/>
        </w:tabs>
        <w:numPr>
          <w:ilvl w:val="0"/>
          <w:numId w:val="8"/>
        </w:numPr>
        <w:rPr>
          <w:rFonts w:ascii="Arial" w:cs="Arial" w:eastAsia="Arial" w:hAnsi="Arial"/>
          <w:sz w:val="13"/>
          <w:szCs w:val="13"/>
          <w:color w:val="auto"/>
        </w:rPr>
      </w:pPr>
      <w:r>
        <w:rPr>
          <w:rFonts w:ascii="Arial" w:cs="Arial" w:eastAsia="Arial" w:hAnsi="Arial"/>
          <w:sz w:val="13"/>
          <w:szCs w:val="13"/>
          <w:color w:val="auto"/>
        </w:rPr>
        <w:t>2021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12"/>
          </w:cols>
          <w:pgMar w:left="328" w:top="1006" w:right="35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-97790</wp:posOffset>
            </wp:positionV>
            <wp:extent cx="1054100" cy="45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b w:val="1"/>
          <w:bCs w:val="1"/>
          <w:color w:val="828282"/>
        </w:rPr>
        <w:t>Reconciliation of Media Revenue Excluding Olympics and 2022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7106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40" w:type="dxa"/>
            <w:vAlign w:val="bottom"/>
            <w:tcBorders>
              <w:right w:val="single" w:sz="8" w:color="auto"/>
            </w:tcBorders>
            <w:gridSpan w:val="6"/>
          </w:tcPr>
          <w:p>
            <w:pPr>
              <w:jc w:val="center"/>
              <w:ind w:right="9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80" w:type="dxa"/>
            <w:vAlign w:val="bottom"/>
            <w:gridSpan w:val="5"/>
          </w:tcPr>
          <w:p>
            <w:pPr>
              <w:jc w:val="right"/>
              <w:ind w:right="75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4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99"/>
              </w:rPr>
              <w:t>June 30,</w:t>
            </w: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160" w:type="dxa"/>
            <w:vAlign w:val="bottom"/>
          </w:tcPr>
          <w:p>
            <w:pPr>
              <w:spacing w:after="0"/>
              <w:rPr>
                <w:sz w:val="18"/>
                <w:szCs w:val="18"/>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Growth %</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Growth %</w:t>
            </w:r>
          </w:p>
        </w:tc>
      </w:tr>
      <w:tr>
        <w:trPr>
          <w:trHeight w:val="310"/>
        </w:trPr>
        <w:tc>
          <w:tcPr>
            <w:tcW w:w="4380" w:type="dxa"/>
            <w:vAlign w:val="bottom"/>
          </w:tcPr>
          <w:p>
            <w:pPr>
              <w:spacing w:after="0"/>
              <w:rPr>
                <w:sz w:val="20"/>
                <w:szCs w:val="20"/>
                <w:color w:val="auto"/>
              </w:rPr>
            </w:pPr>
            <w:r>
              <w:rPr>
                <w:rFonts w:ascii="Arial" w:cs="Arial" w:eastAsia="Arial" w:hAnsi="Arial"/>
                <w:sz w:val="16"/>
                <w:szCs w:val="16"/>
                <w:color w:val="auto"/>
              </w:rPr>
              <w:t>Revenue</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$5,332</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$5,148</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3.6 %</w:t>
            </w: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$12,196</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$10,184</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19.8 %</w:t>
            </w:r>
          </w:p>
        </w:tc>
      </w:tr>
      <w:tr>
        <w:trPr>
          <w:trHeight w:val="263"/>
        </w:trPr>
        <w:tc>
          <w:tcPr>
            <w:tcW w:w="4380" w:type="dxa"/>
            <w:vAlign w:val="bottom"/>
          </w:tcPr>
          <w:p>
            <w:pPr>
              <w:spacing w:after="0"/>
              <w:rPr>
                <w:sz w:val="20"/>
                <w:szCs w:val="20"/>
                <w:color w:val="auto"/>
              </w:rPr>
            </w:pPr>
            <w:r>
              <w:rPr>
                <w:rFonts w:ascii="Arial" w:cs="Arial" w:eastAsia="Arial" w:hAnsi="Arial"/>
                <w:sz w:val="16"/>
                <w:szCs w:val="16"/>
                <w:color w:val="auto"/>
              </w:rPr>
              <w:t>Beijing Olympics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963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6"/>
                <w:szCs w:val="16"/>
                <w:color w:val="auto"/>
              </w:rPr>
              <w:t>2022 Super Bowl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90"/>
        </w:trPr>
        <w:tc>
          <w:tcPr>
            <w:tcW w:w="4380" w:type="dxa"/>
            <w:vAlign w:val="bottom"/>
          </w:tcPr>
          <w:p>
            <w:pPr>
              <w:spacing w:after="0"/>
              <w:rPr>
                <w:sz w:val="20"/>
                <w:szCs w:val="20"/>
                <w:color w:val="auto"/>
              </w:rPr>
            </w:pPr>
            <w:r>
              <w:rPr>
                <w:rFonts w:ascii="Arial" w:cs="Arial" w:eastAsia="Arial" w:hAnsi="Arial"/>
                <w:sz w:val="16"/>
                <w:szCs w:val="16"/>
                <w:color w:val="auto"/>
              </w:rPr>
              <w:t>Revenue excluding Olympics and 2022 Super Bowl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$5,332</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$5,148</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3.6 %</w:t>
            </w: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$10,715</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$10,184</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940"/>
          </w:cols>
          <w:pgMar w:left="340" w:top="979" w:right="61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9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48" w:lineRule="exact"/>
        <w:rPr>
          <w:sz w:val="20"/>
          <w:szCs w:val="20"/>
          <w:color w:val="auto"/>
        </w:rPr>
      </w:pPr>
    </w:p>
    <w:p>
      <w:pPr>
        <w:jc w:val="both"/>
        <w:ind w:right="420"/>
        <w:spacing w:after="0" w:line="275"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2022-07-28T06:08:03Z</dcterms:created>
  <dcterms:modified xsi:type="dcterms:W3CDTF">2022-07-28T06:08:03Z</dcterms:modified>
</cp:coreProperties>
</file>