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ind w:left="3380"/>
        <w:spacing w:after="0"/>
        <w:rPr>
          <w:sz w:val="20"/>
          <w:szCs w:val="20"/>
          <w:color w:val="auto"/>
        </w:rPr>
      </w:pPr>
      <w:r>
        <w:rPr>
          <w:rFonts w:ascii="Courier New" w:cs="Courier New" w:eastAsia="Courier New" w:hAnsi="Courier New"/>
          <w:sz w:val="18"/>
          <w:szCs w:val="18"/>
          <w:color w:val="auto"/>
        </w:rPr>
        <w:t>______________</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13D/A</w:t>
      </w:r>
    </w:p>
    <w:p>
      <w:pPr>
        <w:ind w:left="3380"/>
        <w:spacing w:after="0" w:line="238" w:lineRule="auto"/>
        <w:rPr>
          <w:sz w:val="20"/>
          <w:szCs w:val="20"/>
          <w:color w:val="auto"/>
        </w:rPr>
      </w:pPr>
      <w:r>
        <w:rPr>
          <w:rFonts w:ascii="Courier New" w:cs="Courier New" w:eastAsia="Courier New" w:hAnsi="Courier New"/>
          <w:sz w:val="18"/>
          <w:szCs w:val="18"/>
          <w:color w:val="auto"/>
        </w:rPr>
        <w:t>(Rule 13d-101)</w:t>
      </w:r>
    </w:p>
    <w:p>
      <w:pPr>
        <w:spacing w:after="0" w:line="207" w:lineRule="exact"/>
        <w:rPr>
          <w:sz w:val="24"/>
          <w:szCs w:val="24"/>
          <w:color w:val="auto"/>
        </w:rPr>
      </w:pPr>
    </w:p>
    <w:p>
      <w:pPr>
        <w:jc w:val="center"/>
        <w:ind w:left="260" w:right="1040"/>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13d-1(a) AND AMENDMENTS THERETO FILED PURSUANT TO 13d-2(a) (Amendment No. 4)</w:t>
      </w:r>
    </w:p>
    <w:p>
      <w:pPr>
        <w:spacing w:after="0" w:line="203"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TELEPORT COMMUNICATIONS GROUP INC.</w:t>
      </w:r>
    </w:p>
    <w:p>
      <w:pPr>
        <w:jc w:val="center"/>
        <w:ind w:right="199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CLASS A COMMON STOCK</w:t>
      </w:r>
    </w:p>
    <w:p>
      <w:pPr>
        <w:jc w:val="center"/>
        <w:ind w:right="1999"/>
        <w:spacing w:after="0" w:line="238" w:lineRule="auto"/>
        <w:rPr>
          <w:sz w:val="20"/>
          <w:szCs w:val="20"/>
          <w:color w:val="auto"/>
        </w:rPr>
      </w:pPr>
      <w:r>
        <w:rPr>
          <w:rFonts w:ascii="Courier New" w:cs="Courier New" w:eastAsia="Courier New" w:hAnsi="Courier New"/>
          <w:sz w:val="18"/>
          <w:szCs w:val="18"/>
          <w:color w:val="auto"/>
        </w:rPr>
        <w:t>$.01 PAR VALUE</w:t>
      </w:r>
    </w:p>
    <w:p>
      <w:pPr>
        <w:jc w:val="center"/>
        <w:ind w:right="199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879463 107</w:t>
      </w:r>
    </w:p>
    <w:p>
      <w:pPr>
        <w:jc w:val="center"/>
        <w:ind w:right="1999"/>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Stanley Wang</w:t>
      </w:r>
    </w:p>
    <w:p>
      <w:pPr>
        <w:ind w:left="3160"/>
        <w:spacing w:after="0" w:line="238" w:lineRule="auto"/>
        <w:rPr>
          <w:sz w:val="20"/>
          <w:szCs w:val="20"/>
          <w:color w:val="auto"/>
        </w:rPr>
      </w:pPr>
      <w:r>
        <w:rPr>
          <w:rFonts w:ascii="Courier New" w:cs="Courier New" w:eastAsia="Courier New" w:hAnsi="Courier New"/>
          <w:sz w:val="18"/>
          <w:szCs w:val="18"/>
          <w:color w:val="auto"/>
        </w:rPr>
        <w:t>Comcast Corporation</w:t>
      </w:r>
    </w:p>
    <w:p>
      <w:pPr>
        <w:ind w:left="3160"/>
        <w:spacing w:after="0"/>
        <w:rPr>
          <w:sz w:val="20"/>
          <w:szCs w:val="20"/>
          <w:color w:val="auto"/>
        </w:rPr>
      </w:pPr>
      <w:r>
        <w:rPr>
          <w:rFonts w:ascii="Courier New" w:cs="Courier New" w:eastAsia="Courier New" w:hAnsi="Courier New"/>
          <w:sz w:val="18"/>
          <w:szCs w:val="18"/>
          <w:color w:val="auto"/>
        </w:rPr>
        <w:t>1500 Market Street</w:t>
      </w:r>
    </w:p>
    <w:p>
      <w:pPr>
        <w:jc w:val="center"/>
        <w:ind w:right="1879"/>
        <w:spacing w:after="0" w:line="237" w:lineRule="auto"/>
        <w:rPr>
          <w:sz w:val="20"/>
          <w:szCs w:val="20"/>
          <w:color w:val="auto"/>
        </w:rPr>
      </w:pPr>
      <w:r>
        <w:rPr>
          <w:rFonts w:ascii="Courier New" w:cs="Courier New" w:eastAsia="Courier New" w:hAnsi="Courier New"/>
          <w:sz w:val="18"/>
          <w:szCs w:val="18"/>
          <w:color w:val="auto"/>
        </w:rPr>
        <w:t>Philadelphia, Pennsylvania 19102-2148</w:t>
      </w:r>
    </w:p>
    <w:p>
      <w:pPr>
        <w:jc w:val="center"/>
        <w:ind w:right="1999"/>
        <w:spacing w:after="0" w:line="238" w:lineRule="auto"/>
        <w:rPr>
          <w:sz w:val="20"/>
          <w:szCs w:val="20"/>
          <w:color w:val="auto"/>
        </w:rPr>
      </w:pPr>
      <w:r>
        <w:rPr>
          <w:rFonts w:ascii="Courier New" w:cs="Courier New" w:eastAsia="Courier New" w:hAnsi="Courier New"/>
          <w:sz w:val="18"/>
          <w:szCs w:val="18"/>
          <w:color w:val="auto"/>
        </w:rPr>
        <w:t>(215) 665-1700</w:t>
      </w:r>
    </w:p>
    <w:p>
      <w:pPr>
        <w:jc w:val="center"/>
        <w:ind w:right="18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87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July 23, 1998</w:t>
      </w:r>
    </w:p>
    <w:p>
      <w:pPr>
        <w:jc w:val="center"/>
        <w:ind w:right="187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statement because of Rule 13d-1(b)(3) or (4), check the following box [ ].</w:t>
      </w:r>
    </w:p>
    <w:p>
      <w:pPr>
        <w:spacing w:after="0" w:line="207" w:lineRule="exact"/>
        <w:rPr>
          <w:sz w:val="24"/>
          <w:szCs w:val="24"/>
          <w:color w:val="auto"/>
        </w:rPr>
      </w:pPr>
    </w:p>
    <w:p>
      <w:pPr>
        <w:ind w:right="2099" w:firstLine="632"/>
        <w:spacing w:after="0" w:line="275" w:lineRule="auto"/>
        <w:rPr>
          <w:sz w:val="20"/>
          <w:szCs w:val="20"/>
          <w:color w:val="auto"/>
        </w:rPr>
      </w:pPr>
      <w:r>
        <w:rPr>
          <w:rFonts w:ascii="Courier New" w:cs="Courier New" w:eastAsia="Courier New" w:hAnsi="Courier New"/>
          <w:sz w:val="16"/>
          <w:szCs w:val="16"/>
          <w:color w:val="auto"/>
        </w:rPr>
        <w:t>(1)The remainder of this cover page shall be filled out for a reporting person's initial filing on this form with respect to the subject class of securities, and for any subsequent amendment containing information which would alter the disclosure provided in a prior cover page.</w:t>
      </w:r>
    </w:p>
    <w:p>
      <w:pPr>
        <w:spacing w:after="0" w:line="182" w:lineRule="exact"/>
        <w:rPr>
          <w:sz w:val="24"/>
          <w:szCs w:val="24"/>
          <w:color w:val="auto"/>
        </w:rPr>
      </w:pPr>
    </w:p>
    <w:p>
      <w:pPr>
        <w:ind w:right="2199" w:firstLine="632"/>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879463 107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2 of 4 Pages</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ectPr>
          <w:pgSz w:w="11900" w:h="16855" w:orient="portrait"/>
          <w:cols w:equalWidth="0" w:num="2">
            <w:col w:w="5720" w:space="720"/>
            <w:col w:w="3779"/>
          </w:cols>
          <w:pgMar w:left="240" w:top="649" w:right="1440" w:bottom="0" w:gutter="0" w:footer="0" w:header="0"/>
          <w:type w:val="continuous"/>
        </w:sectPr>
      </w:pPr>
    </w:p>
    <w:p>
      <w:pPr>
        <w:ind w:left="4020"/>
        <w:spacing w:after="0"/>
        <w:rPr>
          <w:sz w:val="20"/>
          <w:szCs w:val="20"/>
          <w:color w:val="auto"/>
        </w:rPr>
      </w:pPr>
      <w:r>
        <w:rPr>
          <w:rFonts w:ascii="Courier New" w:cs="Courier New" w:eastAsia="Courier New" w:hAnsi="Courier New"/>
          <w:sz w:val="16"/>
          <w:szCs w:val="16"/>
          <w:color w:val="auto"/>
        </w:rPr>
        <w:t>13D</w:t>
      </w:r>
    </w:p>
    <w:p>
      <w:pPr>
        <w:sectPr>
          <w:pgSz w:w="11900" w:h="16855" w:orient="portrait"/>
          <w:cols w:equalWidth="0" w:num="1">
            <w:col w:w="10219"/>
          </w:cols>
          <w:pgMar w:left="240" w:top="649" w:right="1440" w:bottom="0" w:gutter="0" w:footer="0" w:header="0"/>
          <w:type w:val="continuous"/>
        </w:sectPr>
      </w:pPr>
    </w:p>
    <w:p>
      <w:pPr>
        <w:spacing w:after="0" w:line="218" w:lineRule="exact"/>
        <w:rPr>
          <w:sz w:val="24"/>
          <w:szCs w:val="24"/>
          <w:color w:val="auto"/>
        </w:rPr>
      </w:pPr>
    </w:p>
    <w:p>
      <w:pPr>
        <w:ind w:left="740" w:hanging="521"/>
        <w:spacing w:after="0"/>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740" w:right="3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 Comcast Corporation</w:t>
      </w:r>
    </w:p>
    <w:p>
      <w:pPr>
        <w:spacing w:after="0" w:line="203" w:lineRule="exact"/>
        <w:rPr>
          <w:sz w:val="24"/>
          <w:szCs w:val="24"/>
          <w:color w:val="auto"/>
        </w:rPr>
      </w:pPr>
    </w:p>
    <w:p>
      <w:pPr>
        <w:ind w:left="220"/>
        <w:spacing w:after="0"/>
        <w:tabs>
          <w:tab w:leader="none" w:pos="7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jc w:val="right"/>
        <w:ind w:right="1999"/>
        <w:spacing w:after="0"/>
        <w:tabs>
          <w:tab w:leader="none" w:pos="30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 ]</w:t>
      </w:r>
    </w:p>
    <w:p>
      <w:pPr>
        <w:jc w:val="right"/>
        <w:ind w:right="1999"/>
        <w:spacing w:after="0"/>
        <w:tabs>
          <w:tab w:leader="none" w:pos="3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[X]</w:t>
      </w:r>
    </w:p>
    <w:p>
      <w:pPr>
        <w:ind w:left="740" w:hanging="521"/>
        <w:spacing w:after="0" w:line="237" w:lineRule="auto"/>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ind w:left="740" w:right="7779" w:hanging="521"/>
        <w:spacing w:after="0" w:line="235"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OO</w:t>
      </w:r>
    </w:p>
    <w:p>
      <w:pPr>
        <w:spacing w:after="0" w:line="203" w:lineRule="exact"/>
        <w:rPr>
          <w:sz w:val="24"/>
          <w:szCs w:val="24"/>
          <w:color w:val="auto"/>
        </w:rPr>
      </w:pPr>
    </w:p>
    <w:p>
      <w:pPr>
        <w:ind w:left="740" w:hanging="521"/>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w:t>
      </w:r>
    </w:p>
    <w:p>
      <w:pPr>
        <w:ind w:left="740"/>
        <w:spacing w:after="0"/>
        <w:tabs>
          <w:tab w:leader="none" w:pos="7880"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 ]</w:t>
      </w:r>
    </w:p>
    <w:p>
      <w:pPr>
        <w:spacing w:after="0" w:line="207" w:lineRule="exact"/>
        <w:rPr>
          <w:sz w:val="24"/>
          <w:szCs w:val="24"/>
          <w:color w:val="auto"/>
        </w:rPr>
      </w:pPr>
    </w:p>
    <w:p>
      <w:pPr>
        <w:ind w:left="740" w:right="5679" w:hanging="521"/>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Pennsylvania</w:t>
      </w:r>
    </w:p>
    <w:p>
      <w:pPr>
        <w:spacing w:after="0" w:line="203"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2160" w:type="dxa"/>
            <w:vAlign w:val="bottom"/>
          </w:tcPr>
          <w:p>
            <w:pPr>
              <w:jc w:val="center"/>
              <w:ind w:right="392"/>
              <w:spacing w:after="0"/>
              <w:rPr>
                <w:sz w:val="20"/>
                <w:szCs w:val="20"/>
                <w:color w:val="auto"/>
              </w:rPr>
            </w:pPr>
            <w:r>
              <w:rPr>
                <w:rFonts w:ascii="Courier New" w:cs="Courier New" w:eastAsia="Courier New" w:hAnsi="Courier New"/>
                <w:sz w:val="18"/>
                <w:szCs w:val="18"/>
                <w:color w:val="auto"/>
                <w:w w:val="97"/>
              </w:rPr>
              <w:t>NUMBER OF SHARES</w:t>
            </w:r>
          </w:p>
        </w:tc>
        <w:tc>
          <w:tcPr>
            <w:tcW w:w="8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7</w:t>
            </w:r>
          </w:p>
        </w:tc>
        <w:tc>
          <w:tcPr>
            <w:tcW w:w="2160" w:type="dxa"/>
            <w:vAlign w:val="bottom"/>
          </w:tcPr>
          <w:p>
            <w:pPr>
              <w:ind w:left="320"/>
              <w:spacing w:after="0"/>
              <w:rPr>
                <w:sz w:val="20"/>
                <w:szCs w:val="20"/>
                <w:color w:val="auto"/>
              </w:rPr>
            </w:pPr>
            <w:r>
              <w:rPr>
                <w:rFonts w:ascii="Courier New" w:cs="Courier New" w:eastAsia="Courier New" w:hAnsi="Courier New"/>
                <w:sz w:val="18"/>
                <w:szCs w:val="18"/>
                <w:color w:val="auto"/>
                <w:w w:val="99"/>
              </w:rPr>
              <w:t>SOLE VOTING POWER</w:t>
            </w:r>
          </w:p>
        </w:tc>
        <w:tc>
          <w:tcPr>
            <w:tcW w:w="700" w:type="dxa"/>
            <w:vAlign w:val="bottom"/>
          </w:tcPr>
          <w:p>
            <w:pPr>
              <w:spacing w:after="0"/>
              <w:rPr>
                <w:sz w:val="17"/>
                <w:szCs w:val="17"/>
                <w:color w:val="auto"/>
              </w:rPr>
            </w:pPr>
          </w:p>
        </w:tc>
      </w:tr>
      <w:tr>
        <w:trPr>
          <w:trHeight w:val="203"/>
        </w:trPr>
        <w:tc>
          <w:tcPr>
            <w:tcW w:w="2160" w:type="dxa"/>
            <w:vAlign w:val="bottom"/>
          </w:tcPr>
          <w:p>
            <w:pPr>
              <w:jc w:val="center"/>
              <w:ind w:right="41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880" w:type="dxa"/>
            <w:vAlign w:val="bottom"/>
          </w:tcPr>
          <w:p>
            <w:pPr>
              <w:spacing w:after="0"/>
              <w:rPr>
                <w:sz w:val="17"/>
                <w:szCs w:val="17"/>
                <w:color w:val="auto"/>
              </w:rPr>
            </w:pPr>
          </w:p>
        </w:tc>
        <w:tc>
          <w:tcPr>
            <w:tcW w:w="2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None; See Items 3</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and 5.</w:t>
            </w:r>
          </w:p>
        </w:tc>
      </w:tr>
      <w:tr>
        <w:trPr>
          <w:trHeight w:val="203"/>
        </w:trPr>
        <w:tc>
          <w:tcPr>
            <w:tcW w:w="2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OWNED BY EACH</w:t>
            </w:r>
          </w:p>
        </w:tc>
        <w:tc>
          <w:tcPr>
            <w:tcW w:w="8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216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REPORTING PERSON</w:t>
            </w: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w:t>
            </w:r>
          </w:p>
        </w:tc>
        <w:tc>
          <w:tcPr>
            <w:tcW w:w="28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160" w:type="dxa"/>
            <w:vAlign w:val="bottom"/>
          </w:tcPr>
          <w:p>
            <w:pPr>
              <w:jc w:val="center"/>
              <w:ind w:right="412"/>
              <w:spacing w:after="0" w:line="203" w:lineRule="exact"/>
              <w:rPr>
                <w:sz w:val="20"/>
                <w:szCs w:val="20"/>
                <w:color w:val="auto"/>
              </w:rPr>
            </w:pPr>
            <w:r>
              <w:rPr>
                <w:rFonts w:ascii="Courier New" w:cs="Courier New" w:eastAsia="Courier New" w:hAnsi="Courier New"/>
                <w:sz w:val="18"/>
                <w:szCs w:val="18"/>
                <w:color w:val="auto"/>
                <w:w w:val="97"/>
              </w:rPr>
              <w:t>WITH</w:t>
            </w:r>
          </w:p>
        </w:tc>
        <w:tc>
          <w:tcPr>
            <w:tcW w:w="880" w:type="dxa"/>
            <w:vAlign w:val="bottom"/>
          </w:tcPr>
          <w:p>
            <w:pPr>
              <w:spacing w:after="0"/>
              <w:rPr>
                <w:sz w:val="17"/>
                <w:szCs w:val="17"/>
                <w:color w:val="auto"/>
              </w:rPr>
            </w:pPr>
          </w:p>
        </w:tc>
        <w:tc>
          <w:tcPr>
            <w:tcW w:w="2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None; See Items 3</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and 5.</w:t>
            </w:r>
          </w:p>
        </w:tc>
      </w:tr>
      <w:tr>
        <w:trPr>
          <w:trHeight w:val="405"/>
        </w:trPr>
        <w:tc>
          <w:tcPr>
            <w:tcW w:w="2160" w:type="dxa"/>
            <w:vAlign w:val="bottom"/>
          </w:tcPr>
          <w:p>
            <w:pPr>
              <w:spacing w:after="0"/>
              <w:rPr>
                <w:sz w:val="24"/>
                <w:szCs w:val="24"/>
                <w:color w:val="auto"/>
              </w:rPr>
            </w:pPr>
          </w:p>
        </w:tc>
        <w:tc>
          <w:tcPr>
            <w:tcW w:w="8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9</w:t>
            </w:r>
          </w:p>
        </w:tc>
        <w:tc>
          <w:tcPr>
            <w:tcW w:w="28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SOLE DISPOSITIVE POWER</w:t>
            </w:r>
          </w:p>
        </w:tc>
      </w:tr>
    </w:tbl>
    <w:p>
      <w:pPr>
        <w:sectPr>
          <w:pgSz w:w="11900" w:h="16855" w:orient="portrait"/>
          <w:cols w:equalWidth="0" w:num="1">
            <w:col w:w="10219"/>
          </w:cols>
          <w:pgMar w:left="240" w:top="649" w:right="1440" w:bottom="0" w:gutter="0" w:footer="0" w:header="0"/>
          <w:type w:val="continuous"/>
        </w:sectPr>
      </w:pPr>
    </w:p>
    <w:bookmarkStart w:id="1" w:name="page2"/>
    <w:bookmarkEnd w:id="1"/>
    <w:p>
      <w:pPr>
        <w:jc w:val="center"/>
        <w:ind w:right="-120"/>
        <w:spacing w:after="0"/>
        <w:rPr>
          <w:sz w:val="20"/>
          <w:szCs w:val="20"/>
          <w:color w:val="auto"/>
        </w:rPr>
      </w:pPr>
      <w:r>
        <w:rPr>
          <w:rFonts w:ascii="Courier New" w:cs="Courier New" w:eastAsia="Courier New" w:hAnsi="Courier New"/>
          <w:sz w:val="18"/>
          <w:szCs w:val="18"/>
          <w:color w:val="auto"/>
        </w:rPr>
        <w:t>None; See Items 3 and 5.</w:t>
      </w:r>
    </w:p>
    <w:p>
      <w:pPr>
        <w:spacing w:after="0" w:line="207" w:lineRule="exact"/>
        <w:rPr>
          <w:sz w:val="20"/>
          <w:szCs w:val="20"/>
          <w:color w:val="auto"/>
        </w:rPr>
      </w:pPr>
    </w:p>
    <w:p>
      <w:pPr>
        <w:jc w:val="both"/>
        <w:ind w:left="3900" w:right="3779" w:hanging="837"/>
        <w:spacing w:after="0" w:line="290" w:lineRule="auto"/>
        <w:tabs>
          <w:tab w:leader="none" w:pos="39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 None; See Items 3 and 5.</w:t>
      </w:r>
    </w:p>
    <w:p>
      <w:pPr>
        <w:spacing w:after="0" w:line="170" w:lineRule="exact"/>
        <w:rPr>
          <w:sz w:val="20"/>
          <w:szCs w:val="20"/>
          <w:color w:val="auto"/>
        </w:rPr>
      </w:pPr>
    </w:p>
    <w:p>
      <w:pPr>
        <w:ind w:left="1580" w:right="3039" w:hanging="1361"/>
        <w:spacing w:after="0" w:line="235" w:lineRule="auto"/>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 See Items 3 and 5.</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78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83"/>
              </w:rPr>
              <w:t>12</w:t>
            </w:r>
          </w:p>
        </w:tc>
        <w:tc>
          <w:tcPr>
            <w:tcW w:w="2320" w:type="dxa"/>
            <w:vAlign w:val="bottom"/>
          </w:tcPr>
          <w:p>
            <w:pPr>
              <w:ind w:left="580"/>
              <w:spacing w:after="0"/>
              <w:rPr>
                <w:sz w:val="20"/>
                <w:szCs w:val="20"/>
                <w:color w:val="auto"/>
              </w:rPr>
            </w:pPr>
            <w:r>
              <w:rPr>
                <w:rFonts w:ascii="Courier New" w:cs="Courier New" w:eastAsia="Courier New" w:hAnsi="Courier New"/>
                <w:sz w:val="18"/>
                <w:szCs w:val="18"/>
                <w:color w:val="auto"/>
                <w:w w:val="99"/>
              </w:rPr>
              <w:t>CHECK BOX IF THE</w:t>
            </w:r>
          </w:p>
        </w:tc>
        <w:tc>
          <w:tcPr>
            <w:tcW w:w="3800" w:type="dxa"/>
            <w:vAlign w:val="bottom"/>
          </w:tcPr>
          <w:p>
            <w:pPr>
              <w:ind w:left="60"/>
              <w:spacing w:after="0"/>
              <w:rPr>
                <w:sz w:val="20"/>
                <w:szCs w:val="20"/>
                <w:color w:val="auto"/>
              </w:rPr>
            </w:pPr>
            <w:r>
              <w:rPr>
                <w:rFonts w:ascii="Courier New" w:cs="Courier New" w:eastAsia="Courier New" w:hAnsi="Courier New"/>
                <w:sz w:val="18"/>
                <w:szCs w:val="18"/>
                <w:color w:val="auto"/>
              </w:rPr>
              <w:t>AGGREGATE AMOUNT IN ROW (11)</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780" w:type="dxa"/>
            <w:vAlign w:val="bottom"/>
          </w:tcPr>
          <w:p>
            <w:pPr>
              <w:spacing w:after="0"/>
              <w:rPr>
                <w:sz w:val="17"/>
                <w:szCs w:val="17"/>
                <w:color w:val="auto"/>
              </w:rPr>
            </w:pPr>
          </w:p>
        </w:tc>
        <w:tc>
          <w:tcPr>
            <w:tcW w:w="2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9"/>
              </w:rPr>
              <w:t>EXCLUDES CERTAIN</w:t>
            </w:r>
          </w:p>
        </w:tc>
        <w:tc>
          <w:tcPr>
            <w:tcW w:w="3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w:t>
            </w:r>
          </w:p>
        </w:tc>
        <w:tc>
          <w:tcPr>
            <w:tcW w:w="1100" w:type="dxa"/>
            <w:vAlign w:val="bottom"/>
          </w:tcPr>
          <w:p>
            <w:pPr>
              <w:spacing w:after="0"/>
              <w:rPr>
                <w:sz w:val="17"/>
                <w:szCs w:val="17"/>
                <w:color w:val="auto"/>
              </w:rPr>
            </w:pPr>
          </w:p>
        </w:tc>
      </w:tr>
    </w:tbl>
    <w:p>
      <w:pPr>
        <w:spacing w:after="0" w:line="207" w:lineRule="exact"/>
        <w:rPr>
          <w:sz w:val="20"/>
          <w:szCs w:val="20"/>
          <w:color w:val="auto"/>
        </w:rPr>
      </w:pPr>
    </w:p>
    <w:p>
      <w:pPr>
        <w:ind w:left="1580" w:right="3359" w:hanging="1361"/>
        <w:spacing w:after="0" w:line="235" w:lineRule="auto"/>
        <w:tabs>
          <w:tab w:leader="none" w:pos="15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0.00%; See Items 3 and 5.</w:t>
      </w:r>
    </w:p>
    <w:p>
      <w:pPr>
        <w:spacing w:after="0" w:line="208" w:lineRule="exact"/>
        <w:rPr>
          <w:rFonts w:ascii="Courier New" w:cs="Courier New" w:eastAsia="Courier New" w:hAnsi="Courier New"/>
          <w:sz w:val="18"/>
          <w:szCs w:val="18"/>
          <w:color w:val="auto"/>
        </w:rPr>
      </w:pPr>
    </w:p>
    <w:p>
      <w:pPr>
        <w:ind w:left="1580" w:right="5999" w:hanging="1361"/>
        <w:spacing w:after="0" w:line="235" w:lineRule="auto"/>
        <w:tabs>
          <w:tab w:leader="none" w:pos="15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203"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9"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Comcast Corporation, a Pennsylvania corporation ("Comcast") hereby amends its Report on Schedule 13D, originally filed together with other reporting persons on July 17, 1996 and amended on January 20, 1998 and separately amended on December 23, 1996, May 15, 1997 and October 27, 1997 (the "Schedule 13D"), to disclose the disposition of its interest in Class A Common Stock of the Teleport Communications Group Inc., a Delaware corporation ("TCGI" or the "Issuer").</w:t>
      </w:r>
    </w:p>
    <w:p>
      <w:pPr>
        <w:spacing w:after="0" w:line="211" w:lineRule="exact"/>
        <w:rPr>
          <w:sz w:val="20"/>
          <w:szCs w:val="20"/>
          <w:color w:val="auto"/>
        </w:rPr>
      </w:pPr>
    </w:p>
    <w:p>
      <w:pPr>
        <w:ind w:right="2099" w:firstLine="1580"/>
        <w:spacing w:after="0" w:line="236" w:lineRule="auto"/>
        <w:rPr>
          <w:sz w:val="20"/>
          <w:szCs w:val="20"/>
          <w:color w:val="auto"/>
        </w:rPr>
      </w:pPr>
      <w:r>
        <w:rPr>
          <w:rFonts w:ascii="Courier New" w:cs="Courier New" w:eastAsia="Courier New" w:hAnsi="Courier New"/>
          <w:sz w:val="18"/>
          <w:szCs w:val="18"/>
          <w:color w:val="auto"/>
        </w:rPr>
        <w:t>Unless otherwise indicated, each capitalized term used but not defined herein shall have the meaning assigned to such term in the Schedule 13D.</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right="2519" w:firstLine="1580"/>
        <w:spacing w:after="0" w:line="235" w:lineRule="auto"/>
        <w:rPr>
          <w:sz w:val="20"/>
          <w:szCs w:val="20"/>
          <w:color w:val="auto"/>
        </w:rPr>
      </w:pPr>
      <w:r>
        <w:rPr>
          <w:rFonts w:ascii="Courier New" w:cs="Courier New" w:eastAsia="Courier New" w:hAnsi="Courier New"/>
          <w:sz w:val="18"/>
          <w:szCs w:val="18"/>
          <w:color w:val="auto"/>
        </w:rPr>
        <w:t>Item 5 of the Report is hereby amended and supplemented by adding the following information thereto:</w:t>
      </w:r>
    </w:p>
    <w:p>
      <w:pPr>
        <w:spacing w:after="0" w:line="208" w:lineRule="exact"/>
        <w:rPr>
          <w:sz w:val="20"/>
          <w:szCs w:val="20"/>
          <w:color w:val="auto"/>
        </w:rPr>
      </w:pPr>
    </w:p>
    <w:p>
      <w:pPr>
        <w:ind w:right="1999" w:firstLine="1580"/>
        <w:spacing w:after="0" w:line="268" w:lineRule="auto"/>
        <w:rPr>
          <w:sz w:val="20"/>
          <w:szCs w:val="20"/>
          <w:color w:val="auto"/>
        </w:rPr>
      </w:pPr>
      <w:r>
        <w:rPr>
          <w:rFonts w:ascii="Courier New" w:cs="Courier New" w:eastAsia="Courier New" w:hAnsi="Courier New"/>
          <w:sz w:val="16"/>
          <w:szCs w:val="16"/>
          <w:color w:val="auto"/>
        </w:rPr>
        <w:t>In connection with the consummation of the transactions contemplated by the Agreement and Plan of Merger, dated as of January 8, 1998, among AT&amp;T Corp., TA Merger Corp. and the Issuer (filed as Exhibit 99.6 to Amendment No. 1 to the Schedule 13D filed January 8, 1998), as of July 23,</w:t>
      </w:r>
    </w:p>
    <w:p>
      <w:pPr>
        <w:spacing w:after="0" w:line="1"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1998 all of the Class A Common Stock held by Comcast was converted to other consideration and Comcast was no longer the beneficial owner of more than five percent of the Class A Common Stock.</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199" w:firstLine="1580"/>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Date: August 20, 1998</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Arthur R. Block</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tabs>
          <w:tab w:leader="none" w:pos="5140" w:val="left"/>
        </w:tabs>
        <w:rPr>
          <w:sz w:val="20"/>
          <w:szCs w:val="20"/>
          <w:color w:val="auto"/>
        </w:rPr>
      </w:pPr>
      <w:r>
        <w:rPr>
          <w:rFonts w:ascii="Courier New" w:cs="Courier New" w:eastAsia="Courier New" w:hAnsi="Courier New"/>
          <w:sz w:val="18"/>
          <w:szCs w:val="18"/>
          <w:color w:val="auto"/>
        </w:rPr>
        <w:t>Name:</w:t>
        <w:tab/>
        <w:t>Arthur R. Block</w:t>
      </w:r>
    </w:p>
    <w:p>
      <w:pPr>
        <w:ind w:left="4440"/>
        <w:spacing w:after="0" w:line="237" w:lineRule="auto"/>
        <w:tabs>
          <w:tab w:leader="none" w:pos="54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4"/>
      <w:numFmt w:val="bullet"/>
      <w:start w:val="1"/>
    </w:lvl>
  </w:abstractNum>
  <w:abstractNum w:abstractNumId="3">
    <w:nsid w:val="507ED7AB"/>
    <w:multiLevelType w:val="hybridMultilevel"/>
    <w:lvl w:ilvl="0">
      <w:lvlJc w:val="left"/>
      <w:lvlText w:val="5"/>
      <w:numFmt w:val="bullet"/>
      <w:start w:val="1"/>
    </w:lvl>
  </w:abstractNum>
  <w:abstractNum w:abstractNumId="4">
    <w:nsid w:val="2EB141F2"/>
    <w:multiLevelType w:val="hybridMultilevel"/>
    <w:lvl w:ilvl="0">
      <w:lvlJc w:val="left"/>
      <w:lvlText w:val="6"/>
      <w:numFmt w:val="bullet"/>
      <w:start w:val="1"/>
    </w:lvl>
  </w:abstractNum>
  <w:abstractNum w:abstractNumId="5">
    <w:nsid w:val="41B71EFB"/>
    <w:multiLevelType w:val="hybridMultilevel"/>
    <w:lvl w:ilvl="0">
      <w:lvlJc w:val="left"/>
      <w:lvlText w:val="%1"/>
      <w:numFmt w:val="decimal"/>
      <w:start w:val="10"/>
    </w:lvl>
  </w:abstractNum>
  <w:abstractNum w:abstractNumId="6">
    <w:nsid w:val="79E2A9E3"/>
    <w:multiLevelType w:val="hybridMultilevel"/>
    <w:lvl w:ilvl="0">
      <w:lvlJc w:val="left"/>
      <w:lvlText w:val="%1"/>
      <w:numFmt w:val="decimal"/>
      <w:start w:val="11"/>
    </w:lvl>
  </w:abstractNum>
  <w:abstractNum w:abstractNumId="7">
    <w:nsid w:val="7545E146"/>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2019-12-16T13:11:44Z</dcterms:created>
  <dcterms:modified xsi:type="dcterms:W3CDTF">2019-12-16T13:11:44Z</dcterms:modified>
</cp:coreProperties>
</file>