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March 24,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120" w:type="dxa"/>
            <w:vAlign w:val="bottom"/>
          </w:tcPr>
          <w:p>
            <w:pPr>
              <w:jc w:val="center"/>
              <w:ind w:right="295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3080" w:type="dxa"/>
            <w:vAlign w:val="bottom"/>
          </w:tcPr>
          <w:p>
            <w:pPr>
              <w:spacing w:after="0"/>
              <w:rPr>
                <w:sz w:val="18"/>
                <w:szCs w:val="18"/>
                <w:color w:val="auto"/>
              </w:rPr>
            </w:pPr>
          </w:p>
        </w:tc>
        <w:tc>
          <w:tcPr>
            <w:tcW w:w="8120" w:type="dxa"/>
            <w:vAlign w:val="bottom"/>
          </w:tcPr>
          <w:p>
            <w:pPr>
              <w:jc w:val="center"/>
              <w:ind w:right="2930"/>
              <w:spacing w:after="0"/>
              <w:rPr>
                <w:sz w:val="20"/>
                <w:szCs w:val="20"/>
                <w:color w:val="auto"/>
              </w:rPr>
            </w:pPr>
            <w:r>
              <w:rPr>
                <w:rFonts w:ascii="Arial" w:cs="Arial" w:eastAsia="Arial" w:hAnsi="Arial"/>
                <w:sz w:val="18"/>
                <w:szCs w:val="18"/>
                <w:b w:val="1"/>
                <w:bCs w:val="1"/>
                <w:color w:val="auto"/>
                <w:w w:val="93"/>
              </w:rPr>
              <w:t>$800,000,000 3.100% NOTES DUE 2025</w:t>
            </w:r>
          </w:p>
        </w:tc>
      </w:tr>
      <w:tr>
        <w:trPr>
          <w:trHeight w:val="216"/>
        </w:trPr>
        <w:tc>
          <w:tcPr>
            <w:tcW w:w="3080" w:type="dxa"/>
            <w:vAlign w:val="bottom"/>
          </w:tcPr>
          <w:p>
            <w:pPr>
              <w:spacing w:after="0"/>
              <w:rPr>
                <w:sz w:val="18"/>
                <w:szCs w:val="18"/>
                <w:color w:val="auto"/>
              </w:rPr>
            </w:pPr>
          </w:p>
        </w:tc>
        <w:tc>
          <w:tcPr>
            <w:tcW w:w="8120" w:type="dxa"/>
            <w:vAlign w:val="bottom"/>
          </w:tcPr>
          <w:p>
            <w:pPr>
              <w:jc w:val="center"/>
              <w:ind w:right="2930"/>
              <w:spacing w:after="0"/>
              <w:rPr>
                <w:sz w:val="20"/>
                <w:szCs w:val="20"/>
                <w:color w:val="auto"/>
              </w:rPr>
            </w:pPr>
            <w:r>
              <w:rPr>
                <w:rFonts w:ascii="Arial" w:cs="Arial" w:eastAsia="Arial" w:hAnsi="Arial"/>
                <w:sz w:val="18"/>
                <w:szCs w:val="18"/>
                <w:b w:val="1"/>
                <w:bCs w:val="1"/>
                <w:color w:val="auto"/>
                <w:w w:val="93"/>
              </w:rPr>
              <w:t>$800,000,000 3.300% NOTES DUE 2027</w:t>
            </w:r>
          </w:p>
        </w:tc>
      </w:tr>
      <w:tr>
        <w:trPr>
          <w:trHeight w:val="216"/>
        </w:trPr>
        <w:tc>
          <w:tcPr>
            <w:tcW w:w="3080" w:type="dxa"/>
            <w:vAlign w:val="bottom"/>
          </w:tcPr>
          <w:p>
            <w:pPr>
              <w:spacing w:after="0"/>
              <w:rPr>
                <w:sz w:val="18"/>
                <w:szCs w:val="18"/>
                <w:color w:val="auto"/>
              </w:rPr>
            </w:pPr>
          </w:p>
        </w:tc>
        <w:tc>
          <w:tcPr>
            <w:tcW w:w="81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3"/>
              </w:rPr>
              <w:t>$1,600,000,000 3.400% NOTES DUE 2030</w:t>
            </w:r>
          </w:p>
        </w:tc>
      </w:tr>
      <w:tr>
        <w:trPr>
          <w:trHeight w:val="234"/>
        </w:trPr>
        <w:tc>
          <w:tcPr>
            <w:tcW w:w="3080" w:type="dxa"/>
            <w:vAlign w:val="bottom"/>
          </w:tcPr>
          <w:p>
            <w:pPr>
              <w:spacing w:after="0"/>
              <w:rPr>
                <w:sz w:val="20"/>
                <w:szCs w:val="20"/>
                <w:color w:val="auto"/>
              </w:rPr>
            </w:pPr>
          </w:p>
        </w:tc>
        <w:tc>
          <w:tcPr>
            <w:tcW w:w="8120" w:type="dxa"/>
            <w:vAlign w:val="bottom"/>
          </w:tcPr>
          <w:p>
            <w:pPr>
              <w:jc w:val="center"/>
              <w:ind w:right="2930"/>
              <w:spacing w:after="0"/>
              <w:rPr>
                <w:sz w:val="20"/>
                <w:szCs w:val="20"/>
                <w:color w:val="auto"/>
              </w:rPr>
            </w:pPr>
            <w:r>
              <w:rPr>
                <w:rFonts w:ascii="Arial" w:cs="Arial" w:eastAsia="Arial" w:hAnsi="Arial"/>
                <w:sz w:val="18"/>
                <w:szCs w:val="18"/>
                <w:b w:val="1"/>
                <w:bCs w:val="1"/>
                <w:color w:val="auto"/>
                <w:w w:val="93"/>
              </w:rPr>
              <w:t>$800,000,000 3.750% NOTES DUE 2040</w:t>
            </w:r>
          </w:p>
        </w:tc>
      </w:tr>
      <w:tr>
        <w:trPr>
          <w:trHeight w:val="432"/>
        </w:trPr>
        <w:tc>
          <w:tcPr>
            <w:tcW w:w="3080" w:type="dxa"/>
            <w:vAlign w:val="bottom"/>
          </w:tcPr>
          <w:p>
            <w:pPr>
              <w:spacing w:after="0"/>
              <w:rPr>
                <w:sz w:val="24"/>
                <w:szCs w:val="24"/>
                <w:color w:val="auto"/>
              </w:rPr>
            </w:pPr>
          </w:p>
        </w:tc>
        <w:tc>
          <w:tcPr>
            <w:tcW w:w="81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0"/>
              </w:rPr>
              <w:t>Final Term Sheet</w:t>
            </w:r>
          </w:p>
        </w:tc>
      </w:tr>
      <w:tr>
        <w:trPr>
          <w:trHeight w:val="540"/>
        </w:trPr>
        <w:tc>
          <w:tcPr>
            <w:tcW w:w="3080" w:type="dxa"/>
            <w:vAlign w:val="bottom"/>
          </w:tcPr>
          <w:p>
            <w:pPr>
              <w:spacing w:after="0"/>
              <w:rPr>
                <w:sz w:val="20"/>
                <w:szCs w:val="20"/>
                <w:color w:val="auto"/>
              </w:rPr>
            </w:pPr>
            <w:r>
              <w:rPr>
                <w:rFonts w:ascii="Arial" w:cs="Arial" w:eastAsia="Arial" w:hAnsi="Arial"/>
                <w:sz w:val="18"/>
                <w:szCs w:val="18"/>
                <w:color w:val="auto"/>
              </w:rPr>
              <w:t>Issuer</w:t>
            </w:r>
          </w:p>
        </w:tc>
        <w:tc>
          <w:tcPr>
            <w:tcW w:w="8120" w:type="dxa"/>
            <w:vAlign w:val="bottom"/>
          </w:tcPr>
          <w:p>
            <w:pPr>
              <w:ind w:left="88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Guarantors</w:t>
            </w:r>
          </w:p>
        </w:tc>
        <w:tc>
          <w:tcPr>
            <w:tcW w:w="8120" w:type="dxa"/>
            <w:vAlign w:val="bottom"/>
          </w:tcPr>
          <w:p>
            <w:pPr>
              <w:ind w:left="880"/>
              <w:spacing w:after="0"/>
              <w:rPr>
                <w:sz w:val="20"/>
                <w:szCs w:val="20"/>
                <w:color w:val="auto"/>
              </w:rPr>
            </w:pPr>
            <w:r>
              <w:rPr>
                <w:rFonts w:ascii="Arial" w:cs="Arial" w:eastAsia="Arial" w:hAnsi="Arial"/>
                <w:sz w:val="18"/>
                <w:szCs w:val="18"/>
                <w:color w:val="auto"/>
              </w:rPr>
              <w:t>Comcast Cable Communications, LLC and NBCUniversal Media, LLC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Issue of Securities</w:t>
            </w:r>
          </w:p>
        </w:tc>
        <w:tc>
          <w:tcPr>
            <w:tcW w:w="8120" w:type="dxa"/>
            <w:vAlign w:val="bottom"/>
          </w:tcPr>
          <w:p>
            <w:pPr>
              <w:ind w:left="880"/>
              <w:spacing w:after="0"/>
              <w:rPr>
                <w:sz w:val="20"/>
                <w:szCs w:val="20"/>
                <w:color w:val="auto"/>
              </w:rPr>
            </w:pPr>
            <w:r>
              <w:rPr>
                <w:rFonts w:ascii="Arial" w:cs="Arial" w:eastAsia="Arial" w:hAnsi="Arial"/>
                <w:sz w:val="18"/>
                <w:szCs w:val="18"/>
                <w:color w:val="auto"/>
              </w:rPr>
              <w:t>3.100% Notes due 2025</w:t>
            </w:r>
          </w:p>
        </w:tc>
      </w:tr>
      <w:tr>
        <w:trPr>
          <w:trHeight w:val="432"/>
        </w:trPr>
        <w:tc>
          <w:tcPr>
            <w:tcW w:w="3080" w:type="dxa"/>
            <w:vAlign w:val="bottom"/>
          </w:tcPr>
          <w:p>
            <w:pPr>
              <w:spacing w:after="0"/>
              <w:rPr>
                <w:sz w:val="24"/>
                <w:szCs w:val="24"/>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3.300% Notes due 2027</w:t>
            </w:r>
          </w:p>
        </w:tc>
      </w:tr>
      <w:tr>
        <w:trPr>
          <w:trHeight w:val="432"/>
        </w:trPr>
        <w:tc>
          <w:tcPr>
            <w:tcW w:w="3080" w:type="dxa"/>
            <w:vAlign w:val="bottom"/>
          </w:tcPr>
          <w:p>
            <w:pPr>
              <w:spacing w:after="0"/>
              <w:rPr>
                <w:sz w:val="24"/>
                <w:szCs w:val="24"/>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3.400% Notes due 2030</w:t>
            </w:r>
          </w:p>
        </w:tc>
      </w:tr>
      <w:tr>
        <w:trPr>
          <w:trHeight w:val="432"/>
        </w:trPr>
        <w:tc>
          <w:tcPr>
            <w:tcW w:w="3080" w:type="dxa"/>
            <w:vAlign w:val="bottom"/>
          </w:tcPr>
          <w:p>
            <w:pPr>
              <w:spacing w:after="0"/>
              <w:rPr>
                <w:sz w:val="24"/>
                <w:szCs w:val="24"/>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3.750% Notes due 2040</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Denominations</w:t>
            </w:r>
          </w:p>
        </w:tc>
        <w:tc>
          <w:tcPr>
            <w:tcW w:w="8120" w:type="dxa"/>
            <w:vAlign w:val="bottom"/>
          </w:tcPr>
          <w:p>
            <w:pPr>
              <w:ind w:left="880"/>
              <w:spacing w:after="0"/>
              <w:rPr>
                <w:sz w:val="20"/>
                <w:szCs w:val="20"/>
                <w:color w:val="auto"/>
              </w:rPr>
            </w:pPr>
            <w:r>
              <w:rPr>
                <w:rFonts w:ascii="Arial" w:cs="Arial" w:eastAsia="Arial" w:hAnsi="Arial"/>
                <w:sz w:val="18"/>
                <w:szCs w:val="18"/>
                <w:color w:val="auto"/>
              </w:rPr>
              <w:t>$2,000 and multiples of $1,000 in excess thereof</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Use of Proceeds</w:t>
            </w:r>
          </w:p>
        </w:tc>
        <w:tc>
          <w:tcPr>
            <w:tcW w:w="8120" w:type="dxa"/>
            <w:vAlign w:val="bottom"/>
          </w:tcPr>
          <w:p>
            <w:pPr>
              <w:ind w:left="880"/>
              <w:spacing w:after="0"/>
              <w:rPr>
                <w:sz w:val="20"/>
                <w:szCs w:val="20"/>
                <w:color w:val="auto"/>
              </w:rPr>
            </w:pPr>
            <w:r>
              <w:rPr>
                <w:rFonts w:ascii="Arial" w:cs="Arial" w:eastAsia="Arial" w:hAnsi="Arial"/>
                <w:sz w:val="18"/>
                <w:szCs w:val="18"/>
                <w:color w:val="auto"/>
                <w:w w:val="94"/>
              </w:rPr>
              <w:t>The Company intends to use the net proceeds from the offering for general corporate purposes.</w:t>
            </w:r>
          </w:p>
        </w:tc>
      </w:tr>
      <w:tr>
        <w:trPr>
          <w:trHeight w:val="414"/>
        </w:trPr>
        <w:tc>
          <w:tcPr>
            <w:tcW w:w="3080" w:type="dxa"/>
            <w:vAlign w:val="bottom"/>
          </w:tcPr>
          <w:p>
            <w:pPr>
              <w:spacing w:after="0"/>
              <w:rPr>
                <w:sz w:val="20"/>
                <w:szCs w:val="20"/>
                <w:color w:val="auto"/>
              </w:rPr>
            </w:pPr>
            <w:r>
              <w:rPr>
                <w:rFonts w:ascii="Arial" w:cs="Arial" w:eastAsia="Arial" w:hAnsi="Arial"/>
                <w:sz w:val="18"/>
                <w:szCs w:val="18"/>
                <w:color w:val="auto"/>
              </w:rPr>
              <w:t>Indenture</w:t>
            </w:r>
          </w:p>
        </w:tc>
        <w:tc>
          <w:tcPr>
            <w:tcW w:w="8120" w:type="dxa"/>
            <w:vAlign w:val="bottom"/>
          </w:tcPr>
          <w:p>
            <w:pPr>
              <w:ind w:left="880"/>
              <w:spacing w:after="0"/>
              <w:rPr>
                <w:sz w:val="20"/>
                <w:szCs w:val="20"/>
                <w:color w:val="auto"/>
              </w:rPr>
            </w:pPr>
            <w:r>
              <w:rPr>
                <w:rFonts w:ascii="Arial" w:cs="Arial" w:eastAsia="Arial" w:hAnsi="Arial"/>
                <w:sz w:val="18"/>
                <w:szCs w:val="18"/>
                <w:color w:val="auto"/>
                <w:w w:val="88"/>
              </w:rPr>
              <w:t>Indenture dated as of September 18, 2013 by and among the Company, the guarantors named therein</w:t>
            </w:r>
          </w:p>
        </w:tc>
      </w:tr>
      <w:tr>
        <w:trPr>
          <w:trHeight w:val="220"/>
        </w:trPr>
        <w:tc>
          <w:tcPr>
            <w:tcW w:w="3080" w:type="dxa"/>
            <w:vAlign w:val="bottom"/>
          </w:tcPr>
          <w:p>
            <w:pPr>
              <w:spacing w:after="0"/>
              <w:rPr>
                <w:sz w:val="19"/>
                <w:szCs w:val="19"/>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by the First</w:t>
            </w:r>
          </w:p>
        </w:tc>
      </w:tr>
      <w:tr>
        <w:trPr>
          <w:trHeight w:val="216"/>
        </w:trPr>
        <w:tc>
          <w:tcPr>
            <w:tcW w:w="3080" w:type="dxa"/>
            <w:vAlign w:val="bottom"/>
          </w:tcPr>
          <w:p>
            <w:pPr>
              <w:spacing w:after="0"/>
              <w:rPr>
                <w:sz w:val="18"/>
                <w:szCs w:val="18"/>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w w:val="89"/>
              </w:rPr>
              <w:t>Supplemental Indenture dated as of November 17, 2015 by and among the Company, the guarantors</w:t>
            </w:r>
          </w:p>
        </w:tc>
      </w:tr>
      <w:tr>
        <w:trPr>
          <w:trHeight w:val="230"/>
        </w:trPr>
        <w:tc>
          <w:tcPr>
            <w:tcW w:w="3080" w:type="dxa"/>
            <w:vAlign w:val="bottom"/>
          </w:tcPr>
          <w:p>
            <w:pPr>
              <w:spacing w:after="0"/>
              <w:rPr>
                <w:sz w:val="20"/>
                <w:szCs w:val="20"/>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named therein and the Trustee.</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Trustee</w:t>
            </w:r>
          </w:p>
        </w:tc>
        <w:tc>
          <w:tcPr>
            <w:tcW w:w="8120" w:type="dxa"/>
            <w:vAlign w:val="bottom"/>
          </w:tcPr>
          <w:p>
            <w:pPr>
              <w:ind w:left="880"/>
              <w:spacing w:after="0"/>
              <w:rPr>
                <w:sz w:val="20"/>
                <w:szCs w:val="20"/>
                <w:color w:val="auto"/>
              </w:rPr>
            </w:pPr>
            <w:r>
              <w:rPr>
                <w:rFonts w:ascii="Arial" w:cs="Arial" w:eastAsia="Arial" w:hAnsi="Arial"/>
                <w:sz w:val="18"/>
                <w:szCs w:val="18"/>
                <w:color w:val="auto"/>
              </w:rPr>
              <w:t>The Bank of New York Mellon</w:t>
            </w:r>
          </w:p>
        </w:tc>
      </w:tr>
      <w:tr>
        <w:trPr>
          <w:trHeight w:val="595"/>
        </w:trPr>
        <w:tc>
          <w:tcPr>
            <w:tcW w:w="3080" w:type="dxa"/>
            <w:vAlign w:val="bottom"/>
          </w:tcPr>
          <w:p>
            <w:pPr>
              <w:spacing w:after="0"/>
              <w:rPr>
                <w:sz w:val="20"/>
                <w:szCs w:val="20"/>
                <w:color w:val="auto"/>
              </w:rPr>
            </w:pPr>
            <w:r>
              <w:rPr>
                <w:rFonts w:ascii="Arial" w:cs="Arial" w:eastAsia="Arial" w:hAnsi="Arial"/>
                <w:sz w:val="18"/>
                <w:szCs w:val="18"/>
                <w:color w:val="auto"/>
              </w:rPr>
              <w:t>Expected Ratings</w:t>
            </w:r>
            <w:r>
              <w:rPr>
                <w:rFonts w:ascii="Arial" w:cs="Arial" w:eastAsia="Arial" w:hAnsi="Arial"/>
                <w:sz w:val="29"/>
                <w:szCs w:val="29"/>
                <w:color w:val="auto"/>
                <w:vertAlign w:val="superscript"/>
              </w:rPr>
              <w:t>1</w:t>
            </w:r>
          </w:p>
        </w:tc>
        <w:tc>
          <w:tcPr>
            <w:tcW w:w="8120" w:type="dxa"/>
            <w:vAlign w:val="bottom"/>
          </w:tcPr>
          <w:p>
            <w:pPr>
              <w:ind w:left="880"/>
              <w:spacing w:after="0"/>
              <w:rPr>
                <w:sz w:val="20"/>
                <w:szCs w:val="20"/>
                <w:color w:val="auto"/>
              </w:rPr>
            </w:pPr>
            <w:r>
              <w:rPr>
                <w:rFonts w:ascii="Arial" w:cs="Arial" w:eastAsia="Arial" w:hAnsi="Arial"/>
                <w:sz w:val="18"/>
                <w:szCs w:val="18"/>
                <w:color w:val="auto"/>
              </w:rPr>
              <w:t>Moody’s: A3; S&amp;P: A-; Fitch: A-</w:t>
            </w:r>
          </w:p>
        </w:tc>
      </w:tr>
      <w:tr>
        <w:trPr>
          <w:trHeight w:val="295"/>
        </w:trPr>
        <w:tc>
          <w:tcPr>
            <w:tcW w:w="30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120" w:type="dxa"/>
            <w:vAlign w:val="bottom"/>
          </w:tcPr>
          <w:p>
            <w:pPr>
              <w:ind w:left="880"/>
              <w:spacing w:after="0"/>
              <w:rPr>
                <w:sz w:val="20"/>
                <w:szCs w:val="20"/>
                <w:color w:val="auto"/>
              </w:rPr>
            </w:pPr>
            <w:r>
              <w:rPr>
                <w:rFonts w:ascii="Arial" w:cs="Arial" w:eastAsia="Arial" w:hAnsi="Arial"/>
                <w:sz w:val="18"/>
                <w:szCs w:val="18"/>
                <w:color w:val="auto"/>
              </w:rPr>
              <w:t>BofA Securities, Inc.</w:t>
            </w:r>
          </w:p>
        </w:tc>
      </w:tr>
      <w:tr>
        <w:trPr>
          <w:trHeight w:val="216"/>
        </w:trPr>
        <w:tc>
          <w:tcPr>
            <w:tcW w:w="3080" w:type="dxa"/>
            <w:vAlign w:val="bottom"/>
          </w:tcPr>
          <w:p>
            <w:pPr>
              <w:spacing w:after="0"/>
              <w:rPr>
                <w:sz w:val="18"/>
                <w:szCs w:val="18"/>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080" w:type="dxa"/>
            <w:vAlign w:val="bottom"/>
          </w:tcPr>
          <w:p>
            <w:pPr>
              <w:spacing w:after="0"/>
              <w:rPr>
                <w:sz w:val="18"/>
                <w:szCs w:val="18"/>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J.P. Morgan Securities LLC</w:t>
            </w:r>
          </w:p>
        </w:tc>
      </w:tr>
      <w:tr>
        <w:trPr>
          <w:trHeight w:val="216"/>
        </w:trPr>
        <w:tc>
          <w:tcPr>
            <w:tcW w:w="3080" w:type="dxa"/>
            <w:vAlign w:val="bottom"/>
          </w:tcPr>
          <w:p>
            <w:pPr>
              <w:spacing w:after="0"/>
              <w:rPr>
                <w:sz w:val="18"/>
                <w:szCs w:val="18"/>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Morgan Stanley &amp; Co. LLC</w:t>
            </w:r>
          </w:p>
        </w:tc>
      </w:tr>
      <w:tr>
        <w:trPr>
          <w:trHeight w:val="230"/>
        </w:trPr>
        <w:tc>
          <w:tcPr>
            <w:tcW w:w="3080" w:type="dxa"/>
            <w:vAlign w:val="bottom"/>
          </w:tcPr>
          <w:p>
            <w:pPr>
              <w:spacing w:after="0"/>
              <w:rPr>
                <w:sz w:val="20"/>
                <w:szCs w:val="20"/>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Wells Fargo Securities, LLC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Trade Date</w:t>
            </w:r>
          </w:p>
        </w:tc>
        <w:tc>
          <w:tcPr>
            <w:tcW w:w="8120" w:type="dxa"/>
            <w:vAlign w:val="bottom"/>
          </w:tcPr>
          <w:p>
            <w:pPr>
              <w:ind w:left="880"/>
              <w:spacing w:after="0"/>
              <w:rPr>
                <w:sz w:val="20"/>
                <w:szCs w:val="20"/>
                <w:color w:val="auto"/>
              </w:rPr>
            </w:pPr>
            <w:r>
              <w:rPr>
                <w:rFonts w:ascii="Arial" w:cs="Arial" w:eastAsia="Arial" w:hAnsi="Arial"/>
                <w:sz w:val="18"/>
                <w:szCs w:val="18"/>
                <w:color w:val="auto"/>
              </w:rPr>
              <w:t>March 24, 2020</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Settlement Date</w:t>
            </w:r>
          </w:p>
        </w:tc>
        <w:tc>
          <w:tcPr>
            <w:tcW w:w="8120" w:type="dxa"/>
            <w:vAlign w:val="bottom"/>
          </w:tcPr>
          <w:p>
            <w:pPr>
              <w:ind w:left="880"/>
              <w:spacing w:after="0"/>
              <w:rPr>
                <w:sz w:val="20"/>
                <w:szCs w:val="20"/>
                <w:color w:val="auto"/>
              </w:rPr>
            </w:pPr>
            <w:r>
              <w:rPr>
                <w:rFonts w:ascii="Arial" w:cs="Arial" w:eastAsia="Arial" w:hAnsi="Arial"/>
                <w:sz w:val="18"/>
                <w:szCs w:val="18"/>
                <w:color w:val="auto"/>
              </w:rPr>
              <w:t>March 27, 2020 (T+3)</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8120" w:type="dxa"/>
            <w:vAlign w:val="bottom"/>
          </w:tcPr>
          <w:p>
            <w:pPr>
              <w:ind w:left="880"/>
              <w:spacing w:after="0"/>
              <w:rPr>
                <w:sz w:val="20"/>
                <w:szCs w:val="20"/>
                <w:color w:val="auto"/>
              </w:rPr>
            </w:pPr>
            <w:r>
              <w:rPr>
                <w:rFonts w:ascii="Arial" w:cs="Arial" w:eastAsia="Arial" w:hAnsi="Arial"/>
                <w:sz w:val="18"/>
                <w:szCs w:val="18"/>
                <w:color w:val="auto"/>
                <w:w w:val="96"/>
              </w:rPr>
              <w:t>The impact of coronavirus disease 2019 (“</w:t>
            </w:r>
            <w:r>
              <w:rPr>
                <w:rFonts w:ascii="Arial" w:cs="Arial" w:eastAsia="Arial" w:hAnsi="Arial"/>
                <w:sz w:val="18"/>
                <w:szCs w:val="18"/>
                <w:b w:val="1"/>
                <w:bCs w:val="1"/>
                <w:color w:val="auto"/>
                <w:w w:val="96"/>
              </w:rPr>
              <w:t>COVID-19</w:t>
            </w:r>
            <w:r>
              <w:rPr>
                <w:rFonts w:ascii="Arial" w:cs="Arial" w:eastAsia="Arial" w:hAnsi="Arial"/>
                <w:sz w:val="18"/>
                <w:szCs w:val="18"/>
                <w:color w:val="auto"/>
                <w:w w:val="96"/>
              </w:rPr>
              <w:t>”) and measures to prevent its spread are</w:t>
            </w:r>
          </w:p>
        </w:tc>
      </w:tr>
      <w:tr>
        <w:trPr>
          <w:trHeight w:val="216"/>
        </w:trPr>
        <w:tc>
          <w:tcPr>
            <w:tcW w:w="3080" w:type="dxa"/>
            <w:vAlign w:val="bottom"/>
          </w:tcPr>
          <w:p>
            <w:pPr>
              <w:spacing w:after="0"/>
              <w:rPr>
                <w:sz w:val="18"/>
                <w:szCs w:val="18"/>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w w:val="90"/>
              </w:rPr>
              <w:t>affecting the Company’s businesses in a number of ways. For example, the Company has closed all</w:t>
            </w:r>
          </w:p>
        </w:tc>
      </w:tr>
      <w:tr>
        <w:trPr>
          <w:trHeight w:val="230"/>
        </w:trPr>
        <w:tc>
          <w:tcPr>
            <w:tcW w:w="3080" w:type="dxa"/>
            <w:vAlign w:val="bottom"/>
          </w:tcPr>
          <w:p>
            <w:pPr>
              <w:spacing w:after="0"/>
              <w:rPr>
                <w:sz w:val="20"/>
                <w:szCs w:val="20"/>
                <w:color w:val="auto"/>
              </w:rPr>
            </w:pPr>
          </w:p>
        </w:tc>
        <w:tc>
          <w:tcPr>
            <w:tcW w:w="8120" w:type="dxa"/>
            <w:vAlign w:val="bottom"/>
          </w:tcPr>
          <w:p>
            <w:pPr>
              <w:ind w:left="880"/>
              <w:spacing w:after="0"/>
              <w:rPr>
                <w:sz w:val="20"/>
                <w:szCs w:val="20"/>
                <w:color w:val="auto"/>
              </w:rPr>
            </w:pPr>
            <w:r>
              <w:rPr>
                <w:rFonts w:ascii="Arial" w:cs="Arial" w:eastAsia="Arial" w:hAnsi="Arial"/>
                <w:sz w:val="18"/>
                <w:szCs w:val="18"/>
                <w:color w:val="auto"/>
              </w:rPr>
              <w:t>of its theme parks; the Company has delayed theatrical</w:t>
            </w:r>
          </w:p>
        </w:tc>
      </w:tr>
    </w:tbl>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1 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3.100% Notes Due 2025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ind w:right="860"/>
        <w:spacing w:after="0" w:line="538" w:lineRule="auto"/>
        <w:rPr>
          <w:sz w:val="20"/>
          <w:szCs w:val="20"/>
          <w:color w:val="auto"/>
        </w:rPr>
      </w:pPr>
      <w:r>
        <w:rPr>
          <w:rFonts w:ascii="Arial" w:cs="Arial" w:eastAsia="Arial" w:hAnsi="Arial"/>
          <w:sz w:val="17"/>
          <w:szCs w:val="17"/>
          <w:color w:val="auto"/>
        </w:rPr>
        <w:t>Interest Payment Dates Benchmark Treasury Benchmark Treasury Price/Yield Spread to Benchmark Treasury Yield to Maturity Optional Redemption</w:t>
      </w:r>
    </w:p>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7"/>
          <w:szCs w:val="17"/>
          <w:color w:val="auto"/>
        </w:rPr>
        <w:t>distribution of films both domestically and internationally; and the creation and availability of its film and television programming in the United States and globally has been disrupted, including from the cancellation or postponement of sports events, including the Olympics, and suspension of entertainment content production. As they affect Sky, these impacts materially exacerbate what was an already deteriorating economic environment and advertising market in the UK and Europe in 2019. The Comcast Cable business, while the network performs well to meet the challenge of business and schooling from home, will not be unaffected either as economic stress impacts the Company’s residential and business services customer base.</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expects that the ultimate significance of the impact of COVID-19 on its businesses will vary but will generally depend on the extent of governmental measures affecting day to day life and the length of time that such measures remain in place to respond to COVID-19. At this point, it is impossible to predict such extent and duration and the degree to which supply and demand for the Company’s products and services, including advertising, will be affected. This uncertainty makes it challenging for the Company’s management to estimate the future performance of its businesses, particularly over the near to medium term. However, the impact of COVID-19 could have a material adverse impact on the Company’s results of operations over the near to medium term.</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 2025</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3.100% per annum, accruing from March 27, 2020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commencing 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1.125% due February 28,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102-31+ / 0.511%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3.111%</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3.100% Notes due 2025 are redeemable at the option of the Company at any time, in whole or in part, at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Redemption Price will equal, with respect to the 3.100% Notes</w:t>
      </w:r>
    </w:p>
    <w:p>
      <w:pPr>
        <w:spacing w:after="0" w:line="200" w:lineRule="exact"/>
        <w:rPr>
          <w:sz w:val="20"/>
          <w:szCs w:val="20"/>
          <w:color w:val="auto"/>
        </w:rPr>
      </w:pPr>
    </w:p>
    <w:p>
      <w:pPr>
        <w:spacing w:after="0" w:line="2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240" w:space="720"/>
            <w:col w:w="7280"/>
          </w:cols>
          <w:pgMar w:left="320" w:top="233"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3.300% Notes Due 2027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ind w:right="860"/>
        <w:spacing w:after="0" w:line="538" w:lineRule="auto"/>
        <w:rPr>
          <w:sz w:val="20"/>
          <w:szCs w:val="20"/>
          <w:color w:val="auto"/>
        </w:rPr>
      </w:pPr>
      <w:r>
        <w:rPr>
          <w:rFonts w:ascii="Arial" w:cs="Arial" w:eastAsia="Arial" w:hAnsi="Arial"/>
          <w:sz w:val="17"/>
          <w:szCs w:val="17"/>
          <w:color w:val="auto"/>
        </w:rPr>
        <w:t>Interest Payment Dates Benchmark Treasury Benchmark Treasury Price/Yield Spread to Benchmark Treasury Yield to Maturity Optional Redemption</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due 2025, at any time prior to March 1, 2025 (one (1) month prior to the maturity of the 3.100% Notes due 2025) (the “</w:t>
      </w:r>
      <w:r>
        <w:rPr>
          <w:rFonts w:ascii="Arial" w:cs="Arial" w:eastAsia="Arial" w:hAnsi="Arial"/>
          <w:sz w:val="17"/>
          <w:szCs w:val="17"/>
          <w:b w:val="1"/>
          <w:bCs w:val="1"/>
          <w:color w:val="auto"/>
        </w:rPr>
        <w:t>2025 Par Call Date</w:t>
      </w:r>
      <w:r>
        <w:rPr>
          <w:rFonts w:ascii="Arial" w:cs="Arial" w:eastAsia="Arial" w:hAnsi="Arial"/>
          <w:sz w:val="17"/>
          <w:szCs w:val="17"/>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2025 Par Call Date, in each case discounted to the redemption date on a semiannual basis at the Treasury Rate plus 40 basis points, provided that, if the 3.100% Notes due 2025 are redeemed on or after the 2025 Par Call Date, the Redemption Price will equal 100% of the principal amount of such notes; plus, in each case, accrued and unpaid interest thereon to the date of redemption</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unlimited amount of additional 3.100% Notes due 2025 may be issued. The 3.100% Notes due 2025 and any additional 3.100% Notes due 2025 that may be issued may be treated as a single series for all purposes under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20030N DJ7 / US20030NDJ72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99.949% plus accrued interest, if any, from March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99.699% per $1,000 principal amount of 3.100% Notes due 2025; $797,592,000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 2027</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3.300% per annum, accruing from March 27, 2020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commencing 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1.125% due February 28,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102-18+ / 0.743%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3.343%</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3.300% Notes due 2027 are redeemable at the option of the Company at any time, in whole or in part, at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Redemption Price will equal, with respect to the 3.300% Notes due 2027, at any time prior to February 1, 2027 (two</w:t>
      </w:r>
    </w:p>
    <w:p>
      <w:pPr>
        <w:spacing w:after="0" w:line="200" w:lineRule="exact"/>
        <w:rPr>
          <w:sz w:val="20"/>
          <w:szCs w:val="20"/>
          <w:color w:val="auto"/>
        </w:rPr>
      </w:pPr>
    </w:p>
    <w:p>
      <w:pPr>
        <w:spacing w:after="0" w:line="2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40" w:space="720"/>
            <w:col w:w="7280"/>
          </w:cols>
          <w:pgMar w:left="320" w:top="233"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3.400% Notes due 2030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ind w:right="850"/>
        <w:spacing w:after="0" w:line="538" w:lineRule="auto"/>
        <w:rPr>
          <w:sz w:val="20"/>
          <w:szCs w:val="20"/>
          <w:color w:val="auto"/>
        </w:rPr>
      </w:pPr>
      <w:r>
        <w:rPr>
          <w:rFonts w:ascii="Arial" w:cs="Arial" w:eastAsia="Arial" w:hAnsi="Arial"/>
          <w:sz w:val="17"/>
          <w:szCs w:val="17"/>
          <w:color w:val="auto"/>
        </w:rPr>
        <w:t>Interest Payment Dates Benchmark Treasury Benchmark Treasury Price/Yield Spread to Benchmark Treasury Yield to Maturity Optional Redemption</w:t>
      </w:r>
    </w:p>
    <w:p>
      <w:pPr>
        <w:spacing w:after="0" w:line="20" w:lineRule="exact"/>
        <w:rPr>
          <w:sz w:val="20"/>
          <w:szCs w:val="20"/>
          <w:color w:val="auto"/>
        </w:rPr>
      </w:pPr>
      <w:r>
        <w:rPr>
          <w:sz w:val="20"/>
          <w:szCs w:val="20"/>
          <w:color w:val="auto"/>
        </w:rPr>
        <w:br w:type="column"/>
      </w:r>
    </w:p>
    <w:p>
      <w:pPr>
        <w:ind w:left="10" w:right="20" w:hanging="10"/>
        <w:spacing w:after="0" w:line="272" w:lineRule="auto"/>
        <w:tabs>
          <w:tab w:leader="none" w:pos="265" w:val="left"/>
        </w:tabs>
        <w:numPr>
          <w:ilvl w:val="0"/>
          <w:numId w:val="1"/>
        </w:numPr>
        <w:rPr>
          <w:rFonts w:ascii="Arial" w:cs="Arial" w:eastAsia="Arial" w:hAnsi="Arial"/>
          <w:sz w:val="17"/>
          <w:szCs w:val="17"/>
          <w:color w:val="auto"/>
        </w:rPr>
      </w:pPr>
      <w:r>
        <w:rPr>
          <w:rFonts w:ascii="Arial" w:cs="Arial" w:eastAsia="Arial" w:hAnsi="Arial"/>
          <w:sz w:val="17"/>
          <w:szCs w:val="17"/>
          <w:color w:val="auto"/>
        </w:rPr>
        <w:t>months prior to the maturity of the 3.300% Notes due 2027) (the “</w:t>
      </w:r>
      <w:r>
        <w:rPr>
          <w:rFonts w:ascii="Arial" w:cs="Arial" w:eastAsia="Arial" w:hAnsi="Arial"/>
          <w:sz w:val="17"/>
          <w:szCs w:val="17"/>
          <w:b w:val="1"/>
          <w:bCs w:val="1"/>
          <w:color w:val="auto"/>
        </w:rPr>
        <w:t>2027 Par Call Date</w:t>
      </w:r>
      <w:r>
        <w:rPr>
          <w:rFonts w:ascii="Arial" w:cs="Arial" w:eastAsia="Arial" w:hAnsi="Arial"/>
          <w:sz w:val="17"/>
          <w:szCs w:val="17"/>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 semiannual basis at the Treasury Rate plus 40 basis points, provided that, if the 3.300% Notes due 2027 are redeemed on or after the 2027 Par Call Date, the Redemption Price will equal 100% of the principal amount of such notes; plus, in each case, accrued and unpaid interest thereon to the date of redemption</w:t>
      </w:r>
    </w:p>
    <w:p>
      <w:pPr>
        <w:spacing w:after="0" w:line="176" w:lineRule="exact"/>
        <w:rPr>
          <w:sz w:val="20"/>
          <w:szCs w:val="20"/>
          <w:color w:val="auto"/>
        </w:rPr>
      </w:pPr>
    </w:p>
    <w:p>
      <w:pPr>
        <w:ind w:left="10" w:right="40"/>
        <w:spacing w:after="0" w:line="263" w:lineRule="auto"/>
        <w:rPr>
          <w:sz w:val="20"/>
          <w:szCs w:val="20"/>
          <w:color w:val="auto"/>
        </w:rPr>
      </w:pPr>
      <w:r>
        <w:rPr>
          <w:rFonts w:ascii="Arial" w:cs="Arial" w:eastAsia="Arial" w:hAnsi="Arial"/>
          <w:sz w:val="18"/>
          <w:szCs w:val="18"/>
          <w:color w:val="auto"/>
        </w:rPr>
        <w:t>An unlimited amount of additional 3.300% Notes due 2027 may be issued. The 3.300% Notes due 2027 and any additional 3.300% Notes due 2027 that may be issued may be treated as a single series for all purposes under the Indenture</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8"/>
          <w:szCs w:val="18"/>
          <w:color w:val="auto"/>
        </w:rPr>
        <w:t>20030N DK4 / US20030NDK46</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99.733% plus accrued interest, if any, from March 27, 2020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0.350%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99.383% per $1,000 principal amount of 3.300% Notes due 2027; $795,064,000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$1,600,000,000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April 1, 2030</w:t>
      </w:r>
    </w:p>
    <w:p>
      <w:pPr>
        <w:spacing w:after="0" w:line="225" w:lineRule="exact"/>
        <w:rPr>
          <w:sz w:val="20"/>
          <w:szCs w:val="20"/>
          <w:color w:val="auto"/>
        </w:rPr>
      </w:pPr>
    </w:p>
    <w:p>
      <w:pPr>
        <w:ind w:left="10" w:right="600"/>
        <w:spacing w:after="0" w:line="277" w:lineRule="auto"/>
        <w:rPr>
          <w:sz w:val="20"/>
          <w:szCs w:val="20"/>
          <w:color w:val="auto"/>
        </w:rPr>
      </w:pPr>
      <w:r>
        <w:rPr>
          <w:rFonts w:ascii="Arial" w:cs="Arial" w:eastAsia="Arial" w:hAnsi="Arial"/>
          <w:sz w:val="18"/>
          <w:szCs w:val="18"/>
          <w:color w:val="auto"/>
        </w:rPr>
        <w:t>3.400% per annum, accruing from March 27, 2020 (calculated on the basis of a 360-day year consisting of twelve 30-day months)</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April 1 and October 1, commencing October 1, 2020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UST 1.500% due February 15, 2030</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106-14 / 0.821%</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+260 bps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3.421%</w:t>
      </w:r>
    </w:p>
    <w:p>
      <w:pPr>
        <w:spacing w:after="0" w:line="225" w:lineRule="exact"/>
        <w:rPr>
          <w:sz w:val="20"/>
          <w:szCs w:val="20"/>
          <w:color w:val="auto"/>
        </w:rPr>
      </w:pPr>
    </w:p>
    <w:p>
      <w:pPr>
        <w:ind w:left="10"/>
        <w:spacing w:after="0" w:line="259" w:lineRule="auto"/>
        <w:rPr>
          <w:sz w:val="20"/>
          <w:szCs w:val="20"/>
          <w:color w:val="auto"/>
        </w:rPr>
      </w:pPr>
      <w:r>
        <w:rPr>
          <w:rFonts w:ascii="Arial" w:cs="Arial" w:eastAsia="Arial" w:hAnsi="Arial"/>
          <w:sz w:val="18"/>
          <w:szCs w:val="18"/>
          <w:color w:val="auto"/>
        </w:rPr>
        <w:t>The 3.400% Notes due 2030 are redeemable at the option of the Company at any time, in whole or in part, at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Redemption Price will equal, with respect to the 3.400% Notes due 2030, at any time prior to January 1, 2030 (three (3) months prior to the maturity of the 3.400% Notes</w:t>
      </w:r>
    </w:p>
    <w:p>
      <w:pPr>
        <w:spacing w:after="0" w:line="200" w:lineRule="exact"/>
        <w:rPr>
          <w:sz w:val="20"/>
          <w:szCs w:val="20"/>
          <w:color w:val="auto"/>
        </w:rPr>
      </w:pPr>
    </w:p>
    <w:p>
      <w:pPr>
        <w:spacing w:after="0" w:line="230" w:lineRule="exact"/>
        <w:rPr>
          <w:sz w:val="20"/>
          <w:szCs w:val="20"/>
          <w:color w:val="auto"/>
        </w:rPr>
      </w:pPr>
    </w:p>
    <w:p>
      <w:pPr>
        <w:ind w:left="163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30" w:space="720"/>
            <w:col w:w="7290"/>
          </w:cols>
          <w:pgMar w:left="320" w:top="229"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3.750% Notes due 2040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ind w:right="860"/>
        <w:spacing w:after="0" w:line="538" w:lineRule="auto"/>
        <w:rPr>
          <w:sz w:val="20"/>
          <w:szCs w:val="20"/>
          <w:color w:val="auto"/>
        </w:rPr>
      </w:pPr>
      <w:r>
        <w:rPr>
          <w:rFonts w:ascii="Arial" w:cs="Arial" w:eastAsia="Arial" w:hAnsi="Arial"/>
          <w:sz w:val="17"/>
          <w:szCs w:val="17"/>
          <w:color w:val="auto"/>
        </w:rPr>
        <w:t>Interest Payment Dates Benchmark Treasury Benchmark Treasury Price/Yield Spread to Benchmark Treasury Yield to Maturity Optional Redemption</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8"/>
          <w:szCs w:val="18"/>
          <w:color w:val="auto"/>
        </w:rPr>
        <w:t>due 2030) (the “</w:t>
      </w:r>
      <w:r>
        <w:rPr>
          <w:rFonts w:ascii="Arial" w:cs="Arial" w:eastAsia="Arial" w:hAnsi="Arial"/>
          <w:sz w:val="18"/>
          <w:szCs w:val="18"/>
          <w:b w:val="1"/>
          <w:bCs w:val="1"/>
          <w:color w:val="auto"/>
        </w:rPr>
        <w:t>2030 Par Call Date</w:t>
      </w:r>
      <w:r>
        <w:rPr>
          <w:rFonts w:ascii="Arial" w:cs="Arial" w:eastAsia="Arial" w:hAnsi="Arial"/>
          <w:sz w:val="18"/>
          <w:szCs w:val="18"/>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2030 Par Call Date, in each case discounted to the redemption date on a semiannual basis at the Treasury Rate plus 40 basis points, provided that, if the 3.400% Notes due 2030 are redeemed on or after the 2030 Par Call Date, the Redemption Price will equal 100% of the principal amount of such notes; plus, in each case, accrued and unpaid interest thereon to the date of redemption</w:t>
      </w:r>
    </w:p>
    <w:p>
      <w:pPr>
        <w:spacing w:after="0" w:line="19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unlimited amount of additional 3.400% Notes due 2030 may be issued. The 3.400% Notes due 2030 and any additional 3.400% Notes due 2030 that may be issued may be treated as a single series for all purposes under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20030N DG3 / US20030NDG34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99.823% plus accrued interest, if any, from March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99.423% per $1,000 principal amount of 3.400% Notes due 2030; $1,590,768,000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 2040</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3.750% per annum, accruing from March 27, 2020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commencing 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2.375% due November 15, 2049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123-28 / 1.389%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3.789%</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3.750% Notes due 2040 are redeemable at the option of the Company at any time, in whole or in part, at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 Redemption Price will equal, with respect to the 3.750% Notes due 2040, at any time prior to October 1, 2039 (six (6) months prior to the maturity of the 3.750% Notes due 2040) (the “</w:t>
      </w:r>
      <w:r>
        <w:rPr>
          <w:rFonts w:ascii="Arial" w:cs="Arial" w:eastAsia="Arial" w:hAnsi="Arial"/>
          <w:sz w:val="18"/>
          <w:szCs w:val="18"/>
          <w:b w:val="1"/>
          <w:bCs w:val="1"/>
          <w:color w:val="auto"/>
        </w:rPr>
        <w:t>2040 Par Call Date</w:t>
      </w:r>
      <w:r>
        <w:rPr>
          <w:rFonts w:ascii="Arial" w:cs="Arial" w:eastAsia="Arial" w:hAnsi="Arial"/>
          <w:sz w:val="18"/>
          <w:szCs w:val="18"/>
          <w:color w:val="auto"/>
        </w:rPr>
        <w:t>”), the greater of</w:t>
      </w:r>
    </w:p>
    <w:p>
      <w:pPr>
        <w:spacing w:after="0" w:line="200" w:lineRule="exact"/>
        <w:rPr>
          <w:sz w:val="20"/>
          <w:szCs w:val="20"/>
          <w:color w:val="auto"/>
        </w:rPr>
      </w:pPr>
    </w:p>
    <w:p>
      <w:pPr>
        <w:spacing w:after="0" w:line="2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40" w:space="720"/>
            <w:col w:w="7280"/>
          </w:cols>
          <w:pgMar w:left="320" w:top="229" w:right="339" w:bottom="1440" w:gutter="0" w:footer="0" w:header="0"/>
        </w:sectPr>
      </w:pPr>
    </w:p>
    <w:bookmarkStart w:id="5" w:name="page6"/>
    <w:bookmarkEnd w:id="5"/>
    <w:p>
      <w:pPr>
        <w:ind w:left="3960" w:right="20"/>
        <w:spacing w:after="0" w:line="272" w:lineRule="auto"/>
        <w:rPr>
          <w:sz w:val="20"/>
          <w:szCs w:val="20"/>
          <w:color w:val="auto"/>
        </w:rPr>
      </w:pPr>
      <w:r>
        <w:rPr>
          <w:rFonts w:ascii="Arial" w:cs="Arial" w:eastAsia="Arial" w:hAnsi="Arial"/>
          <w:sz w:val="17"/>
          <w:szCs w:val="17"/>
          <w:color w:val="auto"/>
        </w:rPr>
        <w:t>(i)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 semiannual basis at the Treasury Rate plus 40 basis points, provided that, if the 3.750% Notes due 2040 are redeemed on or after the 2040 Par Call Date, the Redemption Price will equal 100% of the principal amount of such notes; plus, in each case, accrued and unpaid interest thereon to the date of redemption</w:t>
      </w:r>
    </w:p>
    <w:p>
      <w:pPr>
        <w:sectPr>
          <w:pgSz w:w="11900" w:h="16838" w:orient="portrait"/>
          <w:cols w:equalWidth="0" w:num="1">
            <w:col w:w="11220"/>
          </w:cols>
          <w:pgMar w:left="320" w:top="233" w:right="3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Additional Issuances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 unlimited amount of additional 3.750% Notes due 2040 may be issued. The 3.750% Notes due 2040 and any additional 3.750% Notes due 2040 that may be issued may be treated as a single series for all purposes under the Indenture</w:t>
      </w:r>
    </w:p>
    <w:p>
      <w:pPr>
        <w:spacing w:after="0" w:line="184" w:lineRule="exact"/>
        <w:rPr>
          <w:sz w:val="20"/>
          <w:szCs w:val="20"/>
          <w:color w:val="auto"/>
        </w:rPr>
      </w:pPr>
    </w:p>
    <w:p>
      <w:pPr>
        <w:sectPr>
          <w:pgSz w:w="11900" w:h="16838" w:orient="portrait"/>
          <w:cols w:equalWidth="0" w:num="2">
            <w:col w:w="3240" w:space="720"/>
            <w:col w:w="7260"/>
          </w:cols>
          <w:pgMar w:left="320" w:top="233" w:right="359" w:bottom="1440" w:gutter="0" w:footer="0" w:header="0"/>
          <w:type w:val="continuous"/>
        </w:sect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DH1 / US20030NDH17</w:t>
      </w:r>
    </w:p>
    <w:p>
      <w:pPr>
        <w:spacing w:after="0" w:line="211" w:lineRule="exact"/>
        <w:rPr>
          <w:sz w:val="20"/>
          <w:szCs w:val="20"/>
          <w:color w:val="auto"/>
        </w:rPr>
      </w:pPr>
    </w:p>
    <w:p>
      <w:pPr>
        <w:sectPr>
          <w:pgSz w:w="11900" w:h="16838" w:orient="portrait"/>
          <w:cols w:equalWidth="0" w:num="2">
            <w:col w:w="3240" w:space="720"/>
            <w:col w:w="7260"/>
          </w:cols>
          <w:pgMar w:left="320" w:top="233"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99.456% plus accrued interest, if any, from March 27, 2020</w:t>
      </w:r>
    </w:p>
    <w:p>
      <w:pPr>
        <w:spacing w:after="0" w:line="200" w:lineRule="exact"/>
        <w:rPr>
          <w:sz w:val="20"/>
          <w:szCs w:val="20"/>
          <w:color w:val="auto"/>
        </w:rPr>
      </w:pPr>
    </w:p>
    <w:p>
      <w:pPr>
        <w:sectPr>
          <w:pgSz w:w="11900" w:h="16838" w:orient="portrait"/>
          <w:cols w:equalWidth="0" w:num="2">
            <w:col w:w="3240" w:space="720"/>
            <w:col w:w="7260"/>
          </w:cols>
          <w:pgMar w:left="320" w:top="233"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Underwriters’ Discount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0.600%</w:t>
      </w:r>
    </w:p>
    <w:p>
      <w:pPr>
        <w:spacing w:after="0" w:line="222" w:lineRule="exact"/>
        <w:rPr>
          <w:sz w:val="20"/>
          <w:szCs w:val="20"/>
          <w:color w:val="auto"/>
        </w:rPr>
      </w:pPr>
    </w:p>
    <w:p>
      <w:pPr>
        <w:sectPr>
          <w:pgSz w:w="11900" w:h="16838" w:orient="portrait"/>
          <w:cols w:equalWidth="0" w:num="2">
            <w:col w:w="3240" w:space="720"/>
            <w:col w:w="7260"/>
          </w:cols>
          <w:pgMar w:left="320" w:top="233"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98.856% per $1,000 principal amount of 3.750% Notes due 2040; $790,848,000 total</w:t>
      </w:r>
    </w:p>
    <w:p>
      <w:pPr>
        <w:spacing w:after="0" w:line="200" w:lineRule="exact"/>
        <w:rPr>
          <w:sz w:val="20"/>
          <w:szCs w:val="20"/>
          <w:color w:val="auto"/>
        </w:rPr>
      </w:pPr>
    </w:p>
    <w:p>
      <w:pPr>
        <w:sectPr>
          <w:pgSz w:w="11900" w:h="16838" w:orient="portrait"/>
          <w:cols w:equalWidth="0" w:num="2">
            <w:col w:w="3240" w:space="720"/>
            <w:col w:w="7260"/>
          </w:cols>
          <w:pgMar w:left="320" w:top="233" w:right="359" w:bottom="1440" w:gutter="0" w:footer="0" w:header="0"/>
          <w:type w:val="continuous"/>
        </w:sectPr>
      </w:pPr>
    </w:p>
    <w:p>
      <w:pPr>
        <w:spacing w:after="0" w:line="37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March 27, 2020,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0000FF"/>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BofA Securities, Inc. at 800-294-1322, Citigroup Global Markets Inc. at 800-831-9146, J.P. Morgan Securities LLC at 212-834-4533, Morgan Stanley &amp; Co. LLC at 866-718-1649 or Wells Fargo Securities, LLC at 800-645-3751.</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23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2020-03-24T16:18:46Z</dcterms:created>
  <dcterms:modified xsi:type="dcterms:W3CDTF">2020-03-24T16:18:46Z</dcterms:modified>
</cp:coreProperties>
</file>