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620"/>
        <w:spacing w:after="0"/>
        <w:tabs>
          <w:tab w:leader="none" w:pos="4240" w:val="left"/>
        </w:tabs>
        <w:rPr>
          <w:sz w:val="20"/>
          <w:szCs w:val="20"/>
          <w:color w:val="auto"/>
        </w:rPr>
      </w:pPr>
      <w:r>
        <w:rPr>
          <w:rFonts w:ascii="Courier New" w:cs="Courier New" w:eastAsia="Courier New" w:hAnsi="Courier New"/>
          <w:sz w:val="15"/>
          <w:szCs w:val="15"/>
          <w:color w:val="auto"/>
        </w:rPr>
        <w:t>WASHINGTON, D.C.</w:t>
        <w:tab/>
        <w:t>20549</w:t>
      </w:r>
    </w:p>
    <w:p>
      <w:pPr>
        <w:spacing w:after="0" w:line="180"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FORM 8-K</w:t>
      </w:r>
    </w:p>
    <w:p>
      <w:pPr>
        <w:spacing w:after="0" w:line="354"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29" w:lineRule="exact"/>
        <w:rPr>
          <w:sz w:val="24"/>
          <w:szCs w:val="24"/>
          <w:color w:val="auto"/>
        </w:rPr>
      </w:pPr>
    </w:p>
    <w:p>
      <w:pPr>
        <w:ind w:left="190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5"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329" w:lineRule="exact"/>
        <w:rPr>
          <w:sz w:val="24"/>
          <w:szCs w:val="24"/>
          <w:color w:val="auto"/>
        </w:rPr>
      </w:pPr>
    </w:p>
    <w:p>
      <w:pPr>
        <w:ind w:left="620"/>
        <w:spacing w:after="0"/>
        <w:tabs>
          <w:tab w:leader="none" w:pos="5240" w:val="left"/>
        </w:tabs>
        <w:rPr>
          <w:sz w:val="20"/>
          <w:szCs w:val="20"/>
          <w:color w:val="auto"/>
        </w:rPr>
      </w:pPr>
      <w:r>
        <w:rPr>
          <w:rFonts w:ascii="Courier New" w:cs="Courier New" w:eastAsia="Courier New" w:hAnsi="Courier New"/>
          <w:sz w:val="15"/>
          <w:szCs w:val="15"/>
          <w:color w:val="auto"/>
        </w:rPr>
        <w:t>Date of Report (Date of earliest event reported):</w:t>
        <w:tab/>
        <w:t>October 28, 1995</w:t>
      </w:r>
    </w:p>
    <w:p>
      <w:pPr>
        <w:spacing w:after="0" w:line="200" w:lineRule="exact"/>
        <w:rPr>
          <w:sz w:val="24"/>
          <w:szCs w:val="24"/>
          <w:color w:val="auto"/>
        </w:rPr>
      </w:pPr>
    </w:p>
    <w:p>
      <w:pPr>
        <w:spacing w:after="0" w:line="329"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759" w:right="1440" w:bottom="1440" w:gutter="0" w:footer="0" w:header="0"/>
        </w:sectPr>
      </w:pPr>
    </w:p>
    <w:p>
      <w:pPr>
        <w:spacing w:after="0" w:line="354"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0-6983</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w:t>
      </w:r>
    </w:p>
    <w:p>
      <w:pPr>
        <w:spacing w:after="0" w:line="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23-1709202</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no.)</w:t>
      </w:r>
    </w:p>
    <w:p>
      <w:pPr>
        <w:spacing w:after="0" w:line="200" w:lineRule="exact"/>
        <w:rPr>
          <w:sz w:val="24"/>
          <w:szCs w:val="24"/>
          <w:color w:val="auto"/>
        </w:rPr>
      </w:pPr>
    </w:p>
    <w:p>
      <w:pPr>
        <w:sectPr>
          <w:pgSz w:w="11900" w:h="16838" w:orient="portrait"/>
          <w:cols w:equalWidth="0" w:num="3">
            <w:col w:w="2180" w:space="720"/>
            <w:col w:w="2380" w:space="720"/>
            <w:col w:w="4219"/>
          </w:cols>
          <w:pgMar w:left="240" w:top="759" w:right="1440" w:bottom="1440" w:gutter="0" w:footer="0" w:header="0"/>
          <w:type w:val="continuous"/>
        </w:sectPr>
      </w:pPr>
    </w:p>
    <w:p>
      <w:pPr>
        <w:spacing w:after="0" w:line="329" w:lineRule="exact"/>
        <w:rPr>
          <w:sz w:val="24"/>
          <w:szCs w:val="24"/>
          <w:color w:val="auto"/>
        </w:rPr>
      </w:pPr>
    </w:p>
    <w:p>
      <w:pPr>
        <w:ind w:left="1180"/>
        <w:spacing w:after="0"/>
        <w:tabs>
          <w:tab w:leader="none" w:pos="5240" w:val="left"/>
        </w:tabs>
        <w:rPr>
          <w:sz w:val="20"/>
          <w:szCs w:val="20"/>
          <w:color w:val="auto"/>
        </w:rPr>
      </w:pPr>
      <w:r>
        <w:rPr>
          <w:rFonts w:ascii="Courier New" w:cs="Courier New" w:eastAsia="Courier New" w:hAnsi="Courier New"/>
          <w:sz w:val="15"/>
          <w:szCs w:val="15"/>
          <w:color w:val="auto"/>
        </w:rPr>
        <w:t>1500 Market Street, Philadelphia, PA</w:t>
      </w:r>
      <w:r>
        <w:rPr>
          <w:sz w:val="20"/>
          <w:szCs w:val="20"/>
          <w:color w:val="auto"/>
        </w:rPr>
        <w:tab/>
      </w:r>
      <w:r>
        <w:rPr>
          <w:rFonts w:ascii="Courier New" w:cs="Courier New" w:eastAsia="Courier New" w:hAnsi="Courier New"/>
          <w:sz w:val="15"/>
          <w:szCs w:val="15"/>
          <w:color w:val="auto"/>
        </w:rPr>
        <w:t>19102-2148</w:t>
      </w:r>
    </w:p>
    <w:p>
      <w:pPr>
        <w:spacing w:after="0" w:line="5"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80"/>
        <w:spacing w:after="0"/>
        <w:tabs>
          <w:tab w:leader="none" w:pos="52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0219"/>
          </w:cols>
          <w:pgMar w:left="240" w:top="75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spacing w:after="0" w:line="5" w:lineRule="exact"/>
        <w:rPr>
          <w:sz w:val="24"/>
          <w:szCs w:val="24"/>
          <w:color w:val="auto"/>
        </w:rPr>
      </w:pPr>
    </w:p>
    <w:p>
      <w:pPr>
        <w:ind w:left="5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759" w:right="1440" w:bottom="1440" w:gutter="0" w:footer="0" w:header="0"/>
          <w:type w:val="continuous"/>
        </w:sectPr>
      </w:pPr>
    </w:p>
    <w:bookmarkStart w:id="1" w:name="page2"/>
    <w:bookmarkEnd w:id="1"/>
    <w:p>
      <w:pPr>
        <w:spacing w:after="0"/>
        <w:tabs>
          <w:tab w:leader="none" w:pos="8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Other Events.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In October 1995, Comcast Corporation (the "Company") announced its agreement to purchase the cable television operations ("Scripps Cable") of The E.W. Scripps Company ("E.W. Scripps") in exchange for shares of the Company's Class A Special Common Stock, par value $1.00 per share (the "Class A Special Common Stock"), worth $1.575 billion (the "Base Consideration"), subject to certain closing adjustments (the "Scripps Transaction"). Scripps Cable, including an acquisition which closed in January 1996, passes approximately</w:t>
      </w:r>
    </w:p>
    <w:p>
      <w:pPr>
        <w:spacing w:after="0" w:line="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1.2 million homes and serves approximately 800,000 subscribers, with over 60% of the subscribers located in Sacramento, California and Chattanooga and Knoxville, Tennessee. The purchase is expected to close in the third quarter of 1996, subject to shareholder and regulatory approval and certain other conditions.</w:t>
      </w:r>
    </w:p>
    <w:p>
      <w:pPr>
        <w:spacing w:after="0" w:line="178"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Concurrent with the announcement of the Scripps Transaction, the Company announced that its Board of Directors had authorized a market repurchase program pursuant to which the Company may purchase, at such times and on such terms as it deems appropriate, up to $500.0 million of its outstanding common equity securities, subject to certain restrictions and market conditions.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Pursuant to the Agreement and Plan of Merger dated as of October 28, 1995 (the "Merger Agreement"), incorporated by reference herein, by and among the Company, E.W. Scripps, and Scripps Howard, Inc., a wholly owned subsidiary of E.W. Scripps, E.W. Scripps will distribute to its shareholders all assets other than Scripps Cable. Following such distribution, E.W. Scripps will be merged with and into the Company (the "Merger") and each share of E.W. Scripps common stock issued and outstanding immediately prior to the Merger will be converted into a portion of the shares of the Class A Special Common Stock to be paid as consideration in the Merger. Assuming that the closing adjustments made to the Base Consideration result in a $36.8 million increase in the purchase price (estimated solely for purposes of the unaudited pro forma condensed consolidated financial statements included herein), and assuming that the Class A Special Common Stock is valued, as described below, at $20.075 per share, the average closing price of the Class A Special Common Stock during a 20 trading day period ending shortly before the execution of the Merger Agreement, the Company would issue to E.W. Scripps shareholders an</w:t>
      </w:r>
    </w:p>
    <w:p>
      <w:pPr>
        <w:spacing w:after="0" w:line="1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aggregate of approximately 80.3 million shares of Class A Special Common Stock in the Merger. Such shares would represent, in the aggregate, approximately 29.4% of the Class A Special Common Stock outstanding as of December 31, 1995, on a pro forma basis.</w:t>
      </w:r>
    </w:p>
    <w:p>
      <w:pPr>
        <w:spacing w:after="0" w:line="177"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For purposes of determining the number of shares of Class A Special Common Stock to be delivered in the Merger, such stock will be valued on the basis of the average closing price of the Class A Special Common Stock on The Nasdaq Stock Market for 15 trading days randomly selected from the 40 trading day period ending shortly before the closing date (the "Comcast Share Price"); provided that the Comcast Share Price will be no greater than $23.09 and, except as provided below, no less than $17.06. If the Comcast Share Price is below $17.06, E.W. Scripps has the right to terminate the Merger Agreement, subject to the right of the Company to increase the number of shares of Class A Special Common Stock to be delivered in the Merger to that number of shares that would have been delivered if the Comcast Share Price were not subject to the minimum price of $17.06 or to such lower number of shares as may be agreed to by E.W. Scripps.</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2" w:right="1440" w:bottom="1440" w:gutter="0" w:footer="0" w:header="0"/>
        </w:sectPr>
      </w:pPr>
    </w:p>
    <w:bookmarkStart w:id="2" w:name="page3"/>
    <w:bookmarkEnd w:id="2"/>
    <w:p>
      <w:pPr>
        <w:ind w:right="3779" w:firstLine="909"/>
        <w:spacing w:after="0" w:line="247" w:lineRule="auto"/>
        <w:rPr>
          <w:sz w:val="20"/>
          <w:szCs w:val="20"/>
          <w:color w:val="auto"/>
        </w:rPr>
      </w:pPr>
      <w:r>
        <w:rPr>
          <w:rFonts w:ascii="Courier New" w:cs="Courier New" w:eastAsia="Courier New" w:hAnsi="Courier New"/>
          <w:sz w:val="15"/>
          <w:szCs w:val="15"/>
          <w:color w:val="auto"/>
        </w:rPr>
        <w:t>Although the Company believes the consummation of the Scripps Transaction is probable, no assurances can be given that the Scripps Transaction will occur at all or occur in the foregoing manner.</w:t>
      </w:r>
    </w:p>
    <w:p>
      <w:pPr>
        <w:spacing w:after="0" w:line="174" w:lineRule="exact"/>
        <w:rPr>
          <w:sz w:val="20"/>
          <w:szCs w:val="20"/>
          <w:color w:val="auto"/>
        </w:rPr>
      </w:pPr>
    </w:p>
    <w:p>
      <w:pPr>
        <w:ind w:right="3499" w:firstLine="909"/>
        <w:spacing w:after="0" w:line="247" w:lineRule="auto"/>
        <w:rPr>
          <w:sz w:val="20"/>
          <w:szCs w:val="20"/>
          <w:color w:val="auto"/>
        </w:rPr>
      </w:pPr>
      <w:r>
        <w:rPr>
          <w:rFonts w:ascii="Courier New" w:cs="Courier New" w:eastAsia="Courier New" w:hAnsi="Courier New"/>
          <w:sz w:val="15"/>
          <w:szCs w:val="15"/>
          <w:color w:val="auto"/>
        </w:rPr>
        <w:t>This Current Report on Form 8-K supersedes the Company's Current Report on Form 8-K filed on December 19, 1995 in its entirety.</w:t>
      </w:r>
    </w:p>
    <w:p>
      <w:pPr>
        <w:spacing w:after="0" w:line="349"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FINANCIAL STATEMENTS AND EXHIBITS</w:t>
      </w:r>
    </w:p>
    <w:p>
      <w:pPr>
        <w:spacing w:after="0" w:line="180" w:lineRule="exact"/>
        <w:rPr>
          <w:sz w:val="20"/>
          <w:szCs w:val="20"/>
          <w:color w:val="auto"/>
        </w:rPr>
      </w:pPr>
    </w:p>
    <w:p>
      <w:pPr>
        <w:ind w:left="900" w:hanging="452"/>
        <w:spacing w:after="0"/>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79" w:lineRule="exact"/>
        <w:rPr>
          <w:rFonts w:ascii="Courier New" w:cs="Courier New" w:eastAsia="Courier New" w:hAnsi="Courier New"/>
          <w:sz w:val="15"/>
          <w:szCs w:val="15"/>
          <w:color w:val="auto"/>
        </w:rPr>
      </w:pPr>
    </w:p>
    <w:p>
      <w:pPr>
        <w:ind w:left="900"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Unaudited Pro Forma Condensed Consolidated Financial Statements are included in this Report and are listed in the Index to Unaudited Pro Forma Financial Information included immediately after the Exhibit Index of this Report.</w:t>
      </w:r>
    </w:p>
    <w:p>
      <w:pPr>
        <w:spacing w:after="0" w:line="177" w:lineRule="exact"/>
        <w:rPr>
          <w:rFonts w:ascii="Courier New" w:cs="Courier New" w:eastAsia="Courier New" w:hAnsi="Courier New"/>
          <w:sz w:val="15"/>
          <w:szCs w:val="15"/>
          <w:color w:val="auto"/>
        </w:rPr>
      </w:pPr>
    </w:p>
    <w:p>
      <w:pPr>
        <w:ind w:left="900"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combined financial statements of Scripps Cable for the year ended December 31, 1995 are incorporated by reference from the Form 8-K/A(2) of The E.W. Scripps Company (commission file no.</w:t>
      </w:r>
    </w:p>
    <w:p>
      <w:pPr>
        <w:spacing w:after="0" w:line="1"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1-16914) dated March 28, 1996.</w:t>
      </w:r>
    </w:p>
    <w:p>
      <w:pPr>
        <w:spacing w:after="0" w:line="179" w:lineRule="exact"/>
        <w:rPr>
          <w:rFonts w:ascii="Courier New" w:cs="Courier New" w:eastAsia="Courier New" w:hAnsi="Courier New"/>
          <w:sz w:val="15"/>
          <w:szCs w:val="15"/>
          <w:color w:val="auto"/>
        </w:rPr>
      </w:pPr>
    </w:p>
    <w:p>
      <w:pPr>
        <w:ind w:left="900" w:right="8319" w:hanging="452"/>
        <w:spacing w:after="0" w:line="493" w:lineRule="auto"/>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EXHIBIT NO.</w:t>
      </w:r>
    </w:p>
    <w:p>
      <w:pPr>
        <w:spacing w:after="0" w:line="1" w:lineRule="exact"/>
        <w:rPr>
          <w:sz w:val="20"/>
          <w:szCs w:val="20"/>
          <w:color w:val="auto"/>
        </w:rPr>
      </w:pPr>
    </w:p>
    <w:p>
      <w:pPr>
        <w:ind w:left="1820" w:right="3319" w:hanging="908"/>
        <w:spacing w:after="0" w:line="246" w:lineRule="auto"/>
        <w:tabs>
          <w:tab w:leader="none" w:pos="18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Agreement and Plan of Merger, including certain exhibits thereto, dated as of October 28, 1995, by and among The E.W. Scripps Company, Scripps Howard, Inc. and Comcast Corporation (incorporated by reference from Exhibit 10.1 to the Company's Current Report on Form 8-K dated December 19, 1995).</w:t>
      </w:r>
    </w:p>
    <w:p>
      <w:pPr>
        <w:spacing w:after="0" w:line="178" w:lineRule="exact"/>
        <w:rPr>
          <w:sz w:val="20"/>
          <w:szCs w:val="20"/>
          <w:color w:val="auto"/>
        </w:rPr>
      </w:pPr>
    </w:p>
    <w:p>
      <w:pPr>
        <w:ind w:left="900"/>
        <w:spacing w:after="0"/>
        <w:tabs>
          <w:tab w:leader="none" w:pos="18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Deloitte &amp; Touche LLP.</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3" w:name="page4"/>
    <w:bookmarkEnd w:id="3"/>
    <w:p>
      <w:pPr>
        <w:ind w:left="31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4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10, 1996</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Lawrence S. Smith</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Lawrence S. Smith</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Executive Vice President</w:t>
      </w:r>
    </w:p>
    <w:p>
      <w:pPr>
        <w:spacing w:after="0" w:line="180" w:lineRule="exact"/>
        <w:rPr>
          <w:sz w:val="20"/>
          <w:szCs w:val="20"/>
          <w:color w:val="auto"/>
        </w:rPr>
      </w:pPr>
    </w:p>
    <w:p>
      <w:pPr>
        <w:sectPr>
          <w:pgSz w:w="11900" w:h="16838" w:orient="portrait"/>
          <w:cols w:equalWidth="0" w:num="3">
            <w:col w:w="540" w:space="180"/>
            <w:col w:w="3360" w:space="720"/>
            <w:col w:w="5419"/>
          </w:cols>
          <w:pgMar w:left="240" w:top="643"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643" w:right="1440" w:bottom="1440" w:gutter="0" w:footer="0" w:header="0"/>
          <w:type w:val="continuous"/>
        </w:sectPr>
      </w:pPr>
    </w:p>
    <w:bookmarkStart w:id="4" w:name="page5"/>
    <w:bookmarkEnd w:id="4"/>
    <w:p>
      <w:pPr>
        <w:ind w:left="308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817"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2000" w:space="720"/>
            <w:col w:w="7499"/>
          </w:cols>
          <w:pgMar w:left="240" w:top="817" w:right="1440" w:bottom="1440" w:gutter="0" w:footer="0" w:header="0"/>
          <w:type w:val="continuous"/>
        </w:sectPr>
      </w:pPr>
    </w:p>
    <w:p>
      <w:pPr>
        <w:spacing w:after="0"/>
        <w:tabs>
          <w:tab w:leader="none" w:pos="134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Deloitte &amp; Touche LLP.</w:t>
      </w:r>
    </w:p>
    <w:p>
      <w:pPr>
        <w:sectPr>
          <w:pgSz w:w="11900" w:h="16838" w:orient="portrait"/>
          <w:cols w:equalWidth="0" w:num="1">
            <w:col w:w="10219"/>
          </w:cols>
          <w:pgMar w:left="240" w:top="817" w:right="1440" w:bottom="1440" w:gutter="0" w:footer="0" w:header="0"/>
          <w:type w:val="continuous"/>
        </w:sectPr>
      </w:pPr>
    </w:p>
    <w:bookmarkStart w:id="5" w:name="page6"/>
    <w:bookmarkEnd w:id="5"/>
    <w:p>
      <w:pPr>
        <w:ind w:left="23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ind w:left="920"/>
              <w:spacing w:after="0"/>
              <w:rPr>
                <w:sz w:val="20"/>
                <w:szCs w:val="20"/>
                <w:color w:val="auto"/>
              </w:rPr>
            </w:pPr>
            <w:r>
              <w:rPr>
                <w:rFonts w:ascii="Courier New" w:cs="Courier New" w:eastAsia="Courier New" w:hAnsi="Courier New"/>
                <w:sz w:val="15"/>
                <w:szCs w:val="15"/>
                <w:color w:val="auto"/>
              </w:rPr>
              <w:t>INDEX TO UNAUDITED</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PRO FORMA FINANCIAL INFORMATION</w:t>
            </w:r>
          </w:p>
        </w:tc>
        <w:tc>
          <w:tcPr>
            <w:tcW w:w="680" w:type="dxa"/>
            <w:vAlign w:val="bottom"/>
          </w:tcPr>
          <w:p>
            <w:pPr>
              <w:spacing w:after="0"/>
              <w:rPr>
                <w:sz w:val="14"/>
                <w:szCs w:val="14"/>
                <w:color w:val="auto"/>
              </w:rPr>
            </w:pPr>
          </w:p>
        </w:tc>
      </w:tr>
      <w:tr>
        <w:trPr>
          <w:trHeight w:val="524"/>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Unaudited Pro Forma Financial Information</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- 1</w:t>
            </w:r>
          </w:p>
        </w:tc>
      </w:tr>
      <w:tr>
        <w:trPr>
          <w:trHeight w:val="35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Unaudited Pro Forma Condensed Consolidated</w:t>
            </w:r>
          </w:p>
        </w:tc>
        <w:tc>
          <w:tcPr>
            <w:tcW w:w="680" w:type="dxa"/>
            <w:vAlign w:val="bottom"/>
          </w:tcPr>
          <w:p>
            <w:pPr>
              <w:spacing w:after="0"/>
              <w:rPr>
                <w:sz w:val="24"/>
                <w:szCs w:val="24"/>
                <w:color w:val="auto"/>
              </w:rPr>
            </w:pPr>
          </w:p>
        </w:tc>
      </w:tr>
      <w:tr>
        <w:trPr>
          <w:trHeight w:val="175"/>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Balance Sheet - December 31,</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- 2</w:t>
            </w:r>
          </w:p>
        </w:tc>
      </w:tr>
      <w:tr>
        <w:trPr>
          <w:trHeight w:val="350"/>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Unaudited Pro Forma Condensed Consolidated Statement</w:t>
            </w:r>
          </w:p>
        </w:tc>
        <w:tc>
          <w:tcPr>
            <w:tcW w:w="680" w:type="dxa"/>
            <w:vAlign w:val="bottom"/>
          </w:tcPr>
          <w:p>
            <w:pPr>
              <w:spacing w:after="0"/>
              <w:rPr>
                <w:sz w:val="24"/>
                <w:szCs w:val="24"/>
                <w:color w:val="auto"/>
              </w:rPr>
            </w:pPr>
          </w:p>
        </w:tc>
      </w:tr>
      <w:tr>
        <w:trPr>
          <w:trHeight w:val="175"/>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of Operations for the Year Ended December 31, 1995</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- 3</w:t>
            </w:r>
          </w:p>
        </w:tc>
      </w:tr>
      <w:tr>
        <w:trPr>
          <w:trHeight w:val="35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Notes to Unaudited Pro Forma</w:t>
            </w:r>
          </w:p>
        </w:tc>
        <w:tc>
          <w:tcPr>
            <w:tcW w:w="3080" w:type="dxa"/>
            <w:vAlign w:val="bottom"/>
          </w:tcPr>
          <w:p>
            <w:pPr>
              <w:ind w:left="40"/>
              <w:spacing w:after="0"/>
              <w:rPr>
                <w:sz w:val="20"/>
                <w:szCs w:val="20"/>
                <w:color w:val="auto"/>
              </w:rPr>
            </w:pPr>
            <w:r>
              <w:rPr>
                <w:rFonts w:ascii="Courier New" w:cs="Courier New" w:eastAsia="Courier New" w:hAnsi="Courier New"/>
                <w:sz w:val="15"/>
                <w:szCs w:val="15"/>
                <w:color w:val="auto"/>
              </w:rPr>
              <w:t>Condensed Consolidated</w:t>
            </w:r>
          </w:p>
        </w:tc>
        <w:tc>
          <w:tcPr>
            <w:tcW w:w="680" w:type="dxa"/>
            <w:vAlign w:val="bottom"/>
          </w:tcPr>
          <w:p>
            <w:pPr>
              <w:spacing w:after="0"/>
              <w:rPr>
                <w:sz w:val="24"/>
                <w:szCs w:val="24"/>
                <w:color w:val="auto"/>
              </w:rPr>
            </w:pPr>
          </w:p>
        </w:tc>
      </w:tr>
      <w:tr>
        <w:trPr>
          <w:trHeight w:val="175"/>
        </w:trPr>
        <w:tc>
          <w:tcPr>
            <w:tcW w:w="260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308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- 4</w:t>
            </w:r>
          </w:p>
        </w:tc>
      </w:tr>
    </w:tbl>
    <w:p>
      <w:pPr>
        <w:sectPr>
          <w:pgSz w:w="11900" w:h="16838" w:orient="portrait"/>
          <w:cols w:equalWidth="0" w:num="1">
            <w:col w:w="9779"/>
          </w:cols>
          <w:pgMar w:left="680" w:top="642" w:right="1440" w:bottom="1440" w:gutter="0" w:footer="0" w:header="0"/>
        </w:sectPr>
      </w:pPr>
    </w:p>
    <w:bookmarkStart w:id="6" w:name="page7"/>
    <w:bookmarkEnd w:id="6"/>
    <w:p>
      <w:pPr>
        <w:jc w:val="center"/>
        <w:ind w:right="2879"/>
        <w:spacing w:after="0"/>
        <w:rPr>
          <w:sz w:val="20"/>
          <w:szCs w:val="20"/>
          <w:color w:val="auto"/>
        </w:rPr>
      </w:pPr>
      <w:r>
        <w:rPr>
          <w:rFonts w:ascii="Courier New" w:cs="Courier New" w:eastAsia="Courier New" w:hAnsi="Courier New"/>
          <w:sz w:val="15"/>
          <w:szCs w:val="15"/>
          <w:color w:val="auto"/>
        </w:rPr>
        <w:t>UNAUDITED PRO FORMA</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FINANCIAL INFORMATION</w:t>
      </w:r>
    </w:p>
    <w:p>
      <w:pPr>
        <w:spacing w:after="0" w:line="35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February 1995, the Company and Tele-Communications, Inc. ("TCI") acquired all of the outstanding stock of QVC, Inc. ("QVC") not previously owned by them (the "QVC Acquisition") for approximately $1.4 billion in cash. In October 1995, the Company announced its agreement to purchase the cable television operations ("Scripps Cable") of The E.W. Scripps Company ("E.W. Scripps") in exchange for shares of the Company's Class A Special Common Stock worth $1.575 billion, subject to certain closing adjustments (the "Scripps Transaction"). For a further description of the QVC Acquisition, the Scripps Transaction and certain related transactions, see the notes to unaudited pro forma condensed consolidated financial statements.</w:t>
      </w:r>
    </w:p>
    <w:p>
      <w:pPr>
        <w:spacing w:after="0" w:line="181"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following unaudited pro forma condensed consolidated financial statements reflect the consolidated financial position of the Company and Scripps Cable as of December 31, 1995, and their, along with QVC's, consolidated operations for the year ended December 31, 1995. See the notes to unaudited pro forma condensed consolidated financial statements for a description of the assumptions used in preparing these unaudited pro forma condensed consolidated financial statements.</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Although the Company believes consummation of the Scripps Transaction is probable, no assurances can be given that it will occur at all or occur in the manner assumed in the accompanying unaudited pro forma condensed consolidated financial statements.</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unaudited pro forma condensed consolidated balance sheet assumes the Scripps Transaction occurred on December 31, 1995. The unaudited pro forma condensed consolidated statement of operations for the year ended December 31, 1995 assumes the QVC Acquisition and the Scripps Transaction occurred on January 1, 1995.</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unaudited pro forma condensed consolidated financial statements should be read in conjunction with: 1) the historical consolidated financial statements of the Company included in the Company's Annual Report on Form 10-K for the year ended December 31, 1995; and 2) the historical combined financial statements of Scripps Cable for the year ended December 31, 1995 incorporated by reference herein.</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results presented in the unaudited pro forma condensed consolidated statement of operations are not necessarily indicative of the results which actually would have occurred had the QVC Acquisition and the Scripps Transaction occurred on the dates indicated or which may result in the future.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42" w:right="1440" w:bottom="1440" w:gutter="0" w:footer="0" w:header="0"/>
        </w:sectPr>
      </w:pPr>
    </w:p>
    <w:bookmarkStart w:id="7" w:name="page8"/>
    <w:bookmarkEnd w:id="7"/>
    <w:p>
      <w:pPr>
        <w:jc w:val="center"/>
        <w:ind w:right="40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UNAUDITED PRO FORMA CONDENSED CONSOLIDATED BALANCE SHEET</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DECEMBER 31, 1995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ind w:left="2620"/>
              <w:spacing w:after="0"/>
              <w:rPr>
                <w:sz w:val="20"/>
                <w:szCs w:val="20"/>
                <w:color w:val="auto"/>
              </w:rPr>
            </w:pPr>
            <w:r>
              <w:rPr>
                <w:rFonts w:ascii="Courier New" w:cs="Courier New" w:eastAsia="Courier New" w:hAnsi="Courier New"/>
                <w:sz w:val="15"/>
                <w:szCs w:val="15"/>
                <w:color w:val="auto"/>
              </w:rPr>
              <w:t>(DOLLARS IN THOUSANDS)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874"/>
        </w:trPr>
        <w:tc>
          <w:tcPr>
            <w:tcW w:w="4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w:t>
            </w: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Scripps Cable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 Forma</w:t>
            </w: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rPr>
              <w:t>The Company</w:t>
            </w: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72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524"/>
        </w:trPr>
        <w:tc>
          <w:tcPr>
            <w:tcW w:w="4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Cash, cash equivalents and</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short-term investments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910,043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3,085</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913,128</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390,698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12,107</w:t>
            </w: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402,805</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243,447</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12,822</w:t>
            </w: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256,269</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Prepaid charges and other</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49,671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446</w:t>
            </w: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50,117</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59,799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5,421</w:t>
            </w: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65,220</w:t>
            </w: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1,653,658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33,881</w:t>
            </w: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1,687,539</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Investments, principally in affiliates</w:t>
            </w:r>
          </w:p>
        </w:tc>
        <w:tc>
          <w:tcPr>
            <w:tcW w:w="36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906,383</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906,383</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36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1,643,602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294,557</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328,540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(E.1.,2.)</w:t>
            </w:r>
          </w:p>
        </w:tc>
        <w:tc>
          <w:tcPr>
            <w:tcW w:w="36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2,266,699</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Deferred Charges, net</w:t>
            </w:r>
          </w:p>
        </w:tc>
        <w:tc>
          <w:tcPr>
            <w:tcW w:w="36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5,376,665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94,135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1,473,512</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(E.2.,3.,7.)</w:t>
            </w:r>
          </w:p>
        </w:tc>
        <w:tc>
          <w:tcPr>
            <w:tcW w:w="36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6,944,312</w:t>
            </w: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$9,580,308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$422,573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$1,802,052</w:t>
            </w:r>
          </w:p>
        </w:tc>
        <w:tc>
          <w:tcPr>
            <w:tcW w:w="132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$11,804,933</w:t>
            </w: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(DEFICIENCY) EQUITY</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1,036,666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$ 35,274</w:t>
            </w:r>
          </w:p>
        </w:tc>
        <w:tc>
          <w:tcPr>
            <w:tcW w:w="246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($3,880) (E.4.)</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1,068,060</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 debt</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85,403</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85,403</w:t>
            </w: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1,122,069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35,274</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(3,880)</w:t>
            </w: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1,153,463</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36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6,943,766</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6,943,766</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Due to Affiliates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312,737</w:t>
            </w:r>
          </w:p>
        </w:tc>
        <w:tc>
          <w:tcPr>
            <w:tcW w:w="24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(312,737) (E.4.)</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1,517,995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80,193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500,594</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(E.7.)</w:t>
            </w:r>
          </w:p>
        </w:tc>
        <w:tc>
          <w:tcPr>
            <w:tcW w:w="36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2,098,782</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Minority Interest and Other</w:t>
            </w:r>
          </w:p>
        </w:tc>
        <w:tc>
          <w:tcPr>
            <w:tcW w:w="36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824,129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9,325</w:t>
            </w:r>
          </w:p>
        </w:tc>
        <w:tc>
          <w:tcPr>
            <w:tcW w:w="24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(8,700) (E.4.)</w:t>
            </w:r>
          </w:p>
        </w:tc>
        <w:tc>
          <w:tcPr>
            <w:tcW w:w="36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824,754</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Stockholders' (Deficiency) Equity</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239,338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1,801</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78,489</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(E.5.,6.)</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319,628</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Additional capital</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843,113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35,144</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1,496,385</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(E.5.,6.)</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2,374,642</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(1,914,292)</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(51,901)</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51,901</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(E.6.)</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(1,914,292)</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gains on marketable securities</w:t>
            </w:r>
          </w:p>
        </w:tc>
        <w:tc>
          <w:tcPr>
            <w:tcW w:w="3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22,210</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22,210</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 adjustments</w:t>
            </w:r>
          </w:p>
        </w:tc>
        <w:tc>
          <w:tcPr>
            <w:tcW w:w="3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(18,020)</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(18,020)</w:t>
            </w: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Total stockholders' (deficiency) equity</w:t>
            </w:r>
          </w:p>
        </w:tc>
        <w:tc>
          <w:tcPr>
            <w:tcW w:w="360" w:type="dxa"/>
            <w:vAlign w:val="bottom"/>
          </w:tcPr>
          <w:p>
            <w:pPr>
              <w:spacing w:after="0"/>
              <w:rPr>
                <w:sz w:val="24"/>
                <w:szCs w:val="2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(827,651)</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(14,956)</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1,626,775</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784,168</w:t>
            </w: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$9,580,308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$422,573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$1,802,052</w:t>
            </w:r>
          </w:p>
        </w:tc>
        <w:tc>
          <w:tcPr>
            <w:tcW w:w="132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$11,804,933</w:t>
            </w: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1440"/>
          </w:cols>
          <w:pgMar w:left="240" w:top="642" w:right="219" w:bottom="1440" w:gutter="0" w:footer="0" w:header="0"/>
        </w:sectPr>
      </w:pPr>
    </w:p>
    <w:bookmarkStart w:id="8" w:name="page9"/>
    <w:bookmarkEnd w:id="8"/>
    <w:p>
      <w:pPr>
        <w:jc w:val="center"/>
        <w:ind w:right="41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YEAR ENDED DECEMBER 31, 1995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874"/>
        </w:trPr>
        <w:tc>
          <w:tcPr>
            <w:tcW w:w="4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QVC</w:t>
            </w: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center"/>
              <w:ind w:left="4"/>
              <w:spacing w:after="0"/>
              <w:rPr>
                <w:sz w:val="20"/>
                <w:szCs w:val="20"/>
                <w:color w:val="auto"/>
              </w:rPr>
            </w:pPr>
            <w:r>
              <w:rPr>
                <w:rFonts w:ascii="Courier New" w:cs="Courier New" w:eastAsia="Courier New" w:hAnsi="Courier New"/>
                <w:sz w:val="15"/>
                <w:szCs w:val="15"/>
                <w:color w:val="auto"/>
              </w:rPr>
              <w:t>QVC</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Adjustments</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524"/>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$3,362,946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$131,469</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($1,095) (B.1.)</w:t>
            </w:r>
          </w:p>
        </w:tc>
        <w:tc>
          <w:tcPr>
            <w:tcW w:w="16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2,344,103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108,044</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(469) (B.1.)</w:t>
            </w: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689,052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5,001</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4,781</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(B.2.)</w:t>
            </w: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3,033,155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113,045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4,312</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329,791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18,424</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(5,407)</w:t>
            </w: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524,727</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12,256</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(B.3.)</w:t>
            </w:r>
          </w:p>
        </w:tc>
        <w:tc>
          <w:tcPr>
            <w:tcW w:w="16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(229,848)</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(1,634)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348</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(B.4.)</w:t>
            </w:r>
          </w:p>
        </w:tc>
        <w:tc>
          <w:tcPr>
            <w:tcW w:w="16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86,618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2,285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5,480</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(B.5.)</w:t>
            </w:r>
          </w:p>
        </w:tc>
        <w:tc>
          <w:tcPr>
            <w:tcW w:w="16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(6,296)</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375,201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18,084</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and 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(45,410)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17,648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(23,491)</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42,171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8,055</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(8,134) (B.6.)</w:t>
            </w:r>
          </w:p>
        </w:tc>
        <w:tc>
          <w:tcPr>
            <w:tcW w:w="1620" w:type="dxa"/>
            <w:vAlign w:val="bottom"/>
          </w:tcPr>
          <w:p>
            <w:pPr>
              <w:spacing w:after="0"/>
              <w:rPr>
                <w:sz w:val="24"/>
                <w:szCs w:val="24"/>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(49,732)</w:t>
            </w:r>
          </w:p>
        </w:tc>
        <w:tc>
          <w:tcPr>
            <w:tcW w:w="1440" w:type="dxa"/>
            <w:vAlign w:val="bottom"/>
          </w:tcPr>
          <w:p>
            <w:pPr>
              <w:spacing w:after="0"/>
              <w:rPr>
                <w:sz w:val="15"/>
                <w:szCs w:val="15"/>
                <w:color w:val="auto"/>
              </w:rPr>
            </w:pP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(802) (B.7.)</w:t>
            </w: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($37,849)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$9,593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($14,555)</w:t>
            </w: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($0.16)</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239,679</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699"/>
        </w:trPr>
        <w:tc>
          <w:tcPr>
            <w:tcW w:w="4620" w:type="dxa"/>
            <w:vAlign w:val="bottom"/>
          </w:tcPr>
          <w:p>
            <w:pPr>
              <w:spacing w:after="0"/>
              <w:rPr>
                <w:sz w:val="24"/>
                <w:szCs w:val="24"/>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center"/>
              <w:ind w:left="4"/>
              <w:spacing w:after="0"/>
              <w:rPr>
                <w:sz w:val="20"/>
                <w:szCs w:val="20"/>
                <w:color w:val="auto"/>
              </w:rPr>
            </w:pPr>
            <w:r>
              <w:rPr>
                <w:rFonts w:ascii="Courier New" w:cs="Courier New" w:eastAsia="Courier New" w:hAnsi="Courier New"/>
                <w:sz w:val="15"/>
                <w:szCs w:val="15"/>
                <w:color w:val="auto"/>
              </w:rPr>
              <w:t>(D)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The Company</w:t>
            </w: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spacing w:after="0"/>
              <w:rPr>
                <w:sz w:val="15"/>
                <w:szCs w:val="15"/>
                <w:color w:val="auto"/>
              </w:rPr>
            </w:pPr>
          </w:p>
        </w:tc>
        <w:tc>
          <w:tcPr>
            <w:tcW w:w="22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Scripps Cable</w:t>
            </w:r>
          </w:p>
        </w:tc>
        <w:tc>
          <w:tcPr>
            <w:tcW w:w="1620" w:type="dxa"/>
            <w:vAlign w:val="bottom"/>
          </w:tcPr>
          <w:p>
            <w:pPr>
              <w:jc w:val="center"/>
              <w:ind w:left="40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with</w:t>
            </w:r>
          </w:p>
        </w:tc>
        <w:tc>
          <w:tcPr>
            <w:tcW w:w="14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Scripps Cable</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with QVC and</w:t>
            </w: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6"/>
              </w:rPr>
              <w:t>QVC</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Adjustments</w:t>
            </w:r>
          </w:p>
        </w:tc>
        <w:tc>
          <w:tcPr>
            <w:tcW w:w="1100" w:type="dxa"/>
            <w:vAlign w:val="bottom"/>
          </w:tcPr>
          <w:p>
            <w:pPr>
              <w:spacing w:after="0"/>
              <w:rPr>
                <w:sz w:val="15"/>
                <w:szCs w:val="15"/>
                <w:color w:val="auto"/>
              </w:rPr>
            </w:pPr>
          </w:p>
        </w:tc>
        <w:tc>
          <w:tcPr>
            <w:tcW w:w="1620" w:type="dxa"/>
            <w:vAlign w:val="bottom"/>
          </w:tcPr>
          <w:p>
            <w:pPr>
              <w:jc w:val="center"/>
              <w:ind w:left="384"/>
              <w:spacing w:after="0"/>
              <w:rPr>
                <w:sz w:val="20"/>
                <w:szCs w:val="20"/>
                <w:color w:val="auto"/>
              </w:rPr>
            </w:pPr>
            <w:r>
              <w:rPr>
                <w:rFonts w:ascii="Courier New" w:cs="Courier New" w:eastAsia="Courier New" w:hAnsi="Courier New"/>
                <w:sz w:val="15"/>
                <w:szCs w:val="15"/>
                <w:color w:val="auto"/>
                <w:w w:val="99"/>
              </w:rPr>
              <w:t>Scripps Cable</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384"/>
              <w:spacing w:after="0"/>
              <w:rPr>
                <w:sz w:val="20"/>
                <w:szCs w:val="20"/>
                <w:color w:val="auto"/>
              </w:rPr>
            </w:pPr>
            <w:r>
              <w:rPr>
                <w:rFonts w:ascii="Courier New" w:cs="Courier New" w:eastAsia="Courier New" w:hAnsi="Courier New"/>
                <w:sz w:val="15"/>
                <w:szCs w:val="15"/>
                <w:color w:val="auto"/>
                <w:w w:val="99"/>
              </w:rPr>
              <w:t>-------------</w:t>
            </w:r>
          </w:p>
        </w:tc>
      </w:tr>
      <w:tr>
        <w:trPr>
          <w:trHeight w:val="524"/>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$3,493,320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$279,482</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($766) (E.8.)</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$3,772,036</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2,451,678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162,810</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(766) (E.8.)</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2,613,722</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698,834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54,099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134,814</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(E.9.)</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887,747</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3,150,512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216,909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134,048</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3,501,469</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342,808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62,573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(134,814)</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270,567</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537,108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35,258</w:t>
            </w:r>
          </w:p>
        </w:tc>
        <w:tc>
          <w:tcPr>
            <w:tcW w:w="22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(34,915) (E.10.)</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537,451</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(231,134)</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(231,134)</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94,383</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94,383</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(6,296)</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(2,288)</w:t>
            </w: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(8,584)</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394,061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32,970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(34,915)</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392,116</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and 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(51,253)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29,603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(99,899)</w:t>
            </w: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(121,549)</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42,092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11,913</w:t>
            </w:r>
          </w:p>
        </w:tc>
        <w:tc>
          <w:tcPr>
            <w:tcW w:w="22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(31,037) (E.11.)</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22,968</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(50,534)</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(50,534)</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643" w:right="1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($42,811)</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$17,690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($68,862)</w:t>
            </w:r>
          </w:p>
        </w:tc>
        <w:tc>
          <w:tcPr>
            <w:tcW w:w="1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($93,983)</w:t>
            </w:r>
          </w:p>
        </w:tc>
      </w:tr>
      <w:tr>
        <w:trPr>
          <w:trHeight w:val="175"/>
        </w:trPr>
        <w:tc>
          <w:tcPr>
            <w:tcW w:w="450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($0.18)</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r>
      <w:tr>
        <w:trPr>
          <w:trHeight w:val="175"/>
        </w:trPr>
        <w:tc>
          <w:tcPr>
            <w:tcW w:w="450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239,679</w:t>
            </w:r>
          </w:p>
        </w:tc>
        <w:tc>
          <w:tcPr>
            <w:tcW w:w="13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80,290</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(E.12.)</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319,969</w:t>
            </w:r>
          </w:p>
        </w:tc>
      </w:tr>
      <w:tr>
        <w:trPr>
          <w:trHeight w:val="175"/>
        </w:trPr>
        <w:tc>
          <w:tcPr>
            <w:tcW w:w="450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440"/>
          </w:cols>
          <w:pgMar w:left="240" w:top="141" w:right="219" w:bottom="1440" w:gutter="0" w:footer="0" w:header="0"/>
        </w:sectPr>
      </w:pPr>
    </w:p>
    <w:bookmarkStart w:id="10" w:name="page11"/>
    <w:bookmarkEnd w:id="10"/>
    <w:p>
      <w:pPr>
        <w:ind w:left="2187"/>
        <w:spacing w:after="0"/>
        <w:rPr>
          <w:sz w:val="20"/>
          <w:szCs w:val="20"/>
          <w:color w:val="auto"/>
        </w:rPr>
      </w:pPr>
      <w:r>
        <w:rPr>
          <w:rFonts w:ascii="Courier New" w:cs="Courier New" w:eastAsia="Courier New" w:hAnsi="Courier New"/>
          <w:sz w:val="15"/>
          <w:szCs w:val="15"/>
          <w:color w:val="auto"/>
        </w:rPr>
        <w:t>NOTES TO UNAUDITED PRO FORMA</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QVC</w:t>
      </w:r>
    </w:p>
    <w:p>
      <w:pPr>
        <w:spacing w:after="0" w:line="180" w:lineRule="exact"/>
        <w:rPr>
          <w:sz w:val="20"/>
          <w:szCs w:val="20"/>
          <w:color w:val="auto"/>
        </w:rPr>
      </w:pPr>
    </w:p>
    <w:p>
      <w:pPr>
        <w:ind w:left="447" w:hanging="447"/>
        <w:spacing w:after="0"/>
        <w:tabs>
          <w:tab w:leader="none" w:pos="4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spacing w:after="0" w:line="179" w:lineRule="exact"/>
        <w:rPr>
          <w:rFonts w:ascii="Courier New" w:cs="Courier New" w:eastAsia="Courier New" w:hAnsi="Courier New"/>
          <w:sz w:val="15"/>
          <w:szCs w:val="15"/>
          <w:color w:val="auto"/>
        </w:rPr>
      </w:pPr>
    </w:p>
    <w:p>
      <w:pPr>
        <w:ind w:left="44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1995, the Company and Tele-Communications, Inc. ("TCI") acquired all of the outstanding stock of QVC, Inc. and its subsidiaries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(see below) and TCI of $296.3 million and $6.6 million, respectively, borrowings of $1.1 billion under a $1.2 billion QVC credit facility and existing cash and cash equivalents held by QVC. Following the acquisition, the Company and TCI own, through their respective subsidiaries, 57.45% and 42.55%, respectively, of QVC. The Company, through a management agreement, is responsible for the</w:t>
      </w:r>
    </w:p>
    <w:p>
      <w:pPr>
        <w:spacing w:after="0" w:line="7" w:lineRule="exact"/>
        <w:rPr>
          <w:rFonts w:ascii="Courier New" w:cs="Courier New" w:eastAsia="Courier New" w:hAnsi="Courier New"/>
          <w:sz w:val="15"/>
          <w:szCs w:val="15"/>
          <w:color w:val="auto"/>
        </w:rPr>
      </w:pPr>
    </w:p>
    <w:p>
      <w:pPr>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day to day operations of QVC. The Company has accounted for the QVC Acquisition under the purchase method of accounting and QVC was consolidated with the Company effective February 1, 1995. QVC's historical results of operations included in the unaudited pro forma condensed consolidated statement of operations for the year ended December 31, 1995 represents QVC's historical results of operations for the month ended January 31, 1995.</w:t>
      </w:r>
    </w:p>
    <w:p>
      <w:pPr>
        <w:spacing w:after="0" w:line="179" w:lineRule="exact"/>
        <w:rPr>
          <w:rFonts w:ascii="Courier New" w:cs="Courier New" w:eastAsia="Courier New" w:hAnsi="Courier New"/>
          <w:sz w:val="15"/>
          <w:szCs w:val="15"/>
          <w:color w:val="auto"/>
        </w:rPr>
      </w:pPr>
    </w:p>
    <w:p>
      <w:pPr>
        <w:ind w:left="4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1995, the Company exchanged its investments in Heritage Communications, Inc. ("Heritage") with TCI for approximately 13.3 million publicly-traded Class A common shares of TCI with a fair market value</w:t>
      </w:r>
    </w:p>
    <w:p>
      <w:pPr>
        <w:spacing w:after="0" w:line="1" w:lineRule="exact"/>
        <w:rPr>
          <w:rFonts w:ascii="Courier New" w:cs="Courier New" w:eastAsia="Courier New" w:hAnsi="Courier New"/>
          <w:sz w:val="15"/>
          <w:szCs w:val="15"/>
          <w:color w:val="auto"/>
        </w:rPr>
      </w:pPr>
    </w:p>
    <w:p>
      <w:pPr>
        <w:ind w:left="44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approximately $290.0 million. Shortly thereafter, the Company sold approximately 9.1 million unrestricted TCI shares for total proceeds of approximately $188.0 million (collectively, the "Heritage Transaction"). As a result of these transactions, the Company recognized a pre-tax gain of $141.0 million in 1995.</w:t>
      </w:r>
    </w:p>
    <w:p>
      <w:pPr>
        <w:spacing w:after="0" w:line="177" w:lineRule="exact"/>
        <w:rPr>
          <w:rFonts w:ascii="Courier New" w:cs="Courier New" w:eastAsia="Courier New" w:hAnsi="Courier New"/>
          <w:sz w:val="15"/>
          <w:szCs w:val="15"/>
          <w:color w:val="auto"/>
        </w:rPr>
      </w:pPr>
    </w:p>
    <w:p>
      <w:pPr>
        <w:jc w:val="both"/>
        <w:ind w:left="4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cash contribution in connection with the QVC Acquisition was funded, in part, by the cash proceeds from the Heritage Transaction, along with a borrowing of $80.0 million under a subsidiary's credit facility.</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26"/>
          </w:cols>
          <w:pgMar w:left="233" w:top="817" w:right="1440" w:bottom="1440" w:gutter="0" w:footer="0" w:header="0"/>
        </w:sectPr>
      </w:pPr>
    </w:p>
    <w:bookmarkStart w:id="11" w:name="page12"/>
    <w:bookmarkEnd w:id="11"/>
    <w:p>
      <w:pPr>
        <w:ind w:left="356" w:hanging="356"/>
        <w:spacing w:after="0"/>
        <w:tabs>
          <w:tab w:leader="none" w:pos="35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9" w:lineRule="exact"/>
        <w:rPr>
          <w:rFonts w:ascii="Courier New" w:cs="Courier New" w:eastAsia="Courier New" w:hAnsi="Courier New"/>
          <w:sz w:val="15"/>
          <w:szCs w:val="15"/>
          <w:color w:val="auto"/>
        </w:rPr>
      </w:pPr>
    </w:p>
    <w:p>
      <w:pPr>
        <w:ind w:left="356"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adjustments and elimination entries have been made to the unaudited pro forma condensed consolidated statement of operations to reflect the QVC Acquisition:</w:t>
      </w:r>
    </w:p>
    <w:p>
      <w:pPr>
        <w:spacing w:after="0" w:line="174" w:lineRule="exact"/>
        <w:rPr>
          <w:rFonts w:ascii="Courier New" w:cs="Courier New" w:eastAsia="Courier New" w:hAnsi="Courier New"/>
          <w:sz w:val="15"/>
          <w:szCs w:val="15"/>
          <w:color w:val="auto"/>
        </w:rPr>
      </w:pPr>
    </w:p>
    <w:p>
      <w:pPr>
        <w:ind w:left="816" w:hanging="452"/>
        <w:spacing w:after="0"/>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commissions and other payments by QVC to the Company.</w:t>
      </w:r>
    </w:p>
    <w:p>
      <w:pPr>
        <w:spacing w:after="0" w:line="179" w:lineRule="exact"/>
        <w:rPr>
          <w:rFonts w:ascii="Courier New" w:cs="Courier New" w:eastAsia="Courier New" w:hAnsi="Courier New"/>
          <w:sz w:val="15"/>
          <w:szCs w:val="15"/>
          <w:color w:val="auto"/>
        </w:rPr>
      </w:pPr>
    </w:p>
    <w:p>
      <w:pPr>
        <w:ind w:left="816" w:right="3039" w:hanging="452"/>
        <w:spacing w:after="0" w:line="246" w:lineRule="auto"/>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depreciation and amortization expense resulting from the increased fair market value of the assets acquired in excess of their historical book values and amortization of goodwill arising from the acquisition. Depreciation expense is based on a weighted average property and equipment life of approximately 7 years. Amortization expense assumes a life of 30 years for goodwill and 10 years for cable television distribution rights. Debt issuance costs are amortized over the term of the related debt.</w:t>
      </w:r>
    </w:p>
    <w:p>
      <w:pPr>
        <w:spacing w:after="0" w:line="179" w:lineRule="exact"/>
        <w:rPr>
          <w:rFonts w:ascii="Courier New" w:cs="Courier New" w:eastAsia="Courier New" w:hAnsi="Courier New"/>
          <w:sz w:val="15"/>
          <w:szCs w:val="15"/>
          <w:color w:val="auto"/>
        </w:rPr>
      </w:pPr>
    </w:p>
    <w:p>
      <w:pPr>
        <w:ind w:left="816" w:right="2959" w:hanging="452"/>
        <w:spacing w:after="0" w:line="247" w:lineRule="auto"/>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increase in interest expense due to the incurrence of additional long-term indebtedness, at a weighted average interest rate of 8.3%.</w:t>
      </w:r>
    </w:p>
    <w:p>
      <w:pPr>
        <w:spacing w:after="0" w:line="174" w:lineRule="exact"/>
        <w:rPr>
          <w:rFonts w:ascii="Courier New" w:cs="Courier New" w:eastAsia="Courier New" w:hAnsi="Courier New"/>
          <w:sz w:val="15"/>
          <w:szCs w:val="15"/>
          <w:color w:val="auto"/>
        </w:rPr>
      </w:pPr>
    </w:p>
    <w:p>
      <w:pPr>
        <w:ind w:left="816" w:right="3039" w:hanging="452"/>
        <w:spacing w:after="0" w:line="247" w:lineRule="auto"/>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interest income on the Company's notes receivable from Heritage, which were exchanged for TCI Shares in connection with the Heritage Transaction.</w:t>
      </w:r>
    </w:p>
    <w:p>
      <w:pPr>
        <w:spacing w:after="0" w:line="174" w:lineRule="exact"/>
        <w:rPr>
          <w:rFonts w:ascii="Courier New" w:cs="Courier New" w:eastAsia="Courier New" w:hAnsi="Courier New"/>
          <w:sz w:val="15"/>
          <w:szCs w:val="15"/>
          <w:color w:val="auto"/>
        </w:rPr>
      </w:pPr>
    </w:p>
    <w:p>
      <w:pPr>
        <w:ind w:left="816" w:right="3219" w:hanging="452"/>
        <w:spacing w:after="0" w:line="246" w:lineRule="auto"/>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Company's historical equity in the net income of QVC. The Company historically accounted for its investment in QVC under the equity method of accounting from January 1, 1994 through the date of the QVC Acquisition.</w:t>
      </w:r>
    </w:p>
    <w:p>
      <w:pPr>
        <w:spacing w:after="0" w:line="177" w:lineRule="exact"/>
        <w:rPr>
          <w:rFonts w:ascii="Courier New" w:cs="Courier New" w:eastAsia="Courier New" w:hAnsi="Courier New"/>
          <w:sz w:val="15"/>
          <w:szCs w:val="15"/>
          <w:color w:val="auto"/>
        </w:rPr>
      </w:pPr>
    </w:p>
    <w:p>
      <w:pPr>
        <w:ind w:left="816" w:right="3319" w:hanging="452"/>
        <w:spacing w:after="0" w:line="247" w:lineRule="auto"/>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pro forma adjustments.</w:t>
      </w:r>
    </w:p>
    <w:p>
      <w:pPr>
        <w:spacing w:after="0" w:line="174" w:lineRule="exact"/>
        <w:rPr>
          <w:rFonts w:ascii="Courier New" w:cs="Courier New" w:eastAsia="Courier New" w:hAnsi="Courier New"/>
          <w:sz w:val="15"/>
          <w:szCs w:val="15"/>
          <w:color w:val="auto"/>
        </w:rPr>
      </w:pPr>
    </w:p>
    <w:p>
      <w:pPr>
        <w:ind w:left="816" w:right="3039" w:hanging="452"/>
        <w:spacing w:after="0" w:line="247" w:lineRule="auto"/>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minority interest resulting from TCI's 42.55% interest in QVC.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56"/>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135"/>
          </w:cols>
          <w:pgMar w:left="324" w:top="817" w:right="1440" w:bottom="1440" w:gutter="0" w:footer="0" w:header="0"/>
        </w:sectPr>
      </w:pPr>
    </w:p>
    <w:bookmarkStart w:id="12" w:name="page13"/>
    <w:bookmarkEnd w:id="12"/>
    <w:p>
      <w:pPr>
        <w:ind w:left="7"/>
        <w:spacing w:after="0"/>
        <w:rPr>
          <w:sz w:val="20"/>
          <w:szCs w:val="20"/>
          <w:color w:val="auto"/>
        </w:rPr>
      </w:pPr>
      <w:r>
        <w:rPr>
          <w:rFonts w:ascii="Courier New" w:cs="Courier New" w:eastAsia="Courier New" w:hAnsi="Courier New"/>
          <w:sz w:val="15"/>
          <w:szCs w:val="15"/>
          <w:color w:val="auto"/>
        </w:rPr>
        <w:t>SCRIPPS CABLE</w:t>
      </w:r>
    </w:p>
    <w:p>
      <w:pPr>
        <w:spacing w:after="0" w:line="180" w:lineRule="exact"/>
        <w:rPr>
          <w:sz w:val="20"/>
          <w:szCs w:val="20"/>
          <w:color w:val="auto"/>
        </w:rPr>
      </w:pPr>
    </w:p>
    <w:p>
      <w:pPr>
        <w:ind w:left="447" w:hanging="447"/>
        <w:spacing w:after="0"/>
        <w:tabs>
          <w:tab w:leader="none" w:pos="4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spacing w:after="0" w:line="179" w:lineRule="exact"/>
        <w:rPr>
          <w:rFonts w:ascii="Courier New" w:cs="Courier New" w:eastAsia="Courier New" w:hAnsi="Courier New"/>
          <w:sz w:val="15"/>
          <w:szCs w:val="15"/>
          <w:color w:val="auto"/>
        </w:rPr>
      </w:pPr>
    </w:p>
    <w:p>
      <w:pPr>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1995, the Company announced its agreement to purchase the cable television operations ("Scripps Cable") of The E.W. Scripps Company ("E.W. Scripps") in exchange for shares of the Company's Class A Special Common Stock, par value $1.00 per share (the "Class A Special Common Stock"), worth $1.575 billion (the "Base Consideration"), subject to certain closing adjustments (the "Scripps Transaction"). Scripps Cable, including an acquisition which closed in January 1996, passes approximately 1.2 million homes and serves approximately 800,000 subscribers, with over 60% of the subscribers located in Sacramento, California and Chattanooga and Knoxville, Tennessee. The purchase is expected to close in the third quarter of 1996, subject to shareholder and regulatory approval and certain other conditions.</w:t>
      </w:r>
    </w:p>
    <w:p>
      <w:pPr>
        <w:spacing w:after="0" w:line="182" w:lineRule="exact"/>
        <w:rPr>
          <w:rFonts w:ascii="Courier New" w:cs="Courier New" w:eastAsia="Courier New" w:hAnsi="Courier New"/>
          <w:sz w:val="15"/>
          <w:szCs w:val="15"/>
          <w:color w:val="auto"/>
        </w:rPr>
      </w:pPr>
    </w:p>
    <w:p>
      <w:pPr>
        <w:ind w:left="44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 with the announcement of the Scripps Transaction, the Company announced that its Board of Directors had authorized a market repurchase program (the "Repurchase Program") pursuant to which the Company may purchase, at such times and on such terms as it deems appropriate, up to $500.0 million of its outstanding common equity securities, subject to certain restrictions and market conditions. The unaudited pro forma condensed consolidated financial statements do not reflect the pro forma effects of any transactions associated with the Repurchase Program subsequent to December 31, 1995.</w:t>
      </w:r>
    </w:p>
    <w:p>
      <w:pPr>
        <w:spacing w:after="0" w:line="180" w:lineRule="exact"/>
        <w:rPr>
          <w:rFonts w:ascii="Courier New" w:cs="Courier New" w:eastAsia="Courier New" w:hAnsi="Courier New"/>
          <w:sz w:val="15"/>
          <w:szCs w:val="15"/>
          <w:color w:val="auto"/>
        </w:rPr>
      </w:pPr>
    </w:p>
    <w:p>
      <w:pPr>
        <w:ind w:left="4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Agreement and Plan of Merger dated as of October 28, 1995 (the "Merger Agreement"), incorporated by reference herein, by and among the Company, E.W. Scripps and Scripps Howard, Inc., a wholly owned subsidiary of E.W. Scripps, E.W. Scripps will distribute to its shareholders all assets other than Scripps Cable. Following such distribution, E.W. Scripps will be merged with and into the Company (the "Merger") and each share of E.W. Scripps common stock issued and outstanding immediately prior to the Merger will be converted into a portion of the shares of the Class A Special Common Stock to be paid as consideration in the Merger. Assuming that the closing adjustments made to the Base Consideration result in a $36.8 million increase in the purchase price (estimated solely for purposes of the unaudited pro forma condensed consolidated financial statements), and assuming that the Class A Special Common Stock is valued, as described below, at $20.075 per share, the average closing price of the Class A Special Common Stock during a 20 trading day period ending shortly before the execution of the Merger Agreement, the Company would issue to E.W. Scripps shareholders an aggregate of approximately 80.3 million shares of Class A Special Common Stock in the Merger. Such shares would represent, in the aggregate, approximately 29.4% of the Class A Special Common Stock outstanding as of December 31, 1995, on a pro forma basis.</w:t>
      </w:r>
    </w:p>
    <w:p>
      <w:pPr>
        <w:spacing w:after="0" w:line="187" w:lineRule="exact"/>
        <w:rPr>
          <w:rFonts w:ascii="Courier New" w:cs="Courier New" w:eastAsia="Courier New" w:hAnsi="Courier New"/>
          <w:sz w:val="15"/>
          <w:szCs w:val="15"/>
          <w:color w:val="auto"/>
        </w:rPr>
      </w:pPr>
    </w:p>
    <w:p>
      <w:pPr>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number of shares of Class A Special Common Stock to be delivered in the Merger, such stock will be valued on the basis of the average closing price of the Class A Special Common Stock on The Nasdaq Stock Market for 15 trading</w:t>
      </w:r>
    </w:p>
    <w:p>
      <w:pPr>
        <w:spacing w:after="0" w:line="3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6"/>
          </w:cols>
          <w:pgMar w:left="233" w:top="643" w:right="1440" w:bottom="1440" w:gutter="0" w:footer="0" w:header="0"/>
        </w:sectPr>
      </w:pPr>
    </w:p>
    <w:bookmarkStart w:id="13" w:name="page14"/>
    <w:bookmarkEnd w:id="13"/>
    <w:p>
      <w:pPr>
        <w:ind w:left="447" w:right="2959"/>
        <w:spacing w:after="0" w:line="246" w:lineRule="auto"/>
        <w:rPr>
          <w:sz w:val="20"/>
          <w:szCs w:val="20"/>
          <w:color w:val="auto"/>
        </w:rPr>
      </w:pPr>
      <w:r>
        <w:rPr>
          <w:rFonts w:ascii="Courier New" w:cs="Courier New" w:eastAsia="Courier New" w:hAnsi="Courier New"/>
          <w:sz w:val="15"/>
          <w:szCs w:val="15"/>
          <w:color w:val="auto"/>
        </w:rPr>
        <w:t>days randomly selected from the 40 trading day period ending shortly before the closing date (the "Comcast Share Price"); provided that the Comcast Share Price will be no greater than $23.09 and, except as provided below, no less than $17.06. If the Comcast Share Price is below $17.06, E.W. Scripps has the right to terminate the Merger Agreement, subject to the right of the Company to increase the number of shares of Class A Special Common Stock to be delivered in the Merger to that number of shares that would have been delivered if the Comcast Share Price were not subject to the minimum price of $17.06 or to such lower number of shares as may be agreed to by E.W. Scripps.</w:t>
      </w:r>
    </w:p>
    <w:p>
      <w:pPr>
        <w:spacing w:after="0" w:line="181" w:lineRule="exact"/>
        <w:rPr>
          <w:sz w:val="20"/>
          <w:szCs w:val="20"/>
          <w:color w:val="auto"/>
        </w:rPr>
      </w:pPr>
    </w:p>
    <w:p>
      <w:pPr>
        <w:ind w:left="447" w:right="3499"/>
        <w:spacing w:after="0" w:line="246" w:lineRule="auto"/>
        <w:rPr>
          <w:sz w:val="20"/>
          <w:szCs w:val="20"/>
          <w:color w:val="auto"/>
        </w:rPr>
      </w:pPr>
      <w:r>
        <w:rPr>
          <w:rFonts w:ascii="Courier New" w:cs="Courier New" w:eastAsia="Courier New" w:hAnsi="Courier New"/>
          <w:sz w:val="15"/>
          <w:szCs w:val="15"/>
          <w:color w:val="auto"/>
        </w:rPr>
        <w:t>An indirect subsidiary of E.W. Scripps completed the acquisition (the "Mid-Tenn Purchase") of the assets of the Mid-Tennessee Cable Limited Partnership ("Mid-Tenn"), whose cable television operations serve approximately 34,000 subscribers in Athens, Greenbrier and Harriman, Tennessee, for approximately $62.5 million in January 1996. Under the terms of the Merger Agreement, a portion of the Base Consideration is attributable to the Mid-Tenn Purchase. The assets acquired in the Mid-Tenn Purchase will be included in the assets of Scripps Cable to be acquired by the Company.</w:t>
      </w:r>
    </w:p>
    <w:p>
      <w:pPr>
        <w:spacing w:after="0" w:line="180" w:lineRule="exact"/>
        <w:rPr>
          <w:sz w:val="20"/>
          <w:szCs w:val="20"/>
          <w:color w:val="auto"/>
        </w:rPr>
      </w:pPr>
    </w:p>
    <w:p>
      <w:pPr>
        <w:jc w:val="both"/>
        <w:ind w:left="447" w:right="3139"/>
        <w:spacing w:after="0" w:line="246" w:lineRule="auto"/>
        <w:rPr>
          <w:sz w:val="20"/>
          <w:szCs w:val="20"/>
          <w:color w:val="auto"/>
        </w:rPr>
      </w:pPr>
      <w:r>
        <w:rPr>
          <w:rFonts w:ascii="Courier New" w:cs="Courier New" w:eastAsia="Courier New" w:hAnsi="Courier New"/>
          <w:sz w:val="15"/>
          <w:szCs w:val="15"/>
          <w:color w:val="auto"/>
        </w:rPr>
        <w:t>Although the Company believes the consummation of the Scripps Transaction is probable, no assurances can be given that the Scripps Transaction will occur at all or occur in the manner assumed in the accompanying unaudited pro forma condensed consolidated financial statements.</w:t>
      </w:r>
    </w:p>
    <w:p>
      <w:pPr>
        <w:spacing w:after="0" w:line="177" w:lineRule="exact"/>
        <w:rPr>
          <w:sz w:val="20"/>
          <w:szCs w:val="20"/>
          <w:color w:val="auto"/>
        </w:rPr>
      </w:pPr>
    </w:p>
    <w:p>
      <w:pPr>
        <w:ind w:left="447" w:hanging="447"/>
        <w:spacing w:after="0"/>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9" w:lineRule="exact"/>
        <w:rPr>
          <w:rFonts w:ascii="Courier New" w:cs="Courier New" w:eastAsia="Courier New" w:hAnsi="Courier New"/>
          <w:sz w:val="15"/>
          <w:szCs w:val="15"/>
          <w:color w:val="auto"/>
        </w:rPr>
      </w:pPr>
    </w:p>
    <w:p>
      <w:pPr>
        <w:ind w:left="4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E.W. Scripps has historically been the holding company for its cable television businesses along with other operations. As noted above, in the Merger Agreement, E.W. Scripps intends to remove its non-cable television businesses through a distribution to its shareholders prior to the closing date. Accordingly, when the Company acquires E.W. Scripps, it will only be purchasing Scripps Cable.</w:t>
      </w:r>
    </w:p>
    <w:p>
      <w:pPr>
        <w:spacing w:after="0" w:line="178" w:lineRule="exact"/>
        <w:rPr>
          <w:rFonts w:ascii="Courier New" w:cs="Courier New" w:eastAsia="Courier New" w:hAnsi="Courier New"/>
          <w:sz w:val="15"/>
          <w:szCs w:val="15"/>
          <w:color w:val="auto"/>
        </w:rPr>
      </w:pPr>
    </w:p>
    <w:p>
      <w:pPr>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combined financial statements of Scripps Cable included in the unaudited pro forma condensed consolidated financial statements represent the net assets that the Company will be acquiring and exclude the assets, liabilities and results of operations of the non-cable television operations of E.W. Scripps.</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9" w:lineRule="exact"/>
        <w:rPr>
          <w:rFonts w:ascii="Courier New" w:cs="Courier New" w:eastAsia="Courier New" w:hAnsi="Courier New"/>
          <w:sz w:val="15"/>
          <w:szCs w:val="15"/>
          <w:color w:val="auto"/>
        </w:rPr>
      </w:pPr>
    </w:p>
    <w:p>
      <w:pPr>
        <w:jc w:val="both"/>
        <w:ind w:left="44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adjustments and elimination entries have been made to the unaudited pro forma condensed consolidated balance sheet to reflect the Scripps Transaction:</w:t>
      </w:r>
    </w:p>
    <w:p>
      <w:pPr>
        <w:spacing w:after="0" w:line="174" w:lineRule="exact"/>
        <w:rPr>
          <w:rFonts w:ascii="Courier New" w:cs="Courier New" w:eastAsia="Courier New" w:hAnsi="Courier New"/>
          <w:sz w:val="15"/>
          <w:szCs w:val="15"/>
          <w:color w:val="auto"/>
        </w:rPr>
      </w:pPr>
    </w:p>
    <w:p>
      <w:pPr>
        <w:ind w:left="907" w:right="3139" w:hanging="452"/>
        <w:spacing w:after="0" w:line="246" w:lineRule="auto"/>
        <w:tabs>
          <w:tab w:leader="none" w:pos="90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estimated fair value of the property and equipment to be acquired in the Scripps Transaction in excess of the historical book value of such property and equipment ($316.0 million). The estimated fair value of the acquired property</w:t>
      </w:r>
    </w:p>
    <w:p>
      <w:pPr>
        <w:spacing w:after="0" w:line="3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6"/>
          </w:cols>
          <w:pgMar w:left="233" w:top="643" w:right="1440" w:bottom="1440" w:gutter="0" w:footer="0" w:header="0"/>
        </w:sectPr>
      </w:pPr>
    </w:p>
    <w:bookmarkStart w:id="14" w:name="page15"/>
    <w:bookmarkEnd w:id="14"/>
    <w:p>
      <w:pPr>
        <w:ind w:left="460" w:right="3039"/>
        <w:spacing w:after="0" w:line="247" w:lineRule="auto"/>
        <w:rPr>
          <w:sz w:val="20"/>
          <w:szCs w:val="20"/>
          <w:color w:val="auto"/>
        </w:rPr>
      </w:pPr>
      <w:r>
        <w:rPr>
          <w:rFonts w:ascii="Courier New" w:cs="Courier New" w:eastAsia="Courier New" w:hAnsi="Courier New"/>
          <w:sz w:val="15"/>
          <w:szCs w:val="15"/>
          <w:color w:val="auto"/>
        </w:rPr>
        <w:t>and equipment is subject to adjustment upon receipt by the Company of an independent appraisal of Scripps Cable.</w:t>
      </w:r>
    </w:p>
    <w:p>
      <w:pPr>
        <w:spacing w:after="0" w:line="175" w:lineRule="exact"/>
        <w:rPr>
          <w:sz w:val="20"/>
          <w:szCs w:val="20"/>
          <w:color w:val="auto"/>
        </w:rPr>
      </w:pPr>
    </w:p>
    <w:p>
      <w:pPr>
        <w:ind w:left="460" w:hanging="452"/>
        <w:spacing w:after="0"/>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estimated fair values of the property and equipment</w:t>
      </w:r>
    </w:p>
    <w:p>
      <w:pPr>
        <w:spacing w:after="0" w:line="4" w:lineRule="exact"/>
        <w:rPr>
          <w:rFonts w:ascii="Courier New" w:cs="Courier New" w:eastAsia="Courier New" w:hAnsi="Courier New"/>
          <w:sz w:val="15"/>
          <w:szCs w:val="15"/>
          <w:color w:val="auto"/>
        </w:rPr>
      </w:pPr>
    </w:p>
    <w:p>
      <w:pPr>
        <w:ind w:left="460"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($12.5 million) and deferred charges ($50.0 million) acquired by E.W. Scripps in the Mid-Tenn Purchase, which closed in January 1996. Mid-Tenn's other assets and liabilities and its results of operations are not significant to the Company. The estimated fair value of the property and equipment and deferred charges acquired by E.W. Scripps in the Mid-Tenn Purchase is subject to certain adjustments.</w:t>
      </w:r>
    </w:p>
    <w:p>
      <w:pPr>
        <w:spacing w:after="0" w:line="178" w:lineRule="exact"/>
        <w:rPr>
          <w:rFonts w:ascii="Courier New" w:cs="Courier New" w:eastAsia="Courier New" w:hAnsi="Courier New"/>
          <w:sz w:val="15"/>
          <w:szCs w:val="15"/>
          <w:color w:val="auto"/>
        </w:rPr>
      </w:pPr>
    </w:p>
    <w:p>
      <w:pPr>
        <w:ind w:left="460" w:right="3039" w:hanging="452"/>
        <w:spacing w:after="0" w:line="246"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allocation of the total consideration in the Scripps Transaction to deferred charges ($922.9 million), principally to franchise acquisition costs and subscriber lists. The purchase price allocation is subject to adjustment upon receipt by the Company of an independent appraisal of Scripps Cable.</w:t>
      </w:r>
    </w:p>
    <w:p>
      <w:pPr>
        <w:spacing w:after="0" w:line="177" w:lineRule="exact"/>
        <w:rPr>
          <w:rFonts w:ascii="Courier New" w:cs="Courier New" w:eastAsia="Courier New" w:hAnsi="Courier New"/>
          <w:sz w:val="15"/>
          <w:szCs w:val="15"/>
          <w:color w:val="auto"/>
        </w:rPr>
      </w:pPr>
    </w:p>
    <w:p>
      <w:pPr>
        <w:ind w:left="460" w:right="3219" w:hanging="452"/>
        <w:spacing w:after="0" w:line="246"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certain liabilities which will not be assumed by the Company in the Scripps Transaction pursuant to the terms of the Merger Agreement (primarily income taxes payable, accruals for commitments and contingencies and amounts payable by Scripps Cable to E.W. Scripps) ($325.3 million in total).</w:t>
      </w:r>
    </w:p>
    <w:p>
      <w:pPr>
        <w:spacing w:after="0" w:line="177" w:lineRule="exact"/>
        <w:rPr>
          <w:rFonts w:ascii="Courier New" w:cs="Courier New" w:eastAsia="Courier New" w:hAnsi="Courier New"/>
          <w:sz w:val="15"/>
          <w:szCs w:val="15"/>
          <w:color w:val="auto"/>
        </w:rPr>
      </w:pPr>
    </w:p>
    <w:p>
      <w:pPr>
        <w:ind w:left="460" w:right="3039" w:hanging="452"/>
        <w:spacing w:after="0" w:line="246"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par value of the Class A Special Common Stock to be issued by the Company for Scripps Cable ($80.3 million) and the related additional capital ($1.532 billion), assuming that the closing adjustments made to the Base Consideration result in a $36.8 million increase in the purchase price (estimated solely for purposes of the unaudited pro forma condensed consolidated financial statements), and assuming a Comcast Share Price of $20.075 per share.</w:t>
      </w:r>
    </w:p>
    <w:p>
      <w:pPr>
        <w:spacing w:after="0" w:line="179" w:lineRule="exact"/>
        <w:rPr>
          <w:rFonts w:ascii="Courier New" w:cs="Courier New" w:eastAsia="Courier New" w:hAnsi="Courier New"/>
          <w:sz w:val="15"/>
          <w:szCs w:val="15"/>
          <w:color w:val="auto"/>
        </w:rPr>
      </w:pPr>
    </w:p>
    <w:p>
      <w:pPr>
        <w:ind w:left="460" w:hanging="452"/>
        <w:spacing w:after="0"/>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Scripps Cable's historical equity.</w:t>
      </w:r>
    </w:p>
    <w:p>
      <w:pPr>
        <w:spacing w:after="0" w:line="354" w:lineRule="exact"/>
        <w:rPr>
          <w:rFonts w:ascii="Courier New" w:cs="Courier New" w:eastAsia="Courier New" w:hAnsi="Courier New"/>
          <w:sz w:val="15"/>
          <w:szCs w:val="15"/>
          <w:color w:val="auto"/>
        </w:rPr>
      </w:pPr>
    </w:p>
    <w:p>
      <w:pPr>
        <w:ind w:left="460" w:right="3139" w:hanging="452"/>
        <w:spacing w:after="0" w:line="247"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goodwill and deferred income taxes resulting from differences in the book and tax bases of the assets of Scripps Cable arising from the acquisition ($500.6 million).</w:t>
      </w:r>
    </w:p>
    <w:p>
      <w:pPr>
        <w:spacing w:after="0" w:line="17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following adjustments and elimination entries have been made to the unaudited pro forma condensed consolidated statement of operations to reflect the Scripps Transaction:</w:t>
      </w:r>
    </w:p>
    <w:p>
      <w:pPr>
        <w:spacing w:after="0" w:line="174" w:lineRule="exact"/>
        <w:rPr>
          <w:sz w:val="20"/>
          <w:szCs w:val="20"/>
          <w:color w:val="auto"/>
        </w:rPr>
      </w:pPr>
    </w:p>
    <w:p>
      <w:pPr>
        <w:ind w:left="460" w:right="3499" w:hanging="452"/>
        <w:spacing w:after="0" w:line="247"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commissions paid by QVC to Scripps Cable.</w:t>
      </w:r>
    </w:p>
    <w:p>
      <w:pPr>
        <w:spacing w:after="0" w:line="174" w:lineRule="exact"/>
        <w:rPr>
          <w:rFonts w:ascii="Courier New" w:cs="Courier New" w:eastAsia="Courier New" w:hAnsi="Courier New"/>
          <w:sz w:val="15"/>
          <w:szCs w:val="15"/>
          <w:color w:val="auto"/>
        </w:rPr>
      </w:pPr>
    </w:p>
    <w:p>
      <w:pPr>
        <w:ind w:left="460" w:right="3039" w:hanging="452"/>
        <w:spacing w:after="0" w:line="246"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depreciation and amortization expense resulting from the increased fair market value of the assets acquired in excess of their historical book values and amortization of goodwill arising from the acquisition, offset, in part, by the elimination of Scripps Cable's historical goodwill amortization. Depreciation expense is based on a weighted average property and equipment life of approximately 10 years. Property and equipment of Scripps Cable principally consists of operating facilities, which is typically depreciated over a period of 12 years by the Company. Amortization expense is based on an average life for deferred charges and goodwill of 12 and 20 years, respectively.</w:t>
      </w:r>
    </w:p>
    <w:p>
      <w:pPr>
        <w:spacing w:after="0" w:line="35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9779"/>
          </w:cols>
          <w:pgMar w:left="680" w:top="643" w:right="1440" w:bottom="1440" w:gutter="0" w:footer="0" w:header="0"/>
        </w:sectPr>
      </w:pPr>
    </w:p>
    <w:bookmarkStart w:id="15" w:name="page16"/>
    <w:bookmarkEnd w:id="15"/>
    <w:p>
      <w:pPr>
        <w:ind w:left="452" w:right="3419" w:hanging="452"/>
        <w:spacing w:after="0" w:line="247" w:lineRule="auto"/>
        <w:tabs>
          <w:tab w:leader="none" w:pos="45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Scripps Cable's historical interest expense on balances due to affiliates.</w:t>
      </w:r>
    </w:p>
    <w:p>
      <w:pPr>
        <w:spacing w:after="0" w:line="174" w:lineRule="exact"/>
        <w:rPr>
          <w:rFonts w:ascii="Courier New" w:cs="Courier New" w:eastAsia="Courier New" w:hAnsi="Courier New"/>
          <w:sz w:val="15"/>
          <w:szCs w:val="15"/>
          <w:color w:val="auto"/>
        </w:rPr>
      </w:pPr>
    </w:p>
    <w:p>
      <w:pPr>
        <w:ind w:left="452" w:right="3319" w:hanging="452"/>
        <w:spacing w:after="0" w:line="247" w:lineRule="auto"/>
        <w:tabs>
          <w:tab w:leader="none" w:pos="45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pro forma adjustments.</w:t>
      </w:r>
    </w:p>
    <w:p>
      <w:pPr>
        <w:spacing w:after="0" w:line="174" w:lineRule="exact"/>
        <w:rPr>
          <w:rFonts w:ascii="Courier New" w:cs="Courier New" w:eastAsia="Courier New" w:hAnsi="Courier New"/>
          <w:sz w:val="15"/>
          <w:szCs w:val="15"/>
          <w:color w:val="auto"/>
        </w:rPr>
      </w:pPr>
    </w:p>
    <w:p>
      <w:pPr>
        <w:ind w:left="452" w:right="2959" w:hanging="452"/>
        <w:spacing w:after="0" w:line="247" w:lineRule="auto"/>
        <w:tabs>
          <w:tab w:leader="none" w:pos="45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additional shares of Class A Special Common Stock to be issued in connection with the Scripps Transaction.</w:t>
      </w:r>
    </w:p>
    <w:p>
      <w:pPr>
        <w:spacing w:after="0" w:line="349"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9772"/>
          </w:cols>
          <w:pgMar w:left="688" w:top="64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We consent to the incorporation by reference in the following Registration Statements of Comcast Corporation and its subsidiaries on Forms S-3 and S-8 of our report dated February 22, 1996 relating to the financial statements of Scripps Cable appearing in Amendment Number 2 on Form 8-K/A dated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1996 to E.W. Scripps' Report on Form 8-K dated December 28, 1995.</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S-8:</w:t>
            </w:r>
          </w:p>
        </w:tc>
        <w:tc>
          <w:tcPr>
            <w:tcW w:w="2820" w:type="dxa"/>
            <w:vAlign w:val="bottom"/>
          </w:tcPr>
          <w:p>
            <w:pPr>
              <w:spacing w:after="0"/>
              <w:rPr>
                <w:sz w:val="14"/>
                <w:szCs w:val="14"/>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20" w:type="dxa"/>
            <w:vAlign w:val="bottom"/>
          </w:tcPr>
          <w:p>
            <w:pPr>
              <w:spacing w:after="0"/>
              <w:rPr>
                <w:sz w:val="15"/>
                <w:szCs w:val="15"/>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Registration Statement Number</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28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33-41440</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28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33-63223</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Storer Communications Retirement Savings Plan</w:t>
            </w:r>
          </w:p>
        </w:tc>
        <w:tc>
          <w:tcPr>
            <w:tcW w:w="28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33-54365</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8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33-25105</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8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33-56903</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S-3:</w:t>
            </w:r>
          </w:p>
        </w:tc>
        <w:tc>
          <w:tcPr>
            <w:tcW w:w="2820" w:type="dxa"/>
            <w:vAlign w:val="bottom"/>
          </w:tcPr>
          <w:p>
            <w:pPr>
              <w:spacing w:after="0"/>
              <w:rPr>
                <w:sz w:val="24"/>
                <w:szCs w:val="24"/>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20" w:type="dxa"/>
            <w:vAlign w:val="bottom"/>
          </w:tcPr>
          <w:p>
            <w:pPr>
              <w:spacing w:after="0"/>
              <w:rPr>
                <w:sz w:val="15"/>
                <w:szCs w:val="15"/>
                <w:color w:val="auto"/>
              </w:rPr>
            </w:pP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Registration Statement Number</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Debentures;</w:t>
            </w:r>
          </w:p>
        </w:tc>
        <w:tc>
          <w:tcPr>
            <w:tcW w:w="860" w:type="dxa"/>
            <w:vAlign w:val="bottom"/>
          </w:tcPr>
          <w:p>
            <w:pPr>
              <w:spacing w:after="0"/>
              <w:rPr>
                <w:sz w:val="14"/>
                <w:szCs w:val="14"/>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Subordinated Debentures; Preferred Stock, without</w:t>
            </w:r>
          </w:p>
        </w:tc>
        <w:tc>
          <w:tcPr>
            <w:tcW w:w="860" w:type="dxa"/>
            <w:vAlign w:val="bottom"/>
          </w:tcPr>
          <w:p>
            <w:pPr>
              <w:spacing w:after="0"/>
              <w:rPr>
                <w:sz w:val="15"/>
                <w:szCs w:val="15"/>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par value; Depository Shares representing Preferred Stock;</w:t>
            </w:r>
          </w:p>
        </w:tc>
        <w:tc>
          <w:tcPr>
            <w:tcW w:w="860" w:type="dxa"/>
            <w:vAlign w:val="bottom"/>
          </w:tcPr>
          <w:p>
            <w:pPr>
              <w:spacing w:after="0"/>
              <w:rPr>
                <w:sz w:val="15"/>
                <w:szCs w:val="15"/>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Class A Common Stock, $1.00 par value;</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Class A Special</w:t>
            </w:r>
          </w:p>
        </w:tc>
        <w:tc>
          <w:tcPr>
            <w:tcW w:w="860" w:type="dxa"/>
            <w:vAlign w:val="bottom"/>
          </w:tcPr>
          <w:p>
            <w:pPr>
              <w:spacing w:after="0"/>
              <w:rPr>
                <w:sz w:val="15"/>
                <w:szCs w:val="15"/>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$1.00 par value and Warrants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33-40386</w:t>
            </w:r>
          </w:p>
        </w:tc>
      </w:tr>
      <w:tr>
        <w:trPr>
          <w:trHeight w:val="350"/>
        </w:trPr>
        <w:tc>
          <w:tcPr>
            <w:tcW w:w="350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$1.00 par</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33-46988</w:t>
            </w:r>
          </w:p>
        </w:tc>
      </w:tr>
      <w:tr>
        <w:trPr>
          <w:trHeight w:val="350"/>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Debentures and</w:t>
            </w:r>
          </w:p>
        </w:tc>
        <w:tc>
          <w:tcPr>
            <w:tcW w:w="860" w:type="dxa"/>
            <w:vAlign w:val="bottom"/>
          </w:tcPr>
          <w:p>
            <w:pPr>
              <w:spacing w:after="0"/>
              <w:rPr>
                <w:sz w:val="24"/>
                <w:szCs w:val="24"/>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Subordinated Debentures</w:t>
            </w:r>
          </w:p>
        </w:tc>
        <w:tc>
          <w:tcPr>
            <w:tcW w:w="19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33-57410</w:t>
            </w:r>
          </w:p>
        </w:tc>
      </w:tr>
      <w:tr>
        <w:trPr>
          <w:trHeight w:val="350"/>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Debentures;</w:t>
            </w:r>
          </w:p>
        </w:tc>
        <w:tc>
          <w:tcPr>
            <w:tcW w:w="860" w:type="dxa"/>
            <w:vAlign w:val="bottom"/>
          </w:tcPr>
          <w:p>
            <w:pPr>
              <w:spacing w:after="0"/>
              <w:rPr>
                <w:sz w:val="24"/>
                <w:szCs w:val="24"/>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Subordinated Debentures; Preferred Stock, without</w:t>
            </w:r>
          </w:p>
        </w:tc>
        <w:tc>
          <w:tcPr>
            <w:tcW w:w="860" w:type="dxa"/>
            <w:vAlign w:val="bottom"/>
          </w:tcPr>
          <w:p>
            <w:pPr>
              <w:spacing w:after="0"/>
              <w:rPr>
                <w:sz w:val="15"/>
                <w:szCs w:val="15"/>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par value; Depository Shares representing Preferred Stock;</w:t>
            </w:r>
          </w:p>
        </w:tc>
        <w:tc>
          <w:tcPr>
            <w:tcW w:w="860" w:type="dxa"/>
            <w:vAlign w:val="bottom"/>
          </w:tcPr>
          <w:p>
            <w:pPr>
              <w:spacing w:after="0"/>
              <w:rPr>
                <w:sz w:val="15"/>
                <w:szCs w:val="15"/>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Class A Common Stock, $1.00 par value;</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Class A Special</w:t>
            </w:r>
          </w:p>
        </w:tc>
        <w:tc>
          <w:tcPr>
            <w:tcW w:w="860" w:type="dxa"/>
            <w:vAlign w:val="bottom"/>
          </w:tcPr>
          <w:p>
            <w:pPr>
              <w:spacing w:after="0"/>
              <w:rPr>
                <w:sz w:val="15"/>
                <w:szCs w:val="15"/>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$1.00 par value and Warrants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33-50785</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/s/Deloitte &amp; Touche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Cincinnati, Ohio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10, 1996</w:t>
      </w:r>
    </w:p>
    <w:sectPr>
      <w:pgSz w:w="11900" w:h="16838" w:orient="portrait"/>
      <w:cols w:equalWidth="0" w:num="1">
        <w:col w:w="10219"/>
      </w:cols>
      <w:pgMar w:left="24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upperLetter"/>
      <w:start w:val="1"/>
    </w:lvl>
  </w:abstractNum>
  <w:abstractNum w:abstractNumId="2">
    <w:nsid w:val="3D1B58BA"/>
    <w:multiLevelType w:val="hybridMultilevel"/>
    <w:lvl w:ilvl="0">
      <w:lvlJc w:val="left"/>
      <w:lvlText w:val="%1."/>
      <w:numFmt w:val="upperLetter"/>
      <w:start w:val="2"/>
    </w:lvl>
    <w:lvl w:ilvl="1">
      <w:lvlJc w:val="left"/>
      <w:lvlText w:val="%2."/>
      <w:numFmt w:val="decimal"/>
      <w:start w:val="1"/>
    </w:lvl>
  </w:abstractNum>
  <w:abstractNum w:abstractNumId="3">
    <w:nsid w:val="507ED7AB"/>
    <w:multiLevelType w:val="hybridMultilevel"/>
    <w:lvl w:ilvl="0">
      <w:lvlJc w:val="left"/>
      <w:lvlText w:val="%1."/>
      <w:numFmt w:val="upperLetter"/>
      <w:start w:val="3"/>
    </w:lvl>
  </w:abstractNum>
  <w:abstractNum w:abstractNumId="4">
    <w:nsid w:val="2EB141F2"/>
    <w:multiLevelType w:val="hybridMultilevel"/>
    <w:lvl w:ilvl="0">
      <w:lvlJc w:val="left"/>
      <w:lvlText w:val="%1."/>
      <w:numFmt w:val="upperLetter"/>
      <w:start w:val="4"/>
    </w:lvl>
    <w:lvl w:ilvl="1">
      <w:lvlJc w:val="left"/>
      <w:lvlText w:val="%2."/>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8"/>
    </w:lvl>
  </w:abstractNum>
  <w:abstractNum w:abstractNumId="7">
    <w:nsid w:val="7545E14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2019-12-12T23:08:52Z</dcterms:created>
  <dcterms:modified xsi:type="dcterms:W3CDTF">2019-12-12T23:08:52Z</dcterms:modified>
</cp:coreProperties>
</file>