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200025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Date of report (Date of earliest event reported): February 10, 2017</w:t>
      </w:r>
    </w:p>
    <w:p>
      <w:pPr>
        <w:spacing w:after="0" w:line="217" w:lineRule="exact"/>
        <w:rPr>
          <w:sz w:val="24"/>
          <w:szCs w:val="24"/>
          <w:color w:val="auto"/>
        </w:rPr>
      </w:pPr>
    </w:p>
    <w:tbl>
      <w:tblPr>
        <w:tblLayout w:type="fixed"/>
        <w:tblInd w:w="740" w:type="dxa"/>
        <w:tblCellMar>
          <w:top w:w="0" w:type="dxa"/>
          <w:left w:w="0" w:type="dxa"/>
          <w:bottom w:w="0" w:type="dxa"/>
          <w:right w:w="0" w:type="dxa"/>
        </w:tblCellMar>
      </w:tblPr>
      <w:tr>
        <w:trPr>
          <w:trHeight w:val="301"/>
        </w:trPr>
        <w:tc>
          <w:tcPr>
            <w:tcW w:w="2620" w:type="dxa"/>
            <w:vAlign w:val="bottom"/>
          </w:tcPr>
          <w:p>
            <w:pPr>
              <w:spacing w:after="0"/>
              <w:rPr>
                <w:sz w:val="24"/>
                <w:szCs w:val="24"/>
                <w:color w:val="auto"/>
              </w:rPr>
            </w:pPr>
          </w:p>
        </w:tc>
        <w:tc>
          <w:tcPr>
            <w:tcW w:w="7140" w:type="dxa"/>
            <w:vAlign w:val="bottom"/>
          </w:tcPr>
          <w:p>
            <w:pPr>
              <w:jc w:val="center"/>
              <w:ind w:right="2358"/>
              <w:spacing w:after="0"/>
              <w:rPr>
                <w:sz w:val="20"/>
                <w:szCs w:val="20"/>
                <w:color w:val="auto"/>
              </w:rPr>
            </w:pPr>
            <w:r>
              <w:rPr>
                <w:rFonts w:ascii="Arial" w:cs="Arial" w:eastAsia="Arial" w:hAnsi="Arial"/>
                <w:sz w:val="25"/>
                <w:szCs w:val="25"/>
                <w:b w:val="1"/>
                <w:bCs w:val="1"/>
                <w:color w:val="auto"/>
                <w:w w:val="91"/>
              </w:rPr>
              <w:t>Comcast Corporation</w:t>
            </w:r>
          </w:p>
        </w:tc>
      </w:tr>
      <w:tr>
        <w:trPr>
          <w:trHeight w:val="149"/>
        </w:trPr>
        <w:tc>
          <w:tcPr>
            <w:tcW w:w="2620" w:type="dxa"/>
            <w:vAlign w:val="bottom"/>
          </w:tcPr>
          <w:p>
            <w:pPr>
              <w:spacing w:after="0"/>
              <w:rPr>
                <w:sz w:val="12"/>
                <w:szCs w:val="12"/>
                <w:color w:val="auto"/>
              </w:rPr>
            </w:pPr>
          </w:p>
        </w:tc>
        <w:tc>
          <w:tcPr>
            <w:tcW w:w="7140" w:type="dxa"/>
            <w:vAlign w:val="bottom"/>
          </w:tcPr>
          <w:p>
            <w:pPr>
              <w:jc w:val="center"/>
              <w:ind w:right="2358"/>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620" w:type="dxa"/>
            <w:vAlign w:val="bottom"/>
          </w:tcPr>
          <w:p>
            <w:pPr>
              <w:spacing w:after="0"/>
              <w:rPr>
                <w:sz w:val="15"/>
                <w:szCs w:val="15"/>
                <w:color w:val="auto"/>
              </w:rPr>
            </w:pPr>
          </w:p>
        </w:tc>
        <w:tc>
          <w:tcPr>
            <w:tcW w:w="7140" w:type="dxa"/>
            <w:vAlign w:val="bottom"/>
          </w:tcPr>
          <w:p>
            <w:pPr>
              <w:jc w:val="center"/>
              <w:ind w:right="2358"/>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620" w:type="dxa"/>
            <w:vAlign w:val="bottom"/>
          </w:tcPr>
          <w:p>
            <w:pPr>
              <w:spacing w:after="0"/>
              <w:rPr>
                <w:sz w:val="24"/>
                <w:szCs w:val="24"/>
                <w:color w:val="auto"/>
              </w:rPr>
            </w:pPr>
          </w:p>
        </w:tc>
        <w:tc>
          <w:tcPr>
            <w:tcW w:w="7140" w:type="dxa"/>
            <w:vAlign w:val="bottom"/>
          </w:tcPr>
          <w:p>
            <w:pPr>
              <w:jc w:val="center"/>
              <w:ind w:right="2358"/>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620" w:type="dxa"/>
            <w:vAlign w:val="bottom"/>
          </w:tcPr>
          <w:p>
            <w:pPr>
              <w:spacing w:after="0"/>
              <w:rPr>
                <w:sz w:val="15"/>
                <w:szCs w:val="15"/>
                <w:color w:val="auto"/>
              </w:rPr>
            </w:pPr>
          </w:p>
        </w:tc>
        <w:tc>
          <w:tcPr>
            <w:tcW w:w="7140" w:type="dxa"/>
            <w:vAlign w:val="bottom"/>
          </w:tcPr>
          <w:p>
            <w:pPr>
              <w:jc w:val="center"/>
              <w:ind w:right="2358"/>
              <w:spacing w:after="0"/>
              <w:rPr>
                <w:sz w:val="20"/>
                <w:szCs w:val="20"/>
                <w:color w:val="auto"/>
              </w:rPr>
            </w:pPr>
            <w:r>
              <w:rPr>
                <w:rFonts w:ascii="Arial" w:cs="Arial" w:eastAsia="Arial" w:hAnsi="Arial"/>
                <w:sz w:val="14"/>
                <w:szCs w:val="14"/>
                <w:color w:val="auto"/>
                <w:w w:val="94"/>
              </w:rPr>
              <w:t>(State or Other Jurisdiction of Incorporation)</w:t>
            </w:r>
          </w:p>
        </w:tc>
      </w:tr>
      <w:tr>
        <w:trPr>
          <w:trHeight w:val="466"/>
        </w:trPr>
        <w:tc>
          <w:tcPr>
            <w:tcW w:w="2620" w:type="dxa"/>
            <w:vAlign w:val="bottom"/>
          </w:tcPr>
          <w:p>
            <w:pPr>
              <w:jc w:val="center"/>
              <w:ind w:right="197"/>
              <w:spacing w:after="0"/>
              <w:rPr>
                <w:sz w:val="20"/>
                <w:szCs w:val="20"/>
                <w:color w:val="auto"/>
              </w:rPr>
            </w:pPr>
            <w:r>
              <w:rPr>
                <w:rFonts w:ascii="Arial" w:cs="Arial" w:eastAsia="Arial" w:hAnsi="Arial"/>
                <w:sz w:val="18"/>
                <w:szCs w:val="18"/>
                <w:b w:val="1"/>
                <w:bCs w:val="1"/>
                <w:color w:val="auto"/>
                <w:w w:val="90"/>
              </w:rPr>
              <w:t>001-32871</w:t>
            </w:r>
          </w:p>
        </w:tc>
        <w:tc>
          <w:tcPr>
            <w:tcW w:w="7140" w:type="dxa"/>
            <w:vAlign w:val="bottom"/>
          </w:tcPr>
          <w:p>
            <w:pPr>
              <w:jc w:val="center"/>
              <w:ind w:left="5098"/>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620" w:type="dxa"/>
            <w:vAlign w:val="bottom"/>
          </w:tcPr>
          <w:p>
            <w:pPr>
              <w:jc w:val="center"/>
              <w:ind w:right="197"/>
              <w:spacing w:after="0"/>
              <w:rPr>
                <w:sz w:val="20"/>
                <w:szCs w:val="20"/>
                <w:color w:val="auto"/>
              </w:rPr>
            </w:pPr>
            <w:r>
              <w:rPr>
                <w:rFonts w:ascii="Arial" w:cs="Arial" w:eastAsia="Arial" w:hAnsi="Arial"/>
                <w:sz w:val="14"/>
                <w:szCs w:val="14"/>
                <w:color w:val="auto"/>
                <w:w w:val="94"/>
              </w:rPr>
              <w:t>(Commission File Number)</w:t>
            </w:r>
          </w:p>
        </w:tc>
        <w:tc>
          <w:tcPr>
            <w:tcW w:w="7140" w:type="dxa"/>
            <w:vAlign w:val="bottom"/>
          </w:tcPr>
          <w:p>
            <w:pPr>
              <w:jc w:val="center"/>
              <w:ind w:left="5078"/>
              <w:spacing w:after="0"/>
              <w:rPr>
                <w:sz w:val="20"/>
                <w:szCs w:val="20"/>
                <w:color w:val="auto"/>
              </w:rPr>
            </w:pPr>
            <w:r>
              <w:rPr>
                <w:rFonts w:ascii="Arial" w:cs="Arial" w:eastAsia="Arial" w:hAnsi="Arial"/>
                <w:sz w:val="14"/>
                <w:szCs w:val="14"/>
                <w:color w:val="auto"/>
                <w:w w:val="97"/>
              </w:rPr>
              <w:t>(IRS Employer Identification No.)</w:t>
            </w:r>
          </w:p>
        </w:tc>
      </w:tr>
      <w:tr>
        <w:trPr>
          <w:trHeight w:val="466"/>
        </w:trPr>
        <w:tc>
          <w:tcPr>
            <w:tcW w:w="2620" w:type="dxa"/>
            <w:vAlign w:val="bottom"/>
          </w:tcPr>
          <w:p>
            <w:pPr>
              <w:jc w:val="center"/>
              <w:ind w:right="197"/>
              <w:spacing w:after="0"/>
              <w:rPr>
                <w:sz w:val="20"/>
                <w:szCs w:val="20"/>
                <w:color w:val="auto"/>
              </w:rPr>
            </w:pPr>
            <w:r>
              <w:rPr>
                <w:rFonts w:ascii="Arial" w:cs="Arial" w:eastAsia="Arial" w:hAnsi="Arial"/>
                <w:sz w:val="18"/>
                <w:szCs w:val="18"/>
                <w:b w:val="1"/>
                <w:bCs w:val="1"/>
                <w:color w:val="auto"/>
                <w:w w:val="90"/>
              </w:rPr>
              <w:t>One Comcast Center</w:t>
            </w:r>
          </w:p>
        </w:tc>
        <w:tc>
          <w:tcPr>
            <w:tcW w:w="7140" w:type="dxa"/>
            <w:vAlign w:val="bottom"/>
          </w:tcPr>
          <w:p>
            <w:pPr>
              <w:spacing w:after="0"/>
              <w:rPr>
                <w:sz w:val="24"/>
                <w:szCs w:val="24"/>
                <w:color w:val="auto"/>
              </w:rPr>
            </w:pPr>
          </w:p>
        </w:tc>
      </w:tr>
      <w:tr>
        <w:trPr>
          <w:trHeight w:val="216"/>
        </w:trPr>
        <w:tc>
          <w:tcPr>
            <w:tcW w:w="2620" w:type="dxa"/>
            <w:vAlign w:val="bottom"/>
          </w:tcPr>
          <w:p>
            <w:pPr>
              <w:jc w:val="center"/>
              <w:ind w:right="217"/>
              <w:spacing w:after="0"/>
              <w:rPr>
                <w:sz w:val="20"/>
                <w:szCs w:val="20"/>
                <w:color w:val="auto"/>
              </w:rPr>
            </w:pPr>
            <w:r>
              <w:rPr>
                <w:rFonts w:ascii="Arial" w:cs="Arial" w:eastAsia="Arial" w:hAnsi="Arial"/>
                <w:sz w:val="18"/>
                <w:szCs w:val="18"/>
                <w:b w:val="1"/>
                <w:bCs w:val="1"/>
                <w:color w:val="auto"/>
                <w:w w:val="90"/>
              </w:rPr>
              <w:t>Philadelphia, PA</w:t>
            </w:r>
          </w:p>
        </w:tc>
        <w:tc>
          <w:tcPr>
            <w:tcW w:w="7140" w:type="dxa"/>
            <w:vAlign w:val="bottom"/>
          </w:tcPr>
          <w:p>
            <w:pPr>
              <w:jc w:val="center"/>
              <w:ind w:left="5098"/>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620" w:type="dxa"/>
            <w:vAlign w:val="bottom"/>
          </w:tcPr>
          <w:p>
            <w:pPr>
              <w:jc w:val="center"/>
              <w:ind w:right="197"/>
              <w:spacing w:after="0"/>
              <w:rPr>
                <w:sz w:val="20"/>
                <w:szCs w:val="20"/>
                <w:color w:val="auto"/>
              </w:rPr>
            </w:pPr>
            <w:r>
              <w:rPr>
                <w:rFonts w:ascii="Arial" w:cs="Arial" w:eastAsia="Arial" w:hAnsi="Arial"/>
                <w:sz w:val="14"/>
                <w:szCs w:val="14"/>
                <w:color w:val="auto"/>
                <w:w w:val="95"/>
              </w:rPr>
              <w:t>(Address of Principal Executive Offices)</w:t>
            </w:r>
          </w:p>
        </w:tc>
        <w:tc>
          <w:tcPr>
            <w:tcW w:w="7140" w:type="dxa"/>
            <w:vAlign w:val="bottom"/>
          </w:tcPr>
          <w:p>
            <w:pPr>
              <w:jc w:val="center"/>
              <w:ind w:left="5098"/>
              <w:spacing w:after="0"/>
              <w:rPr>
                <w:sz w:val="20"/>
                <w:szCs w:val="20"/>
                <w:color w:val="auto"/>
              </w:rPr>
            </w:pPr>
            <w:r>
              <w:rPr>
                <w:rFonts w:ascii="Arial" w:cs="Arial" w:eastAsia="Arial" w:hAnsi="Arial"/>
                <w:sz w:val="14"/>
                <w:szCs w:val="14"/>
                <w:color w:val="auto"/>
                <w:w w:val="96"/>
              </w:rPr>
              <w:t>(Zip Code)</w:t>
            </w:r>
          </w:p>
        </w:tc>
      </w:tr>
      <w:tr>
        <w:trPr>
          <w:trHeight w:val="701"/>
        </w:trPr>
        <w:tc>
          <w:tcPr>
            <w:tcW w:w="2620" w:type="dxa"/>
            <w:vAlign w:val="bottom"/>
          </w:tcPr>
          <w:p>
            <w:pPr>
              <w:spacing w:after="0"/>
              <w:rPr>
                <w:sz w:val="24"/>
                <w:szCs w:val="24"/>
                <w:color w:val="auto"/>
              </w:rPr>
            </w:pPr>
          </w:p>
        </w:tc>
        <w:tc>
          <w:tcPr>
            <w:tcW w:w="7140" w:type="dxa"/>
            <w:vAlign w:val="bottom"/>
          </w:tcPr>
          <w:p>
            <w:pPr>
              <w:jc w:val="center"/>
              <w:ind w:right="233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413"/>
        </w:trPr>
        <w:tc>
          <w:tcPr>
            <w:tcW w:w="2620" w:type="dxa"/>
            <w:vAlign w:val="bottom"/>
          </w:tcPr>
          <w:p>
            <w:pPr>
              <w:spacing w:after="0"/>
              <w:rPr>
                <w:sz w:val="24"/>
                <w:szCs w:val="24"/>
                <w:color w:val="auto"/>
              </w:rPr>
            </w:pPr>
          </w:p>
        </w:tc>
        <w:tc>
          <w:tcPr>
            <w:tcW w:w="7140" w:type="dxa"/>
            <w:vAlign w:val="bottom"/>
          </w:tcPr>
          <w:p>
            <w:pPr>
              <w:jc w:val="center"/>
              <w:ind w:right="2358"/>
              <w:spacing w:after="0"/>
              <w:rPr>
                <w:sz w:val="20"/>
                <w:szCs w:val="20"/>
                <w:color w:val="auto"/>
              </w:rPr>
            </w:pPr>
            <w:r>
              <w:rPr>
                <w:rFonts w:ascii="Arial" w:cs="Arial" w:eastAsia="Arial" w:hAnsi="Arial"/>
                <w:sz w:val="18"/>
                <w:szCs w:val="18"/>
                <w:b w:val="1"/>
                <w:bCs w:val="1"/>
                <w:color w:val="auto"/>
                <w:w w:val="96"/>
              </w:rPr>
              <w:t>N/A</w:t>
            </w:r>
          </w:p>
        </w:tc>
      </w:tr>
      <w:tr>
        <w:trPr>
          <w:trHeight w:val="182"/>
        </w:trPr>
        <w:tc>
          <w:tcPr>
            <w:tcW w:w="2620" w:type="dxa"/>
            <w:vAlign w:val="bottom"/>
          </w:tcPr>
          <w:p>
            <w:pPr>
              <w:spacing w:after="0"/>
              <w:rPr>
                <w:sz w:val="15"/>
                <w:szCs w:val="15"/>
                <w:color w:val="auto"/>
              </w:rPr>
            </w:pPr>
          </w:p>
        </w:tc>
        <w:tc>
          <w:tcPr>
            <w:tcW w:w="7140" w:type="dxa"/>
            <w:vAlign w:val="bottom"/>
          </w:tcPr>
          <w:p>
            <w:pPr>
              <w:jc w:val="center"/>
              <w:ind w:right="2338"/>
              <w:spacing w:after="0"/>
              <w:rPr>
                <w:sz w:val="20"/>
                <w:szCs w:val="20"/>
                <w:color w:val="auto"/>
              </w:rPr>
            </w:pPr>
            <w:r>
              <w:rPr>
                <w:rFonts w:ascii="Arial" w:cs="Arial" w:eastAsia="Arial" w:hAnsi="Arial"/>
                <w:sz w:val="14"/>
                <w:szCs w:val="14"/>
                <w:color w:val="auto"/>
                <w:w w:val="93"/>
              </w:rPr>
              <w:t>(Former Name or Former Address, if Changed Since Last Report)</w:t>
            </w:r>
          </w:p>
        </w:tc>
      </w:tr>
      <w:tr>
        <w:trPr>
          <w:trHeight w:val="297"/>
        </w:trPr>
        <w:tc>
          <w:tcPr>
            <w:tcW w:w="2620" w:type="dxa"/>
            <w:vAlign w:val="bottom"/>
          </w:tcPr>
          <w:p>
            <w:pPr>
              <w:spacing w:after="0"/>
              <w:rPr>
                <w:sz w:val="24"/>
                <w:szCs w:val="24"/>
                <w:color w:val="auto"/>
              </w:rPr>
            </w:pPr>
          </w:p>
        </w:tc>
        <w:tc>
          <w:tcPr>
            <w:tcW w:w="7140" w:type="dxa"/>
            <w:vAlign w:val="bottom"/>
          </w:tcPr>
          <w:p>
            <w:pPr>
              <w:jc w:val="center"/>
              <w:ind w:right="2338"/>
              <w:spacing w:after="0"/>
              <w:rPr>
                <w:sz w:val="20"/>
                <w:szCs w:val="20"/>
                <w:color w:val="auto"/>
              </w:rPr>
            </w:pPr>
            <w:r>
              <w:rPr>
                <w:rFonts w:ascii="Arial" w:cs="Arial" w:eastAsia="Arial" w:hAnsi="Arial"/>
                <w:sz w:val="14"/>
                <w:szCs w:val="14"/>
                <w:color w:val="auto"/>
                <w:w w:val="92"/>
              </w:rPr>
              <w:t>______________________________</w:t>
            </w:r>
          </w:p>
        </w:tc>
      </w:tr>
    </w:tbl>
    <w:p>
      <w:pPr>
        <w:spacing w:after="0" w:line="33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0"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Lawrence J. Salva, Executive Vice President and Chief Accounting Officer of Comcast Corporation (“Comcast”), has decided that after over 17 years of service, he intends to retire as Chief Accounting Officer effective February 28, 2017. Mr. Salva will remain as a Senior Advisor to our Chief Financial Officer through June 30, 2018.</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Mr. Salva’s retirement, Comcast promoted Daniel C. Murdock to Senior Vice President and Chief Accounting Officer, effective March 1, 2017. Mr. Murdock, age 43, has served as the Company’s Vice President and Corporate Controller since June 2015. Mr. Murdock joined Comcast from the Securities and Exchange Commission, where he had served as the Deputy Chief Accountant in the Office of the Chief Accountant from October 2013 until May 2015. Prior to the SEC, he was Deloitte &amp; Touche’s Audit/Industry Professional Practice Director for media and entertainment. In connection with his promotion, Mr. Murdock entered into a new employment agreement that contains cash and equity compensation generally commensurate with other similarly-situated senior vice president-level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15, 2017</w:t>
            </w:r>
          </w:p>
        </w:tc>
        <w:tc>
          <w:tcPr>
            <w:tcW w:w="7720" w:type="dxa"/>
            <w:vAlign w:val="bottom"/>
            <w:gridSpan w:val="2"/>
          </w:tcPr>
          <w:p>
            <w:pPr>
              <w:ind w:left="1680"/>
              <w:spacing w:after="0"/>
              <w:rPr>
                <w:sz w:val="20"/>
                <w:szCs w:val="20"/>
                <w:color w:val="auto"/>
              </w:rPr>
            </w:pPr>
            <w:r>
              <w:rPr>
                <w:rFonts w:ascii="Arial" w:cs="Arial" w:eastAsia="Arial" w:hAnsi="Arial"/>
                <w:sz w:val="18"/>
                <w:szCs w:val="18"/>
                <w:color w:val="auto"/>
              </w:rPr>
              <w:t>By: /s/ Arthur R. Block</w:t>
            </w: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1891"/>
        </w:trPr>
        <w:tc>
          <w:tcPr>
            <w:tcW w:w="3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2019-12-06T17:34:48Z</dcterms:created>
  <dcterms:modified xsi:type="dcterms:W3CDTF">2019-12-06T17:34:48Z</dcterms:modified>
</cp:coreProperties>
</file>