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13D</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rPr>
          <w:sz w:val="20"/>
          <w:szCs w:val="20"/>
          <w:color w:val="auto"/>
        </w:rPr>
      </w:pPr>
      <w:r>
        <w:rPr>
          <w:rFonts w:ascii="Courier New" w:cs="Courier New" w:eastAsia="Courier New" w:hAnsi="Courier New"/>
          <w:sz w:val="18"/>
          <w:szCs w:val="18"/>
          <w:color w:val="auto"/>
        </w:rPr>
        <w:t>(Amendment No. 18)*</w:t>
      </w:r>
    </w:p>
    <w:p>
      <w:pPr>
        <w:spacing w:after="0" w:line="200" w:lineRule="exact"/>
        <w:rPr>
          <w:sz w:val="24"/>
          <w:szCs w:val="24"/>
          <w:color w:val="auto"/>
        </w:rPr>
      </w:pP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Nextel Communications,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Class A 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65332V 10 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Stanley S. Wang, Esq.</w:t>
      </w:r>
    </w:p>
    <w:p>
      <w:pPr>
        <w:ind w:left="2000"/>
        <w:spacing w:after="0" w:line="238" w:lineRule="auto"/>
        <w:rPr>
          <w:sz w:val="20"/>
          <w:szCs w:val="20"/>
          <w:color w:val="auto"/>
        </w:rPr>
      </w:pPr>
      <w:r>
        <w:rPr>
          <w:rFonts w:ascii="Courier New" w:cs="Courier New" w:eastAsia="Courier New" w:hAnsi="Courier New"/>
          <w:sz w:val="18"/>
          <w:szCs w:val="18"/>
          <w:color w:val="auto"/>
        </w:rPr>
        <w:t>Senior Vice President and General Counsel</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1900"/>
        <w:spacing w:after="0" w:line="237" w:lineRule="auto"/>
        <w:rPr>
          <w:sz w:val="20"/>
          <w:szCs w:val="20"/>
          <w:color w:val="auto"/>
        </w:rPr>
      </w:pPr>
      <w:r>
        <w:rPr>
          <w:rFonts w:ascii="Courier New" w:cs="Courier New" w:eastAsia="Courier New" w:hAnsi="Courier New"/>
          <w:sz w:val="18"/>
          <w:szCs w:val="18"/>
          <w:color w:val="auto"/>
        </w:rPr>
        <w:t>1500 Market Street, Philadelphia, PA 19102</w:t>
      </w:r>
    </w:p>
    <w:p>
      <w:pPr>
        <w:ind w:left="2960"/>
        <w:spacing w:after="0" w:line="238" w:lineRule="auto"/>
        <w:rPr>
          <w:sz w:val="20"/>
          <w:szCs w:val="20"/>
          <w:color w:val="auto"/>
        </w:rPr>
      </w:pPr>
      <w:r>
        <w:rPr>
          <w:rFonts w:ascii="Courier New" w:cs="Courier New" w:eastAsia="Courier New" w:hAnsi="Courier New"/>
          <w:sz w:val="18"/>
          <w:szCs w:val="18"/>
          <w:color w:val="auto"/>
        </w:rPr>
        <w:t>Tel. No. (215) 665-1700</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w:t>
      </w: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September 26, 1996</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Check the following box if a</w:t>
            </w:r>
          </w:p>
        </w:tc>
        <w:tc>
          <w:tcPr>
            <w:tcW w:w="1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fee is being</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w w:val="98"/>
              </w:rPr>
              <w:t>paid with this statement:</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   (A</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fee is not required only if the reporting</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person: (1) has a previous statement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on file reporting beneficial</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more than five percent of</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class</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securities described in Item 1; and</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(2) has filed no amendment subsequent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thereto reporting beneficial</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less than five percent of</w:t>
            </w:r>
          </w:p>
        </w:tc>
        <w:tc>
          <w:tcPr>
            <w:tcW w:w="1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such</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(See Rule 13d-7.)</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07" w:lineRule="exact"/>
        <w:rPr>
          <w:sz w:val="24"/>
          <w:szCs w:val="24"/>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231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65332V 10 3</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right="2199" w:hanging="624"/>
        <w:spacing w:after="0" w:line="235"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 Persons</w:t>
      </w:r>
    </w:p>
    <w:p>
      <w:pPr>
        <w:sectPr>
          <w:pgSz w:w="11900" w:h="16838" w:orient="portrait"/>
          <w:cols w:equalWidth="0" w:num="1">
            <w:col w:w="10219"/>
          </w:cols>
          <w:pgMar w:left="240" w:top="250" w:right="1440" w:bottom="0" w:gutter="0" w:footer="0" w:header="0"/>
        </w:sectPr>
      </w:pPr>
    </w:p>
    <w:bookmarkStart w:id="1" w:name="page2"/>
    <w:bookmarkEnd w:id="1"/>
    <w:p>
      <w:pPr>
        <w:ind w:left="1580"/>
        <w:spacing w:after="0"/>
        <w:rPr>
          <w:sz w:val="20"/>
          <w:szCs w:val="20"/>
          <w:color w:val="auto"/>
        </w:rPr>
      </w:pPr>
      <w:r>
        <w:rPr>
          <w:rFonts w:ascii="Courier New" w:cs="Courier New" w:eastAsia="Courier New" w:hAnsi="Courier New"/>
          <w:sz w:val="18"/>
          <w:szCs w:val="18"/>
          <w:color w:val="auto"/>
        </w:rPr>
        <w:t>COMCAST CORPORATION</w:t>
      </w:r>
    </w:p>
    <w:p>
      <w:pPr>
        <w:ind w:left="1580"/>
        <w:spacing w:after="0" w:line="238" w:lineRule="auto"/>
        <w:rPr>
          <w:sz w:val="20"/>
          <w:szCs w:val="20"/>
          <w:color w:val="auto"/>
        </w:rPr>
      </w:pPr>
      <w:r>
        <w:rPr>
          <w:rFonts w:ascii="Courier New" w:cs="Courier New" w:eastAsia="Courier New" w:hAnsi="Courier New"/>
          <w:sz w:val="18"/>
          <w:szCs w:val="18"/>
          <w:color w:val="auto"/>
        </w:rPr>
        <w:t>23 - 1709202</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hanging="624"/>
        <w:spacing w:after="0" w:line="238" w:lineRule="auto"/>
        <w:tabs>
          <w:tab w:leader="none" w:pos="15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280" w:hanging="635"/>
        <w:spacing w:after="0" w:line="238" w:lineRule="auto"/>
        <w:tabs>
          <w:tab w:leader="none" w:pos="72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280" w:hanging="635"/>
        <w:spacing w:after="0" w:line="238" w:lineRule="auto"/>
        <w:tabs>
          <w:tab w:leader="none" w:pos="72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hanging="624"/>
        <w:spacing w:after="0" w:line="238" w:lineRule="auto"/>
        <w:tabs>
          <w:tab w:leader="none" w:pos="1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tabs>
          <w:tab w:leader="none" w:pos="1560" w:val="left"/>
          <w:tab w:leader="none" w:pos="7260" w:val="left"/>
        </w:tabs>
        <w:rPr>
          <w:sz w:val="20"/>
          <w:szCs w:val="20"/>
          <w:color w:val="auto"/>
        </w:rPr>
      </w:pPr>
      <w:r>
        <w:rPr>
          <w:rFonts w:ascii="Courier New" w:cs="Courier New" w:eastAsia="Courier New" w:hAnsi="Courier New"/>
          <w:sz w:val="18"/>
          <w:szCs w:val="18"/>
          <w:color w:val="auto"/>
        </w:rPr>
        <w:t>(4)</w:t>
        <w:tab/>
        <w:t>Source of Funds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right="2199" w:hanging="624"/>
        <w:spacing w:after="0" w:line="235"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ind w:left="7280"/>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right="4839" w:hanging="624"/>
        <w:spacing w:after="0" w:line="357" w:lineRule="auto"/>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 Shares</w:t>
            </w:r>
          </w:p>
        </w:tc>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00" w:type="dxa"/>
            <w:vAlign w:val="bottom"/>
          </w:tcPr>
          <w:p>
            <w:pPr>
              <w:spacing w:after="0"/>
              <w:rPr>
                <w:sz w:val="17"/>
                <w:szCs w:val="17"/>
                <w:color w:val="auto"/>
              </w:rPr>
            </w:pP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15,278,469*</w:t>
            </w:r>
          </w:p>
        </w:tc>
        <w:tc>
          <w:tcPr>
            <w:tcW w:w="1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*See number 12</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below</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800" w:type="dxa"/>
            <w:vAlign w:val="bottom"/>
          </w:tcPr>
          <w:p>
            <w:pPr>
              <w:spacing w:after="0"/>
              <w:rPr>
                <w:sz w:val="17"/>
                <w:szCs w:val="17"/>
                <w:color w:val="auto"/>
              </w:rPr>
            </w:pP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*See number 12</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below</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800" w:type="dxa"/>
            <w:vAlign w:val="bottom"/>
          </w:tcPr>
          <w:p>
            <w:pPr>
              <w:spacing w:after="0"/>
              <w:rPr>
                <w:sz w:val="17"/>
                <w:szCs w:val="17"/>
                <w:color w:val="auto"/>
              </w:rPr>
            </w:pP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15,278,469*</w:t>
            </w:r>
          </w:p>
        </w:tc>
        <w:tc>
          <w:tcPr>
            <w:tcW w:w="1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*See number 12</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below</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*See number 12</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below</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hanging="624"/>
        <w:spacing w:after="0" w:line="238" w:lineRule="auto"/>
        <w:tabs>
          <w:tab w:leader="none" w:pos="15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580"/>
        <w:spacing w:after="0"/>
        <w:tabs>
          <w:tab w:leader="none" w:pos="5880" w:val="left"/>
        </w:tabs>
        <w:rPr>
          <w:sz w:val="20"/>
          <w:szCs w:val="20"/>
          <w:color w:val="auto"/>
        </w:rPr>
      </w:pPr>
      <w:r>
        <w:rPr>
          <w:rFonts w:ascii="Courier New" w:cs="Courier New" w:eastAsia="Courier New" w:hAnsi="Courier New"/>
          <w:sz w:val="18"/>
          <w:szCs w:val="18"/>
          <w:color w:val="auto"/>
        </w:rPr>
        <w:t>15,278,469*</w:t>
      </w:r>
      <w:r>
        <w:rPr>
          <w:sz w:val="20"/>
          <w:szCs w:val="20"/>
          <w:color w:val="auto"/>
        </w:rPr>
        <w:tab/>
      </w:r>
      <w:r>
        <w:rPr>
          <w:rFonts w:ascii="Courier New" w:cs="Courier New" w:eastAsia="Courier New" w:hAnsi="Courier New"/>
          <w:sz w:val="18"/>
          <w:szCs w:val="18"/>
          <w:color w:val="auto"/>
        </w:rPr>
        <w:t>*See number 12 below</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580" w:hanging="624"/>
        <w:spacing w:after="0"/>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w:t>
      </w:r>
    </w:p>
    <w:p>
      <w:pPr>
        <w:sectPr>
          <w:pgSz w:w="11900" w:h="16838" w:orient="portrait"/>
          <w:cols w:equalWidth="0" w:num="1">
            <w:col w:w="10219"/>
          </w:cols>
          <w:pgMar w:left="240" w:top="136" w:right="1440" w:bottom="0" w:gutter="0" w:footer="0" w:header="0"/>
        </w:sectPr>
      </w:pP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ectPr>
          <w:pgSz w:w="11900" w:h="16838" w:orient="portrait"/>
          <w:cols w:equalWidth="0" w:num="2">
            <w:col w:w="6980" w:space="720"/>
            <w:col w:w="2519"/>
          </w:cols>
          <w:pgMar w:left="240" w:top="136" w:right="1440" w:bottom="0" w:gutter="0" w:footer="0" w:header="0"/>
          <w:type w:val="continuous"/>
        </w:sectPr>
      </w:pP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*Excludes an aggregate of 15,756,050 shares owned by the</w:t>
      </w:r>
    </w:p>
    <w:p>
      <w:pPr>
        <w:ind w:left="1580"/>
        <w:spacing w:after="0"/>
        <w:rPr>
          <w:sz w:val="20"/>
          <w:szCs w:val="20"/>
          <w:color w:val="auto"/>
        </w:rPr>
      </w:pPr>
      <w:r>
        <w:rPr>
          <w:rFonts w:ascii="Courier New" w:cs="Courier New" w:eastAsia="Courier New" w:hAnsi="Courier New"/>
          <w:sz w:val="18"/>
          <w:szCs w:val="18"/>
          <w:color w:val="auto"/>
        </w:rPr>
        <w:t>signatories to a certain Stockholders' Voting Agreement,</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dated September 14, 1992, as described more fully in Items 2</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and 6 of Amendment No. 1 and Item 2 of Amendment No. 2.</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hanging="624"/>
        <w:spacing w:after="0" w:line="238" w:lineRule="auto"/>
        <w:tabs>
          <w:tab w:leader="none" w:pos="1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6.96%</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hanging="624"/>
        <w:spacing w:after="0" w:line="238"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jc w:val="center"/>
        <w:ind w:right="1999"/>
        <w:spacing w:after="0" w:line="238" w:lineRule="auto"/>
        <w:rPr>
          <w:sz w:val="20"/>
          <w:szCs w:val="20"/>
          <w:color w:val="auto"/>
        </w:rPr>
      </w:pPr>
      <w:r>
        <w:rPr>
          <w:rFonts w:ascii="Courier New" w:cs="Courier New" w:eastAsia="Courier New" w:hAnsi="Courier New"/>
          <w:sz w:val="18"/>
          <w:szCs w:val="18"/>
          <w:color w:val="auto"/>
        </w:rPr>
        <w:t>(Amendment No. 18)</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Statement Of</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8"/>
          <w:szCs w:val="18"/>
          <w:color w:val="auto"/>
        </w:rPr>
        <w:t>Pursuant to Section 13(d) of the</w:t>
      </w:r>
    </w:p>
    <w:p>
      <w:pPr>
        <w:jc w:val="right"/>
        <w:ind w:right="441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 respect of</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Nextel Communications, Inc.</w:t>
      </w:r>
    </w:p>
    <w:p>
      <w:pPr>
        <w:spacing w:after="0" w:line="200" w:lineRule="exact"/>
        <w:rPr>
          <w:sz w:val="20"/>
          <w:szCs w:val="20"/>
          <w:color w:val="auto"/>
        </w:rPr>
      </w:pPr>
    </w:p>
    <w:p>
      <w:pPr>
        <w:spacing w:after="0" w:line="209" w:lineRule="exact"/>
        <w:rPr>
          <w:sz w:val="20"/>
          <w:szCs w:val="20"/>
          <w:color w:val="auto"/>
        </w:rPr>
      </w:pPr>
    </w:p>
    <w:p>
      <w:pPr>
        <w:ind w:right="2419" w:firstLine="1580"/>
        <w:spacing w:after="0" w:line="238" w:lineRule="auto"/>
        <w:rPr>
          <w:sz w:val="20"/>
          <w:szCs w:val="20"/>
          <w:color w:val="auto"/>
        </w:rPr>
      </w:pPr>
      <w:r>
        <w:rPr>
          <w:rFonts w:ascii="Courier New" w:cs="Courier New" w:eastAsia="Courier New" w:hAnsi="Courier New"/>
          <w:sz w:val="18"/>
          <w:szCs w:val="18"/>
          <w:color w:val="auto"/>
        </w:rPr>
        <w:t>Reference is made to the Schedule 13D previously filed on August 31, 1992 (the "Original 13D") by Comcast Corporation ("Comcast") relating to Nextel Communications, Inc. (formerly Fleet Call, Inc.) (the "Company"), as amended by Amendment No. 1 thereto filed on September 23, 1992, Amendment No. 2 thereto filed on February 24, 1993, Amendment No. 3 thereto filed on July 28, 1993, Amendment No. 4 thereto filed on March 1, 1994, Amendment No. 5 thereto filed on March 3, 1994, Amendment No. 6 thereto filed on July 18, 1994, Amendment No. 7 thereto filed on August 9, 1994, Amendment No. 8 thereto filed on August 30, 1994, Amendment No. 9 thereto filed on February 3, 1995, Amendment No. 10 thereto filed on April 7, 1995, Amendment No. 11 thereto filed on May 2, 1995, Amendment No. 12 thereto filed on May 19, 1995, Amendment No. 13 thereto filed on July 5, 1995, Amendment No. 14 thereto filed on July 14, 1995, Amendment No. 15 thereto filed on September 13, 1995, Amendment No. 16 thereto filed on February 12, 1996 and Amendment No. 17 thereto filed on June 3, 1996 (such Schedule 13D, as so amended, is hereinafter referred to as the "Schedule 13D"). All capitalized terms not otherwise defined herein shall have the meanings ascribed to them in the Schedule 13D.</w:t>
      </w: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Item 5 of the Schedule 13D is hereby supplemented and amended to include the following information:</w:t>
      </w:r>
    </w:p>
    <w:p>
      <w:pPr>
        <w:spacing w:after="0" w:line="208"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Comcast owns 3,278,469 shares Common Stock. Based upon the 209,442,111 shares of Common Stock the Company informed Comcast were outstanding as of June 30, 1996 (excluding shares held in treasury), if Comcast were to exercise in full the portion of the Restated Option exercisable within 60 days hereof for 12,000,000 shares of Common Stock, Comcast would own 15,278,469 shares of Common Stock, representing approximately 6.96% of the outstanding Common Stock (giving effect to such exercise). Comcast has the sole power to vote or dispose of all the shares of Common Stock beneficially owned by Comcast.</w:t>
      </w:r>
    </w:p>
    <w:p>
      <w:pPr>
        <w:spacing w:after="0" w:line="214" w:lineRule="exact"/>
        <w:rPr>
          <w:sz w:val="20"/>
          <w:szCs w:val="20"/>
          <w:color w:val="auto"/>
        </w:rPr>
      </w:pPr>
    </w:p>
    <w:p>
      <w:pPr>
        <w:ind w:right="2319" w:firstLine="1580"/>
        <w:spacing w:after="0" w:line="272" w:lineRule="auto"/>
        <w:rPr>
          <w:sz w:val="20"/>
          <w:szCs w:val="20"/>
          <w:color w:val="auto"/>
        </w:rPr>
      </w:pPr>
      <w:r>
        <w:rPr>
          <w:rFonts w:ascii="Courier New" w:cs="Courier New" w:eastAsia="Courier New" w:hAnsi="Courier New"/>
          <w:sz w:val="16"/>
          <w:szCs w:val="16"/>
          <w:color w:val="auto"/>
        </w:rPr>
        <w:t>The 1996 Registration Statement covering 8,848,469 shares of Common Stock was filed by the Company with the Commission and became effective on April 29, 1996. Of the shares covered by the 1996 Registration Statement, Comcast has sold an aggregate of 2,275,000 shares in brokers' transactions executed during the period of June 1, 1996 through September 26, 1996 for an aggregate Net Sales proceeds of $43,413,125.</w:t>
      </w:r>
    </w:p>
    <w:p>
      <w:pPr>
        <w:spacing w:after="0" w:line="186" w:lineRule="exact"/>
        <w:rPr>
          <w:sz w:val="20"/>
          <w:szCs w:val="20"/>
          <w:color w:val="auto"/>
        </w:rPr>
      </w:pPr>
    </w:p>
    <w:p>
      <w:pPr>
        <w:ind w:right="2619" w:firstLine="1580"/>
        <w:spacing w:after="0" w:line="235" w:lineRule="auto"/>
        <w:rPr>
          <w:sz w:val="20"/>
          <w:szCs w:val="20"/>
          <w:color w:val="auto"/>
        </w:rPr>
      </w:pPr>
      <w:r>
        <w:rPr>
          <w:rFonts w:ascii="Courier New" w:cs="Courier New" w:eastAsia="Courier New" w:hAnsi="Courier New"/>
          <w:sz w:val="18"/>
          <w:szCs w:val="18"/>
          <w:color w:val="auto"/>
        </w:rPr>
        <w:t>The sales of such shares were made in the amounts, on the dates and at the per share prices set forth below.</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262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Number</w:t>
            </w:r>
          </w:p>
        </w:tc>
        <w:tc>
          <w:tcPr>
            <w:tcW w:w="2320" w:type="dxa"/>
            <w:vAlign w:val="bottom"/>
          </w:tcPr>
          <w:p>
            <w:pPr>
              <w:jc w:val="center"/>
              <w:ind w:left="252"/>
              <w:spacing w:after="0"/>
              <w:rPr>
                <w:sz w:val="20"/>
                <w:szCs w:val="20"/>
                <w:color w:val="auto"/>
              </w:rPr>
            </w:pPr>
            <w:r>
              <w:rPr>
                <w:rFonts w:ascii="Courier New" w:cs="Courier New" w:eastAsia="Courier New" w:hAnsi="Courier New"/>
                <w:sz w:val="18"/>
                <w:szCs w:val="18"/>
                <w:color w:val="auto"/>
                <w:w w:val="98"/>
              </w:rPr>
              <w:t>Average Price</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of Shares</w:t>
            </w:r>
          </w:p>
        </w:tc>
        <w:tc>
          <w:tcPr>
            <w:tcW w:w="2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6"/>
              </w:rPr>
              <w:t>Per Share</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June 3, 1996</w:t>
            </w:r>
          </w:p>
        </w:tc>
        <w:tc>
          <w:tcPr>
            <w:tcW w:w="26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450,000</w:t>
            </w:r>
          </w:p>
        </w:tc>
        <w:tc>
          <w:tcPr>
            <w:tcW w:w="2320" w:type="dxa"/>
            <w:vAlign w:val="bottom"/>
          </w:tcPr>
          <w:p>
            <w:pPr>
              <w:jc w:val="center"/>
              <w:ind w:left="252"/>
              <w:spacing w:after="0"/>
              <w:rPr>
                <w:sz w:val="20"/>
                <w:szCs w:val="20"/>
                <w:color w:val="auto"/>
              </w:rPr>
            </w:pPr>
            <w:r>
              <w:rPr>
                <w:rFonts w:ascii="Courier New" w:cs="Courier New" w:eastAsia="Courier New" w:hAnsi="Courier New"/>
                <w:sz w:val="18"/>
                <w:szCs w:val="18"/>
                <w:color w:val="auto"/>
                <w:w w:val="97"/>
              </w:rPr>
              <w:t>20.7639</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4, 1996</w:t>
            </w:r>
          </w:p>
        </w:tc>
        <w:tc>
          <w:tcPr>
            <w:tcW w:w="2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350,000</w:t>
            </w:r>
          </w:p>
        </w:tc>
        <w:tc>
          <w:tcPr>
            <w:tcW w:w="2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20.7500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14, 1996</w:t>
            </w:r>
          </w:p>
        </w:tc>
        <w:tc>
          <w:tcPr>
            <w:tcW w:w="2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125,000</w:t>
            </w:r>
          </w:p>
        </w:tc>
        <w:tc>
          <w:tcPr>
            <w:tcW w:w="2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21.2500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17, 1996</w:t>
            </w:r>
          </w:p>
        </w:tc>
        <w:tc>
          <w:tcPr>
            <w:tcW w:w="2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200,000</w:t>
            </w:r>
          </w:p>
        </w:tc>
        <w:tc>
          <w:tcPr>
            <w:tcW w:w="2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21.4375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2, 1996</w:t>
            </w:r>
          </w:p>
        </w:tc>
        <w:tc>
          <w:tcPr>
            <w:tcW w:w="2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100,000</w:t>
            </w:r>
          </w:p>
        </w:tc>
        <w:tc>
          <w:tcPr>
            <w:tcW w:w="2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20.3750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9, 1996</w:t>
            </w:r>
          </w:p>
        </w:tc>
        <w:tc>
          <w:tcPr>
            <w:tcW w:w="2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50,000</w:t>
            </w:r>
          </w:p>
        </w:tc>
        <w:tc>
          <w:tcPr>
            <w:tcW w:w="2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19.0000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16, 1996</w:t>
            </w:r>
          </w:p>
        </w:tc>
        <w:tc>
          <w:tcPr>
            <w:tcW w:w="2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170,000</w:t>
            </w:r>
          </w:p>
        </w:tc>
        <w:tc>
          <w:tcPr>
            <w:tcW w:w="2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16.1250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21, 1996</w:t>
            </w:r>
          </w:p>
        </w:tc>
        <w:tc>
          <w:tcPr>
            <w:tcW w:w="2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100,000</w:t>
            </w:r>
          </w:p>
        </w:tc>
        <w:tc>
          <w:tcPr>
            <w:tcW w:w="2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16.0000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22, 1996</w:t>
            </w:r>
          </w:p>
        </w:tc>
        <w:tc>
          <w:tcPr>
            <w:tcW w:w="2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200,000</w:t>
            </w:r>
          </w:p>
        </w:tc>
        <w:tc>
          <w:tcPr>
            <w:tcW w:w="2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16.1875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27, 1996</w:t>
            </w:r>
          </w:p>
        </w:tc>
        <w:tc>
          <w:tcPr>
            <w:tcW w:w="2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100,000</w:t>
            </w:r>
          </w:p>
        </w:tc>
        <w:tc>
          <w:tcPr>
            <w:tcW w:w="2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17.2500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12, 1996</w:t>
            </w:r>
          </w:p>
        </w:tc>
        <w:tc>
          <w:tcPr>
            <w:tcW w:w="2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100,000</w:t>
            </w:r>
          </w:p>
        </w:tc>
        <w:tc>
          <w:tcPr>
            <w:tcW w:w="2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16.8750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25, 1996</w:t>
            </w:r>
          </w:p>
        </w:tc>
        <w:tc>
          <w:tcPr>
            <w:tcW w:w="2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175,000</w:t>
            </w:r>
          </w:p>
        </w:tc>
        <w:tc>
          <w:tcPr>
            <w:tcW w:w="2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17.5536</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26, 1996</w:t>
            </w:r>
          </w:p>
        </w:tc>
        <w:tc>
          <w:tcPr>
            <w:tcW w:w="2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155,000</w:t>
            </w:r>
          </w:p>
        </w:tc>
        <w:tc>
          <w:tcPr>
            <w:tcW w:w="2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18.1452</w:t>
            </w:r>
          </w:p>
        </w:tc>
      </w:tr>
      <w:tr>
        <w:trPr>
          <w:trHeight w:val="203"/>
        </w:trPr>
        <w:tc>
          <w:tcPr>
            <w:tcW w:w="2540" w:type="dxa"/>
            <w:vAlign w:val="bottom"/>
          </w:tcPr>
          <w:p>
            <w:pPr>
              <w:spacing w:after="0"/>
              <w:rPr>
                <w:sz w:val="17"/>
                <w:szCs w:val="17"/>
                <w:color w:val="auto"/>
              </w:rPr>
            </w:pPr>
          </w:p>
        </w:tc>
        <w:tc>
          <w:tcPr>
            <w:tcW w:w="2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spacing w:after="0"/>
              <w:rPr>
                <w:sz w:val="17"/>
                <w:szCs w:val="17"/>
                <w:color w:val="auto"/>
              </w:rPr>
            </w:pPr>
          </w:p>
        </w:tc>
      </w:tr>
      <w:tr>
        <w:trPr>
          <w:trHeight w:val="203"/>
        </w:trPr>
        <w:tc>
          <w:tcPr>
            <w:tcW w:w="2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w:t>
            </w:r>
          </w:p>
        </w:tc>
        <w:tc>
          <w:tcPr>
            <w:tcW w:w="2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2,275,000</w:t>
            </w:r>
          </w:p>
        </w:tc>
        <w:tc>
          <w:tcPr>
            <w:tcW w:w="2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19.0827</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firstLine="1580"/>
        <w:spacing w:after="0" w:line="279" w:lineRule="auto"/>
        <w:rPr>
          <w:sz w:val="20"/>
          <w:szCs w:val="20"/>
          <w:color w:val="auto"/>
        </w:rPr>
      </w:pPr>
      <w:r>
        <w:rPr>
          <w:rFonts w:ascii="Courier New" w:cs="Courier New" w:eastAsia="Courier New" w:hAnsi="Courier New"/>
          <w:sz w:val="16"/>
          <w:szCs w:val="16"/>
          <w:color w:val="auto"/>
        </w:rPr>
        <w:t>Other than as described herein and in the Schedule 13D, Comcast has not effected any transactions in the securities of the Company during the past sixty days, and Comcast is not aware of any other</w:t>
      </w:r>
    </w:p>
    <w:p>
      <w:pPr>
        <w:sectPr>
          <w:pgSz w:w="11900" w:h="16838" w:orient="portrait"/>
          <w:cols w:equalWidth="0" w:num="1">
            <w:col w:w="10219"/>
          </w:cols>
          <w:pgMar w:left="240" w:top="339"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transactions in such securities by any of its executive officers or directors within the past sixty days.</w:t>
      </w:r>
    </w:p>
    <w:p>
      <w:pPr>
        <w:spacing w:after="0" w:line="208" w:lineRule="exact"/>
        <w:rPr>
          <w:sz w:val="20"/>
          <w:szCs w:val="20"/>
          <w:color w:val="auto"/>
        </w:rPr>
      </w:pPr>
    </w:p>
    <w:p>
      <w:pPr>
        <w:ind w:right="2519" w:firstLine="1580"/>
        <w:spacing w:after="0" w:line="290" w:lineRule="auto"/>
        <w:rPr>
          <w:sz w:val="20"/>
          <w:szCs w:val="20"/>
          <w:color w:val="auto"/>
        </w:rPr>
      </w:pPr>
      <w:r>
        <w:rPr>
          <w:rFonts w:ascii="Courier New" w:cs="Courier New" w:eastAsia="Courier New" w:hAnsi="Courier New"/>
          <w:sz w:val="16"/>
          <w:szCs w:val="16"/>
          <w:color w:val="auto"/>
        </w:rPr>
        <w:t>Except as amended and supplemented hereby, the information under Item 5 of the Schedule 13D remains as previously reported.</w:t>
      </w:r>
    </w:p>
    <w:p>
      <w:pPr>
        <w:spacing w:after="0" w:line="36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319" w:firstLine="1580"/>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26, 1996</w:t>
      </w:r>
    </w:p>
    <w:p>
      <w:pPr>
        <w:spacing w:after="0" w:line="200" w:lineRule="exact"/>
        <w:rPr>
          <w:sz w:val="20"/>
          <w:szCs w:val="20"/>
          <w:color w:val="auto"/>
        </w:rPr>
      </w:pPr>
    </w:p>
    <w:p>
      <w:pPr>
        <w:sectPr>
          <w:pgSz w:w="11900" w:h="16838" w:orient="portrait"/>
          <w:cols w:equalWidth="0" w:num="2">
            <w:col w:w="640" w:space="420"/>
            <w:col w:w="9159"/>
          </w:cols>
          <w:pgMar w:left="240" w:top="142" w:right="1440" w:bottom="1440" w:gutter="0" w:footer="0" w:header="0"/>
          <w:type w:val="continuous"/>
        </w:sectPr>
      </w:pPr>
    </w:p>
    <w:p>
      <w:pPr>
        <w:spacing w:after="0" w:line="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3800"/>
        <w:spacing w:after="0" w:line="238" w:lineRule="auto"/>
        <w:rPr>
          <w:sz w:val="20"/>
          <w:szCs w:val="20"/>
          <w:color w:val="auto"/>
        </w:rPr>
      </w:pPr>
      <w:r>
        <w:rPr>
          <w:rFonts w:ascii="Courier New" w:cs="Courier New" w:eastAsia="Courier New" w:hAnsi="Courier New"/>
          <w:sz w:val="18"/>
          <w:szCs w:val="18"/>
          <w:color w:val="auto"/>
        </w:rPr>
        <w:t>Title: Deputy General Counsel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Number in</w:t>
      </w:r>
    </w:p>
    <w:p>
      <w:pPr>
        <w:ind w:left="120"/>
        <w:spacing w:after="0" w:line="238" w:lineRule="auto"/>
        <w:rPr>
          <w:sz w:val="20"/>
          <w:szCs w:val="20"/>
          <w:color w:val="auto"/>
        </w:rPr>
      </w:pPr>
      <w:r>
        <w:rPr>
          <w:rFonts w:ascii="Courier New" w:cs="Courier New" w:eastAsia="Courier New" w:hAnsi="Courier New"/>
          <w:sz w:val="18"/>
          <w:szCs w:val="18"/>
          <w:color w:val="auto"/>
        </w:rPr>
        <w:t>Sequentially</w:t>
      </w:r>
    </w:p>
    <w:p>
      <w:pPr>
        <w:spacing w:after="0"/>
        <w:rPr>
          <w:sz w:val="20"/>
          <w:szCs w:val="20"/>
          <w:color w:val="auto"/>
        </w:rPr>
      </w:pPr>
      <w:r>
        <w:rPr>
          <w:rFonts w:ascii="Courier New" w:cs="Courier New" w:eastAsia="Courier New" w:hAnsi="Courier New"/>
          <w:sz w:val="18"/>
          <w:szCs w:val="18"/>
          <w:color w:val="auto"/>
        </w:rPr>
        <w:t>Numbered Report</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240" w:space="720"/>
            <w:col w:w="1480" w:space="720"/>
            <w:col w:w="5059"/>
          </w:cols>
          <w:pgMar w:left="240" w:top="142" w:right="1440" w:bottom="1440" w:gutter="0" w:footer="0" w:header="0"/>
          <w:type w:val="continuous"/>
        </w:sectPr>
      </w:pP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lvl w:ilvl="1">
      <w:lvlJc w:val="left"/>
      <w:lvlText w:val="(%2)"/>
      <w:numFmt w:val="decimal"/>
      <w:start w:val="1"/>
    </w:lvl>
  </w:abstractNum>
  <w:abstractNum w:abstractNumId="7">
    <w:nsid w:val="1190CDE7"/>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8">
    <w:nsid w:val="66EF438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9">
    <w:nsid w:val="140E0F76"/>
    <w:multiLevelType w:val="hybridMultilevel"/>
    <w:lvl w:ilvl="0">
      <w:lvlJc w:val="left"/>
      <w:lvlText w:val="-"/>
      <w:numFmt w:val="bullet"/>
      <w:start w:val="1"/>
    </w:lvl>
    <w:lvl w:ilvl="1">
      <w:lvlJc w:val="left"/>
      <w:lvlText w:val="(%2)"/>
      <w:numFmt w:val="decimal"/>
      <w:start w:val="5"/>
    </w:lvl>
  </w:abstractNum>
  <w:abstractNum w:abstractNumId="10">
    <w:nsid w:val="3352255A"/>
    <w:multiLevelType w:val="hybridMultilevel"/>
    <w:lvl w:ilvl="0">
      <w:lvlJc w:val="left"/>
      <w:lvlText w:val="-"/>
      <w:numFmt w:val="bullet"/>
      <w:start w:val="1"/>
    </w:lvl>
    <w:lvl w:ilvl="1">
      <w:lvlJc w:val="left"/>
      <w:lvlText w:val="(%2)"/>
      <w:numFmt w:val="decimal"/>
      <w:start w:val="6"/>
    </w:lvl>
  </w:abstractNum>
  <w:abstractNum w:abstractNumId="11">
    <w:nsid w:val="109CF92E"/>
    <w:multiLevelType w:val="hybridMultilevel"/>
    <w:lvl w:ilvl="0">
      <w:lvlJc w:val="left"/>
      <w:lvlText w:val="-"/>
      <w:numFmt w:val="bullet"/>
      <w:start w:val="1"/>
    </w:lvl>
    <w:lvl w:ilvl="1">
      <w:lvlJc w:val="left"/>
      <w:lvlText w:val="(%2)"/>
      <w:numFmt w:val="decimal"/>
      <w:start w:val="11"/>
    </w:lvl>
  </w:abstractNum>
  <w:abstractNum w:abstractNumId="12">
    <w:nsid w:val="DED7263"/>
    <w:multiLevelType w:val="hybridMultilevel"/>
    <w:lvl w:ilvl="0">
      <w:lvlJc w:val="left"/>
      <w:lvlText w:val="(%1)"/>
      <w:numFmt w:val="decimal"/>
      <w:start w:val="12"/>
    </w:lvl>
  </w:abstractNum>
  <w:abstractNum w:abstractNumId="13">
    <w:nsid w:val="7FDCC233"/>
    <w:multiLevelType w:val="hybridMultilevel"/>
    <w:lvl w:ilvl="0">
      <w:lvlJc w:val="left"/>
      <w:lvlText w:val="-"/>
      <w:numFmt w:val="bullet"/>
      <w:start w:val="1"/>
    </w:lvl>
    <w:lvl w:ilvl="1">
      <w:lvlJc w:val="left"/>
      <w:lvlText w:val="(%2)"/>
      <w:numFmt w:val="decimal"/>
      <w:start w:val="13"/>
    </w:lvl>
  </w:abstractNum>
  <w:abstractNum w:abstractNumId="14">
    <w:nsid w:val="1BEFD79F"/>
    <w:multiLevelType w:val="hybridMultilevel"/>
    <w:lvl w:ilvl="0">
      <w:lvlJc w:val="left"/>
      <w:lvlText w:val="-"/>
      <w:numFmt w:val="bullet"/>
      <w:start w:val="1"/>
    </w:lvl>
    <w:lvl w:ilvl="1">
      <w:lvlJc w:val="left"/>
      <w:lvlText w:val="(%2)"/>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2019-12-16T13:10:32Z</dcterms:created>
  <dcterms:modified xsi:type="dcterms:W3CDTF">2019-12-16T13:10:32Z</dcterms:modified>
</cp:coreProperties>
</file>