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8-K</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CURRENT REPORT</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PURSUANT TO SECTION 13 OR 15 (d) of the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Date of Report: September 17, 2003</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88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PENNSYLVANIA</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23-1709202</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7" w:lineRule="exact"/>
        <w:rPr>
          <w:sz w:val="24"/>
          <w:szCs w:val="24"/>
          <w:color w:val="auto"/>
        </w:rPr>
      </w:pPr>
    </w:p>
    <w:p>
      <w:pPr>
        <w:ind w:left="180" w:right="4019" w:hanging="86"/>
        <w:spacing w:after="0"/>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 xml:space="preserve"> </w:t>
      </w:r>
      <w:r>
        <w:rPr>
          <w:rFonts w:ascii="Courier New" w:cs="Courier New" w:eastAsia="Courier New" w:hAnsi="Courier New"/>
          <w:sz w:val="15"/>
          <w:szCs w:val="15"/>
          <w:color w:val="auto"/>
        </w:rPr>
        <w:t>(I.R.S. Employer incorporation or organization) Identification No.)</w:t>
      </w:r>
    </w:p>
    <w:p>
      <w:pPr>
        <w:spacing w:after="0" w:line="328"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(Address of principal executive offices)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16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ACQUISITION OR DISPOSITION OF ASSETS</w:t>
      </w:r>
    </w:p>
    <w:p>
      <w:pPr>
        <w:spacing w:after="0" w:line="173" w:lineRule="exact"/>
        <w:rPr>
          <w:sz w:val="24"/>
          <w:szCs w:val="24"/>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On September 17, 2003, Comcast Corporation ("Comcast"), in accordance with the Amended and Restated Stock Purchase Agreement dated as of June 30, 2003 and executed on July 3, 2003 (the "Agreement"), among Comcast QVC, Inc. ("Comcast QVC"), a wholly-owned indirect subsidiary of Comcast Holdings Corporation ("Comcast Holdings"), Comcast, Liberty Media Corporation ("Liberty") and QVC, Inc. ("QVC"), among other things, completed the sale to Liberty of all shares of QVC common stock held by a number of direct wholly-owned subsidiaries of Comcast QVC for an aggregate amount of approximately $4 billion principal amount of Liberty's Floating Rate Senior Notes due 2006 (the "Liberty Notes"), approximately $1.35 billion in cash and approximately 218 million shares of Liberty Series A common stock. Pursuant to the Agreement, the shares of Liberty Series A common stock received by Comcast QVC were valued at $11.71 per share and represent approximately 7.5% of Liberty's common stock outstanding. The shares had a market value on the closing date of $10.73 per share, which was used for valuing such consideration in the accompanying unaudited pro forma condensed consolidated financial statements. Resales of the Liberty Notes and shares of Liberty Series A common stock received in the transaction have been registered with the Securities and Exchange Commission pursuant to the Agreement. On September 24, 2003, Comcast, through wholly-owned indirect subsidiaries of Comcast Holdings, sold an aggregate of $3.0 billion principal amount of the Liberty Notes for net proceeds of approximately $3.0 billion.</w:t>
      </w:r>
    </w:p>
    <w:p>
      <w:pPr>
        <w:spacing w:after="0" w:line="171"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PRO FORMA FINANCIAL INFORMATION AND EXHIBITS</w:t>
      </w:r>
    </w:p>
    <w:p>
      <w:pPr>
        <w:spacing w:after="0" w:line="166" w:lineRule="exact"/>
        <w:rPr>
          <w:sz w:val="24"/>
          <w:szCs w:val="24"/>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173"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Pursuant to paragraph (b) (1) of Item 7 of Form 8-K, Comcast Holdings is furnishing pro forma financial information in Exhibit 99.1</w:t>
      </w:r>
    </w:p>
    <w:p>
      <w:pPr>
        <w:spacing w:after="0" w:line="167" w:lineRule="exact"/>
        <w:rPr>
          <w:sz w:val="24"/>
          <w:szCs w:val="24"/>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ind w:left="1320" w:right="3239" w:hanging="8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10.1Amended and Restated Stock Purchase Agreement dated as of June 30, 2003 among Comcast QVC, Inc., Comcast Corporation, Liberty Media Corporation, and QVC, Inc. (incorporated by reference to Exhibit 10.1 to Comcast Corporation's Current Report on Form 8-K filed on October 1, 2003).</w:t>
      </w:r>
    </w:p>
    <w:p>
      <w:pPr>
        <w:spacing w:after="0" w:line="173" w:lineRule="exact"/>
        <w:rPr>
          <w:rFonts w:ascii="Courier New" w:cs="Courier New" w:eastAsia="Courier New" w:hAnsi="Courier New"/>
          <w:sz w:val="15"/>
          <w:szCs w:val="15"/>
          <w:color w:val="auto"/>
        </w:rPr>
      </w:pPr>
    </w:p>
    <w:p>
      <w:pPr>
        <w:ind w:left="1320" w:right="3239" w:hanging="8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99.1Comcast Holdings Corporation unaudited pro forma condensed consolidated balance sheet at June 30, 2003 and unaudited pro forma condensed consolidated statements of operations for the six months ended June 30, 2003 and the years ended December 31, 2002, 2001 and 2000.</w:t>
      </w:r>
    </w:p>
    <w:p>
      <w:pPr>
        <w:spacing w:after="0" w:line="167"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25" w:right="1440" w:bottom="1440" w:gutter="0" w:footer="0" w:header="0"/>
        </w:sectPr>
      </w:pPr>
    </w:p>
    <w:bookmarkStart w:id="1" w:name="page2"/>
    <w:bookmarkEnd w:id="1"/>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COMCAST HOLDINGS CORPORATION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LAWRENCE J. SALVA</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Lawrence J. Salva</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Senior Vice President and Controller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(Principal Accounting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October 1, 2003</w:t>
      </w:r>
    </w:p>
    <w:p>
      <w:pPr>
        <w:spacing w:after="0" w:line="200" w:lineRule="exact"/>
        <w:rPr>
          <w:sz w:val="20"/>
          <w:szCs w:val="20"/>
          <w:color w:val="auto"/>
        </w:rPr>
      </w:pPr>
    </w:p>
    <w:p>
      <w:pPr>
        <w:spacing w:after="0" w:line="30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p>
      <w:pPr>
        <w:ind w:left="5960"/>
        <w:spacing w:after="0"/>
        <w:rPr>
          <w:sz w:val="20"/>
          <w:szCs w:val="20"/>
          <w:color w:val="auto"/>
        </w:rPr>
      </w:pPr>
      <w:r>
        <w:rPr>
          <w:rFonts w:ascii="Courier New" w:cs="Courier New" w:eastAsia="Courier New" w:hAnsi="Courier New"/>
          <w:sz w:val="15"/>
          <w:szCs w:val="15"/>
          <w:color w:val="auto"/>
        </w:rPr>
        <w:t>EXHIBIT 99.1</w:t>
      </w:r>
    </w:p>
    <w:p>
      <w:pPr>
        <w:spacing w:after="0" w:line="166"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COMCAST HOLDINGS CORPORATION</w:t>
      </w:r>
    </w:p>
    <w:p>
      <w:pPr>
        <w:jc w:val="center"/>
        <w:ind w:right="4100"/>
        <w:spacing w:after="0" w:line="237" w:lineRule="auto"/>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200" w:lineRule="exact"/>
        <w:rPr>
          <w:sz w:val="20"/>
          <w:szCs w:val="20"/>
          <w:color w:val="auto"/>
        </w:rPr>
      </w:pPr>
    </w:p>
    <w:p>
      <w:pPr>
        <w:spacing w:after="0" w:line="310" w:lineRule="exact"/>
        <w:rPr>
          <w:sz w:val="20"/>
          <w:szCs w:val="20"/>
          <w:color w:val="auto"/>
        </w:rPr>
      </w:pPr>
    </w:p>
    <w:p>
      <w:pPr>
        <w:jc w:val="both"/>
        <w:ind w:right="4200"/>
        <w:spacing w:after="0" w:line="255" w:lineRule="auto"/>
        <w:rPr>
          <w:sz w:val="20"/>
          <w:szCs w:val="20"/>
          <w:color w:val="auto"/>
        </w:rPr>
      </w:pPr>
      <w:r>
        <w:rPr>
          <w:rFonts w:ascii="Courier New" w:cs="Courier New" w:eastAsia="Courier New" w:hAnsi="Courier New"/>
          <w:sz w:val="14"/>
          <w:szCs w:val="14"/>
          <w:color w:val="auto"/>
        </w:rPr>
        <w:t>The following Unaudited Pro Forma Condensed Consolidated Balance Sheet of Comcast Holdings Corporation ("Comcast Holdings") as of June 30, 2003 and Unaudited Pro Forma Condensed Consolidated Statements of Operations of Comcast Holdings for the six months ended June 30, 2003 and the years ended December 31, 2002, 2001 and 2000 give effect to the sale of Comcast Holdings' approximate 57% interest in QVC, Inc. ("QVC"). The Unaudited Pro Forma Condensed Consolidated Balance Sheet assumes the sale of QVC occurred on June 30, 2003 and the Unaudited Pro Forma Condensed Consolidated Statements of Operations assume the sale of QVC occurred on January 1, 2000, with all statements presented subject to the assumptions and adjustments as set forth in the accompanying notes to the unaudited pro forma condensed consolidated financial statements.</w:t>
      </w:r>
    </w:p>
    <w:p>
      <w:pPr>
        <w:spacing w:after="0" w:line="165" w:lineRule="exact"/>
        <w:rPr>
          <w:sz w:val="20"/>
          <w:szCs w:val="20"/>
          <w:color w:val="auto"/>
        </w:rPr>
      </w:pPr>
    </w:p>
    <w:p>
      <w:pPr>
        <w:jc w:val="both"/>
        <w:ind w:right="4200"/>
        <w:spacing w:after="0" w:line="237" w:lineRule="auto"/>
        <w:rPr>
          <w:sz w:val="20"/>
          <w:szCs w:val="20"/>
          <w:color w:val="auto"/>
        </w:rPr>
      </w:pPr>
      <w:r>
        <w:rPr>
          <w:rFonts w:ascii="Courier New" w:cs="Courier New" w:eastAsia="Courier New" w:hAnsi="Courier New"/>
          <w:sz w:val="15"/>
          <w:szCs w:val="15"/>
          <w:color w:val="auto"/>
        </w:rPr>
        <w:t>On September 17, 2003, Comcast Corporation ("Comcast"), in accordance with the Amended and Restated Stock Purchase Agreement dated as of June 30, 2003 and executed on July 3, 2003 (the "Agreement"), among Comcast QVC, Inc. ("Comcast QVC"), a wholly-owned indirect subsidiary of Comcast Holdings, Comcast, Liberty Media Corporation ("Liberty") and QVC, among other things, completed the sale to Liberty of all shares of QVC common stock held by a number of direct wholly-owned subsidiaries of Comcast QVC for an aggregate amount of approximately $4 billion principal amount of Liberty's Floating Rate Senior Notes due 2006 (the "Liberty Notes"), approximately $1.35 billion in cash and approximately 218 million shares of Liberty Series A common stock. Pursuant to the Agreement, the shares of Liberty Series A common stock received by Comcast QVC were valued at $11.71 per share and represent approximately 7.5% of Liberty's common stock outstanding. The shares had a market value on the closing date of $10.73 per share, which was used for valuing such consideration in the accompanying unaudited pro forma condensed consolidated financial statements. Resales of the Liberty Notes and shares of Liberty Series A common stock received in the transaction have been registered with the Securities and Exchange Commission pursuant to the Agreement. On September 24, 2003, Comcast, through wholly-owned indirect subsidiaries of Comcast Holdings, sold an aggregate of $3.0 billion principal amount of the Liberty Notes for net proceeds of approximately $3.0 billion. Comcast Holdings will report QVC as a discontinued operation, in accordance with Statement of Financial Accounting Standards No. 144, "Accounting for the Impairment or Disposal of Long-Lived Assets."</w:t>
      </w:r>
    </w:p>
    <w:p>
      <w:pPr>
        <w:spacing w:after="0" w:line="178" w:lineRule="exact"/>
        <w:rPr>
          <w:sz w:val="20"/>
          <w:szCs w:val="20"/>
          <w:color w:val="auto"/>
        </w:rPr>
      </w:pPr>
    </w:p>
    <w:p>
      <w:pPr>
        <w:jc w:val="both"/>
        <w:ind w:right="4200"/>
        <w:spacing w:after="0" w:line="255" w:lineRule="auto"/>
        <w:rPr>
          <w:sz w:val="20"/>
          <w:szCs w:val="20"/>
          <w:color w:val="auto"/>
        </w:rPr>
      </w:pPr>
      <w:r>
        <w:rPr>
          <w:rFonts w:ascii="Courier New" w:cs="Courier New" w:eastAsia="Courier New" w:hAnsi="Courier New"/>
          <w:sz w:val="14"/>
          <w:szCs w:val="14"/>
          <w:color w:val="auto"/>
        </w:rPr>
        <w:t>The pro forma adjustments included herein are based on available information and certain assumptions that management believes are reasonable and are described in the accompanying notes to the unaudited pro forma condensed consolidated financial statements. The Unaudited Pro Forma Condensed Consolidated Financial Statements do not necessarily represent what Comcast Holdings' financial position or results of operations would have been had the sale of QVC occurred on such dates or to project Comcast Holdings' financial position or results of operations at or for any future date or period. In the opinion of management, all adjustments necessary to present fairly the unaudited pro forma financial information have been made. The Unaudited Pro Forma Condensed Consolidated Financial Statements should be read in conjunction with the historical consolidated financial statements of Comcast Holdings.</w:t>
      </w: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179"/>
        <w:spacing w:after="0" w:line="237" w:lineRule="auto"/>
        <w:rPr>
          <w:sz w:val="20"/>
          <w:szCs w:val="20"/>
          <w:color w:val="auto"/>
        </w:rPr>
      </w:pPr>
      <w:r>
        <w:rPr>
          <w:rFonts w:ascii="Courier New" w:cs="Courier New" w:eastAsia="Courier New" w:hAnsi="Courier New"/>
          <w:sz w:val="15"/>
          <w:szCs w:val="15"/>
          <w:color w:val="auto"/>
        </w:rPr>
        <w:t>UNAUDITED PRO FORMA CONDENSED CONSOLIDATED BALANCE SHEET</w:t>
      </w:r>
    </w:p>
    <w:p>
      <w:pPr>
        <w:jc w:val="center"/>
        <w:ind w:right="-179"/>
        <w:spacing w:after="0" w:line="238" w:lineRule="auto"/>
        <w:rPr>
          <w:sz w:val="20"/>
          <w:szCs w:val="20"/>
          <w:color w:val="auto"/>
        </w:rPr>
      </w:pPr>
      <w:r>
        <w:rPr>
          <w:rFonts w:ascii="Courier New" w:cs="Courier New" w:eastAsia="Courier New" w:hAnsi="Courier New"/>
          <w:sz w:val="15"/>
          <w:szCs w:val="15"/>
          <w:color w:val="auto"/>
        </w:rPr>
        <w:t>AT JUNE 30, 2003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(Dollars in millions)</w:t>
            </w:r>
          </w:p>
        </w:tc>
        <w:tc>
          <w:tcPr>
            <w:tcW w:w="860" w:type="dxa"/>
            <w:vAlign w:val="bottom"/>
          </w:tcPr>
          <w:p>
            <w:pPr>
              <w:spacing w:after="0"/>
              <w:rPr>
                <w:sz w:val="14"/>
                <w:szCs w:val="14"/>
                <w:color w:val="auto"/>
              </w:rPr>
            </w:pPr>
          </w:p>
        </w:tc>
      </w:tr>
      <w:tr>
        <w:trPr>
          <w:trHeight w:val="168"/>
        </w:trPr>
        <w:tc>
          <w:tcPr>
            <w:tcW w:w="64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Historical</w:t>
            </w: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Comcast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Historical</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Pro Forma</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Holdings</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QVC (a)</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Holdings</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w:t>
            </w:r>
          </w:p>
        </w:tc>
        <w:tc>
          <w:tcPr>
            <w:tcW w:w="15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$1,350(b)</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$2,140</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Due from affiliates..................................................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w:t>
            </w: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3,572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(1,721)</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1,350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3,201</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NOTES RECEIVABLE FROM AFFILIATE.........................................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w:t>
            </w: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6,336(b)(d)</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7,026</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6,415</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FRANCHISE RIGHTS........................................................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16,631</w:t>
            </w: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16,631</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w:t>
            </w: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5,611</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INTANGIBLE ASSETS, net............................................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1,218</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NONCURRENT ASSETS, net............................................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15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($3,311)</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$7,686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$40,568</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ectPr>
          <w:pgSz w:w="11900" w:h="16838" w:orient="portrait"/>
          <w:cols w:equalWidth="0" w:num="1">
            <w:col w:w="11200"/>
          </w:cols>
          <w:pgMar w:left="220" w:top="135" w:right="4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c>
          <w:tcPr>
            <w:tcW w:w="14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expenses and other current liabilities.......................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1,980(b)</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3,497</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1,980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4,183</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LONG-TERM DEBT, less current portion....................................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8,108</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8,108</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NOTES PAYABLE TO AFFILIATES.............................................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841(b)</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7,853</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NONCURRENT LIABILITIES............................................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1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1,054</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(981)</w:t>
            </w:r>
          </w:p>
        </w:tc>
        <w:tc>
          <w:tcPr>
            <w:tcW w:w="14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15,136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4,865(b)</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18,519</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$7,686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$40,568</w:t>
            </w:r>
          </w:p>
        </w:tc>
      </w:tr>
      <w:tr>
        <w:trPr>
          <w:trHeight w:val="168"/>
        </w:trPr>
        <w:tc>
          <w:tcPr>
            <w:tcW w:w="644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200"/>
          </w:cols>
          <w:pgMar w:left="220" w:top="135" w:right="479" w:bottom="1440" w:gutter="0" w:footer="0" w:header="0"/>
        </w:sectPr>
      </w:pPr>
    </w:p>
    <w:bookmarkStart w:id="4" w:name="page5"/>
    <w:bookmarkEnd w:id="4"/>
    <w:p>
      <w:pPr>
        <w:jc w:val="center"/>
        <w:ind w:right="-25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259"/>
        <w:spacing w:after="0" w:line="237" w:lineRule="auto"/>
        <w:rPr>
          <w:sz w:val="20"/>
          <w:szCs w:val="20"/>
          <w:color w:val="auto"/>
        </w:rPr>
      </w:pPr>
      <w:r>
        <w:rPr>
          <w:rFonts w:ascii="Courier New" w:cs="Courier New" w:eastAsia="Courier New" w:hAnsi="Courier New"/>
          <w:sz w:val="15"/>
          <w:szCs w:val="15"/>
          <w:color w:val="auto"/>
        </w:rPr>
        <w:t>UNAUDITED PRO FORMA CONDENSED CONSOLIDATED</w:t>
      </w:r>
    </w:p>
    <w:p>
      <w:pPr>
        <w:jc w:val="center"/>
        <w:ind w:right="-179"/>
        <w:spacing w:after="0" w:line="238" w:lineRule="auto"/>
        <w:rPr>
          <w:sz w:val="20"/>
          <w:szCs w:val="20"/>
          <w:color w:val="auto"/>
        </w:rPr>
      </w:pPr>
      <w:r>
        <w:rPr>
          <w:rFonts w:ascii="Courier New" w:cs="Courier New" w:eastAsia="Courier New" w:hAnsi="Courier New"/>
          <w:sz w:val="15"/>
          <w:szCs w:val="15"/>
          <w:color w:val="auto"/>
        </w:rPr>
        <w:t>STATEMENT OF OPERATIONS</w:t>
      </w:r>
    </w:p>
    <w:tbl>
      <w:tblPr>
        <w:tblLayout w:type="fixed"/>
        <w:tblInd w:w="0" w:type="dxa"/>
        <w:tblCellMar>
          <w:top w:w="0" w:type="dxa"/>
          <w:left w:w="0" w:type="dxa"/>
          <w:bottom w:w="0" w:type="dxa"/>
          <w:right w:w="0" w:type="dxa"/>
        </w:tblCellMar>
      </w:tblPr>
      <w:tr>
        <w:trPr>
          <w:trHeight w:val="168"/>
        </w:trPr>
        <w:tc>
          <w:tcPr>
            <w:tcW w:w="78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FOR THE SIX MONTHS ENDED JUNE 30, 2003</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(Dollars in millions)</w:t>
            </w:r>
          </w:p>
        </w:tc>
        <w:tc>
          <w:tcPr>
            <w:tcW w:w="880" w:type="dxa"/>
            <w:vAlign w:val="bottom"/>
          </w:tcPr>
          <w:p>
            <w:pPr>
              <w:spacing w:after="0"/>
              <w:rPr>
                <w:sz w:val="24"/>
                <w:szCs w:val="24"/>
                <w:color w:val="auto"/>
              </w:rPr>
            </w:pPr>
          </w:p>
        </w:tc>
      </w:tr>
      <w:tr>
        <w:trPr>
          <w:trHeight w:val="336"/>
        </w:trPr>
        <w:tc>
          <w:tcPr>
            <w:tcW w:w="662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662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Comcast</w:t>
            </w:r>
          </w:p>
        </w:tc>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Historical</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662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Holdings</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QVC (a)</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Holdings</w:t>
            </w:r>
          </w:p>
        </w:tc>
      </w:tr>
      <w:tr>
        <w:trPr>
          <w:trHeight w:val="168"/>
        </w:trPr>
        <w:tc>
          <w:tcPr>
            <w:tcW w:w="6620" w:type="dxa"/>
            <w:vAlign w:val="bottom"/>
          </w:tcPr>
          <w:p>
            <w:pPr>
              <w:spacing w:after="0"/>
              <w:rPr>
                <w:sz w:val="14"/>
                <w:szCs w:val="14"/>
                <w:color w:val="auto"/>
              </w:rPr>
            </w:pPr>
          </w:p>
        </w:tc>
        <w:tc>
          <w:tcPr>
            <w:tcW w:w="2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Service revenues.......................................................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$3,802</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$10(c)</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$3,812</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(2,163)</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(2,163)</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3,812</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Operating (excluding depreciation).....................................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10(c)</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1,384</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(1,370)</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979</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Depreciation...........................................................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633</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3,084</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OPERATING INCOME...........................................................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728</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loss, net...................................................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 TAXES AND</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w:t>
            </w:r>
          </w:p>
        </w:tc>
        <w:tc>
          <w:tcPr>
            <w:tcW w:w="1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TAX EXPENSE.........................................................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 FROM CONTINUING OPERATIONS BEFORE MINORITY INTEREST.................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w:t>
            </w:r>
          </w:p>
        </w:tc>
        <w:tc>
          <w:tcPr>
            <w:tcW w:w="1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FROM CONTINUING OPERATIONS..........................................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66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120"/>
          </w:cols>
          <w:pgMar w:left="220" w:top="953" w:right="559" w:bottom="1440" w:gutter="0" w:footer="0" w:header="0"/>
        </w:sectPr>
      </w:pPr>
    </w:p>
    <w:bookmarkStart w:id="5" w:name="page6"/>
    <w:bookmarkEnd w:id="5"/>
    <w:p>
      <w:pPr>
        <w:jc w:val="center"/>
        <w:ind w:right="-1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19"/>
        <w:spacing w:after="0" w:line="237" w:lineRule="auto"/>
        <w:rPr>
          <w:sz w:val="20"/>
          <w:szCs w:val="20"/>
          <w:color w:val="auto"/>
        </w:rPr>
      </w:pPr>
      <w:r>
        <w:rPr>
          <w:rFonts w:ascii="Courier New" w:cs="Courier New" w:eastAsia="Courier New" w:hAnsi="Courier New"/>
          <w:sz w:val="15"/>
          <w:szCs w:val="15"/>
          <w:color w:val="auto"/>
        </w:rPr>
        <w:t>UNAUDITED PRO FORMA CONDENSED CONSOLIDATED</w:t>
      </w:r>
    </w:p>
    <w:p>
      <w:pPr>
        <w:jc w:val="center"/>
        <w:ind w:right="-119"/>
        <w:spacing w:after="0" w:line="238" w:lineRule="auto"/>
        <w:rPr>
          <w:sz w:val="20"/>
          <w:szCs w:val="20"/>
          <w:color w:val="auto"/>
        </w:rPr>
      </w:pPr>
      <w:r>
        <w:rPr>
          <w:rFonts w:ascii="Courier New" w:cs="Courier New" w:eastAsia="Courier New" w:hAnsi="Courier New"/>
          <w:sz w:val="15"/>
          <w:szCs w:val="15"/>
          <w:color w:val="auto"/>
        </w:rPr>
        <w:t>STATEMENT OF OPERATIONS</w:t>
      </w:r>
    </w:p>
    <w:tbl>
      <w:tblPr>
        <w:tblLayout w:type="fixed"/>
        <w:tblInd w:w="0" w:type="dxa"/>
        <w:tblCellMar>
          <w:top w:w="0" w:type="dxa"/>
          <w:left w:w="0" w:type="dxa"/>
          <w:bottom w:w="0" w:type="dxa"/>
          <w:right w:w="0" w:type="dxa"/>
        </w:tblCellMar>
      </w:tblPr>
      <w:tr>
        <w:trPr>
          <w:trHeight w:val="168"/>
        </w:trPr>
        <w:tc>
          <w:tcPr>
            <w:tcW w:w="818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FOR THE YEAR ENDED DECEMBER 31, 2002</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7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(Dollars in millions)</w:t>
            </w:r>
          </w:p>
        </w:tc>
        <w:tc>
          <w:tcPr>
            <w:tcW w:w="860" w:type="dxa"/>
            <w:vAlign w:val="bottom"/>
          </w:tcPr>
          <w:p>
            <w:pPr>
              <w:spacing w:after="0"/>
              <w:rPr>
                <w:sz w:val="24"/>
                <w:szCs w:val="24"/>
                <w:color w:val="auto"/>
              </w:rPr>
            </w:pPr>
          </w:p>
        </w:tc>
      </w:tr>
      <w:tr>
        <w:trPr>
          <w:trHeight w:val="336"/>
        </w:trPr>
        <w:tc>
          <w:tcPr>
            <w:tcW w:w="70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Pro Forma</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Comcast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Historical</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Holdings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QVC (a)</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Holdings</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revenues............................................................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$6,895</w:t>
            </w: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$23(c)</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$6,918</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4,381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(4,381)</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11,276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6,918</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(excluding 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3,015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20(c)</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(2,793)</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1,707</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1,344</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3(c)</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9,364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5,744</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1,174</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loss.............................................................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(1,376)</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 BEFORE INCOME TAXES AND</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(EXPENSE) BENEFIT...................................................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(LOSS) FROM CONTINUING OPERATIONS BEFORE MINORITY INTEREST..............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LOSS FROM CONTINUING OPERATIONS................................................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166" w:lineRule="exact"/>
        <w:rPr>
          <w:sz w:val="20"/>
          <w:szCs w:val="20"/>
          <w:color w:val="auto"/>
        </w:rPr>
      </w:pPr>
    </w:p>
    <w:p>
      <w:pPr>
        <w:ind w:left="57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953" w:right="139" w:bottom="1440" w:gutter="0" w:footer="0" w:header="0"/>
        </w:sectPr>
      </w:pPr>
    </w:p>
    <w:bookmarkStart w:id="6" w:name="page7"/>
    <w:bookmarkEnd w:id="6"/>
    <w:p>
      <w:pPr>
        <w:jc w:val="center"/>
        <w:ind w:right="-1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19"/>
        <w:spacing w:after="0" w:line="237" w:lineRule="auto"/>
        <w:rPr>
          <w:sz w:val="20"/>
          <w:szCs w:val="20"/>
          <w:color w:val="auto"/>
        </w:rPr>
      </w:pPr>
      <w:r>
        <w:rPr>
          <w:rFonts w:ascii="Courier New" w:cs="Courier New" w:eastAsia="Courier New" w:hAnsi="Courier New"/>
          <w:sz w:val="15"/>
          <w:szCs w:val="15"/>
          <w:color w:val="auto"/>
        </w:rPr>
        <w:t>UNAUDITED PRO FORMA CONDENSED CONSOLIDATED</w:t>
      </w:r>
    </w:p>
    <w:p>
      <w:pPr>
        <w:jc w:val="center"/>
        <w:ind w:right="-119"/>
        <w:spacing w:after="0" w:line="238" w:lineRule="auto"/>
        <w:rPr>
          <w:sz w:val="20"/>
          <w:szCs w:val="20"/>
          <w:color w:val="auto"/>
        </w:rPr>
      </w:pPr>
      <w:r>
        <w:rPr>
          <w:rFonts w:ascii="Courier New" w:cs="Courier New" w:eastAsia="Courier New" w:hAnsi="Courier New"/>
          <w:sz w:val="15"/>
          <w:szCs w:val="15"/>
          <w:color w:val="auto"/>
        </w:rPr>
        <w:t>STATEMENT OF OPERATIONS</w:t>
      </w:r>
    </w:p>
    <w:tbl>
      <w:tblPr>
        <w:tblLayout w:type="fixed"/>
        <w:tblInd w:w="0" w:type="dxa"/>
        <w:tblCellMar>
          <w:top w:w="0" w:type="dxa"/>
          <w:left w:w="0" w:type="dxa"/>
          <w:bottom w:w="0" w:type="dxa"/>
          <w:right w:w="0" w:type="dxa"/>
        </w:tblCellMar>
      </w:tblPr>
      <w:tr>
        <w:trPr>
          <w:trHeight w:val="168"/>
        </w:trPr>
        <w:tc>
          <w:tcPr>
            <w:tcW w:w="818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FOR THE YEAR ENDED DECEMBER 31, 2001</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7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(Dollars in millions)</w:t>
            </w:r>
          </w:p>
        </w:tc>
        <w:tc>
          <w:tcPr>
            <w:tcW w:w="860" w:type="dxa"/>
            <w:vAlign w:val="bottom"/>
          </w:tcPr>
          <w:p>
            <w:pPr>
              <w:spacing w:after="0"/>
              <w:rPr>
                <w:sz w:val="24"/>
                <w:szCs w:val="24"/>
                <w:color w:val="auto"/>
              </w:rPr>
            </w:pPr>
          </w:p>
        </w:tc>
      </w:tr>
      <w:tr>
        <w:trPr>
          <w:trHeight w:val="336"/>
        </w:trPr>
        <w:tc>
          <w:tcPr>
            <w:tcW w:w="70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Pro Forma</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Comcast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Historical</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Comcast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Holdings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QVC (a)</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Holdings</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revenues............................................................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$5,919</w:t>
            </w:r>
          </w:p>
        </w:tc>
        <w:tc>
          <w:tcPr>
            <w:tcW w:w="118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$18(c)</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$5,937</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(3,917)</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(3,917)</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5,937</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(excluding 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18(c)</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(2,514)</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1,543</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1,130</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10,582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7,262</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(1,325)</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1,301</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1,305</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1,552</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INCOME TAXES,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 AND CUMULATIVE EFFECT OF ACCOUNTING CHANGE................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254</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MINORITY INTEREST</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AND CUMULATIVE EFFECT OF ACCOUNTING CHANGE..................................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w:t>
            </w:r>
          </w:p>
        </w:tc>
        <w:tc>
          <w:tcPr>
            <w:tcW w:w="1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w:t>
            </w:r>
          </w:p>
        </w:tc>
        <w:tc>
          <w:tcPr>
            <w:tcW w:w="1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CUMULATIVE</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13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953" w:right="139" w:bottom="1440" w:gutter="0" w:footer="0" w:header="0"/>
        </w:sectPr>
      </w:pPr>
    </w:p>
    <w:bookmarkStart w:id="7" w:name="page8"/>
    <w:bookmarkEnd w:id="7"/>
    <w:p>
      <w:pPr>
        <w:jc w:val="center"/>
        <w:ind w:right="-1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19"/>
        <w:spacing w:after="0" w:line="237" w:lineRule="auto"/>
        <w:rPr>
          <w:sz w:val="20"/>
          <w:szCs w:val="20"/>
          <w:color w:val="auto"/>
        </w:rPr>
      </w:pPr>
      <w:r>
        <w:rPr>
          <w:rFonts w:ascii="Courier New" w:cs="Courier New" w:eastAsia="Courier New" w:hAnsi="Courier New"/>
          <w:sz w:val="15"/>
          <w:szCs w:val="15"/>
          <w:color w:val="auto"/>
        </w:rPr>
        <w:t>UNAUDITED PRO FORMA CONDENSED CONSOLIDATED</w:t>
      </w:r>
    </w:p>
    <w:p>
      <w:pPr>
        <w:jc w:val="center"/>
        <w:ind w:right="-119"/>
        <w:spacing w:after="0" w:line="238" w:lineRule="auto"/>
        <w:rPr>
          <w:sz w:val="20"/>
          <w:szCs w:val="20"/>
          <w:color w:val="auto"/>
        </w:rPr>
      </w:pPr>
      <w:r>
        <w:rPr>
          <w:rFonts w:ascii="Courier New" w:cs="Courier New" w:eastAsia="Courier New" w:hAnsi="Courier New"/>
          <w:sz w:val="15"/>
          <w:szCs w:val="15"/>
          <w:color w:val="auto"/>
        </w:rPr>
        <w:t>STATEMENT OF OPERATIONS</w:t>
      </w:r>
    </w:p>
    <w:tbl>
      <w:tblPr>
        <w:tblLayout w:type="fixed"/>
        <w:tblInd w:w="0" w:type="dxa"/>
        <w:tblCellMar>
          <w:top w:w="0" w:type="dxa"/>
          <w:left w:w="0" w:type="dxa"/>
          <w:bottom w:w="0" w:type="dxa"/>
          <w:right w:w="0" w:type="dxa"/>
        </w:tblCellMar>
      </w:tblPr>
      <w:tr>
        <w:trPr>
          <w:trHeight w:val="168"/>
        </w:trPr>
        <w:tc>
          <w:tcPr>
            <w:tcW w:w="818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FOR THE YEAR ENDED DECEMBER 31, 2000</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7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(Dollars in millions)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70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 Forma</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Comcast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Historical</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Pro Forma</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Comcast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Holdings</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QVC (a)</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Adjustments</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Holdings</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revenues............................................................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$4,821</w:t>
            </w:r>
          </w:p>
        </w:tc>
        <w:tc>
          <w:tcPr>
            <w:tcW w:w="118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 (c)</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(3,536)</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8,357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$4,836</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(excluding 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(2,285)</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1,404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1,211</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1,714</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8,518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(3,043)</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5,490</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(693)</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related to indexed debt..............................................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666</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income................................................................</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2,826</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2,826</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3,726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3,742</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 BEFORE INCOME TAXES AND</w:t>
            </w: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3,565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3,088</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217</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FROM CONTINUING OPERATIONS BEFORE MINORITY INTEREST.....................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INCOME FROM CONTINUING OPERATIONS..............................................</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$2,021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$1,873</w:t>
            </w:r>
          </w:p>
        </w:tc>
      </w:tr>
      <w:tr>
        <w:trPr>
          <w:trHeight w:val="168"/>
        </w:trPr>
        <w:tc>
          <w:tcPr>
            <w:tcW w:w="700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3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953" w:right="139" w:bottom="1440" w:gutter="0" w:footer="0" w:header="0"/>
        </w:sectPr>
      </w:pPr>
    </w:p>
    <w:bookmarkStart w:id="8" w:name="page9"/>
    <w:bookmarkEnd w:id="8"/>
    <w:p>
      <w:pPr>
        <w:jc w:val="center"/>
        <w:ind w:right="3239"/>
        <w:spacing w:after="0"/>
        <w:rPr>
          <w:sz w:val="20"/>
          <w:szCs w:val="20"/>
          <w:color w:val="auto"/>
        </w:rPr>
      </w:pPr>
      <w:r>
        <w:rPr>
          <w:rFonts w:ascii="Courier New" w:cs="Courier New" w:eastAsia="Courier New" w:hAnsi="Courier New"/>
          <w:sz w:val="15"/>
          <w:szCs w:val="15"/>
          <w:color w:val="auto"/>
        </w:rPr>
        <w:t>COMCAST HOLDINGS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UNAUDITED PRO FORMA CONDENSED CONSOLIDATED FINANCIAL STATEMENTS</w:t>
      </w:r>
    </w:p>
    <w:p>
      <w:pPr>
        <w:spacing w:after="0" w:line="173" w:lineRule="exact"/>
        <w:rPr>
          <w:sz w:val="20"/>
          <w:szCs w:val="20"/>
          <w:color w:val="auto"/>
        </w:rPr>
      </w:pPr>
    </w:p>
    <w:p>
      <w:pPr>
        <w:ind w:right="3239" w:firstLine="10"/>
        <w:spacing w:after="0" w:line="234"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column deducts the historical balances and results of operations of QVC to reflect the sale of QVC.</w:t>
      </w:r>
    </w:p>
    <w:p>
      <w:pPr>
        <w:spacing w:after="0" w:line="173" w:lineRule="exact"/>
        <w:rPr>
          <w:rFonts w:ascii="Courier New" w:cs="Courier New" w:eastAsia="Courier New" w:hAnsi="Courier New"/>
          <w:sz w:val="15"/>
          <w:szCs w:val="15"/>
          <w:color w:val="auto"/>
        </w:rPr>
      </w:pPr>
    </w:p>
    <w:p>
      <w:pPr>
        <w:jc w:val="both"/>
        <w:ind w:right="3239" w:firstLine="10"/>
        <w:spacing w:after="0" w:line="236"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consideration received from Liberty in the form of $1.350 billion in cash, approximately 218 million shares of Liberty's Series A common stock with a fair value of $2.336 billion at September 17, 2003 and $4.0 billion in three-year senior unsecured notes. The consideration received, net of $46 million in transaction costs, over Comcast Holdings' carrying value of the net assets of QVC is expected to result in an estimated gain of approximately $3.3 billion, net of tax.</w:t>
      </w:r>
    </w:p>
    <w:p>
      <w:pPr>
        <w:spacing w:after="0" w:line="175" w:lineRule="exact"/>
        <w:rPr>
          <w:rFonts w:ascii="Courier New" w:cs="Courier New" w:eastAsia="Courier New" w:hAnsi="Courier New"/>
          <w:sz w:val="15"/>
          <w:szCs w:val="15"/>
          <w:color w:val="auto"/>
        </w:rPr>
      </w:pPr>
    </w:p>
    <w:p>
      <w:pPr>
        <w:ind w:right="3239" w:firstLine="10"/>
        <w:spacing w:after="0" w:line="234" w:lineRule="auto"/>
        <w:tabs>
          <w:tab w:leader="none" w:pos="43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reflects the reversal of the elimination of intercompany transactions between Comcast Holdings and QVC.</w:t>
      </w:r>
    </w:p>
    <w:p>
      <w:pPr>
        <w:spacing w:after="0" w:line="173" w:lineRule="exact"/>
        <w:rPr>
          <w:rFonts w:ascii="Courier New" w:cs="Courier New" w:eastAsia="Courier New" w:hAnsi="Courier New"/>
          <w:sz w:val="15"/>
          <w:szCs w:val="15"/>
          <w:color w:val="auto"/>
        </w:rPr>
      </w:pPr>
    </w:p>
    <w:p>
      <w:pPr>
        <w:jc w:val="both"/>
        <w:ind w:right="3239" w:firstLine="10"/>
        <w:spacing w:after="0" w:line="236"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24, 2003, Comcast, through wholly-owned indirect subsidiaries of Comcast Holdings, sold an aggregate of $3.0 billion principal amount of the Liberty Notes for net proceeds of approximately $3.0 billion. The unaudited pro forma condensed consolidated balance sheet does not reflect the sale of such Liberty Notes.</w:t>
      </w:r>
    </w:p>
    <w:p>
      <w:pPr>
        <w:spacing w:after="0" w:line="200" w:lineRule="exact"/>
        <w:rPr>
          <w:sz w:val="20"/>
          <w:szCs w:val="20"/>
          <w:color w:val="auto"/>
        </w:rPr>
      </w:pPr>
    </w:p>
    <w:p>
      <w:pPr>
        <w:spacing w:after="0" w:line="30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2"/>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2019-12-12T23:05:21Z</dcterms:created>
  <dcterms:modified xsi:type="dcterms:W3CDTF">2019-12-12T23:05:21Z</dcterms:modified>
</cp:coreProperties>
</file>