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333-191239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February 16, 2016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$750,000,000 2.75% NOTES DUE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$1,500,000,000 3.15% NOTES DUE 2026</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29"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Issuer: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4"/>
          <w:szCs w:val="24"/>
          <w:color w:val="auto"/>
        </w:rPr>
      </w:pPr>
    </w:p>
    <w:p>
      <w:pPr>
        <w:sectPr>
          <w:pgSz w:w="11900" w:h="16838" w:orient="portrait"/>
          <w:cols w:equalWidth="0" w:num="2">
            <w:col w:w="2260" w:space="720"/>
            <w:col w:w="8440"/>
          </w:cols>
          <w:pgMar w:left="240" w:top="22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Comcast Cable Communications, LLC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112" w:lineRule="exact"/>
        <w:rPr>
          <w:sz w:val="24"/>
          <w:szCs w:val="24"/>
          <w:color w:val="auto"/>
        </w:rPr>
      </w:pPr>
    </w:p>
    <w:p>
      <w:pPr>
        <w:sectPr>
          <w:pgSz w:w="11900" w:h="16838" w:orient="portrait"/>
          <w:cols w:equalWidth="0" w:num="2">
            <w:col w:w="2260" w:space="720"/>
            <w:col w:w="844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2.75% Notes due 2023</w:t>
      </w:r>
    </w:p>
    <w:p>
      <w:pPr>
        <w:spacing w:after="0" w:line="154" w:lineRule="exact"/>
        <w:rPr>
          <w:sz w:val="24"/>
          <w:szCs w:val="24"/>
          <w:color w:val="auto"/>
        </w:rPr>
      </w:pPr>
    </w:p>
    <w:p>
      <w:pPr>
        <w:sectPr>
          <w:pgSz w:w="11900" w:h="16838" w:orient="portrait"/>
          <w:cols w:equalWidth="0" w:num="2">
            <w:col w:w="2260" w:space="720"/>
            <w:col w:w="8440"/>
          </w:cols>
          <w:pgMar w:left="240" w:top="229" w:right="239" w:bottom="1440" w:gutter="0" w:footer="0" w:header="0"/>
          <w:type w:val="continuous"/>
        </w:sectPr>
      </w:pPr>
    </w:p>
    <w:p>
      <w:pPr>
        <w:ind w:left="2980"/>
        <w:spacing w:after="0"/>
        <w:rPr>
          <w:sz w:val="20"/>
          <w:szCs w:val="20"/>
          <w:color w:val="auto"/>
        </w:rPr>
      </w:pPr>
      <w:r>
        <w:rPr>
          <w:rFonts w:ascii="Arial" w:cs="Arial" w:eastAsia="Arial" w:hAnsi="Arial"/>
          <w:sz w:val="16"/>
          <w:szCs w:val="16"/>
          <w:color w:val="auto"/>
        </w:rPr>
        <w:t>3.15% Notes due 2026</w:t>
      </w:r>
    </w:p>
    <w:p>
      <w:pPr>
        <w:sectPr>
          <w:pgSz w:w="11900" w:h="16838" w:orient="portrait"/>
          <w:cols w:equalWidth="0" w:num="1">
            <w:col w:w="11420"/>
          </w:cols>
          <w:pgMar w:left="240" w:top="229" w:right="239" w:bottom="1440" w:gutter="0" w:footer="0" w:header="0"/>
          <w:type w:val="continuous"/>
        </w:sectPr>
      </w:pP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36" w:lineRule="exact"/>
        <w:rPr>
          <w:sz w:val="24"/>
          <w:szCs w:val="24"/>
          <w:color w:val="auto"/>
        </w:rPr>
      </w:pPr>
    </w:p>
    <w:p>
      <w:pPr>
        <w:sectPr>
          <w:pgSz w:w="11900" w:h="16838" w:orient="portrait"/>
          <w:cols w:equalWidth="0" w:num="2">
            <w:col w:w="2260" w:space="720"/>
            <w:col w:w="8440"/>
          </w:cols>
          <w:pgMar w:left="240" w:top="229"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ind w:right="220"/>
        <w:spacing w:after="0" w:line="259" w:lineRule="auto"/>
        <w:rPr>
          <w:sz w:val="20"/>
          <w:szCs w:val="20"/>
          <w:color w:val="auto"/>
        </w:rPr>
      </w:pPr>
      <w:r>
        <w:rPr>
          <w:rFonts w:ascii="Arial" w:cs="Arial" w:eastAsia="Arial" w:hAnsi="Arial"/>
          <w:sz w:val="18"/>
          <w:szCs w:val="18"/>
          <w:color w:val="auto"/>
        </w:rPr>
        <w:t>The Company intends to use the net proceeds from this offering, after deducting the underwriters’ discount and expenses, for working capital and general corporate purposes, which may include redemption or repayment of our 2.875% notes due April 2016 ($1 billion principal amount outstanding), and of our 4.95% notes due June 2016 ($750 million principal amount outstanding).</w:t>
      </w:r>
    </w:p>
    <w:p>
      <w:pPr>
        <w:spacing w:after="0" w:line="75" w:lineRule="exact"/>
        <w:rPr>
          <w:sz w:val="24"/>
          <w:szCs w:val="24"/>
          <w:color w:val="auto"/>
        </w:rPr>
      </w:pPr>
    </w:p>
    <w:p>
      <w:pPr>
        <w:sectPr>
          <w:pgSz w:w="11900" w:h="16838" w:orient="portrait"/>
          <w:cols w:equalWidth="0" w:num="2">
            <w:col w:w="2260" w:space="720"/>
            <w:col w:w="8440"/>
          </w:cols>
          <w:pgMar w:left="240" w:top="229"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Indenture:</w:t>
      </w:r>
    </w:p>
    <w:p>
      <w:pPr>
        <w:spacing w:after="0" w:line="20" w:lineRule="exact"/>
        <w:rPr>
          <w:sz w:val="24"/>
          <w:szCs w:val="24"/>
          <w:color w:val="auto"/>
        </w:rPr>
      </w:pPr>
      <w:r>
        <w:rPr>
          <w:sz w:val="24"/>
          <w:szCs w:val="24"/>
          <w:color w:val="auto"/>
        </w:rPr>
        <w:br w:type="column"/>
      </w:r>
    </w:p>
    <w:p>
      <w:pPr>
        <w:ind w:right="140"/>
        <w:spacing w:after="0" w:line="286" w:lineRule="auto"/>
        <w:rPr>
          <w:sz w:val="20"/>
          <w:szCs w:val="20"/>
          <w:color w:val="auto"/>
        </w:rPr>
      </w:pPr>
      <w:r>
        <w:rPr>
          <w:rFonts w:ascii="Arial" w:cs="Arial" w:eastAsia="Arial" w:hAnsi="Arial"/>
          <w:sz w:val="17"/>
          <w:szCs w:val="17"/>
          <w:color w:val="auto"/>
        </w:rPr>
        <w:t>Indenture dated as of September 18, 2013 by and among the Company, the guarantors named therein and The Bank of New York Mellon,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by the First Supplemental Indenture dated as of November 17, 2015 by and among the Company, the guarantors named therein and the Trustee.</w:t>
      </w:r>
    </w:p>
    <w:p>
      <w:pPr>
        <w:sectPr>
          <w:pgSz w:w="11900" w:h="16838" w:orient="portrait"/>
          <w:cols w:equalWidth="0" w:num="2">
            <w:col w:w="2260" w:space="720"/>
            <w:col w:w="844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Trustee:</w:t>
            </w:r>
          </w:p>
        </w:tc>
        <w:tc>
          <w:tcPr>
            <w:tcW w:w="3080" w:type="dxa"/>
            <w:vAlign w:val="bottom"/>
          </w:tcPr>
          <w:p>
            <w:pPr>
              <w:ind w:left="260"/>
              <w:spacing w:after="0"/>
              <w:rPr>
                <w:sz w:val="20"/>
                <w:szCs w:val="20"/>
                <w:color w:val="auto"/>
              </w:rPr>
            </w:pPr>
            <w:r>
              <w:rPr>
                <w:rFonts w:ascii="Arial" w:cs="Arial" w:eastAsia="Arial" w:hAnsi="Arial"/>
                <w:sz w:val="18"/>
                <w:szCs w:val="18"/>
                <w:color w:val="auto"/>
              </w:rPr>
              <w:t>The Bank of New York Mellon</w:t>
            </w:r>
          </w:p>
        </w:tc>
        <w:tc>
          <w:tcPr>
            <w:tcW w:w="0" w:type="dxa"/>
            <w:vAlign w:val="bottom"/>
          </w:tcPr>
          <w:p>
            <w:pPr>
              <w:spacing w:after="0"/>
              <w:rPr>
                <w:sz w:val="1"/>
                <w:szCs w:val="1"/>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b w:val="1"/>
                <w:bCs w:val="1"/>
                <w:color w:val="auto"/>
              </w:rPr>
              <w:t xml:space="preserve">Expected Ratings: </w:t>
            </w:r>
            <w:r>
              <w:rPr>
                <w:rFonts w:ascii="Arial" w:cs="Arial" w:eastAsia="Arial" w:hAnsi="Arial"/>
                <w:sz w:val="15"/>
                <w:szCs w:val="15"/>
                <w:color w:val="auto"/>
              </w:rPr>
              <w:t>1</w:t>
            </w:r>
          </w:p>
        </w:tc>
        <w:tc>
          <w:tcPr>
            <w:tcW w:w="3080" w:type="dxa"/>
            <w:vAlign w:val="bottom"/>
          </w:tcPr>
          <w:p>
            <w:pPr>
              <w:ind w:left="260"/>
              <w:spacing w:after="0"/>
              <w:rPr>
                <w:sz w:val="20"/>
                <w:szCs w:val="20"/>
                <w:color w:val="auto"/>
              </w:rPr>
            </w:pPr>
            <w:r>
              <w:rPr>
                <w:rFonts w:ascii="Arial" w:cs="Arial" w:eastAsia="Arial" w:hAnsi="Arial"/>
                <w:sz w:val="18"/>
                <w:szCs w:val="18"/>
                <w:color w:val="auto"/>
              </w:rPr>
              <w:t>Moody’s: A3; S&amp;P: A-; Fitch: A-</w:t>
            </w:r>
          </w:p>
        </w:tc>
        <w:tc>
          <w:tcPr>
            <w:tcW w:w="0" w:type="dxa"/>
            <w:vAlign w:val="bottom"/>
          </w:tcPr>
          <w:p>
            <w:pPr>
              <w:spacing w:after="0"/>
              <w:rPr>
                <w:sz w:val="1"/>
                <w:szCs w:val="1"/>
                <w:color w:val="auto"/>
              </w:rPr>
            </w:pPr>
          </w:p>
        </w:tc>
      </w:tr>
      <w:tr>
        <w:trPr>
          <w:trHeight w:val="310"/>
        </w:trPr>
        <w:tc>
          <w:tcPr>
            <w:tcW w:w="2720" w:type="dxa"/>
            <w:vAlign w:val="bottom"/>
            <w:vMerge w:val="restart"/>
          </w:tcPr>
          <w:p>
            <w:pPr>
              <w:spacing w:after="0"/>
              <w:rPr>
                <w:sz w:val="20"/>
                <w:szCs w:val="20"/>
                <w:color w:val="auto"/>
              </w:rPr>
            </w:pPr>
            <w:r>
              <w:rPr>
                <w:rFonts w:ascii="Arial" w:cs="Arial" w:eastAsia="Arial" w:hAnsi="Arial"/>
                <w:sz w:val="18"/>
                <w:szCs w:val="18"/>
                <w:b w:val="1"/>
                <w:bCs w:val="1"/>
                <w:color w:val="auto"/>
              </w:rPr>
              <w:t>Joint Book-Running Managers:</w:t>
            </w:r>
          </w:p>
        </w:tc>
        <w:tc>
          <w:tcPr>
            <w:tcW w:w="3080" w:type="dxa"/>
            <w:vAlign w:val="bottom"/>
          </w:tcPr>
          <w:p>
            <w:pPr>
              <w:ind w:left="260"/>
              <w:spacing w:after="0"/>
              <w:rPr>
                <w:sz w:val="20"/>
                <w:szCs w:val="20"/>
                <w:color w:val="auto"/>
              </w:rPr>
            </w:pPr>
            <w:r>
              <w:rPr>
                <w:rFonts w:ascii="Arial" w:cs="Arial" w:eastAsia="Arial" w:hAnsi="Arial"/>
                <w:sz w:val="18"/>
                <w:szCs w:val="18"/>
                <w:color w:val="auto"/>
                <w:w w:val="93"/>
              </w:rPr>
              <w:t>Merrill Lynch, Pierce, Fenner &amp; Smith</w:t>
            </w:r>
          </w:p>
        </w:tc>
        <w:tc>
          <w:tcPr>
            <w:tcW w:w="0" w:type="dxa"/>
            <w:vAlign w:val="bottom"/>
          </w:tcPr>
          <w:p>
            <w:pPr>
              <w:spacing w:after="0"/>
              <w:rPr>
                <w:sz w:val="1"/>
                <w:szCs w:val="1"/>
                <w:color w:val="auto"/>
              </w:rPr>
            </w:pPr>
          </w:p>
        </w:tc>
      </w:tr>
      <w:tr>
        <w:trPr>
          <w:trHeight w:val="216"/>
        </w:trPr>
        <w:tc>
          <w:tcPr>
            <w:tcW w:w="2720" w:type="dxa"/>
            <w:vAlign w:val="bottom"/>
            <w:vMerge w:val="continue"/>
          </w:tcPr>
          <w:p>
            <w:pPr>
              <w:spacing w:after="0"/>
              <w:rPr>
                <w:sz w:val="18"/>
                <w:szCs w:val="18"/>
                <w:color w:val="auto"/>
              </w:rPr>
            </w:pPr>
          </w:p>
        </w:tc>
        <w:tc>
          <w:tcPr>
            <w:tcW w:w="3080" w:type="dxa"/>
            <w:vAlign w:val="bottom"/>
          </w:tcPr>
          <w:p>
            <w:pPr>
              <w:ind w:left="1240"/>
              <w:spacing w:after="0"/>
              <w:rPr>
                <w:sz w:val="20"/>
                <w:szCs w:val="20"/>
                <w:color w:val="auto"/>
              </w:rPr>
            </w:pPr>
            <w:r>
              <w:rPr>
                <w:rFonts w:ascii="Arial" w:cs="Arial" w:eastAsia="Arial" w:hAnsi="Arial"/>
                <w:sz w:val="18"/>
                <w:szCs w:val="18"/>
                <w:color w:val="auto"/>
              </w:rPr>
              <w:t>Incorporated</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RBC Capital Markets, LLC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Wells Fargo Securities, LLC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Barclays Capital Inc.</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BNP Paribas Securities Corp.</w:t>
            </w:r>
          </w:p>
        </w:tc>
        <w:tc>
          <w:tcPr>
            <w:tcW w:w="0" w:type="dxa"/>
            <w:vAlign w:val="bottom"/>
          </w:tcPr>
          <w:p>
            <w:pPr>
              <w:spacing w:after="0"/>
              <w:rPr>
                <w:sz w:val="1"/>
                <w:szCs w:val="1"/>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3080" w:type="dxa"/>
            <w:vAlign w:val="bottom"/>
          </w:tcPr>
          <w:p>
            <w:pPr>
              <w:ind w:left="260"/>
              <w:spacing w:after="0"/>
              <w:rPr>
                <w:sz w:val="20"/>
                <w:szCs w:val="20"/>
                <w:color w:val="auto"/>
              </w:rPr>
            </w:pPr>
            <w:r>
              <w:rPr>
                <w:rFonts w:ascii="Arial" w:cs="Arial" w:eastAsia="Arial" w:hAnsi="Arial"/>
                <w:sz w:val="18"/>
                <w:szCs w:val="18"/>
                <w:color w:val="auto"/>
              </w:rPr>
              <w:t>Citigroup Global Markets Inc.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8"/>
              </w:rPr>
              <w:t>Credit Suisse Securities (USA) LLC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Deutsche Bank Securities Inc.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Goldman, Sachs &amp; Co.</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J.P. Morgan Securities LLC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Lloyds Securities Inc.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Mizuho Securities USA Inc.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Morgan Stanley &amp; Co. LLC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4"/>
              </w:rPr>
              <w:t>SMBC Nikko Securities America, Inc.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9"/>
              </w:rPr>
              <w:t>SunTrust Robinson Humphrey, Inc.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UBS Securities LLC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95"/>
              </w:rPr>
              <w:t>Santander Investment Securities Inc.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U.S. Bancorp Investments, Inc.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DNB Markets, Inc.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PNC Capital Markets LLC</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TD Securities (USA) LLC</w:t>
            </w:r>
          </w:p>
        </w:tc>
        <w:tc>
          <w:tcPr>
            <w:tcW w:w="0" w:type="dxa"/>
            <w:vAlign w:val="bottom"/>
          </w:tcPr>
          <w:p>
            <w:pPr>
              <w:spacing w:after="0"/>
              <w:rPr>
                <w:sz w:val="1"/>
                <w:szCs w:val="1"/>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b w:val="1"/>
                <w:bCs w:val="1"/>
                <w:color w:val="auto"/>
              </w:rPr>
              <w:t>Junior Co-Managers:</w:t>
            </w:r>
          </w:p>
        </w:tc>
        <w:tc>
          <w:tcPr>
            <w:tcW w:w="3080" w:type="dxa"/>
            <w:vAlign w:val="bottom"/>
          </w:tcPr>
          <w:p>
            <w:pPr>
              <w:ind w:left="260"/>
              <w:spacing w:after="0"/>
              <w:rPr>
                <w:sz w:val="20"/>
                <w:szCs w:val="20"/>
                <w:color w:val="auto"/>
              </w:rPr>
            </w:pPr>
            <w:r>
              <w:rPr>
                <w:rFonts w:ascii="Arial" w:cs="Arial" w:eastAsia="Arial" w:hAnsi="Arial"/>
                <w:sz w:val="18"/>
                <w:szCs w:val="18"/>
                <w:color w:val="auto"/>
              </w:rPr>
              <w:t>The Williams Capital Group, L.P.</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C.L. King &amp; Associates, Inc.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Drexel Hamilton, LLC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Lebenthal &amp; Co., LLC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Loop Capital Markets LLC</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rPr>
              <w:t>Mischler Financial Group, Inc.</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080" w:type="dxa"/>
            <w:vAlign w:val="bottom"/>
          </w:tcPr>
          <w:p>
            <w:pPr>
              <w:ind w:left="260"/>
              <w:spacing w:after="0"/>
              <w:rPr>
                <w:sz w:val="20"/>
                <w:szCs w:val="20"/>
                <w:color w:val="auto"/>
              </w:rPr>
            </w:pPr>
            <w:r>
              <w:rPr>
                <w:rFonts w:ascii="Arial" w:cs="Arial" w:eastAsia="Arial" w:hAnsi="Arial"/>
                <w:sz w:val="18"/>
                <w:szCs w:val="18"/>
                <w:color w:val="auto"/>
                <w:w w:val="89"/>
              </w:rPr>
              <w:t>Samuel A. Ramirez and Company, Inc.</w:t>
            </w:r>
          </w:p>
        </w:tc>
        <w:tc>
          <w:tcPr>
            <w:tcW w:w="0" w:type="dxa"/>
            <w:vAlign w:val="bottom"/>
          </w:tcPr>
          <w:p>
            <w:pPr>
              <w:spacing w:after="0"/>
              <w:rPr>
                <w:sz w:val="1"/>
                <w:szCs w:val="1"/>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3080" w:type="dxa"/>
            <w:vAlign w:val="bottom"/>
          </w:tcPr>
          <w:p>
            <w:pPr>
              <w:ind w:left="260"/>
              <w:spacing w:after="0"/>
              <w:rPr>
                <w:sz w:val="20"/>
                <w:szCs w:val="20"/>
                <w:color w:val="auto"/>
              </w:rPr>
            </w:pPr>
            <w:r>
              <w:rPr>
                <w:rFonts w:ascii="Arial" w:cs="Arial" w:eastAsia="Arial" w:hAnsi="Arial"/>
                <w:sz w:val="18"/>
                <w:szCs w:val="18"/>
                <w:color w:val="auto"/>
              </w:rPr>
              <w:t>February 16, 2016</w:t>
            </w:r>
          </w:p>
        </w:tc>
        <w:tc>
          <w:tcPr>
            <w:tcW w:w="0" w:type="dxa"/>
            <w:vAlign w:val="bottom"/>
          </w:tcPr>
          <w:p>
            <w:pPr>
              <w:spacing w:after="0"/>
              <w:rPr>
                <w:sz w:val="1"/>
                <w:szCs w:val="1"/>
                <w:color w:val="auto"/>
              </w:rPr>
            </w:pPr>
          </w:p>
        </w:tc>
      </w:tr>
      <w:tr>
        <w:trPr>
          <w:trHeight w:val="324"/>
        </w:trPr>
        <w:tc>
          <w:tcPr>
            <w:tcW w:w="272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3080" w:type="dxa"/>
            <w:vAlign w:val="bottom"/>
          </w:tcPr>
          <w:p>
            <w:pPr>
              <w:ind w:left="260"/>
              <w:spacing w:after="0"/>
              <w:rPr>
                <w:sz w:val="20"/>
                <w:szCs w:val="20"/>
                <w:color w:val="auto"/>
              </w:rPr>
            </w:pPr>
            <w:r>
              <w:rPr>
                <w:rFonts w:ascii="Arial" w:cs="Arial" w:eastAsia="Arial" w:hAnsi="Arial"/>
                <w:sz w:val="18"/>
                <w:szCs w:val="18"/>
                <w:color w:val="auto"/>
              </w:rPr>
              <w:t>February 23, 2016 (T+5)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0219"/>
          </w:cols>
          <w:pgMar w:left="240" w:top="27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2.75% Notes Due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ind w:right="880"/>
        <w:spacing w:after="0" w:line="347" w:lineRule="auto"/>
        <w:rPr>
          <w:sz w:val="20"/>
          <w:szCs w:val="20"/>
          <w:color w:val="auto"/>
        </w:rPr>
      </w:pPr>
      <w:r>
        <w:rPr>
          <w:rFonts w:ascii="Arial" w:cs="Arial" w:eastAsia="Arial" w:hAnsi="Arial"/>
          <w:sz w:val="16"/>
          <w:szCs w:val="16"/>
          <w:b w:val="1"/>
          <w:bCs w:val="1"/>
          <w:color w:val="auto"/>
        </w:rPr>
        <w:t>Benchmark Treasury Price/Yield: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-499110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2.75% per annum, accruing from February 23, 2016 (calculated on the basis of a 360-day year consisting of twelve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30-day months)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March 1 and September 1, commencing September 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UST 1.750% due January 31, 2023</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101–15+ / 1.524%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+125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2.774%</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2.75% Notes due 2023 are redeemable at the option of the Company at any time, in whole or in part, at the “Redemption Price.” Prior to February 1, 2023 (one month prior to the maturity of the Notes due 2023), the Redemption Price is the greater of (i) 100% of the principal amount of such notes, and (ii) the sum of the present values of the principal amount of such notes and the scheduled payments of interest thereon (exclusive of interest accrued to the date of redemption) from the redemption date to February 1, 2023, in each case discounted to the redemption date on a semiannual basis at the Treasury Rate plus 20 basis points. On and after February 1, 2023 (one month prior to the maturity of the Notes due 2023), the Redemption Price will equal 100% of the principal amount of such notes. In each case described in this paragraph, the Redemption Price will include accrued and unpaid interest thereon to the date of redemption</w:t>
      </w:r>
    </w:p>
    <w:p>
      <w:pPr>
        <w:spacing w:after="0" w:line="7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An unlimited amount of additional 2.75% Notes due 2023 may be issued. The 2.75% Notes due 2023 and any additional 2.75% Notes due 2023 that may be issued may be treated as a single series for all purposes under the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20030N BR1 / US20030NBR17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99.847% plus accrued interest, if any, from February 23,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0.350%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99.497% per $1,000 principal amount of 2.75% Notes due 2023; $746,227,500 total</w:t>
      </w:r>
    </w:p>
    <w:p>
      <w:pPr>
        <w:sectPr>
          <w:pgSz w:w="11900" w:h="16838" w:orient="portrait"/>
          <w:cols w:equalWidth="0" w:num="2">
            <w:col w:w="2520" w:space="460"/>
            <w:col w:w="8380"/>
          </w:cols>
          <w:pgMar w:left="240" w:top="270"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3.15% Notes Due 2026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1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-499110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March 1, 2026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3.15% per annum, accruing from February 23, 2016 (calculated on the basis of a 360-day year consisting of twelve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30-day months)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March 1 and September 1, commencing September 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UST 1.625% due February 15,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98-21 / 1.772%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+140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3.172%</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3.15% Notes due 2026 are redeemable at the option of the Company at any time, in whole or in part, at the “Redemption Price.” Prior to December 1, 2025 (three months prior to the maturity of the Notes due 2026), the Redemption Price is the greater of (i) 100% of the principal amount of such notes, and (ii) the sum of the present values of the principal amount of such notes and the scheduled payments of interest thereon (exclusive of interest accrued to the date of redemption) from the redemption date to December 1, 2025, in each case discounted to the redemption date on a semiannual basis at the Treasury Rate plus 25 basis points. On and after December 1, 2025 (three months prior to the maturity of the Notes due 2026), the Redemption Price will equal 100% of the principal amount of such notes. In each case described in this paragraph, the Redemption Price will include accrued and unpaid interest thereon to the date of redemption</w:t>
      </w:r>
    </w:p>
    <w:p>
      <w:pPr>
        <w:spacing w:after="0" w:line="7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 unlimited amount of additional 3.15% Notes due 2026 may be issued. The 3.15% Notes due 2026 and any additional 3.15% Notes due 2026 that may be issued may be treated as a single series for all purposes under the indenture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20030N BS9 / US20030NBS99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99.812% plus accrued interest, if any, from February 23,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0.450%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99.362% per $1,000 principal amount of 3.15% Notes due 2026; $1,490,430,000 total</w:t>
      </w:r>
    </w:p>
    <w:p>
      <w:pPr>
        <w:sectPr>
          <w:pgSz w:w="11900" w:h="16838" w:orient="portrait"/>
          <w:cols w:equalWidth="0" w:num="2">
            <w:col w:w="2600" w:space="380"/>
            <w:col w:w="8280"/>
          </w:cols>
          <w:pgMar w:left="240" w:top="270" w:right="399" w:bottom="1440" w:gutter="0" w:footer="0" w:header="0"/>
        </w:sectPr>
      </w:pPr>
    </w:p>
    <w:bookmarkStart w:id="4" w:name="page5"/>
    <w:bookmarkEnd w:id="4"/>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expected that delivery of the notes will be made against payment therefor on or about February 23, 2016,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and should consult their own advisors.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Alternatively, the issuer, any underwriter or any dealer participating in the offering will arrange to send you the prospectus if you request it by calling Merrill Lynch, Pierce, Fenner &amp; Smith Incorporated toll-free at (800)294-1322, RBC Capital Markets, LLC toll-free at (866)375-6829 or Wells Fargo Securities, LLC toll-free at (800)645-3751.</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2019-12-07T15:50:56Z</dcterms:created>
  <dcterms:modified xsi:type="dcterms:W3CDTF">2019-12-07T15:50:56Z</dcterms:modified>
</cp:coreProperties>
</file>